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media/image2.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Normal"/>
        <w:bidi w:val="0"/>
        <w:spacing w:before="0" w:after="0"/>
        <w:jc w:val="left"/>
        <w:rPr>
          <w:sz w:val="4"/>
          <w:szCs w:val="4"/>
        </w:rPr>
      </w:pPr>
      <w:r>
        <w:rPr>
          <w:sz w:val="4"/>
          <w:szCs w:val="4"/>
        </w:rPr>
      </w:r>
      <w:bookmarkStart w:id="0" w:name="ea0304249-01_fwp.htm"/>
      <w:bookmarkStart w:id="1" w:name="ksea030424901_fwp"/>
      <w:bookmarkStart w:id="2" w:name="ea0304249-01_fwp.htm"/>
      <w:bookmarkStart w:id="3" w:name="ksea030424901_fwp"/>
      <w:bookmarkEnd w:id="2"/>
      <w:bookmarkEnd w:id="3"/>
    </w:p>
    <w:tbl>
      <w:tblPr>
        <w:tblW w:w="10205" w:type="dxa"/>
        <w:jc w:val="left"/>
        <w:tblInd w:w="0" w:type="dxa"/>
        <w:tblLayout w:type="fixed"/>
        <w:tblCellMar>
          <w:top w:w="0" w:type="dxa"/>
          <w:left w:w="0" w:type="dxa"/>
          <w:bottom w:w="0" w:type="dxa"/>
          <w:right w:w="0" w:type="dxa"/>
        </w:tblCellMar>
      </w:tblPr>
      <w:tblGrid>
        <w:gridCol w:w="6940"/>
        <w:gridCol w:w="3265"/>
      </w:tblGrid>
      <w:tr>
        <w:trPr/>
        <w:tc>
          <w:tcPr>
            <w:tcW w:w="6940" w:type="dxa"/>
            <w:vMerge w:val="restart"/>
            <w:tcBorders/>
            <w:vAlign w:val="center"/>
          </w:tcPr>
          <w:p>
            <w:pPr>
              <w:pStyle w:val="TableContents"/>
              <w:bidi w:val="0"/>
              <w:spacing w:before="0" w:after="60"/>
              <w:jc w:val="left"/>
              <w:rPr>
                <w:rFonts w:ascii="Verdana;Helvetica;Sans-Serif" w:hAnsi="Verdana;Helvetica;Sans-Serif"/>
                <w:b/>
                <w:i w:val="false"/>
                <w:caps w:val="false"/>
                <w:smallCaps w:val="false"/>
                <w:color w:val="BB0826"/>
                <w:sz w:val="32"/>
              </w:rPr>
            </w:pPr>
            <w:r>
              <w:rPr>
                <w:rFonts w:ascii="Verdana;Helvetica;Sans-Serif" w:hAnsi="Verdana;Helvetica;Sans-Serif"/>
                <w:b/>
                <w:i w:val="false"/>
                <w:caps w:val="false"/>
                <w:smallCaps w:val="false"/>
                <w:color w:val="BB0826"/>
                <w:sz w:val="32"/>
              </w:rPr>
              <w:t>JPMorgan Chase Financial Company LLC</w:t>
            </w:r>
          </w:p>
          <w:p>
            <w:pPr>
              <w:pStyle w:val="TableContents"/>
              <w:bidi w:val="0"/>
              <w:spacing w:before="0" w:after="60"/>
              <w:jc w:val="both"/>
              <w:rPr>
                <w:rFonts w:ascii="Verdana;Helvetica;Sans-Serif" w:hAnsi="Verdana;Helvetica;Sans-Serif"/>
                <w:b/>
                <w:i/>
                <w:caps w:val="false"/>
                <w:smallCaps w:val="false"/>
                <w:color w:val="BB0826"/>
                <w:sz w:val="20"/>
              </w:rPr>
            </w:pPr>
            <w:r>
              <w:rPr>
                <w:rFonts w:ascii="Verdana;Helvetica;Sans-Serif" w:hAnsi="Verdana;Helvetica;Sans-Serif"/>
                <w:b/>
                <w:i/>
                <w:caps w:val="false"/>
                <w:smallCaps w:val="false"/>
                <w:color w:val="BB0826"/>
                <w:sz w:val="20"/>
              </w:rPr>
              <w:t>Fully and Unconditionally Guaranteed by JPMorgan Chase &amp; Co.</w:t>
            </w:r>
          </w:p>
          <w:p>
            <w:pPr>
              <w:pStyle w:val="TableContents"/>
              <w:bidi w:val="0"/>
              <w:spacing w:before="0" w:after="20"/>
              <w:jc w:val="left"/>
              <w:rPr>
                <w:rFonts w:ascii="Verdana;Helvetica;Sans-Serif" w:hAnsi="Verdana;Helvetica;Sans-Serif"/>
                <w:b/>
                <w:i w:val="false"/>
                <w:caps w:val="false"/>
                <w:smallCaps w:val="false"/>
                <w:color w:val="BB0826"/>
                <w:sz w:val="24"/>
              </w:rPr>
            </w:pPr>
            <w:r>
              <w:rPr>
                <w:rFonts w:ascii="Verdana;Helvetica;Sans-Serif" w:hAnsi="Verdana;Helvetica;Sans-Serif"/>
                <w:b/>
                <w:i w:val="false"/>
                <w:caps w:val="false"/>
                <w:smallCaps w:val="false"/>
                <w:color w:val="BB0826"/>
                <w:sz w:val="24"/>
              </w:rPr>
              <w:t>Market Linked Securities</w:t>
            </w:r>
          </w:p>
        </w:tc>
        <w:tc>
          <w:tcPr>
            <w:tcW w:w="3265" w:type="dxa"/>
            <w:tcBorders/>
            <w:vAlign w:val="center"/>
          </w:tcPr>
          <w:p>
            <w:pPr>
              <w:pStyle w:val="TableContents"/>
              <w:bidi w:val="0"/>
              <w:jc w:val="right"/>
              <w:rPr>
                <w:rFonts w:ascii="Verdana;Helvetica;Sans-Serif" w:hAnsi="Verdana;Helvetica;Sans-Serif"/>
                <w:b w:val="false"/>
                <w:i w:val="false"/>
                <w:caps w:val="false"/>
                <w:smallCaps w:val="false"/>
                <w:sz w:val="14"/>
              </w:rPr>
            </w:pPr>
            <w:r>
              <w:rPr>
                <w:rFonts w:ascii="Verdana;Helvetica;Sans-Serif" w:hAnsi="Verdana;Helvetica;Sans-Serif"/>
                <w:b w:val="false"/>
                <w:i w:val="false"/>
                <w:caps w:val="false"/>
                <w:smallCaps w:val="false"/>
                <w:sz w:val="14"/>
              </w:rPr>
              <w:t>Filed Pursuant to Rule 433</w:t>
            </w:r>
          </w:p>
          <w:p>
            <w:pPr>
              <w:pStyle w:val="TableContents"/>
              <w:bidi w:val="0"/>
              <w:jc w:val="right"/>
              <w:rPr>
                <w:rFonts w:ascii="Verdana;Helvetica;Sans-Serif" w:hAnsi="Verdana;Helvetica;Sans-Serif"/>
                <w:b w:val="false"/>
                <w:i w:val="false"/>
                <w:caps w:val="false"/>
                <w:smallCaps w:val="false"/>
                <w:sz w:val="14"/>
              </w:rPr>
            </w:pPr>
            <w:r>
              <w:rPr>
                <w:rFonts w:ascii="Verdana;Helvetica;Sans-Serif" w:hAnsi="Verdana;Helvetica;Sans-Serif"/>
                <w:b w:val="false"/>
                <w:i w:val="false"/>
                <w:caps w:val="false"/>
                <w:smallCaps w:val="false"/>
                <w:sz w:val="14"/>
              </w:rPr>
              <w:t>Registration Statement Nos. 333-293684 and</w:t>
            </w:r>
          </w:p>
          <w:p>
            <w:pPr>
              <w:pStyle w:val="TableContents"/>
              <w:bidi w:val="0"/>
              <w:spacing w:before="0" w:after="283"/>
              <w:jc w:val="right"/>
              <w:rPr>
                <w:rFonts w:ascii="Verdana;Helvetica;Sans-Serif" w:hAnsi="Verdana;Helvetica;Sans-Serif"/>
                <w:b w:val="false"/>
                <w:i w:val="false"/>
                <w:caps w:val="false"/>
                <w:smallCaps w:val="false"/>
                <w:sz w:val="14"/>
              </w:rPr>
            </w:pPr>
            <w:r>
              <w:rPr>
                <w:rFonts w:ascii="Verdana;Helvetica;Sans-Serif" w:hAnsi="Verdana;Helvetica;Sans-Serif"/>
                <w:b w:val="false"/>
                <w:i w:val="false"/>
                <w:caps w:val="false"/>
                <w:smallCaps w:val="false"/>
                <w:sz w:val="14"/>
              </w:rPr>
              <w:t>333-293684-01</w:t>
            </w:r>
          </w:p>
        </w:tc>
      </w:tr>
      <w:tr>
        <w:trPr/>
        <w:tc>
          <w:tcPr>
            <w:tcW w:w="6940" w:type="dxa"/>
            <w:vMerge w:val="continue"/>
            <w:tcBorders/>
            <w:vAlign w:val="center"/>
          </w:tcPr>
          <w:p>
            <w:pPr>
              <w:pStyle w:val="Normal"/>
              <w:bidi w:val="0"/>
              <w:jc w:val="left"/>
              <w:rPr/>
            </w:pPr>
            <w:r>
              <w:rPr/>
            </w:r>
          </w:p>
        </w:tc>
        <w:tc>
          <w:tcPr>
            <w:tcW w:w="3265" w:type="dxa"/>
            <w:tcBorders/>
            <w:vAlign w:val="center"/>
          </w:tcPr>
          <w:p>
            <w:pPr>
              <w:pStyle w:val="TableContents"/>
              <w:bidi w:val="0"/>
              <w:spacing w:before="0" w:after="40"/>
              <w:ind w:left="0" w:right="0" w:hanging="0"/>
              <w:jc w:val="right"/>
              <w:rPr>
                <w:caps w:val="false"/>
                <w:smallCaps w:val="false"/>
              </w:rPr>
            </w:pPr>
            <w:r>
              <w:rPr>
                <w:caps w:val="false"/>
                <w:smallCaps w:val="false"/>
              </w:rPr>
              <w:drawing>
                <wp:inline distT="0" distB="0" distL="0" distR="0">
                  <wp:extent cx="1524000" cy="3333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1524000" cy="333375"/>
                          </a:xfrm>
                          <a:prstGeom prst="rect">
                            <a:avLst/>
                          </a:prstGeom>
                        </pic:spPr>
                      </pic:pic>
                    </a:graphicData>
                  </a:graphic>
                </wp:inline>
              </w:drawing>
            </w:r>
          </w:p>
        </w:tc>
      </w:tr>
      <w:tr>
        <w:trPr/>
        <w:tc>
          <w:tcPr>
            <w:tcW w:w="10205" w:type="dxa"/>
            <w:gridSpan w:val="2"/>
            <w:tcBorders/>
            <w:shd w:fill="8F8F8F" w:val="clear"/>
            <w:vAlign w:val="center"/>
          </w:tcPr>
          <w:p>
            <w:pPr>
              <w:pStyle w:val="TableContents"/>
              <w:bidi w:val="0"/>
              <w:spacing w:before="120" w:after="60"/>
              <w:ind w:left="120" w:right="120" w:hanging="0"/>
              <w:jc w:val="left"/>
              <w:rPr>
                <w:rFonts w:ascii="Verdana;Helvetica;Sans-Serif" w:hAnsi="Verdana;Helvetica;Sans-Serif"/>
                <w:b w:val="false"/>
                <w:i w:val="false"/>
                <w:caps w:val="false"/>
                <w:smallCaps w:val="false"/>
                <w:color w:val="FFFFFF"/>
                <w:sz w:val="20"/>
              </w:rPr>
            </w:pPr>
            <w:r>
              <w:rPr>
                <w:rFonts w:ascii="Verdana;Helvetica;Sans-Serif" w:hAnsi="Verdana;Helvetica;Sans-Serif"/>
                <w:b w:val="false"/>
                <w:i w:val="false"/>
                <w:caps w:val="false"/>
                <w:smallCaps w:val="false"/>
                <w:color w:val="FFFFFF"/>
                <w:sz w:val="20"/>
              </w:rPr>
              <w:t>Market Linked Securities — Contingent Fixed Return and Contingent Downside</w:t>
            </w:r>
          </w:p>
          <w:p>
            <w:pPr>
              <w:pStyle w:val="TableContents"/>
              <w:bidi w:val="0"/>
              <w:spacing w:before="0" w:after="60"/>
              <w:jc w:val="left"/>
              <w:rPr>
                <w:rFonts w:ascii="Verdana;Helvetica;Sans-Serif" w:hAnsi="Verdana;Helvetica;Sans-Serif"/>
                <w:b w:val="false"/>
                <w:i w:val="false"/>
                <w:caps w:val="false"/>
                <w:smallCaps w:val="false"/>
                <w:color w:val="FFFFFF"/>
                <w:sz w:val="20"/>
              </w:rPr>
            </w:pPr>
            <w:r>
              <w:rPr>
                <w:rFonts w:ascii="Verdana;Helvetica;Sans-Serif" w:hAnsi="Verdana;Helvetica;Sans-Serif"/>
                <w:b w:val="false"/>
                <w:i w:val="false"/>
                <w:caps w:val="false"/>
                <w:smallCaps w:val="false"/>
                <w:color w:val="FFFFFF"/>
                <w:sz w:val="20"/>
              </w:rPr>
              <w:t>Principal at Risk Securities Linked to the Common Stock of Micron Technology, Inc. due November 8, 2027</w:t>
            </w:r>
          </w:p>
          <w:p>
            <w:pPr>
              <w:pStyle w:val="TableContents"/>
              <w:bidi w:val="0"/>
              <w:spacing w:before="0" w:after="120"/>
              <w:jc w:val="left"/>
              <w:rPr>
                <w:rFonts w:ascii="Verdana;Helvetica;Sans-Serif" w:hAnsi="Verdana;Helvetica;Sans-Serif"/>
                <w:b w:val="false"/>
                <w:i w:val="false"/>
                <w:caps w:val="false"/>
                <w:smallCaps w:val="false"/>
                <w:color w:val="FFFFFF"/>
                <w:sz w:val="20"/>
              </w:rPr>
            </w:pPr>
            <w:r>
              <w:rPr>
                <w:rFonts w:ascii="Verdana;Helvetica;Sans-Serif" w:hAnsi="Verdana;Helvetica;Sans-Serif"/>
                <w:b w:val="false"/>
                <w:i w:val="false"/>
                <w:caps w:val="false"/>
                <w:smallCaps w:val="false"/>
                <w:color w:val="FFFFFF"/>
                <w:sz w:val="20"/>
              </w:rPr>
              <w:t>Fact Sheet dated September 1, 2026 to Preliminary Pricing Supplement dated August 31, 2026</w:t>
            </w:r>
          </w:p>
        </w:tc>
      </w:tr>
    </w:tbl>
    <w:p>
      <w:pPr>
        <w:pStyle w:val="TextBody"/>
        <w:bidi w:val="0"/>
        <w:spacing w:before="0" w:after="60"/>
        <w:jc w:val="left"/>
        <w:rPr>
          <w:rFonts w:ascii="Georgia;Times;Serif" w:hAnsi="Georgia;Times;Serif"/>
          <w:b/>
          <w:i w:val="false"/>
          <w:caps w:val="false"/>
          <w:smallCaps w:val="false"/>
          <w:sz w:val="16"/>
        </w:rPr>
      </w:pPr>
      <w:r>
        <w:rPr>
          <w:rFonts w:ascii="Georgia;Times;Serif" w:hAnsi="Georgia;Times;Serif"/>
          <w:b/>
          <w:i w:val="false"/>
          <w:caps w:val="false"/>
          <w:smallCaps w:val="false"/>
          <w:sz w:val="16"/>
        </w:rPr>
        <w:t>The securities have complex features and investing in the securities involves risks not associated with an investment in conventional debt securities. See “Risk Factors” in the accompanying prospectus supplement and the accompanying product supplement and “Selected Risk Considerations” in the accompanying preliminary pricing supplement.</w:t>
      </w:r>
      <w:r>
        <mc:AlternateContent>
          <mc:Choice Requires="wps">
            <w:drawing>
              <wp:anchor behindDoc="0" distT="0" distB="0" distL="0" distR="0" simplePos="0" locked="0" layoutInCell="1" allowOverlap="1" relativeHeight="3">
                <wp:simplePos x="0" y="0"/>
                <wp:positionH relativeFrom="column">
                  <wp:align>left</wp:align>
                </wp:positionH>
                <wp:positionV relativeFrom="line">
                  <wp:posOffset>635</wp:posOffset>
                </wp:positionV>
                <wp:extent cx="3110230" cy="8684260"/>
                <wp:effectExtent l="0" t="0" r="0" b="0"/>
                <wp:wrapSquare wrapText="right"/>
                <wp:docPr id="2" name="Frame1"/>
                <a:graphic xmlns:a="http://schemas.openxmlformats.org/drawingml/2006/main">
                  <a:graphicData uri="http://schemas.microsoft.com/office/word/2010/wordprocessingShape">
                    <wps:wsp>
                      <wps:cNvSpPr txBox="1"/>
                      <wps:spPr>
                        <a:xfrm>
                          <a:off x="0" y="0"/>
                          <a:ext cx="3110230" cy="8684260"/>
                        </a:xfrm>
                        <a:prstGeom prst="rect"/>
                        <a:solidFill>
                          <a:srgbClr val="FFFFFF"/>
                        </a:solidFill>
                      </wps:spPr>
                      <wps:txbx>
                        <w:txbxContent>
                          <w:p>
                            <w:pPr>
                              <w:pStyle w:val="TextBody"/>
                              <w:bidi w:val="0"/>
                              <w:ind w:left="90" w:right="0" w:hanging="0"/>
                              <w:jc w:val="left"/>
                              <w:rPr>
                                <w:rFonts w:ascii="Verdana;Helvetica;Sans-Serif" w:hAnsi="Verdana;Helvetica;Sans-Serif"/>
                                <w:b w:val="false"/>
                                <w:i w:val="false"/>
                                <w:caps w:val="false"/>
                                <w:smallCaps w:val="false"/>
                                <w:color w:val="8F8F8F"/>
                                <w:sz w:val="26"/>
                              </w:rPr>
                            </w:pPr>
                            <w:r>
                              <w:rPr>
                                <w:rFonts w:ascii="Verdana;Helvetica;Sans-Serif" w:hAnsi="Verdana;Helvetica;Sans-Serif"/>
                                <w:b w:val="false"/>
                                <w:i w:val="false"/>
                                <w:caps w:val="false"/>
                                <w:smallCaps w:val="false"/>
                                <w:color w:val="8F8F8F"/>
                                <w:sz w:val="26"/>
                              </w:rPr>
                              <w:t>Summary of Terms</w:t>
                            </w:r>
                          </w:p>
                          <w:tbl>
                            <w:tblPr>
                              <w:tblW w:w="10205" w:type="dxa"/>
                              <w:jc w:val="left"/>
                              <w:tblInd w:w="-10" w:type="dxa"/>
                              <w:tblLayout w:type="fixed"/>
                              <w:tblCellMar>
                                <w:top w:w="28" w:type="dxa"/>
                                <w:left w:w="108" w:type="dxa"/>
                                <w:bottom w:w="28" w:type="dxa"/>
                                <w:right w:w="108" w:type="dxa"/>
                              </w:tblCellMar>
                            </w:tblPr>
                            <w:tblGrid>
                              <w:gridCol w:w="1587"/>
                              <w:gridCol w:w="8618"/>
                            </w:tblGrid>
                            <w:tr>
                              <w:trPr/>
                              <w:tc>
                                <w:tcPr>
                                  <w:tcW w:w="1587"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before="0" w:after="283"/>
                                    <w:jc w:val="left"/>
                                    <w:rPr>
                                      <w:rFonts w:ascii="Georgia;Times;Serif" w:hAnsi="Georgia;Times;Serif"/>
                                      <w:b w:val="false"/>
                                      <w:i w:val="false"/>
                                      <w:caps w:val="false"/>
                                      <w:smallCaps w:val="false"/>
                                      <w:sz w:val="16"/>
                                    </w:rPr>
                                  </w:pPr>
                                  <w:r>
                                    <w:rPr>
                                      <w:rFonts w:ascii="Georgia;Times;Serif" w:hAnsi="Georgia;Times;Serif"/>
                                      <w:b w:val="false"/>
                                      <w:i w:val="false"/>
                                      <w:caps w:val="false"/>
                                      <w:smallCaps w:val="false"/>
                                      <w:sz w:val="16"/>
                                    </w:rPr>
                                    <w:t>Issuer:</w:t>
                                  </w:r>
                                </w:p>
                              </w:tc>
                              <w:tc>
                                <w:tcPr>
                                  <w:tcW w:w="8618" w:type="dxa"/>
                                  <w:tcBorders>
                                    <w:top w:val="single" w:sz="8" w:space="0" w:color="000000"/>
                                    <w:bottom w:val="single" w:sz="8" w:space="0" w:color="000000"/>
                                    <w:right w:val="single" w:sz="8" w:space="0" w:color="000000"/>
                                  </w:tcBorders>
                                  <w:tcMar>
                                    <w:left w:w="0" w:type="dxa"/>
                                  </w:tcMar>
                                  <w:vAlign w:val="center"/>
                                </w:tcPr>
                                <w:p>
                                  <w:pPr>
                                    <w:pStyle w:val="TableContents"/>
                                    <w:bidi w:val="0"/>
                                    <w:spacing w:before="0" w:after="283"/>
                                    <w:jc w:val="left"/>
                                    <w:rPr>
                                      <w:rFonts w:ascii="Georgia;Times;Serif" w:hAnsi="Georgia;Times;Serif"/>
                                      <w:b w:val="false"/>
                                      <w:i w:val="false"/>
                                      <w:caps w:val="false"/>
                                      <w:smallCaps w:val="false"/>
                                      <w:sz w:val="16"/>
                                    </w:rPr>
                                  </w:pPr>
                                  <w:r>
                                    <w:rPr>
                                      <w:rFonts w:ascii="Georgia;Times;Serif" w:hAnsi="Georgia;Times;Serif"/>
                                      <w:b w:val="false"/>
                                      <w:i w:val="false"/>
                                      <w:caps w:val="false"/>
                                      <w:smallCaps w:val="false"/>
                                      <w:sz w:val="16"/>
                                    </w:rPr>
                                    <w:t>JPMorgan Chase Financial Company LLC</w:t>
                                  </w:r>
                                </w:p>
                              </w:tc>
                            </w:tr>
                            <w:tr>
                              <w:trPr/>
                              <w:tc>
                                <w:tcPr>
                                  <w:tcW w:w="1587"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left"/>
                                    <w:rPr>
                                      <w:rFonts w:ascii="Georgia;Times;Serif" w:hAnsi="Georgia;Times;Serif"/>
                                      <w:b w:val="false"/>
                                      <w:i w:val="false"/>
                                      <w:caps w:val="false"/>
                                      <w:smallCaps w:val="false"/>
                                      <w:sz w:val="16"/>
                                    </w:rPr>
                                  </w:pPr>
                                  <w:r>
                                    <w:rPr>
                                      <w:rFonts w:ascii="Georgia;Times;Serif" w:hAnsi="Georgia;Times;Serif"/>
                                      <w:b w:val="false"/>
                                      <w:i w:val="false"/>
                                      <w:caps w:val="false"/>
                                      <w:smallCaps w:val="false"/>
                                      <w:sz w:val="16"/>
                                    </w:rPr>
                                    <w:t>Guarantor:</w:t>
                                  </w:r>
                                </w:p>
                              </w:tc>
                              <w:tc>
                                <w:tcPr>
                                  <w:tcW w:w="8618"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rFonts w:ascii="Georgia;Times;Serif" w:hAnsi="Georgia;Times;Serif"/>
                                      <w:b w:val="false"/>
                                      <w:i w:val="false"/>
                                      <w:caps w:val="false"/>
                                      <w:smallCaps w:val="false"/>
                                      <w:sz w:val="16"/>
                                    </w:rPr>
                                  </w:pPr>
                                  <w:r>
                                    <w:rPr>
                                      <w:rFonts w:ascii="Georgia;Times;Serif" w:hAnsi="Georgia;Times;Serif"/>
                                      <w:b w:val="false"/>
                                      <w:i w:val="false"/>
                                      <w:caps w:val="false"/>
                                      <w:smallCaps w:val="false"/>
                                      <w:sz w:val="16"/>
                                    </w:rPr>
                                    <w:t>JPMorgan Chase &amp; Co.</w:t>
                                  </w:r>
                                </w:p>
                              </w:tc>
                            </w:tr>
                            <w:tr>
                              <w:trPr/>
                              <w:tc>
                                <w:tcPr>
                                  <w:tcW w:w="1587"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left"/>
                                    <w:rPr>
                                      <w:rFonts w:ascii="Georgia;Times;Serif" w:hAnsi="Georgia;Times;Serif"/>
                                      <w:b w:val="false"/>
                                      <w:i w:val="false"/>
                                      <w:caps w:val="false"/>
                                      <w:smallCaps w:val="false"/>
                                      <w:sz w:val="16"/>
                                    </w:rPr>
                                  </w:pPr>
                                  <w:r>
                                    <w:rPr>
                                      <w:rFonts w:ascii="Georgia;Times;Serif" w:hAnsi="Georgia;Times;Serif"/>
                                      <w:b w:val="false"/>
                                      <w:i w:val="false"/>
                                      <w:caps w:val="false"/>
                                      <w:smallCaps w:val="false"/>
                                      <w:sz w:val="16"/>
                                    </w:rPr>
                                    <w:t>Underlying Stock:</w:t>
                                  </w:r>
                                </w:p>
                              </w:tc>
                              <w:tc>
                                <w:tcPr>
                                  <w:tcW w:w="8618"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rFonts w:ascii="Georgia;Times;Serif" w:hAnsi="Georgia;Times;Serif"/>
                                      <w:b w:val="false"/>
                                      <w:i w:val="false"/>
                                      <w:caps w:val="false"/>
                                      <w:smallCaps w:val="false"/>
                                      <w:sz w:val="16"/>
                                    </w:rPr>
                                  </w:pPr>
                                  <w:r>
                                    <w:rPr>
                                      <w:rFonts w:ascii="Georgia;Times;Serif" w:hAnsi="Georgia;Times;Serif"/>
                                      <w:b w:val="false"/>
                                      <w:i w:val="false"/>
                                      <w:caps w:val="false"/>
                                      <w:smallCaps w:val="false"/>
                                      <w:sz w:val="16"/>
                                    </w:rPr>
                                    <w:t xml:space="preserve">The common stock of Micron Technology, Inc. (Bloomberg ticker: MU) </w:t>
                                  </w:r>
                                </w:p>
                              </w:tc>
                            </w:tr>
                            <w:tr>
                              <w:trPr/>
                              <w:tc>
                                <w:tcPr>
                                  <w:tcW w:w="1587"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left"/>
                                    <w:rPr>
                                      <w:rFonts w:ascii="Georgia;Times;Serif" w:hAnsi="Georgia;Times;Serif"/>
                                      <w:b w:val="false"/>
                                      <w:i w:val="false"/>
                                      <w:caps w:val="false"/>
                                      <w:smallCaps w:val="false"/>
                                      <w:sz w:val="16"/>
                                    </w:rPr>
                                  </w:pPr>
                                  <w:r>
                                    <w:rPr>
                                      <w:rFonts w:ascii="Georgia;Times;Serif" w:hAnsi="Georgia;Times;Serif"/>
                                      <w:b w:val="false"/>
                                      <w:i w:val="false"/>
                                      <w:caps w:val="false"/>
                                      <w:smallCaps w:val="false"/>
                                      <w:sz w:val="16"/>
                                    </w:rPr>
                                    <w:t>Pricing Date</w:t>
                                  </w:r>
                                  <w:r>
                                    <w:rPr>
                                      <w:rFonts w:ascii="Georgia;Times;Serif" w:hAnsi="Georgia;Times;Serif"/>
                                      <w:b w:val="false"/>
                                      <w:i w:val="false"/>
                                      <w:caps w:val="false"/>
                                      <w:smallCaps w:val="false"/>
                                      <w:position w:val="5"/>
                                      <w:sz w:val="13"/>
                                      <w:sz w:val="16"/>
                                    </w:rPr>
                                    <w:t>1</w:t>
                                  </w:r>
                                  <w:r>
                                    <w:rPr>
                                      <w:rFonts w:ascii="Georgia;Times;Serif" w:hAnsi="Georgia;Times;Serif"/>
                                      <w:b w:val="false"/>
                                      <w:i w:val="false"/>
                                      <w:caps w:val="false"/>
                                      <w:smallCaps w:val="false"/>
                                      <w:sz w:val="16"/>
                                    </w:rPr>
                                    <w:t>:</w:t>
                                  </w:r>
                                </w:p>
                              </w:tc>
                              <w:tc>
                                <w:tcPr>
                                  <w:tcW w:w="8618"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rFonts w:ascii="Georgia;Times;Serif" w:hAnsi="Georgia;Times;Serif"/>
                                      <w:b w:val="false"/>
                                      <w:i w:val="false"/>
                                      <w:caps w:val="false"/>
                                      <w:smallCaps w:val="false"/>
                                      <w:sz w:val="16"/>
                                    </w:rPr>
                                  </w:pPr>
                                  <w:r>
                                    <w:rPr>
                                      <w:rFonts w:ascii="Georgia;Times;Serif" w:hAnsi="Georgia;Times;Serif"/>
                                      <w:b w:val="false"/>
                                      <w:i w:val="false"/>
                                      <w:caps w:val="false"/>
                                      <w:smallCaps w:val="false"/>
                                      <w:sz w:val="16"/>
                                    </w:rPr>
                                    <w:t>September 3, 2026</w:t>
                                  </w:r>
                                </w:p>
                              </w:tc>
                            </w:tr>
                            <w:tr>
                              <w:trPr/>
                              <w:tc>
                                <w:tcPr>
                                  <w:tcW w:w="1587"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left"/>
                                    <w:rPr>
                                      <w:rFonts w:ascii="Georgia;Times;Serif" w:hAnsi="Georgia;Times;Serif"/>
                                      <w:b w:val="false"/>
                                      <w:i w:val="false"/>
                                      <w:caps w:val="false"/>
                                      <w:smallCaps w:val="false"/>
                                      <w:sz w:val="16"/>
                                    </w:rPr>
                                  </w:pPr>
                                  <w:r>
                                    <w:rPr>
                                      <w:rFonts w:ascii="Georgia;Times;Serif" w:hAnsi="Georgia;Times;Serif"/>
                                      <w:b w:val="false"/>
                                      <w:i w:val="false"/>
                                      <w:caps w:val="false"/>
                                      <w:smallCaps w:val="false"/>
                                      <w:sz w:val="16"/>
                                    </w:rPr>
                                    <w:t>Issue Date</w:t>
                                  </w:r>
                                  <w:r>
                                    <w:rPr>
                                      <w:rFonts w:ascii="Georgia;Times;Serif" w:hAnsi="Georgia;Times;Serif"/>
                                      <w:b w:val="false"/>
                                      <w:i w:val="false"/>
                                      <w:caps w:val="false"/>
                                      <w:smallCaps w:val="false"/>
                                      <w:position w:val="5"/>
                                      <w:sz w:val="13"/>
                                      <w:sz w:val="16"/>
                                    </w:rPr>
                                    <w:t>1</w:t>
                                  </w:r>
                                  <w:r>
                                    <w:rPr>
                                      <w:rFonts w:ascii="Georgia;Times;Serif" w:hAnsi="Georgia;Times;Serif"/>
                                      <w:b w:val="false"/>
                                      <w:i w:val="false"/>
                                      <w:caps w:val="false"/>
                                      <w:smallCaps w:val="false"/>
                                      <w:sz w:val="16"/>
                                    </w:rPr>
                                    <w:t>:</w:t>
                                  </w:r>
                                </w:p>
                              </w:tc>
                              <w:tc>
                                <w:tcPr>
                                  <w:tcW w:w="8618"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rFonts w:ascii="Georgia;Times;Serif" w:hAnsi="Georgia;Times;Serif"/>
                                      <w:b w:val="false"/>
                                      <w:i w:val="false"/>
                                      <w:caps w:val="false"/>
                                      <w:smallCaps w:val="false"/>
                                      <w:sz w:val="16"/>
                                    </w:rPr>
                                  </w:pPr>
                                  <w:r>
                                    <w:rPr>
                                      <w:rFonts w:ascii="Georgia;Times;Serif" w:hAnsi="Georgia;Times;Serif"/>
                                      <w:b w:val="false"/>
                                      <w:i w:val="false"/>
                                      <w:caps w:val="false"/>
                                      <w:smallCaps w:val="false"/>
                                      <w:sz w:val="16"/>
                                    </w:rPr>
                                    <w:t>September 9, 2026</w:t>
                                  </w:r>
                                </w:p>
                              </w:tc>
                            </w:tr>
                            <w:tr>
                              <w:trPr/>
                              <w:tc>
                                <w:tcPr>
                                  <w:tcW w:w="1587"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left"/>
                                    <w:rPr>
                                      <w:rFonts w:ascii="Georgia;Times;Serif" w:hAnsi="Georgia;Times;Serif"/>
                                      <w:b w:val="false"/>
                                      <w:i w:val="false"/>
                                      <w:caps w:val="false"/>
                                      <w:smallCaps w:val="false"/>
                                      <w:sz w:val="16"/>
                                    </w:rPr>
                                  </w:pPr>
                                  <w:r>
                                    <w:rPr>
                                      <w:rFonts w:ascii="Georgia;Times;Serif" w:hAnsi="Georgia;Times;Serif"/>
                                      <w:b w:val="false"/>
                                      <w:i w:val="false"/>
                                      <w:caps w:val="false"/>
                                      <w:smallCaps w:val="false"/>
                                      <w:sz w:val="16"/>
                                    </w:rPr>
                                    <w:t>Calculation Day</w:t>
                                  </w:r>
                                  <w:r>
                                    <w:rPr>
                                      <w:rFonts w:ascii="Georgia;Times;Serif" w:hAnsi="Georgia;Times;Serif"/>
                                      <w:b w:val="false"/>
                                      <w:i w:val="false"/>
                                      <w:caps w:val="false"/>
                                      <w:smallCaps w:val="false"/>
                                      <w:position w:val="5"/>
                                      <w:sz w:val="13"/>
                                      <w:sz w:val="16"/>
                                    </w:rPr>
                                    <w:t>1, 2</w:t>
                                  </w:r>
                                  <w:r>
                                    <w:rPr>
                                      <w:rFonts w:ascii="Georgia;Times;Serif" w:hAnsi="Georgia;Times;Serif"/>
                                      <w:b w:val="false"/>
                                      <w:i w:val="false"/>
                                      <w:caps w:val="false"/>
                                      <w:smallCaps w:val="false"/>
                                      <w:sz w:val="16"/>
                                    </w:rPr>
                                    <w:t>:</w:t>
                                  </w:r>
                                </w:p>
                              </w:tc>
                              <w:tc>
                                <w:tcPr>
                                  <w:tcW w:w="8618"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rFonts w:ascii="Georgia;Times;Serif" w:hAnsi="Georgia;Times;Serif"/>
                                      <w:b w:val="false"/>
                                      <w:i w:val="false"/>
                                      <w:caps w:val="false"/>
                                      <w:smallCaps w:val="false"/>
                                      <w:sz w:val="16"/>
                                    </w:rPr>
                                  </w:pPr>
                                  <w:r>
                                    <w:rPr>
                                      <w:rFonts w:ascii="Georgia;Times;Serif" w:hAnsi="Georgia;Times;Serif"/>
                                      <w:b w:val="false"/>
                                      <w:i w:val="false"/>
                                      <w:caps w:val="false"/>
                                      <w:smallCaps w:val="false"/>
                                      <w:sz w:val="16"/>
                                    </w:rPr>
                                    <w:t>November 3, 2027</w:t>
                                  </w:r>
                                </w:p>
                              </w:tc>
                            </w:tr>
                            <w:tr>
                              <w:trPr/>
                              <w:tc>
                                <w:tcPr>
                                  <w:tcW w:w="1587"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left"/>
                                    <w:rPr>
                                      <w:rFonts w:ascii="Georgia;Times;Serif" w:hAnsi="Georgia;Times;Serif"/>
                                      <w:b w:val="false"/>
                                      <w:i w:val="false"/>
                                      <w:caps w:val="false"/>
                                      <w:smallCaps w:val="false"/>
                                      <w:sz w:val="16"/>
                                    </w:rPr>
                                  </w:pPr>
                                  <w:r>
                                    <w:rPr>
                                      <w:rFonts w:ascii="Georgia;Times;Serif" w:hAnsi="Georgia;Times;Serif"/>
                                      <w:b w:val="false"/>
                                      <w:i w:val="false"/>
                                      <w:caps w:val="false"/>
                                      <w:smallCaps w:val="false"/>
                                      <w:sz w:val="16"/>
                                    </w:rPr>
                                    <w:t>Stated Maturity Date</w:t>
                                  </w:r>
                                  <w:r>
                                    <w:rPr>
                                      <w:rFonts w:ascii="Georgia;Times;Serif" w:hAnsi="Georgia;Times;Serif"/>
                                      <w:b w:val="false"/>
                                      <w:i w:val="false"/>
                                      <w:caps w:val="false"/>
                                      <w:smallCaps w:val="false"/>
                                      <w:position w:val="5"/>
                                      <w:sz w:val="13"/>
                                      <w:sz w:val="16"/>
                                    </w:rPr>
                                    <w:t>1, 2</w:t>
                                  </w:r>
                                  <w:r>
                                    <w:rPr>
                                      <w:rFonts w:ascii="Georgia;Times;Serif" w:hAnsi="Georgia;Times;Serif"/>
                                      <w:b w:val="false"/>
                                      <w:i w:val="false"/>
                                      <w:caps w:val="false"/>
                                      <w:smallCaps w:val="false"/>
                                      <w:sz w:val="16"/>
                                    </w:rPr>
                                    <w:t>:</w:t>
                                  </w:r>
                                </w:p>
                              </w:tc>
                              <w:tc>
                                <w:tcPr>
                                  <w:tcW w:w="8618"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rFonts w:ascii="Georgia;Times;Serif" w:hAnsi="Georgia;Times;Serif"/>
                                      <w:b w:val="false"/>
                                      <w:i w:val="false"/>
                                      <w:caps w:val="false"/>
                                      <w:smallCaps w:val="false"/>
                                      <w:sz w:val="16"/>
                                    </w:rPr>
                                  </w:pPr>
                                  <w:r>
                                    <w:rPr>
                                      <w:rFonts w:ascii="Georgia;Times;Serif" w:hAnsi="Georgia;Times;Serif"/>
                                      <w:b w:val="false"/>
                                      <w:i w:val="false"/>
                                      <w:caps w:val="false"/>
                                      <w:smallCaps w:val="false"/>
                                      <w:sz w:val="16"/>
                                    </w:rPr>
                                    <w:t>November 8, 2027</w:t>
                                  </w:r>
                                </w:p>
                              </w:tc>
                            </w:tr>
                            <w:tr>
                              <w:trPr/>
                              <w:tc>
                                <w:tcPr>
                                  <w:tcW w:w="1587"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left"/>
                                    <w:rPr>
                                      <w:rFonts w:ascii="Georgia;Times;Serif" w:hAnsi="Georgia;Times;Serif"/>
                                      <w:b w:val="false"/>
                                      <w:i w:val="false"/>
                                      <w:caps w:val="false"/>
                                      <w:smallCaps w:val="false"/>
                                      <w:sz w:val="16"/>
                                    </w:rPr>
                                  </w:pPr>
                                  <w:r>
                                    <w:rPr>
                                      <w:rFonts w:ascii="Georgia;Times;Serif" w:hAnsi="Georgia;Times;Serif"/>
                                      <w:b w:val="false"/>
                                      <w:i w:val="false"/>
                                      <w:caps w:val="false"/>
                                      <w:smallCaps w:val="false"/>
                                      <w:sz w:val="16"/>
                                    </w:rPr>
                                    <w:t>Principal Amount:</w:t>
                                  </w:r>
                                </w:p>
                              </w:tc>
                              <w:tc>
                                <w:tcPr>
                                  <w:tcW w:w="8618"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rFonts w:ascii="Georgia;Times;Serif" w:hAnsi="Georgia;Times;Serif"/>
                                      <w:b w:val="false"/>
                                      <w:i w:val="false"/>
                                      <w:caps w:val="false"/>
                                      <w:smallCaps w:val="false"/>
                                      <w:sz w:val="16"/>
                                    </w:rPr>
                                  </w:pPr>
                                  <w:r>
                                    <w:rPr>
                                      <w:rFonts w:ascii="Georgia;Times;Serif" w:hAnsi="Georgia;Times;Serif"/>
                                      <w:b w:val="false"/>
                                      <w:i w:val="false"/>
                                      <w:caps w:val="false"/>
                                      <w:smallCaps w:val="false"/>
                                      <w:sz w:val="16"/>
                                    </w:rPr>
                                    <w:t>$1,000 per security (100% of par)</w:t>
                                  </w:r>
                                </w:p>
                              </w:tc>
                            </w:tr>
                            <w:tr>
                              <w:trPr/>
                              <w:tc>
                                <w:tcPr>
                                  <w:tcW w:w="1587"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left"/>
                                    <w:rPr>
                                      <w:rFonts w:ascii="Georgia;Times;Serif" w:hAnsi="Georgia;Times;Serif"/>
                                      <w:b w:val="false"/>
                                      <w:i w:val="false"/>
                                      <w:caps w:val="false"/>
                                      <w:smallCaps w:val="false"/>
                                      <w:sz w:val="16"/>
                                    </w:rPr>
                                  </w:pPr>
                                  <w:r>
                                    <w:rPr>
                                      <w:rFonts w:ascii="Georgia;Times;Serif" w:hAnsi="Georgia;Times;Serif"/>
                                      <w:b w:val="false"/>
                                      <w:i w:val="false"/>
                                      <w:caps w:val="false"/>
                                      <w:smallCaps w:val="false"/>
                                      <w:sz w:val="16"/>
                                    </w:rPr>
                                    <w:t>Maturity Payment Amount (per Security):</w:t>
                                  </w:r>
                                </w:p>
                              </w:tc>
                              <w:tc>
                                <w:tcPr>
                                  <w:tcW w:w="8618" w:type="dxa"/>
                                  <w:tcBorders>
                                    <w:bottom w:val="single" w:sz="8" w:space="0" w:color="000000"/>
                                    <w:right w:val="single" w:sz="8" w:space="0" w:color="000000"/>
                                  </w:tcBorders>
                                  <w:tcMar>
                                    <w:top w:w="0" w:type="dxa"/>
                                    <w:left w:w="0" w:type="dxa"/>
                                  </w:tcMar>
                                  <w:vAlign w:val="center"/>
                                </w:tcPr>
                                <w:p>
                                  <w:pPr>
                                    <w:pStyle w:val="TableContents"/>
                                    <w:bidi w:val="0"/>
                                    <w:spacing w:before="0" w:after="0"/>
                                    <w:ind w:left="254" w:right="0" w:hanging="200"/>
                                    <w:jc w:val="left"/>
                                    <w:rPr>
                                      <w:rFonts w:ascii="Georgia;Times;Serif" w:hAnsi="Georgia;Times;Serif"/>
                                      <w:b w:val="false"/>
                                      <w:i w:val="false"/>
                                      <w:caps w:val="false"/>
                                      <w:smallCaps w:val="false"/>
                                      <w:sz w:val="18"/>
                                    </w:rPr>
                                  </w:pPr>
                                  <w:r>
                                    <w:rPr>
                                      <w:rFonts w:ascii="Symbol" w:hAnsi="Symbol"/>
                                      <w:b w:val="false"/>
                                      <w:i w:val="false"/>
                                      <w:caps w:val="false"/>
                                      <w:smallCaps w:val="false"/>
                                      <w:sz w:val="18"/>
                                    </w:rPr>
                                    <w:t>·</w:t>
                                  </w:r>
                                  <w:r>
                                    <w:rPr>
                                      <w:rFonts w:ascii="Georgia;Times;Serif" w:hAnsi="Georgia;Times;Serif"/>
                                      <w:b w:val="false"/>
                                      <w:i w:val="false"/>
                                      <w:caps w:val="false"/>
                                      <w:smallCaps w:val="false"/>
                                      <w:sz w:val="18"/>
                                    </w:rPr>
                                    <w:t>   </w:t>
                                  </w:r>
                                  <w:r>
                                    <w:rPr>
                                      <w:rFonts w:ascii="Georgia;Times;Serif" w:hAnsi="Georgia;Times;Serif"/>
                                      <w:b w:val="false"/>
                                      <w:i w:val="false"/>
                                      <w:caps w:val="false"/>
                                      <w:smallCaps w:val="false"/>
                                      <w:sz w:val="16"/>
                                    </w:rPr>
                                    <w:t xml:space="preserve">if the ending price is greater than or equal to the threshold price: $1,000 </w:t>
                                  </w:r>
                                  <w:r>
                                    <w:rPr>
                                      <w:rFonts w:ascii="Georgia;Times;Serif" w:hAnsi="Georgia;Times;Serif"/>
                                      <w:b w:val="false"/>
                                      <w:i/>
                                      <w:caps w:val="false"/>
                                      <w:smallCaps w:val="false"/>
                                      <w:sz w:val="16"/>
                                    </w:rPr>
                                    <w:t>plus</w:t>
                                  </w:r>
                                  <w:r>
                                    <w:rPr>
                                      <w:rFonts w:ascii="Georgia;Times;Serif" w:hAnsi="Georgia;Times;Serif"/>
                                      <w:b w:val="false"/>
                                      <w:i w:val="false"/>
                                      <w:caps w:val="false"/>
                                      <w:smallCaps w:val="false"/>
                                      <w:sz w:val="16"/>
                                    </w:rPr>
                                    <w:t xml:space="preserve"> the contingent fixed return; or</w:t>
                                  </w:r>
                                </w:p>
                                <w:p>
                                  <w:pPr>
                                    <w:pStyle w:val="TableContents"/>
                                    <w:bidi w:val="0"/>
                                    <w:spacing w:before="0" w:after="0"/>
                                    <w:ind w:left="254" w:right="0" w:hanging="200"/>
                                    <w:jc w:val="left"/>
                                    <w:rPr>
                                      <w:rFonts w:ascii="Georgia;Times;Serif" w:hAnsi="Georgia;Times;Serif"/>
                                      <w:b w:val="false"/>
                                      <w:i w:val="false"/>
                                      <w:caps w:val="false"/>
                                      <w:smallCaps w:val="false"/>
                                      <w:sz w:val="18"/>
                                    </w:rPr>
                                  </w:pPr>
                                  <w:r>
                                    <w:rPr>
                                      <w:rFonts w:ascii="Symbol" w:hAnsi="Symbol"/>
                                      <w:b w:val="false"/>
                                      <w:i w:val="false"/>
                                      <w:caps w:val="false"/>
                                      <w:smallCaps w:val="false"/>
                                      <w:sz w:val="18"/>
                                    </w:rPr>
                                    <w:t>·</w:t>
                                  </w:r>
                                  <w:r>
                                    <w:rPr>
                                      <w:rFonts w:ascii="Georgia;Times;Serif" w:hAnsi="Georgia;Times;Serif"/>
                                      <w:b w:val="false"/>
                                      <w:i w:val="false"/>
                                      <w:caps w:val="false"/>
                                      <w:smallCaps w:val="false"/>
                                      <w:sz w:val="18"/>
                                    </w:rPr>
                                    <w:t>   </w:t>
                                  </w:r>
                                  <w:r>
                                    <w:rPr>
                                      <w:rFonts w:ascii="Georgia;Times;Serif" w:hAnsi="Georgia;Times;Serif"/>
                                      <w:b w:val="false"/>
                                      <w:i w:val="false"/>
                                      <w:caps w:val="false"/>
                                      <w:smallCaps w:val="false"/>
                                      <w:sz w:val="16"/>
                                    </w:rPr>
                                    <w:t xml:space="preserve">if the ending price is less than the threshold price: </w:t>
                                  </w:r>
                                </w:p>
                                <w:p>
                                  <w:pPr>
                                    <w:pStyle w:val="TableContents"/>
                                    <w:bidi w:val="0"/>
                                    <w:ind w:left="254" w:right="0" w:hanging="0"/>
                                    <w:jc w:val="left"/>
                                    <w:rPr>
                                      <w:rFonts w:ascii="Georgia;Times;Serif" w:hAnsi="Georgia;Times;Serif"/>
                                      <w:b w:val="false"/>
                                      <w:i w:val="false"/>
                                      <w:caps w:val="false"/>
                                      <w:smallCaps w:val="false"/>
                                      <w:sz w:val="16"/>
                                    </w:rPr>
                                  </w:pPr>
                                  <w:r>
                                    <w:rPr>
                                      <w:rFonts w:ascii="Georgia;Times;Serif" w:hAnsi="Georgia;Times;Serif"/>
                                      <w:b w:val="false"/>
                                      <w:i w:val="false"/>
                                      <w:caps w:val="false"/>
                                      <w:smallCaps w:val="false"/>
                                      <w:sz w:val="16"/>
                                    </w:rPr>
                                    <w:t>$1,000 + ($1,000 × stock return)</w:t>
                                  </w:r>
                                </w:p>
                                <w:p>
                                  <w:pPr>
                                    <w:pStyle w:val="TableContents"/>
                                    <w:bidi w:val="0"/>
                                    <w:spacing w:before="0" w:after="283"/>
                                    <w:jc w:val="left"/>
                                    <w:rPr>
                                      <w:caps w:val="false"/>
                                      <w:smallCaps w:val="false"/>
                                    </w:rPr>
                                  </w:pPr>
                                  <w:r>
                                    <w:rPr>
                                      <w:caps w:val="false"/>
                                      <w:smallCaps w:val="false"/>
                                    </w:rPr>
                                    <w:t> </w:t>
                                  </w:r>
                                </w:p>
                              </w:tc>
                            </w:tr>
                            <w:tr>
                              <w:trPr/>
                              <w:tc>
                                <w:tcPr>
                                  <w:tcW w:w="1587"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left"/>
                                    <w:rPr>
                                      <w:rFonts w:ascii="Georgia;Times;Serif" w:hAnsi="Georgia;Times;Serif"/>
                                      <w:b w:val="false"/>
                                      <w:i w:val="false"/>
                                      <w:caps w:val="false"/>
                                      <w:smallCaps w:val="false"/>
                                      <w:sz w:val="16"/>
                                    </w:rPr>
                                  </w:pPr>
                                  <w:r>
                                    <w:rPr>
                                      <w:rFonts w:ascii="Georgia;Times;Serif" w:hAnsi="Georgia;Times;Serif"/>
                                      <w:b w:val="false"/>
                                      <w:i w:val="false"/>
                                      <w:caps w:val="false"/>
                                      <w:smallCaps w:val="false"/>
                                      <w:sz w:val="16"/>
                                    </w:rPr>
                                    <w:t>Starting Price:</w:t>
                                  </w:r>
                                </w:p>
                              </w:tc>
                              <w:tc>
                                <w:tcPr>
                                  <w:tcW w:w="8618"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rFonts w:ascii="Georgia;Times;Serif" w:hAnsi="Georgia;Times;Serif"/>
                                      <w:b w:val="false"/>
                                      <w:i w:val="false"/>
                                      <w:caps w:val="false"/>
                                      <w:smallCaps w:val="false"/>
                                      <w:sz w:val="16"/>
                                    </w:rPr>
                                  </w:pPr>
                                  <w:r>
                                    <w:rPr>
                                      <w:rFonts w:ascii="Georgia;Times;Serif" w:hAnsi="Georgia;Times;Serif"/>
                                      <w:b w:val="false"/>
                                      <w:i w:val="false"/>
                                      <w:caps w:val="false"/>
                                      <w:smallCaps w:val="false"/>
                                      <w:sz w:val="16"/>
                                    </w:rPr>
                                    <w:t>The stock closing price of the Underlying Stock on the pricing date</w:t>
                                  </w:r>
                                </w:p>
                              </w:tc>
                            </w:tr>
                            <w:tr>
                              <w:trPr/>
                              <w:tc>
                                <w:tcPr>
                                  <w:tcW w:w="1587"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left"/>
                                    <w:rPr>
                                      <w:rFonts w:ascii="Georgia;Times;Serif" w:hAnsi="Georgia;Times;Serif"/>
                                      <w:b w:val="false"/>
                                      <w:i w:val="false"/>
                                      <w:caps w:val="false"/>
                                      <w:smallCaps w:val="false"/>
                                      <w:sz w:val="16"/>
                                    </w:rPr>
                                  </w:pPr>
                                  <w:r>
                                    <w:rPr>
                                      <w:rFonts w:ascii="Georgia;Times;Serif" w:hAnsi="Georgia;Times;Serif"/>
                                      <w:b w:val="false"/>
                                      <w:i w:val="false"/>
                                      <w:caps w:val="false"/>
                                      <w:smallCaps w:val="false"/>
                                      <w:sz w:val="16"/>
                                    </w:rPr>
                                    <w:t>Ending Price:</w:t>
                                  </w:r>
                                </w:p>
                              </w:tc>
                              <w:tc>
                                <w:tcPr>
                                  <w:tcW w:w="8618"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rFonts w:ascii="Georgia;Times;Serif" w:hAnsi="Georgia;Times;Serif"/>
                                      <w:b w:val="false"/>
                                      <w:i w:val="false"/>
                                      <w:caps w:val="false"/>
                                      <w:smallCaps w:val="false"/>
                                      <w:sz w:val="16"/>
                                    </w:rPr>
                                  </w:pPr>
                                  <w:r>
                                    <w:rPr>
                                      <w:rFonts w:ascii="Georgia;Times;Serif" w:hAnsi="Georgia;Times;Serif"/>
                                      <w:b w:val="false"/>
                                      <w:i w:val="false"/>
                                      <w:caps w:val="false"/>
                                      <w:smallCaps w:val="false"/>
                                      <w:sz w:val="16"/>
                                    </w:rPr>
                                    <w:t>The stock closing price of the Underlying Stock on the calculation day</w:t>
                                  </w:r>
                                </w:p>
                              </w:tc>
                            </w:tr>
                            <w:tr>
                              <w:trPr/>
                              <w:tc>
                                <w:tcPr>
                                  <w:tcW w:w="1587"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left"/>
                                    <w:rPr>
                                      <w:rFonts w:ascii="Georgia;Times;Serif" w:hAnsi="Georgia;Times;Serif"/>
                                      <w:b w:val="false"/>
                                      <w:i w:val="false"/>
                                      <w:caps w:val="false"/>
                                      <w:smallCaps w:val="false"/>
                                      <w:sz w:val="16"/>
                                    </w:rPr>
                                  </w:pPr>
                                  <w:r>
                                    <w:rPr>
                                      <w:rFonts w:ascii="Georgia;Times;Serif" w:hAnsi="Georgia;Times;Serif"/>
                                      <w:b w:val="false"/>
                                      <w:i w:val="false"/>
                                      <w:caps w:val="false"/>
                                      <w:smallCaps w:val="false"/>
                                      <w:sz w:val="16"/>
                                    </w:rPr>
                                    <w:t>Contingent Fixed Return:</w:t>
                                  </w:r>
                                </w:p>
                              </w:tc>
                              <w:tc>
                                <w:tcPr>
                                  <w:tcW w:w="8618"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rFonts w:ascii="Georgia;Times;Serif" w:hAnsi="Georgia;Times;Serif"/>
                                      <w:b w:val="false"/>
                                      <w:i w:val="false"/>
                                      <w:caps w:val="false"/>
                                      <w:smallCaps w:val="false"/>
                                      <w:sz w:val="16"/>
                                    </w:rPr>
                                  </w:pPr>
                                  <w:r>
                                    <w:rPr>
                                      <w:rFonts w:ascii="Georgia;Times;Serif" w:hAnsi="Georgia;Times;Serif"/>
                                      <w:b w:val="false"/>
                                      <w:i w:val="false"/>
                                      <w:caps w:val="false"/>
                                      <w:smallCaps w:val="false"/>
                                      <w:sz w:val="16"/>
                                    </w:rPr>
                                    <w:t>At least 33.75% of the principal amount (at least $337.50 per security) (to be provided in the pricing supplement)</w:t>
                                  </w:r>
                                </w:p>
                              </w:tc>
                            </w:tr>
                            <w:tr>
                              <w:trPr/>
                              <w:tc>
                                <w:tcPr>
                                  <w:tcW w:w="1587"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left"/>
                                    <w:rPr>
                                      <w:rFonts w:ascii="Georgia;Times;Serif" w:hAnsi="Georgia;Times;Serif"/>
                                      <w:b w:val="false"/>
                                      <w:i w:val="false"/>
                                      <w:caps w:val="false"/>
                                      <w:smallCaps w:val="false"/>
                                      <w:sz w:val="16"/>
                                    </w:rPr>
                                  </w:pPr>
                                  <w:r>
                                    <w:rPr>
                                      <w:rFonts w:ascii="Georgia;Times;Serif" w:hAnsi="Georgia;Times;Serif"/>
                                      <w:b w:val="false"/>
                                      <w:i w:val="false"/>
                                      <w:caps w:val="false"/>
                                      <w:smallCaps w:val="false"/>
                                      <w:sz w:val="16"/>
                                    </w:rPr>
                                    <w:t>Stock Return:</w:t>
                                  </w:r>
                                </w:p>
                              </w:tc>
                              <w:tc>
                                <w:tcPr>
                                  <w:tcW w:w="8618"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rFonts w:ascii="Georgia;Times;Serif" w:hAnsi="Georgia;Times;Serif"/>
                                      <w:b w:val="false"/>
                                      <w:i w:val="false"/>
                                      <w:caps w:val="false"/>
                                      <w:smallCaps w:val="false"/>
                                      <w:sz w:val="16"/>
                                    </w:rPr>
                                  </w:pPr>
                                  <w:r>
                                    <w:rPr>
                                      <w:rFonts w:ascii="Georgia;Times;Serif" w:hAnsi="Georgia;Times;Serif"/>
                                      <w:b w:val="false"/>
                                      <w:i w:val="false"/>
                                      <w:caps w:val="false"/>
                                      <w:smallCaps w:val="false"/>
                                      <w:sz w:val="16"/>
                                    </w:rPr>
                                    <w:t>(ending price – starting price) / starting price</w:t>
                                  </w:r>
                                </w:p>
                              </w:tc>
                            </w:tr>
                            <w:tr>
                              <w:trPr/>
                              <w:tc>
                                <w:tcPr>
                                  <w:tcW w:w="1587"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left"/>
                                    <w:rPr>
                                      <w:rFonts w:ascii="Georgia;Times;Serif" w:hAnsi="Georgia;Times;Serif"/>
                                      <w:b w:val="false"/>
                                      <w:i w:val="false"/>
                                      <w:caps w:val="false"/>
                                      <w:smallCaps w:val="false"/>
                                      <w:sz w:val="16"/>
                                    </w:rPr>
                                  </w:pPr>
                                  <w:r>
                                    <w:rPr>
                                      <w:rFonts w:ascii="Georgia;Times;Serif" w:hAnsi="Georgia;Times;Serif"/>
                                      <w:b w:val="false"/>
                                      <w:i w:val="false"/>
                                      <w:caps w:val="false"/>
                                      <w:smallCaps w:val="false"/>
                                      <w:sz w:val="16"/>
                                    </w:rPr>
                                    <w:t>Threshold Price:</w:t>
                                  </w:r>
                                </w:p>
                              </w:tc>
                              <w:tc>
                                <w:tcPr>
                                  <w:tcW w:w="8618"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rFonts w:ascii="Georgia;Times;Serif" w:hAnsi="Georgia;Times;Serif"/>
                                      <w:b w:val="false"/>
                                      <w:i w:val="false"/>
                                      <w:caps w:val="false"/>
                                      <w:smallCaps w:val="false"/>
                                      <w:sz w:val="16"/>
                                    </w:rPr>
                                  </w:pPr>
                                  <w:r>
                                    <w:rPr>
                                      <w:rFonts w:ascii="Georgia;Times;Serif" w:hAnsi="Georgia;Times;Serif"/>
                                      <w:b w:val="false"/>
                                      <w:i w:val="false"/>
                                      <w:caps w:val="false"/>
                                      <w:smallCaps w:val="false"/>
                                      <w:sz w:val="16"/>
                                    </w:rPr>
                                    <w:t xml:space="preserve">60% of the starting price </w:t>
                                  </w:r>
                                </w:p>
                              </w:tc>
                            </w:tr>
                            <w:tr>
                              <w:trPr/>
                              <w:tc>
                                <w:tcPr>
                                  <w:tcW w:w="1587"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left"/>
                                    <w:rPr>
                                      <w:rFonts w:ascii="Georgia;Times;Serif" w:hAnsi="Georgia;Times;Serif"/>
                                      <w:b w:val="false"/>
                                      <w:i w:val="false"/>
                                      <w:caps w:val="false"/>
                                      <w:smallCaps w:val="false"/>
                                      <w:sz w:val="16"/>
                                    </w:rPr>
                                  </w:pPr>
                                  <w:r>
                                    <w:rPr>
                                      <w:rFonts w:ascii="Georgia;Times;Serif" w:hAnsi="Georgia;Times;Serif"/>
                                      <w:b w:val="false"/>
                                      <w:i w:val="false"/>
                                      <w:caps w:val="false"/>
                                      <w:smallCaps w:val="false"/>
                                      <w:sz w:val="16"/>
                                    </w:rPr>
                                    <w:t>Calculation Agent:</w:t>
                                  </w:r>
                                </w:p>
                              </w:tc>
                              <w:tc>
                                <w:tcPr>
                                  <w:tcW w:w="8618"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rFonts w:ascii="Georgia;Times;Serif" w:hAnsi="Georgia;Times;Serif"/>
                                      <w:b w:val="false"/>
                                      <w:i w:val="false"/>
                                      <w:caps w:val="false"/>
                                      <w:smallCaps w:val="false"/>
                                      <w:sz w:val="16"/>
                                    </w:rPr>
                                  </w:pPr>
                                  <w:r>
                                    <w:rPr>
                                      <w:rFonts w:ascii="Georgia;Times;Serif" w:hAnsi="Georgia;Times;Serif"/>
                                      <w:b w:val="false"/>
                                      <w:i w:val="false"/>
                                      <w:caps w:val="false"/>
                                      <w:smallCaps w:val="false"/>
                                      <w:sz w:val="16"/>
                                    </w:rPr>
                                    <w:t>J.P. Morgan Securities LLC (“</w:t>
                                  </w:r>
                                  <w:r>
                                    <w:rPr>
                                      <w:rFonts w:ascii="Georgia;Times;Serif" w:hAnsi="Georgia;Times;Serif"/>
                                      <w:b w:val="false"/>
                                      <w:i w:val="false"/>
                                      <w:caps w:val="false"/>
                                      <w:smallCaps w:val="false"/>
                                      <w:sz w:val="16"/>
                                      <w:u w:val="single"/>
                                    </w:rPr>
                                    <w:t>JPMS</w:t>
                                  </w:r>
                                  <w:r>
                                    <w:rPr>
                                      <w:rFonts w:ascii="Georgia;Times;Serif" w:hAnsi="Georgia;Times;Serif"/>
                                      <w:b w:val="false"/>
                                      <w:i w:val="false"/>
                                      <w:caps w:val="false"/>
                                      <w:smallCaps w:val="false"/>
                                      <w:sz w:val="16"/>
                                    </w:rPr>
                                    <w:t>”)</w:t>
                                  </w:r>
                                </w:p>
                              </w:tc>
                            </w:tr>
                            <w:tr>
                              <w:trPr/>
                              <w:tc>
                                <w:tcPr>
                                  <w:tcW w:w="1587"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left"/>
                                    <w:rPr>
                                      <w:rFonts w:ascii="Georgia;Times;Serif" w:hAnsi="Georgia;Times;Serif"/>
                                      <w:b w:val="false"/>
                                      <w:i w:val="false"/>
                                      <w:caps w:val="false"/>
                                      <w:smallCaps w:val="false"/>
                                      <w:sz w:val="16"/>
                                    </w:rPr>
                                  </w:pPr>
                                  <w:r>
                                    <w:rPr>
                                      <w:rFonts w:ascii="Georgia;Times;Serif" w:hAnsi="Georgia;Times;Serif"/>
                                      <w:b w:val="false"/>
                                      <w:i w:val="false"/>
                                      <w:caps w:val="false"/>
                                      <w:smallCaps w:val="false"/>
                                      <w:sz w:val="16"/>
                                    </w:rPr>
                                    <w:t>Denominations:</w:t>
                                  </w:r>
                                </w:p>
                              </w:tc>
                              <w:tc>
                                <w:tcPr>
                                  <w:tcW w:w="8618"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rFonts w:ascii="Georgia;Times;Serif" w:hAnsi="Georgia;Times;Serif"/>
                                      <w:b w:val="false"/>
                                      <w:i w:val="false"/>
                                      <w:caps w:val="false"/>
                                      <w:smallCaps w:val="false"/>
                                      <w:sz w:val="16"/>
                                    </w:rPr>
                                  </w:pPr>
                                  <w:r>
                                    <w:rPr>
                                      <w:rFonts w:ascii="Georgia;Times;Serif" w:hAnsi="Georgia;Times;Serif"/>
                                      <w:b w:val="false"/>
                                      <w:i w:val="false"/>
                                      <w:caps w:val="false"/>
                                      <w:smallCaps w:val="false"/>
                                      <w:sz w:val="16"/>
                                    </w:rPr>
                                    <w:t>$1,000 and any integral multiple of $1,000</w:t>
                                  </w:r>
                                </w:p>
                              </w:tc>
                            </w:tr>
                            <w:tr>
                              <w:trPr/>
                              <w:tc>
                                <w:tcPr>
                                  <w:tcW w:w="1587"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left"/>
                                    <w:rPr>
                                      <w:rFonts w:ascii="Georgia;Times;Serif" w:hAnsi="Georgia;Times;Serif"/>
                                      <w:b w:val="false"/>
                                      <w:i w:val="false"/>
                                      <w:caps w:val="false"/>
                                      <w:smallCaps w:val="false"/>
                                      <w:sz w:val="16"/>
                                    </w:rPr>
                                  </w:pPr>
                                  <w:r>
                                    <w:rPr>
                                      <w:rFonts w:ascii="Georgia;Times;Serif" w:hAnsi="Georgia;Times;Serif"/>
                                      <w:b w:val="false"/>
                                      <w:i w:val="false"/>
                                      <w:caps w:val="false"/>
                                      <w:smallCaps w:val="false"/>
                                      <w:sz w:val="16"/>
                                    </w:rPr>
                                    <w:t>CUSIP:</w:t>
                                  </w:r>
                                </w:p>
                              </w:tc>
                              <w:tc>
                                <w:tcPr>
                                  <w:tcW w:w="8618"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rFonts w:ascii="Georgia;Times;Serif" w:hAnsi="Georgia;Times;Serif"/>
                                      <w:b w:val="false"/>
                                      <w:i w:val="false"/>
                                      <w:caps w:val="false"/>
                                      <w:smallCaps w:val="false"/>
                                      <w:sz w:val="16"/>
                                    </w:rPr>
                                  </w:pPr>
                                  <w:r>
                                    <w:rPr>
                                      <w:rFonts w:ascii="Georgia;Times;Serif" w:hAnsi="Georgia;Times;Serif"/>
                                      <w:b w:val="false"/>
                                      <w:i w:val="false"/>
                                      <w:caps w:val="false"/>
                                      <w:smallCaps w:val="false"/>
                                      <w:sz w:val="16"/>
                                    </w:rPr>
                                    <w:t>46661MK94</w:t>
                                  </w:r>
                                </w:p>
                              </w:tc>
                            </w:tr>
                            <w:tr>
                              <w:trPr/>
                              <w:tc>
                                <w:tcPr>
                                  <w:tcW w:w="1587"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left"/>
                                    <w:rPr>
                                      <w:rFonts w:ascii="Georgia;Times;Serif" w:hAnsi="Georgia;Times;Serif"/>
                                      <w:b w:val="false"/>
                                      <w:i w:val="false"/>
                                      <w:caps w:val="false"/>
                                      <w:smallCaps w:val="false"/>
                                      <w:sz w:val="16"/>
                                    </w:rPr>
                                  </w:pPr>
                                  <w:r>
                                    <w:rPr>
                                      <w:rFonts w:ascii="Georgia;Times;Serif" w:hAnsi="Georgia;Times;Serif"/>
                                      <w:b w:val="false"/>
                                      <w:i w:val="false"/>
                                      <w:caps w:val="false"/>
                                      <w:smallCaps w:val="false"/>
                                      <w:sz w:val="16"/>
                                    </w:rPr>
                                    <w:t>Fees and Commissions:</w:t>
                                  </w:r>
                                </w:p>
                              </w:tc>
                              <w:tc>
                                <w:tcPr>
                                  <w:tcW w:w="8618"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rFonts w:ascii="Georgia;Times;Serif" w:hAnsi="Georgia;Times;Serif"/>
                                      <w:b w:val="false"/>
                                      <w:i w:val="false"/>
                                      <w:caps w:val="false"/>
                                      <w:smallCaps w:val="false"/>
                                      <w:sz w:val="18"/>
                                    </w:rPr>
                                  </w:pPr>
                                  <w:r>
                                    <w:rPr>
                                      <w:rFonts w:ascii="Georgia;Times;Serif" w:hAnsi="Georgia;Times;Serif"/>
                                      <w:b w:val="false"/>
                                      <w:i w:val="false"/>
                                      <w:caps w:val="false"/>
                                      <w:smallCaps w:val="false"/>
                                      <w:sz w:val="16"/>
                                    </w:rPr>
                                    <w:t>Up to 0.775% for Wells Fargo Securities, LLC (“</w:t>
                                  </w:r>
                                  <w:r>
                                    <w:rPr>
                                      <w:rFonts w:ascii="Georgia;Times;Serif" w:hAnsi="Georgia;Times;Serif"/>
                                      <w:b w:val="false"/>
                                      <w:i w:val="false"/>
                                      <w:caps w:val="false"/>
                                      <w:smallCaps w:val="false"/>
                                      <w:sz w:val="16"/>
                                      <w:u w:val="single"/>
                                    </w:rPr>
                                    <w:t>WFS</w:t>
                                  </w:r>
                                  <w:r>
                                    <w:rPr>
                                      <w:rFonts w:ascii="Georgia;Times;Serif" w:hAnsi="Georgia;Times;Serif"/>
                                      <w:b w:val="false"/>
                                      <w:i w:val="false"/>
                                      <w:caps w:val="false"/>
                                      <w:smallCaps w:val="false"/>
                                      <w:sz w:val="16"/>
                                    </w:rPr>
                                    <w:t>”); WFS has advised us that dealers, including Wells Fargo Advisors (“</w:t>
                                  </w:r>
                                  <w:r>
                                    <w:rPr>
                                      <w:rFonts w:ascii="Georgia;Times;Serif" w:hAnsi="Georgia;Times;Serif"/>
                                      <w:b w:val="false"/>
                                      <w:i w:val="false"/>
                                      <w:caps w:val="false"/>
                                      <w:smallCaps w:val="false"/>
                                      <w:sz w:val="16"/>
                                      <w:u w:val="single"/>
                                    </w:rPr>
                                    <w:t>WFA</w:t>
                                  </w:r>
                                  <w:r>
                                    <w:rPr>
                                      <w:rFonts w:ascii="Georgia;Times;Serif" w:hAnsi="Georgia;Times;Serif"/>
                                      <w:b w:val="false"/>
                                      <w:i w:val="false"/>
                                      <w:caps w:val="false"/>
                                      <w:smallCaps w:val="false"/>
                                      <w:sz w:val="16"/>
                                    </w:rPr>
                                    <w:t>”), may receive 0.20% of WFS’s fee, and WFA may also receive a distribution expense fee of 0.0</w:t>
                                  </w:r>
                                  <w:r>
                                    <w:rPr>
                                      <w:rFonts w:ascii="Georgia;Times;Serif" w:hAnsi="Georgia;Times;Serif"/>
                                      <w:b w:val="false"/>
                                      <w:i w:val="false"/>
                                      <w:caps w:val="false"/>
                                      <w:smallCaps w:val="false"/>
                                      <w:sz w:val="18"/>
                                    </w:rPr>
                                    <w:t>75</w:t>
                                  </w:r>
                                  <w:r>
                                    <w:rPr>
                                      <w:rFonts w:ascii="Georgia;Times;Serif" w:hAnsi="Georgia;Times;Serif"/>
                                      <w:b w:val="false"/>
                                      <w:i w:val="false"/>
                                      <w:caps w:val="false"/>
                                      <w:smallCaps w:val="false"/>
                                      <w:sz w:val="16"/>
                                    </w:rPr>
                                    <w:t>%.  In addition, in respect of certain securities sold in this offering, JPMS may pay a fee of up to 0</w:t>
                                  </w:r>
                                  <w:r>
                                    <w:rPr>
                                      <w:rFonts w:ascii="Georgia;Times;Serif" w:hAnsi="Georgia;Times;Serif"/>
                                      <w:b w:val="false"/>
                                      <w:i w:val="false"/>
                                      <w:caps w:val="false"/>
                                      <w:smallCaps w:val="false"/>
                                      <w:sz w:val="18"/>
                                    </w:rPr>
                                    <w:t>.20</w:t>
                                  </w:r>
                                  <w:r>
                                    <w:rPr>
                                      <w:rFonts w:ascii="Georgia;Times;Serif" w:hAnsi="Georgia;Times;Serif"/>
                                      <w:b w:val="false"/>
                                      <w:i w:val="false"/>
                                      <w:caps w:val="false"/>
                                      <w:smallCaps w:val="false"/>
                                      <w:sz w:val="16"/>
                                    </w:rPr>
                                    <w:t>% to selected dealers in consideration for marketing and other services in connection with the distribution of the securities to other dealers.</w:t>
                                  </w:r>
                                </w:p>
                              </w:tc>
                            </w:tr>
                            <w:tr>
                              <w:trPr/>
                              <w:tc>
                                <w:tcPr>
                                  <w:tcW w:w="1587"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left"/>
                                    <w:rPr>
                                      <w:rFonts w:ascii="Georgia;Times;Serif" w:hAnsi="Georgia;Times;Serif"/>
                                      <w:b w:val="false"/>
                                      <w:i w:val="false"/>
                                      <w:caps w:val="false"/>
                                      <w:smallCaps w:val="false"/>
                                      <w:sz w:val="16"/>
                                    </w:rPr>
                                  </w:pPr>
                                  <w:r>
                                    <w:rPr>
                                      <w:rFonts w:ascii="Georgia;Times;Serif" w:hAnsi="Georgia;Times;Serif"/>
                                      <w:b w:val="false"/>
                                      <w:i w:val="false"/>
                                      <w:caps w:val="false"/>
                                      <w:smallCaps w:val="false"/>
                                      <w:sz w:val="16"/>
                                    </w:rPr>
                                    <w:t>Tax Considerations:</w:t>
                                  </w:r>
                                </w:p>
                              </w:tc>
                              <w:tc>
                                <w:tcPr>
                                  <w:tcW w:w="8618"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rFonts w:ascii="Georgia;Times;Serif" w:hAnsi="Georgia;Times;Serif"/>
                                      <w:b w:val="false"/>
                                      <w:i w:val="false"/>
                                      <w:caps w:val="false"/>
                                      <w:smallCaps w:val="false"/>
                                      <w:sz w:val="16"/>
                                    </w:rPr>
                                  </w:pPr>
                                  <w:r>
                                    <w:rPr>
                                      <w:rFonts w:ascii="Georgia;Times;Serif" w:hAnsi="Georgia;Times;Serif"/>
                                      <w:b w:val="false"/>
                                      <w:i w:val="false"/>
                                      <w:caps w:val="false"/>
                                      <w:smallCaps w:val="false"/>
                                      <w:sz w:val="16"/>
                                    </w:rPr>
                                    <w:t>See the preliminary pricing supplement.</w:t>
                                  </w:r>
                                </w:p>
                              </w:tc>
                            </w:tr>
                            <w:tr>
                              <w:trPr/>
                              <w:tc>
                                <w:tcPr>
                                  <w:tcW w:w="10205" w:type="dxa"/>
                                  <w:gridSpan w:val="2"/>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0"/>
                                    <w:jc w:val="left"/>
                                    <w:rPr>
                                      <w:rFonts w:ascii="Georgia;Times;Serif" w:hAnsi="Georgia;Times;Serif"/>
                                      <w:b w:val="false"/>
                                      <w:i w:val="false"/>
                                      <w:caps w:val="false"/>
                                      <w:smallCaps w:val="false"/>
                                      <w:sz w:val="15"/>
                                    </w:rPr>
                                  </w:pPr>
                                  <w:r>
                                    <w:rPr>
                                      <w:rFonts w:ascii="Georgia;Times;Serif" w:hAnsi="Georgia;Times;Serif"/>
                                      <w:b w:val="false"/>
                                      <w:i w:val="false"/>
                                      <w:caps w:val="false"/>
                                      <w:smallCaps w:val="false"/>
                                      <w:position w:val="5"/>
                                      <w:sz w:val="12"/>
                                      <w:sz w:val="15"/>
                                    </w:rPr>
                                    <w:t xml:space="preserve">1 </w:t>
                                  </w:r>
                                  <w:r>
                                    <w:rPr>
                                      <w:rFonts w:ascii="Georgia;Times;Serif" w:hAnsi="Georgia;Times;Serif"/>
                                      <w:b w:val="false"/>
                                      <w:i w:val="false"/>
                                      <w:caps w:val="false"/>
                                      <w:smallCaps w:val="false"/>
                                      <w:sz w:val="15"/>
                                    </w:rPr>
                                    <w:t>Subject to change</w:t>
                                  </w:r>
                                </w:p>
                                <w:p>
                                  <w:pPr>
                                    <w:pStyle w:val="TableContents"/>
                                    <w:bidi w:val="0"/>
                                    <w:spacing w:before="0" w:after="283"/>
                                    <w:jc w:val="left"/>
                                    <w:rPr>
                                      <w:rFonts w:ascii="Georgia;Times;Serif" w:hAnsi="Georgia;Times;Serif"/>
                                      <w:b w:val="false"/>
                                      <w:i w:val="false"/>
                                      <w:caps w:val="false"/>
                                      <w:smallCaps w:val="false"/>
                                      <w:sz w:val="15"/>
                                    </w:rPr>
                                  </w:pPr>
                                  <w:r>
                                    <w:rPr>
                                      <w:rFonts w:ascii="Georgia;Times;Serif" w:hAnsi="Georgia;Times;Serif"/>
                                      <w:b w:val="false"/>
                                      <w:i w:val="false"/>
                                      <w:caps w:val="false"/>
                                      <w:smallCaps w:val="false"/>
                                      <w:position w:val="5"/>
                                      <w:sz w:val="12"/>
                                      <w:sz w:val="15"/>
                                    </w:rPr>
                                    <w:t xml:space="preserve">2 </w:t>
                                  </w:r>
                                  <w:r>
                                    <w:rPr>
                                      <w:rFonts w:ascii="Georgia;Times;Serif" w:hAnsi="Georgia;Times;Serif"/>
                                      <w:b w:val="false"/>
                                      <w:i w:val="false"/>
                                      <w:caps w:val="false"/>
                                      <w:smallCaps w:val="false"/>
                                      <w:sz w:val="15"/>
                                    </w:rPr>
                                    <w:t>Subject to postponement</w:t>
                                  </w:r>
                                </w:p>
                              </w:tc>
                            </w:tr>
                          </w:tbl>
                          <w:p>
                            <w:pPr>
                              <w:pStyle w:val="TextBody"/>
                              <w:bidi w:val="0"/>
                              <w:spacing w:before="0" w:after="283"/>
                              <w:ind w:left="90" w:right="0" w:hanging="0"/>
                              <w:jc w:val="left"/>
                              <w:rPr>
                                <w:caps w:val="false"/>
                                <w:smallCaps w:val="false"/>
                                <w:color w:val="8F8F8F"/>
                              </w:rPr>
                            </w:pPr>
                            <w:r>
                              <w:rPr>
                                <w:caps w:val="false"/>
                                <w:smallCaps w:val="false"/>
                                <w:color w:val="8F8F8F"/>
                              </w:rPr>
                              <w:t> </w:t>
                            </w:r>
                          </w:p>
                        </w:txbxContent>
                      </wps:txbx>
                      <wps:bodyPr anchor="t" lIns="0" tIns="0" rIns="0" bIns="0">
                        <a:noAutofit/>
                      </wps:bodyPr>
                    </wps:wsp>
                  </a:graphicData>
                </a:graphic>
                <wp14:sizeRelH relativeFrom="margin">
                  <wp14:pctWidth>48000</wp14:pctWidth>
                </wp14:sizeRelH>
              </wp:anchor>
            </w:drawing>
          </mc:Choice>
          <mc:Fallback>
            <w:pict>
              <v:rect style="position:absolute;rotation:-0;width:244.9pt;height:68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ind w:left="90" w:right="0" w:hanging="0"/>
                        <w:jc w:val="left"/>
                        <w:rPr>
                          <w:rFonts w:ascii="Verdana;Helvetica;Sans-Serif" w:hAnsi="Verdana;Helvetica;Sans-Serif"/>
                          <w:b w:val="false"/>
                          <w:i w:val="false"/>
                          <w:caps w:val="false"/>
                          <w:smallCaps w:val="false"/>
                          <w:color w:val="8F8F8F"/>
                          <w:sz w:val="26"/>
                        </w:rPr>
                      </w:pPr>
                      <w:r>
                        <w:rPr>
                          <w:rFonts w:ascii="Verdana;Helvetica;Sans-Serif" w:hAnsi="Verdana;Helvetica;Sans-Serif"/>
                          <w:b w:val="false"/>
                          <w:i w:val="false"/>
                          <w:caps w:val="false"/>
                          <w:smallCaps w:val="false"/>
                          <w:color w:val="8F8F8F"/>
                          <w:sz w:val="26"/>
                        </w:rPr>
                        <w:t>Summary of Terms</w:t>
                      </w:r>
                    </w:p>
                    <w:tbl>
                      <w:tblPr>
                        <w:tblW w:w="10205" w:type="dxa"/>
                        <w:jc w:val="left"/>
                        <w:tblInd w:w="-10" w:type="dxa"/>
                        <w:tblLayout w:type="fixed"/>
                        <w:tblCellMar>
                          <w:top w:w="28" w:type="dxa"/>
                          <w:left w:w="108" w:type="dxa"/>
                          <w:bottom w:w="28" w:type="dxa"/>
                          <w:right w:w="108" w:type="dxa"/>
                        </w:tblCellMar>
                      </w:tblPr>
                      <w:tblGrid>
                        <w:gridCol w:w="1587"/>
                        <w:gridCol w:w="8618"/>
                      </w:tblGrid>
                      <w:tr>
                        <w:trPr/>
                        <w:tc>
                          <w:tcPr>
                            <w:tcW w:w="1587"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before="0" w:after="283"/>
                              <w:jc w:val="left"/>
                              <w:rPr>
                                <w:rFonts w:ascii="Georgia;Times;Serif" w:hAnsi="Georgia;Times;Serif"/>
                                <w:b w:val="false"/>
                                <w:i w:val="false"/>
                                <w:caps w:val="false"/>
                                <w:smallCaps w:val="false"/>
                                <w:sz w:val="16"/>
                              </w:rPr>
                            </w:pPr>
                            <w:r>
                              <w:rPr>
                                <w:rFonts w:ascii="Georgia;Times;Serif" w:hAnsi="Georgia;Times;Serif"/>
                                <w:b w:val="false"/>
                                <w:i w:val="false"/>
                                <w:caps w:val="false"/>
                                <w:smallCaps w:val="false"/>
                                <w:sz w:val="16"/>
                              </w:rPr>
                              <w:t>Issuer:</w:t>
                            </w:r>
                          </w:p>
                        </w:tc>
                        <w:tc>
                          <w:tcPr>
                            <w:tcW w:w="8618" w:type="dxa"/>
                            <w:tcBorders>
                              <w:top w:val="single" w:sz="8" w:space="0" w:color="000000"/>
                              <w:bottom w:val="single" w:sz="8" w:space="0" w:color="000000"/>
                              <w:right w:val="single" w:sz="8" w:space="0" w:color="000000"/>
                            </w:tcBorders>
                            <w:tcMar>
                              <w:left w:w="0" w:type="dxa"/>
                            </w:tcMar>
                            <w:vAlign w:val="center"/>
                          </w:tcPr>
                          <w:p>
                            <w:pPr>
                              <w:pStyle w:val="TableContents"/>
                              <w:bidi w:val="0"/>
                              <w:spacing w:before="0" w:after="283"/>
                              <w:jc w:val="left"/>
                              <w:rPr>
                                <w:rFonts w:ascii="Georgia;Times;Serif" w:hAnsi="Georgia;Times;Serif"/>
                                <w:b w:val="false"/>
                                <w:i w:val="false"/>
                                <w:caps w:val="false"/>
                                <w:smallCaps w:val="false"/>
                                <w:sz w:val="16"/>
                              </w:rPr>
                            </w:pPr>
                            <w:r>
                              <w:rPr>
                                <w:rFonts w:ascii="Georgia;Times;Serif" w:hAnsi="Georgia;Times;Serif"/>
                                <w:b w:val="false"/>
                                <w:i w:val="false"/>
                                <w:caps w:val="false"/>
                                <w:smallCaps w:val="false"/>
                                <w:sz w:val="16"/>
                              </w:rPr>
                              <w:t>JPMorgan Chase Financial Company LLC</w:t>
                            </w:r>
                          </w:p>
                        </w:tc>
                      </w:tr>
                      <w:tr>
                        <w:trPr/>
                        <w:tc>
                          <w:tcPr>
                            <w:tcW w:w="1587"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left"/>
                              <w:rPr>
                                <w:rFonts w:ascii="Georgia;Times;Serif" w:hAnsi="Georgia;Times;Serif"/>
                                <w:b w:val="false"/>
                                <w:i w:val="false"/>
                                <w:caps w:val="false"/>
                                <w:smallCaps w:val="false"/>
                                <w:sz w:val="16"/>
                              </w:rPr>
                            </w:pPr>
                            <w:r>
                              <w:rPr>
                                <w:rFonts w:ascii="Georgia;Times;Serif" w:hAnsi="Georgia;Times;Serif"/>
                                <w:b w:val="false"/>
                                <w:i w:val="false"/>
                                <w:caps w:val="false"/>
                                <w:smallCaps w:val="false"/>
                                <w:sz w:val="16"/>
                              </w:rPr>
                              <w:t>Guarantor:</w:t>
                            </w:r>
                          </w:p>
                        </w:tc>
                        <w:tc>
                          <w:tcPr>
                            <w:tcW w:w="8618"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rFonts w:ascii="Georgia;Times;Serif" w:hAnsi="Georgia;Times;Serif"/>
                                <w:b w:val="false"/>
                                <w:i w:val="false"/>
                                <w:caps w:val="false"/>
                                <w:smallCaps w:val="false"/>
                                <w:sz w:val="16"/>
                              </w:rPr>
                            </w:pPr>
                            <w:r>
                              <w:rPr>
                                <w:rFonts w:ascii="Georgia;Times;Serif" w:hAnsi="Georgia;Times;Serif"/>
                                <w:b w:val="false"/>
                                <w:i w:val="false"/>
                                <w:caps w:val="false"/>
                                <w:smallCaps w:val="false"/>
                                <w:sz w:val="16"/>
                              </w:rPr>
                              <w:t>JPMorgan Chase &amp; Co.</w:t>
                            </w:r>
                          </w:p>
                        </w:tc>
                      </w:tr>
                      <w:tr>
                        <w:trPr/>
                        <w:tc>
                          <w:tcPr>
                            <w:tcW w:w="1587"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left"/>
                              <w:rPr>
                                <w:rFonts w:ascii="Georgia;Times;Serif" w:hAnsi="Georgia;Times;Serif"/>
                                <w:b w:val="false"/>
                                <w:i w:val="false"/>
                                <w:caps w:val="false"/>
                                <w:smallCaps w:val="false"/>
                                <w:sz w:val="16"/>
                              </w:rPr>
                            </w:pPr>
                            <w:r>
                              <w:rPr>
                                <w:rFonts w:ascii="Georgia;Times;Serif" w:hAnsi="Georgia;Times;Serif"/>
                                <w:b w:val="false"/>
                                <w:i w:val="false"/>
                                <w:caps w:val="false"/>
                                <w:smallCaps w:val="false"/>
                                <w:sz w:val="16"/>
                              </w:rPr>
                              <w:t>Underlying Stock:</w:t>
                            </w:r>
                          </w:p>
                        </w:tc>
                        <w:tc>
                          <w:tcPr>
                            <w:tcW w:w="8618"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rFonts w:ascii="Georgia;Times;Serif" w:hAnsi="Georgia;Times;Serif"/>
                                <w:b w:val="false"/>
                                <w:i w:val="false"/>
                                <w:caps w:val="false"/>
                                <w:smallCaps w:val="false"/>
                                <w:sz w:val="16"/>
                              </w:rPr>
                            </w:pPr>
                            <w:r>
                              <w:rPr>
                                <w:rFonts w:ascii="Georgia;Times;Serif" w:hAnsi="Georgia;Times;Serif"/>
                                <w:b w:val="false"/>
                                <w:i w:val="false"/>
                                <w:caps w:val="false"/>
                                <w:smallCaps w:val="false"/>
                                <w:sz w:val="16"/>
                              </w:rPr>
                              <w:t xml:space="preserve">The common stock of Micron Technology, Inc. (Bloomberg ticker: MU) </w:t>
                            </w:r>
                          </w:p>
                        </w:tc>
                      </w:tr>
                      <w:tr>
                        <w:trPr/>
                        <w:tc>
                          <w:tcPr>
                            <w:tcW w:w="1587"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left"/>
                              <w:rPr>
                                <w:rFonts w:ascii="Georgia;Times;Serif" w:hAnsi="Georgia;Times;Serif"/>
                                <w:b w:val="false"/>
                                <w:i w:val="false"/>
                                <w:caps w:val="false"/>
                                <w:smallCaps w:val="false"/>
                                <w:sz w:val="16"/>
                              </w:rPr>
                            </w:pPr>
                            <w:r>
                              <w:rPr>
                                <w:rFonts w:ascii="Georgia;Times;Serif" w:hAnsi="Georgia;Times;Serif"/>
                                <w:b w:val="false"/>
                                <w:i w:val="false"/>
                                <w:caps w:val="false"/>
                                <w:smallCaps w:val="false"/>
                                <w:sz w:val="16"/>
                              </w:rPr>
                              <w:t>Pricing Date</w:t>
                            </w:r>
                            <w:r>
                              <w:rPr>
                                <w:rFonts w:ascii="Georgia;Times;Serif" w:hAnsi="Georgia;Times;Serif"/>
                                <w:b w:val="false"/>
                                <w:i w:val="false"/>
                                <w:caps w:val="false"/>
                                <w:smallCaps w:val="false"/>
                                <w:position w:val="5"/>
                                <w:sz w:val="13"/>
                                <w:sz w:val="16"/>
                              </w:rPr>
                              <w:t>1</w:t>
                            </w:r>
                            <w:r>
                              <w:rPr>
                                <w:rFonts w:ascii="Georgia;Times;Serif" w:hAnsi="Georgia;Times;Serif"/>
                                <w:b w:val="false"/>
                                <w:i w:val="false"/>
                                <w:caps w:val="false"/>
                                <w:smallCaps w:val="false"/>
                                <w:sz w:val="16"/>
                              </w:rPr>
                              <w:t>:</w:t>
                            </w:r>
                          </w:p>
                        </w:tc>
                        <w:tc>
                          <w:tcPr>
                            <w:tcW w:w="8618"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rFonts w:ascii="Georgia;Times;Serif" w:hAnsi="Georgia;Times;Serif"/>
                                <w:b w:val="false"/>
                                <w:i w:val="false"/>
                                <w:caps w:val="false"/>
                                <w:smallCaps w:val="false"/>
                                <w:sz w:val="16"/>
                              </w:rPr>
                            </w:pPr>
                            <w:r>
                              <w:rPr>
                                <w:rFonts w:ascii="Georgia;Times;Serif" w:hAnsi="Georgia;Times;Serif"/>
                                <w:b w:val="false"/>
                                <w:i w:val="false"/>
                                <w:caps w:val="false"/>
                                <w:smallCaps w:val="false"/>
                                <w:sz w:val="16"/>
                              </w:rPr>
                              <w:t>September 3, 2026</w:t>
                            </w:r>
                          </w:p>
                        </w:tc>
                      </w:tr>
                      <w:tr>
                        <w:trPr/>
                        <w:tc>
                          <w:tcPr>
                            <w:tcW w:w="1587"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left"/>
                              <w:rPr>
                                <w:rFonts w:ascii="Georgia;Times;Serif" w:hAnsi="Georgia;Times;Serif"/>
                                <w:b w:val="false"/>
                                <w:i w:val="false"/>
                                <w:caps w:val="false"/>
                                <w:smallCaps w:val="false"/>
                                <w:sz w:val="16"/>
                              </w:rPr>
                            </w:pPr>
                            <w:r>
                              <w:rPr>
                                <w:rFonts w:ascii="Georgia;Times;Serif" w:hAnsi="Georgia;Times;Serif"/>
                                <w:b w:val="false"/>
                                <w:i w:val="false"/>
                                <w:caps w:val="false"/>
                                <w:smallCaps w:val="false"/>
                                <w:sz w:val="16"/>
                              </w:rPr>
                              <w:t>Issue Date</w:t>
                            </w:r>
                            <w:r>
                              <w:rPr>
                                <w:rFonts w:ascii="Georgia;Times;Serif" w:hAnsi="Georgia;Times;Serif"/>
                                <w:b w:val="false"/>
                                <w:i w:val="false"/>
                                <w:caps w:val="false"/>
                                <w:smallCaps w:val="false"/>
                                <w:position w:val="5"/>
                                <w:sz w:val="13"/>
                                <w:sz w:val="16"/>
                              </w:rPr>
                              <w:t>1</w:t>
                            </w:r>
                            <w:r>
                              <w:rPr>
                                <w:rFonts w:ascii="Georgia;Times;Serif" w:hAnsi="Georgia;Times;Serif"/>
                                <w:b w:val="false"/>
                                <w:i w:val="false"/>
                                <w:caps w:val="false"/>
                                <w:smallCaps w:val="false"/>
                                <w:sz w:val="16"/>
                              </w:rPr>
                              <w:t>:</w:t>
                            </w:r>
                          </w:p>
                        </w:tc>
                        <w:tc>
                          <w:tcPr>
                            <w:tcW w:w="8618"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rFonts w:ascii="Georgia;Times;Serif" w:hAnsi="Georgia;Times;Serif"/>
                                <w:b w:val="false"/>
                                <w:i w:val="false"/>
                                <w:caps w:val="false"/>
                                <w:smallCaps w:val="false"/>
                                <w:sz w:val="16"/>
                              </w:rPr>
                            </w:pPr>
                            <w:r>
                              <w:rPr>
                                <w:rFonts w:ascii="Georgia;Times;Serif" w:hAnsi="Georgia;Times;Serif"/>
                                <w:b w:val="false"/>
                                <w:i w:val="false"/>
                                <w:caps w:val="false"/>
                                <w:smallCaps w:val="false"/>
                                <w:sz w:val="16"/>
                              </w:rPr>
                              <w:t>September 9, 2026</w:t>
                            </w:r>
                          </w:p>
                        </w:tc>
                      </w:tr>
                      <w:tr>
                        <w:trPr/>
                        <w:tc>
                          <w:tcPr>
                            <w:tcW w:w="1587"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left"/>
                              <w:rPr>
                                <w:rFonts w:ascii="Georgia;Times;Serif" w:hAnsi="Georgia;Times;Serif"/>
                                <w:b w:val="false"/>
                                <w:i w:val="false"/>
                                <w:caps w:val="false"/>
                                <w:smallCaps w:val="false"/>
                                <w:sz w:val="16"/>
                              </w:rPr>
                            </w:pPr>
                            <w:r>
                              <w:rPr>
                                <w:rFonts w:ascii="Georgia;Times;Serif" w:hAnsi="Georgia;Times;Serif"/>
                                <w:b w:val="false"/>
                                <w:i w:val="false"/>
                                <w:caps w:val="false"/>
                                <w:smallCaps w:val="false"/>
                                <w:sz w:val="16"/>
                              </w:rPr>
                              <w:t>Calculation Day</w:t>
                            </w:r>
                            <w:r>
                              <w:rPr>
                                <w:rFonts w:ascii="Georgia;Times;Serif" w:hAnsi="Georgia;Times;Serif"/>
                                <w:b w:val="false"/>
                                <w:i w:val="false"/>
                                <w:caps w:val="false"/>
                                <w:smallCaps w:val="false"/>
                                <w:position w:val="5"/>
                                <w:sz w:val="13"/>
                                <w:sz w:val="16"/>
                              </w:rPr>
                              <w:t>1, 2</w:t>
                            </w:r>
                            <w:r>
                              <w:rPr>
                                <w:rFonts w:ascii="Georgia;Times;Serif" w:hAnsi="Georgia;Times;Serif"/>
                                <w:b w:val="false"/>
                                <w:i w:val="false"/>
                                <w:caps w:val="false"/>
                                <w:smallCaps w:val="false"/>
                                <w:sz w:val="16"/>
                              </w:rPr>
                              <w:t>:</w:t>
                            </w:r>
                          </w:p>
                        </w:tc>
                        <w:tc>
                          <w:tcPr>
                            <w:tcW w:w="8618"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rFonts w:ascii="Georgia;Times;Serif" w:hAnsi="Georgia;Times;Serif"/>
                                <w:b w:val="false"/>
                                <w:i w:val="false"/>
                                <w:caps w:val="false"/>
                                <w:smallCaps w:val="false"/>
                                <w:sz w:val="16"/>
                              </w:rPr>
                            </w:pPr>
                            <w:r>
                              <w:rPr>
                                <w:rFonts w:ascii="Georgia;Times;Serif" w:hAnsi="Georgia;Times;Serif"/>
                                <w:b w:val="false"/>
                                <w:i w:val="false"/>
                                <w:caps w:val="false"/>
                                <w:smallCaps w:val="false"/>
                                <w:sz w:val="16"/>
                              </w:rPr>
                              <w:t>November 3, 2027</w:t>
                            </w:r>
                          </w:p>
                        </w:tc>
                      </w:tr>
                      <w:tr>
                        <w:trPr/>
                        <w:tc>
                          <w:tcPr>
                            <w:tcW w:w="1587"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left"/>
                              <w:rPr>
                                <w:rFonts w:ascii="Georgia;Times;Serif" w:hAnsi="Georgia;Times;Serif"/>
                                <w:b w:val="false"/>
                                <w:i w:val="false"/>
                                <w:caps w:val="false"/>
                                <w:smallCaps w:val="false"/>
                                <w:sz w:val="16"/>
                              </w:rPr>
                            </w:pPr>
                            <w:r>
                              <w:rPr>
                                <w:rFonts w:ascii="Georgia;Times;Serif" w:hAnsi="Georgia;Times;Serif"/>
                                <w:b w:val="false"/>
                                <w:i w:val="false"/>
                                <w:caps w:val="false"/>
                                <w:smallCaps w:val="false"/>
                                <w:sz w:val="16"/>
                              </w:rPr>
                              <w:t>Stated Maturity Date</w:t>
                            </w:r>
                            <w:r>
                              <w:rPr>
                                <w:rFonts w:ascii="Georgia;Times;Serif" w:hAnsi="Georgia;Times;Serif"/>
                                <w:b w:val="false"/>
                                <w:i w:val="false"/>
                                <w:caps w:val="false"/>
                                <w:smallCaps w:val="false"/>
                                <w:position w:val="5"/>
                                <w:sz w:val="13"/>
                                <w:sz w:val="16"/>
                              </w:rPr>
                              <w:t>1, 2</w:t>
                            </w:r>
                            <w:r>
                              <w:rPr>
                                <w:rFonts w:ascii="Georgia;Times;Serif" w:hAnsi="Georgia;Times;Serif"/>
                                <w:b w:val="false"/>
                                <w:i w:val="false"/>
                                <w:caps w:val="false"/>
                                <w:smallCaps w:val="false"/>
                                <w:sz w:val="16"/>
                              </w:rPr>
                              <w:t>:</w:t>
                            </w:r>
                          </w:p>
                        </w:tc>
                        <w:tc>
                          <w:tcPr>
                            <w:tcW w:w="8618"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rFonts w:ascii="Georgia;Times;Serif" w:hAnsi="Georgia;Times;Serif"/>
                                <w:b w:val="false"/>
                                <w:i w:val="false"/>
                                <w:caps w:val="false"/>
                                <w:smallCaps w:val="false"/>
                                <w:sz w:val="16"/>
                              </w:rPr>
                            </w:pPr>
                            <w:r>
                              <w:rPr>
                                <w:rFonts w:ascii="Georgia;Times;Serif" w:hAnsi="Georgia;Times;Serif"/>
                                <w:b w:val="false"/>
                                <w:i w:val="false"/>
                                <w:caps w:val="false"/>
                                <w:smallCaps w:val="false"/>
                                <w:sz w:val="16"/>
                              </w:rPr>
                              <w:t>November 8, 2027</w:t>
                            </w:r>
                          </w:p>
                        </w:tc>
                      </w:tr>
                      <w:tr>
                        <w:trPr/>
                        <w:tc>
                          <w:tcPr>
                            <w:tcW w:w="1587"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left"/>
                              <w:rPr>
                                <w:rFonts w:ascii="Georgia;Times;Serif" w:hAnsi="Georgia;Times;Serif"/>
                                <w:b w:val="false"/>
                                <w:i w:val="false"/>
                                <w:caps w:val="false"/>
                                <w:smallCaps w:val="false"/>
                                <w:sz w:val="16"/>
                              </w:rPr>
                            </w:pPr>
                            <w:r>
                              <w:rPr>
                                <w:rFonts w:ascii="Georgia;Times;Serif" w:hAnsi="Georgia;Times;Serif"/>
                                <w:b w:val="false"/>
                                <w:i w:val="false"/>
                                <w:caps w:val="false"/>
                                <w:smallCaps w:val="false"/>
                                <w:sz w:val="16"/>
                              </w:rPr>
                              <w:t>Principal Amount:</w:t>
                            </w:r>
                          </w:p>
                        </w:tc>
                        <w:tc>
                          <w:tcPr>
                            <w:tcW w:w="8618"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rFonts w:ascii="Georgia;Times;Serif" w:hAnsi="Georgia;Times;Serif"/>
                                <w:b w:val="false"/>
                                <w:i w:val="false"/>
                                <w:caps w:val="false"/>
                                <w:smallCaps w:val="false"/>
                                <w:sz w:val="16"/>
                              </w:rPr>
                            </w:pPr>
                            <w:r>
                              <w:rPr>
                                <w:rFonts w:ascii="Georgia;Times;Serif" w:hAnsi="Georgia;Times;Serif"/>
                                <w:b w:val="false"/>
                                <w:i w:val="false"/>
                                <w:caps w:val="false"/>
                                <w:smallCaps w:val="false"/>
                                <w:sz w:val="16"/>
                              </w:rPr>
                              <w:t>$1,000 per security (100% of par)</w:t>
                            </w:r>
                          </w:p>
                        </w:tc>
                      </w:tr>
                      <w:tr>
                        <w:trPr/>
                        <w:tc>
                          <w:tcPr>
                            <w:tcW w:w="1587"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left"/>
                              <w:rPr>
                                <w:rFonts w:ascii="Georgia;Times;Serif" w:hAnsi="Georgia;Times;Serif"/>
                                <w:b w:val="false"/>
                                <w:i w:val="false"/>
                                <w:caps w:val="false"/>
                                <w:smallCaps w:val="false"/>
                                <w:sz w:val="16"/>
                              </w:rPr>
                            </w:pPr>
                            <w:r>
                              <w:rPr>
                                <w:rFonts w:ascii="Georgia;Times;Serif" w:hAnsi="Georgia;Times;Serif"/>
                                <w:b w:val="false"/>
                                <w:i w:val="false"/>
                                <w:caps w:val="false"/>
                                <w:smallCaps w:val="false"/>
                                <w:sz w:val="16"/>
                              </w:rPr>
                              <w:t>Maturity Payment Amount (per Security):</w:t>
                            </w:r>
                          </w:p>
                        </w:tc>
                        <w:tc>
                          <w:tcPr>
                            <w:tcW w:w="8618" w:type="dxa"/>
                            <w:tcBorders>
                              <w:bottom w:val="single" w:sz="8" w:space="0" w:color="000000"/>
                              <w:right w:val="single" w:sz="8" w:space="0" w:color="000000"/>
                            </w:tcBorders>
                            <w:tcMar>
                              <w:top w:w="0" w:type="dxa"/>
                              <w:left w:w="0" w:type="dxa"/>
                            </w:tcMar>
                            <w:vAlign w:val="center"/>
                          </w:tcPr>
                          <w:p>
                            <w:pPr>
                              <w:pStyle w:val="TableContents"/>
                              <w:bidi w:val="0"/>
                              <w:spacing w:before="0" w:after="0"/>
                              <w:ind w:left="254" w:right="0" w:hanging="200"/>
                              <w:jc w:val="left"/>
                              <w:rPr>
                                <w:rFonts w:ascii="Georgia;Times;Serif" w:hAnsi="Georgia;Times;Serif"/>
                                <w:b w:val="false"/>
                                <w:i w:val="false"/>
                                <w:caps w:val="false"/>
                                <w:smallCaps w:val="false"/>
                                <w:sz w:val="18"/>
                              </w:rPr>
                            </w:pPr>
                            <w:r>
                              <w:rPr>
                                <w:rFonts w:ascii="Symbol" w:hAnsi="Symbol"/>
                                <w:b w:val="false"/>
                                <w:i w:val="false"/>
                                <w:caps w:val="false"/>
                                <w:smallCaps w:val="false"/>
                                <w:sz w:val="18"/>
                              </w:rPr>
                              <w:t>·</w:t>
                            </w:r>
                            <w:r>
                              <w:rPr>
                                <w:rFonts w:ascii="Georgia;Times;Serif" w:hAnsi="Georgia;Times;Serif"/>
                                <w:b w:val="false"/>
                                <w:i w:val="false"/>
                                <w:caps w:val="false"/>
                                <w:smallCaps w:val="false"/>
                                <w:sz w:val="18"/>
                              </w:rPr>
                              <w:t>   </w:t>
                            </w:r>
                            <w:r>
                              <w:rPr>
                                <w:rFonts w:ascii="Georgia;Times;Serif" w:hAnsi="Georgia;Times;Serif"/>
                                <w:b w:val="false"/>
                                <w:i w:val="false"/>
                                <w:caps w:val="false"/>
                                <w:smallCaps w:val="false"/>
                                <w:sz w:val="16"/>
                              </w:rPr>
                              <w:t xml:space="preserve">if the ending price is greater than or equal to the threshold price: $1,000 </w:t>
                            </w:r>
                            <w:r>
                              <w:rPr>
                                <w:rFonts w:ascii="Georgia;Times;Serif" w:hAnsi="Georgia;Times;Serif"/>
                                <w:b w:val="false"/>
                                <w:i/>
                                <w:caps w:val="false"/>
                                <w:smallCaps w:val="false"/>
                                <w:sz w:val="16"/>
                              </w:rPr>
                              <w:t>plus</w:t>
                            </w:r>
                            <w:r>
                              <w:rPr>
                                <w:rFonts w:ascii="Georgia;Times;Serif" w:hAnsi="Georgia;Times;Serif"/>
                                <w:b w:val="false"/>
                                <w:i w:val="false"/>
                                <w:caps w:val="false"/>
                                <w:smallCaps w:val="false"/>
                                <w:sz w:val="16"/>
                              </w:rPr>
                              <w:t xml:space="preserve"> the contingent fixed return; or</w:t>
                            </w:r>
                          </w:p>
                          <w:p>
                            <w:pPr>
                              <w:pStyle w:val="TableContents"/>
                              <w:bidi w:val="0"/>
                              <w:spacing w:before="0" w:after="0"/>
                              <w:ind w:left="254" w:right="0" w:hanging="200"/>
                              <w:jc w:val="left"/>
                              <w:rPr>
                                <w:rFonts w:ascii="Georgia;Times;Serif" w:hAnsi="Georgia;Times;Serif"/>
                                <w:b w:val="false"/>
                                <w:i w:val="false"/>
                                <w:caps w:val="false"/>
                                <w:smallCaps w:val="false"/>
                                <w:sz w:val="18"/>
                              </w:rPr>
                            </w:pPr>
                            <w:r>
                              <w:rPr>
                                <w:rFonts w:ascii="Symbol" w:hAnsi="Symbol"/>
                                <w:b w:val="false"/>
                                <w:i w:val="false"/>
                                <w:caps w:val="false"/>
                                <w:smallCaps w:val="false"/>
                                <w:sz w:val="18"/>
                              </w:rPr>
                              <w:t>·</w:t>
                            </w:r>
                            <w:r>
                              <w:rPr>
                                <w:rFonts w:ascii="Georgia;Times;Serif" w:hAnsi="Georgia;Times;Serif"/>
                                <w:b w:val="false"/>
                                <w:i w:val="false"/>
                                <w:caps w:val="false"/>
                                <w:smallCaps w:val="false"/>
                                <w:sz w:val="18"/>
                              </w:rPr>
                              <w:t>   </w:t>
                            </w:r>
                            <w:r>
                              <w:rPr>
                                <w:rFonts w:ascii="Georgia;Times;Serif" w:hAnsi="Georgia;Times;Serif"/>
                                <w:b w:val="false"/>
                                <w:i w:val="false"/>
                                <w:caps w:val="false"/>
                                <w:smallCaps w:val="false"/>
                                <w:sz w:val="16"/>
                              </w:rPr>
                              <w:t xml:space="preserve">if the ending price is less than the threshold price: </w:t>
                            </w:r>
                          </w:p>
                          <w:p>
                            <w:pPr>
                              <w:pStyle w:val="TableContents"/>
                              <w:bidi w:val="0"/>
                              <w:ind w:left="254" w:right="0" w:hanging="0"/>
                              <w:jc w:val="left"/>
                              <w:rPr>
                                <w:rFonts w:ascii="Georgia;Times;Serif" w:hAnsi="Georgia;Times;Serif"/>
                                <w:b w:val="false"/>
                                <w:i w:val="false"/>
                                <w:caps w:val="false"/>
                                <w:smallCaps w:val="false"/>
                                <w:sz w:val="16"/>
                              </w:rPr>
                            </w:pPr>
                            <w:r>
                              <w:rPr>
                                <w:rFonts w:ascii="Georgia;Times;Serif" w:hAnsi="Georgia;Times;Serif"/>
                                <w:b w:val="false"/>
                                <w:i w:val="false"/>
                                <w:caps w:val="false"/>
                                <w:smallCaps w:val="false"/>
                                <w:sz w:val="16"/>
                              </w:rPr>
                              <w:t>$1,000 + ($1,000 × stock return)</w:t>
                            </w:r>
                          </w:p>
                          <w:p>
                            <w:pPr>
                              <w:pStyle w:val="TableContents"/>
                              <w:bidi w:val="0"/>
                              <w:spacing w:before="0" w:after="283"/>
                              <w:jc w:val="left"/>
                              <w:rPr>
                                <w:caps w:val="false"/>
                                <w:smallCaps w:val="false"/>
                              </w:rPr>
                            </w:pPr>
                            <w:r>
                              <w:rPr>
                                <w:caps w:val="false"/>
                                <w:smallCaps w:val="false"/>
                              </w:rPr>
                              <w:t> </w:t>
                            </w:r>
                          </w:p>
                        </w:tc>
                      </w:tr>
                      <w:tr>
                        <w:trPr/>
                        <w:tc>
                          <w:tcPr>
                            <w:tcW w:w="1587"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left"/>
                              <w:rPr>
                                <w:rFonts w:ascii="Georgia;Times;Serif" w:hAnsi="Georgia;Times;Serif"/>
                                <w:b w:val="false"/>
                                <w:i w:val="false"/>
                                <w:caps w:val="false"/>
                                <w:smallCaps w:val="false"/>
                                <w:sz w:val="16"/>
                              </w:rPr>
                            </w:pPr>
                            <w:r>
                              <w:rPr>
                                <w:rFonts w:ascii="Georgia;Times;Serif" w:hAnsi="Georgia;Times;Serif"/>
                                <w:b w:val="false"/>
                                <w:i w:val="false"/>
                                <w:caps w:val="false"/>
                                <w:smallCaps w:val="false"/>
                                <w:sz w:val="16"/>
                              </w:rPr>
                              <w:t>Starting Price:</w:t>
                            </w:r>
                          </w:p>
                        </w:tc>
                        <w:tc>
                          <w:tcPr>
                            <w:tcW w:w="8618"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rFonts w:ascii="Georgia;Times;Serif" w:hAnsi="Georgia;Times;Serif"/>
                                <w:b w:val="false"/>
                                <w:i w:val="false"/>
                                <w:caps w:val="false"/>
                                <w:smallCaps w:val="false"/>
                                <w:sz w:val="16"/>
                              </w:rPr>
                            </w:pPr>
                            <w:r>
                              <w:rPr>
                                <w:rFonts w:ascii="Georgia;Times;Serif" w:hAnsi="Georgia;Times;Serif"/>
                                <w:b w:val="false"/>
                                <w:i w:val="false"/>
                                <w:caps w:val="false"/>
                                <w:smallCaps w:val="false"/>
                                <w:sz w:val="16"/>
                              </w:rPr>
                              <w:t>The stock closing price of the Underlying Stock on the pricing date</w:t>
                            </w:r>
                          </w:p>
                        </w:tc>
                      </w:tr>
                      <w:tr>
                        <w:trPr/>
                        <w:tc>
                          <w:tcPr>
                            <w:tcW w:w="1587"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left"/>
                              <w:rPr>
                                <w:rFonts w:ascii="Georgia;Times;Serif" w:hAnsi="Georgia;Times;Serif"/>
                                <w:b w:val="false"/>
                                <w:i w:val="false"/>
                                <w:caps w:val="false"/>
                                <w:smallCaps w:val="false"/>
                                <w:sz w:val="16"/>
                              </w:rPr>
                            </w:pPr>
                            <w:r>
                              <w:rPr>
                                <w:rFonts w:ascii="Georgia;Times;Serif" w:hAnsi="Georgia;Times;Serif"/>
                                <w:b w:val="false"/>
                                <w:i w:val="false"/>
                                <w:caps w:val="false"/>
                                <w:smallCaps w:val="false"/>
                                <w:sz w:val="16"/>
                              </w:rPr>
                              <w:t>Ending Price:</w:t>
                            </w:r>
                          </w:p>
                        </w:tc>
                        <w:tc>
                          <w:tcPr>
                            <w:tcW w:w="8618"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rFonts w:ascii="Georgia;Times;Serif" w:hAnsi="Georgia;Times;Serif"/>
                                <w:b w:val="false"/>
                                <w:i w:val="false"/>
                                <w:caps w:val="false"/>
                                <w:smallCaps w:val="false"/>
                                <w:sz w:val="16"/>
                              </w:rPr>
                            </w:pPr>
                            <w:r>
                              <w:rPr>
                                <w:rFonts w:ascii="Georgia;Times;Serif" w:hAnsi="Georgia;Times;Serif"/>
                                <w:b w:val="false"/>
                                <w:i w:val="false"/>
                                <w:caps w:val="false"/>
                                <w:smallCaps w:val="false"/>
                                <w:sz w:val="16"/>
                              </w:rPr>
                              <w:t>The stock closing price of the Underlying Stock on the calculation day</w:t>
                            </w:r>
                          </w:p>
                        </w:tc>
                      </w:tr>
                      <w:tr>
                        <w:trPr/>
                        <w:tc>
                          <w:tcPr>
                            <w:tcW w:w="1587"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left"/>
                              <w:rPr>
                                <w:rFonts w:ascii="Georgia;Times;Serif" w:hAnsi="Georgia;Times;Serif"/>
                                <w:b w:val="false"/>
                                <w:i w:val="false"/>
                                <w:caps w:val="false"/>
                                <w:smallCaps w:val="false"/>
                                <w:sz w:val="16"/>
                              </w:rPr>
                            </w:pPr>
                            <w:r>
                              <w:rPr>
                                <w:rFonts w:ascii="Georgia;Times;Serif" w:hAnsi="Georgia;Times;Serif"/>
                                <w:b w:val="false"/>
                                <w:i w:val="false"/>
                                <w:caps w:val="false"/>
                                <w:smallCaps w:val="false"/>
                                <w:sz w:val="16"/>
                              </w:rPr>
                              <w:t>Contingent Fixed Return:</w:t>
                            </w:r>
                          </w:p>
                        </w:tc>
                        <w:tc>
                          <w:tcPr>
                            <w:tcW w:w="8618"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rFonts w:ascii="Georgia;Times;Serif" w:hAnsi="Georgia;Times;Serif"/>
                                <w:b w:val="false"/>
                                <w:i w:val="false"/>
                                <w:caps w:val="false"/>
                                <w:smallCaps w:val="false"/>
                                <w:sz w:val="16"/>
                              </w:rPr>
                            </w:pPr>
                            <w:r>
                              <w:rPr>
                                <w:rFonts w:ascii="Georgia;Times;Serif" w:hAnsi="Georgia;Times;Serif"/>
                                <w:b w:val="false"/>
                                <w:i w:val="false"/>
                                <w:caps w:val="false"/>
                                <w:smallCaps w:val="false"/>
                                <w:sz w:val="16"/>
                              </w:rPr>
                              <w:t>At least 33.75% of the principal amount (at least $337.50 per security) (to be provided in the pricing supplement)</w:t>
                            </w:r>
                          </w:p>
                        </w:tc>
                      </w:tr>
                      <w:tr>
                        <w:trPr/>
                        <w:tc>
                          <w:tcPr>
                            <w:tcW w:w="1587"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left"/>
                              <w:rPr>
                                <w:rFonts w:ascii="Georgia;Times;Serif" w:hAnsi="Georgia;Times;Serif"/>
                                <w:b w:val="false"/>
                                <w:i w:val="false"/>
                                <w:caps w:val="false"/>
                                <w:smallCaps w:val="false"/>
                                <w:sz w:val="16"/>
                              </w:rPr>
                            </w:pPr>
                            <w:r>
                              <w:rPr>
                                <w:rFonts w:ascii="Georgia;Times;Serif" w:hAnsi="Georgia;Times;Serif"/>
                                <w:b w:val="false"/>
                                <w:i w:val="false"/>
                                <w:caps w:val="false"/>
                                <w:smallCaps w:val="false"/>
                                <w:sz w:val="16"/>
                              </w:rPr>
                              <w:t>Stock Return:</w:t>
                            </w:r>
                          </w:p>
                        </w:tc>
                        <w:tc>
                          <w:tcPr>
                            <w:tcW w:w="8618"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rFonts w:ascii="Georgia;Times;Serif" w:hAnsi="Georgia;Times;Serif"/>
                                <w:b w:val="false"/>
                                <w:i w:val="false"/>
                                <w:caps w:val="false"/>
                                <w:smallCaps w:val="false"/>
                                <w:sz w:val="16"/>
                              </w:rPr>
                            </w:pPr>
                            <w:r>
                              <w:rPr>
                                <w:rFonts w:ascii="Georgia;Times;Serif" w:hAnsi="Georgia;Times;Serif"/>
                                <w:b w:val="false"/>
                                <w:i w:val="false"/>
                                <w:caps w:val="false"/>
                                <w:smallCaps w:val="false"/>
                                <w:sz w:val="16"/>
                              </w:rPr>
                              <w:t>(ending price – starting price) / starting price</w:t>
                            </w:r>
                          </w:p>
                        </w:tc>
                      </w:tr>
                      <w:tr>
                        <w:trPr/>
                        <w:tc>
                          <w:tcPr>
                            <w:tcW w:w="1587"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left"/>
                              <w:rPr>
                                <w:rFonts w:ascii="Georgia;Times;Serif" w:hAnsi="Georgia;Times;Serif"/>
                                <w:b w:val="false"/>
                                <w:i w:val="false"/>
                                <w:caps w:val="false"/>
                                <w:smallCaps w:val="false"/>
                                <w:sz w:val="16"/>
                              </w:rPr>
                            </w:pPr>
                            <w:r>
                              <w:rPr>
                                <w:rFonts w:ascii="Georgia;Times;Serif" w:hAnsi="Georgia;Times;Serif"/>
                                <w:b w:val="false"/>
                                <w:i w:val="false"/>
                                <w:caps w:val="false"/>
                                <w:smallCaps w:val="false"/>
                                <w:sz w:val="16"/>
                              </w:rPr>
                              <w:t>Threshold Price:</w:t>
                            </w:r>
                          </w:p>
                        </w:tc>
                        <w:tc>
                          <w:tcPr>
                            <w:tcW w:w="8618"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rFonts w:ascii="Georgia;Times;Serif" w:hAnsi="Georgia;Times;Serif"/>
                                <w:b w:val="false"/>
                                <w:i w:val="false"/>
                                <w:caps w:val="false"/>
                                <w:smallCaps w:val="false"/>
                                <w:sz w:val="16"/>
                              </w:rPr>
                            </w:pPr>
                            <w:r>
                              <w:rPr>
                                <w:rFonts w:ascii="Georgia;Times;Serif" w:hAnsi="Georgia;Times;Serif"/>
                                <w:b w:val="false"/>
                                <w:i w:val="false"/>
                                <w:caps w:val="false"/>
                                <w:smallCaps w:val="false"/>
                                <w:sz w:val="16"/>
                              </w:rPr>
                              <w:t xml:space="preserve">60% of the starting price </w:t>
                            </w:r>
                          </w:p>
                        </w:tc>
                      </w:tr>
                      <w:tr>
                        <w:trPr/>
                        <w:tc>
                          <w:tcPr>
                            <w:tcW w:w="1587"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left"/>
                              <w:rPr>
                                <w:rFonts w:ascii="Georgia;Times;Serif" w:hAnsi="Georgia;Times;Serif"/>
                                <w:b w:val="false"/>
                                <w:i w:val="false"/>
                                <w:caps w:val="false"/>
                                <w:smallCaps w:val="false"/>
                                <w:sz w:val="16"/>
                              </w:rPr>
                            </w:pPr>
                            <w:r>
                              <w:rPr>
                                <w:rFonts w:ascii="Georgia;Times;Serif" w:hAnsi="Georgia;Times;Serif"/>
                                <w:b w:val="false"/>
                                <w:i w:val="false"/>
                                <w:caps w:val="false"/>
                                <w:smallCaps w:val="false"/>
                                <w:sz w:val="16"/>
                              </w:rPr>
                              <w:t>Calculation Agent:</w:t>
                            </w:r>
                          </w:p>
                        </w:tc>
                        <w:tc>
                          <w:tcPr>
                            <w:tcW w:w="8618"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rFonts w:ascii="Georgia;Times;Serif" w:hAnsi="Georgia;Times;Serif"/>
                                <w:b w:val="false"/>
                                <w:i w:val="false"/>
                                <w:caps w:val="false"/>
                                <w:smallCaps w:val="false"/>
                                <w:sz w:val="16"/>
                              </w:rPr>
                            </w:pPr>
                            <w:r>
                              <w:rPr>
                                <w:rFonts w:ascii="Georgia;Times;Serif" w:hAnsi="Georgia;Times;Serif"/>
                                <w:b w:val="false"/>
                                <w:i w:val="false"/>
                                <w:caps w:val="false"/>
                                <w:smallCaps w:val="false"/>
                                <w:sz w:val="16"/>
                              </w:rPr>
                              <w:t>J.P. Morgan Securities LLC (“</w:t>
                            </w:r>
                            <w:r>
                              <w:rPr>
                                <w:rFonts w:ascii="Georgia;Times;Serif" w:hAnsi="Georgia;Times;Serif"/>
                                <w:b w:val="false"/>
                                <w:i w:val="false"/>
                                <w:caps w:val="false"/>
                                <w:smallCaps w:val="false"/>
                                <w:sz w:val="16"/>
                                <w:u w:val="single"/>
                              </w:rPr>
                              <w:t>JPMS</w:t>
                            </w:r>
                            <w:r>
                              <w:rPr>
                                <w:rFonts w:ascii="Georgia;Times;Serif" w:hAnsi="Georgia;Times;Serif"/>
                                <w:b w:val="false"/>
                                <w:i w:val="false"/>
                                <w:caps w:val="false"/>
                                <w:smallCaps w:val="false"/>
                                <w:sz w:val="16"/>
                              </w:rPr>
                              <w:t>”)</w:t>
                            </w:r>
                          </w:p>
                        </w:tc>
                      </w:tr>
                      <w:tr>
                        <w:trPr/>
                        <w:tc>
                          <w:tcPr>
                            <w:tcW w:w="1587"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left"/>
                              <w:rPr>
                                <w:rFonts w:ascii="Georgia;Times;Serif" w:hAnsi="Georgia;Times;Serif"/>
                                <w:b w:val="false"/>
                                <w:i w:val="false"/>
                                <w:caps w:val="false"/>
                                <w:smallCaps w:val="false"/>
                                <w:sz w:val="16"/>
                              </w:rPr>
                            </w:pPr>
                            <w:r>
                              <w:rPr>
                                <w:rFonts w:ascii="Georgia;Times;Serif" w:hAnsi="Georgia;Times;Serif"/>
                                <w:b w:val="false"/>
                                <w:i w:val="false"/>
                                <w:caps w:val="false"/>
                                <w:smallCaps w:val="false"/>
                                <w:sz w:val="16"/>
                              </w:rPr>
                              <w:t>Denominations:</w:t>
                            </w:r>
                          </w:p>
                        </w:tc>
                        <w:tc>
                          <w:tcPr>
                            <w:tcW w:w="8618"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rFonts w:ascii="Georgia;Times;Serif" w:hAnsi="Georgia;Times;Serif"/>
                                <w:b w:val="false"/>
                                <w:i w:val="false"/>
                                <w:caps w:val="false"/>
                                <w:smallCaps w:val="false"/>
                                <w:sz w:val="16"/>
                              </w:rPr>
                            </w:pPr>
                            <w:r>
                              <w:rPr>
                                <w:rFonts w:ascii="Georgia;Times;Serif" w:hAnsi="Georgia;Times;Serif"/>
                                <w:b w:val="false"/>
                                <w:i w:val="false"/>
                                <w:caps w:val="false"/>
                                <w:smallCaps w:val="false"/>
                                <w:sz w:val="16"/>
                              </w:rPr>
                              <w:t>$1,000 and any integral multiple of $1,000</w:t>
                            </w:r>
                          </w:p>
                        </w:tc>
                      </w:tr>
                      <w:tr>
                        <w:trPr/>
                        <w:tc>
                          <w:tcPr>
                            <w:tcW w:w="1587"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left"/>
                              <w:rPr>
                                <w:rFonts w:ascii="Georgia;Times;Serif" w:hAnsi="Georgia;Times;Serif"/>
                                <w:b w:val="false"/>
                                <w:i w:val="false"/>
                                <w:caps w:val="false"/>
                                <w:smallCaps w:val="false"/>
                                <w:sz w:val="16"/>
                              </w:rPr>
                            </w:pPr>
                            <w:r>
                              <w:rPr>
                                <w:rFonts w:ascii="Georgia;Times;Serif" w:hAnsi="Georgia;Times;Serif"/>
                                <w:b w:val="false"/>
                                <w:i w:val="false"/>
                                <w:caps w:val="false"/>
                                <w:smallCaps w:val="false"/>
                                <w:sz w:val="16"/>
                              </w:rPr>
                              <w:t>CUSIP:</w:t>
                            </w:r>
                          </w:p>
                        </w:tc>
                        <w:tc>
                          <w:tcPr>
                            <w:tcW w:w="8618"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rFonts w:ascii="Georgia;Times;Serif" w:hAnsi="Georgia;Times;Serif"/>
                                <w:b w:val="false"/>
                                <w:i w:val="false"/>
                                <w:caps w:val="false"/>
                                <w:smallCaps w:val="false"/>
                                <w:sz w:val="16"/>
                              </w:rPr>
                            </w:pPr>
                            <w:r>
                              <w:rPr>
                                <w:rFonts w:ascii="Georgia;Times;Serif" w:hAnsi="Georgia;Times;Serif"/>
                                <w:b w:val="false"/>
                                <w:i w:val="false"/>
                                <w:caps w:val="false"/>
                                <w:smallCaps w:val="false"/>
                                <w:sz w:val="16"/>
                              </w:rPr>
                              <w:t>46661MK94</w:t>
                            </w:r>
                          </w:p>
                        </w:tc>
                      </w:tr>
                      <w:tr>
                        <w:trPr/>
                        <w:tc>
                          <w:tcPr>
                            <w:tcW w:w="1587"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left"/>
                              <w:rPr>
                                <w:rFonts w:ascii="Georgia;Times;Serif" w:hAnsi="Georgia;Times;Serif"/>
                                <w:b w:val="false"/>
                                <w:i w:val="false"/>
                                <w:caps w:val="false"/>
                                <w:smallCaps w:val="false"/>
                                <w:sz w:val="16"/>
                              </w:rPr>
                            </w:pPr>
                            <w:r>
                              <w:rPr>
                                <w:rFonts w:ascii="Georgia;Times;Serif" w:hAnsi="Georgia;Times;Serif"/>
                                <w:b w:val="false"/>
                                <w:i w:val="false"/>
                                <w:caps w:val="false"/>
                                <w:smallCaps w:val="false"/>
                                <w:sz w:val="16"/>
                              </w:rPr>
                              <w:t>Fees and Commissions:</w:t>
                            </w:r>
                          </w:p>
                        </w:tc>
                        <w:tc>
                          <w:tcPr>
                            <w:tcW w:w="8618"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rFonts w:ascii="Georgia;Times;Serif" w:hAnsi="Georgia;Times;Serif"/>
                                <w:b w:val="false"/>
                                <w:i w:val="false"/>
                                <w:caps w:val="false"/>
                                <w:smallCaps w:val="false"/>
                                <w:sz w:val="18"/>
                              </w:rPr>
                            </w:pPr>
                            <w:r>
                              <w:rPr>
                                <w:rFonts w:ascii="Georgia;Times;Serif" w:hAnsi="Georgia;Times;Serif"/>
                                <w:b w:val="false"/>
                                <w:i w:val="false"/>
                                <w:caps w:val="false"/>
                                <w:smallCaps w:val="false"/>
                                <w:sz w:val="16"/>
                              </w:rPr>
                              <w:t>Up to 0.775% for Wells Fargo Securities, LLC (“</w:t>
                            </w:r>
                            <w:r>
                              <w:rPr>
                                <w:rFonts w:ascii="Georgia;Times;Serif" w:hAnsi="Georgia;Times;Serif"/>
                                <w:b w:val="false"/>
                                <w:i w:val="false"/>
                                <w:caps w:val="false"/>
                                <w:smallCaps w:val="false"/>
                                <w:sz w:val="16"/>
                                <w:u w:val="single"/>
                              </w:rPr>
                              <w:t>WFS</w:t>
                            </w:r>
                            <w:r>
                              <w:rPr>
                                <w:rFonts w:ascii="Georgia;Times;Serif" w:hAnsi="Georgia;Times;Serif"/>
                                <w:b w:val="false"/>
                                <w:i w:val="false"/>
                                <w:caps w:val="false"/>
                                <w:smallCaps w:val="false"/>
                                <w:sz w:val="16"/>
                              </w:rPr>
                              <w:t>”); WFS has advised us that dealers, including Wells Fargo Advisors (“</w:t>
                            </w:r>
                            <w:r>
                              <w:rPr>
                                <w:rFonts w:ascii="Georgia;Times;Serif" w:hAnsi="Georgia;Times;Serif"/>
                                <w:b w:val="false"/>
                                <w:i w:val="false"/>
                                <w:caps w:val="false"/>
                                <w:smallCaps w:val="false"/>
                                <w:sz w:val="16"/>
                                <w:u w:val="single"/>
                              </w:rPr>
                              <w:t>WFA</w:t>
                            </w:r>
                            <w:r>
                              <w:rPr>
                                <w:rFonts w:ascii="Georgia;Times;Serif" w:hAnsi="Georgia;Times;Serif"/>
                                <w:b w:val="false"/>
                                <w:i w:val="false"/>
                                <w:caps w:val="false"/>
                                <w:smallCaps w:val="false"/>
                                <w:sz w:val="16"/>
                              </w:rPr>
                              <w:t>”), may receive 0.20% of WFS’s fee, and WFA may also receive a distribution expense fee of 0.0</w:t>
                            </w:r>
                            <w:r>
                              <w:rPr>
                                <w:rFonts w:ascii="Georgia;Times;Serif" w:hAnsi="Georgia;Times;Serif"/>
                                <w:b w:val="false"/>
                                <w:i w:val="false"/>
                                <w:caps w:val="false"/>
                                <w:smallCaps w:val="false"/>
                                <w:sz w:val="18"/>
                              </w:rPr>
                              <w:t>75</w:t>
                            </w:r>
                            <w:r>
                              <w:rPr>
                                <w:rFonts w:ascii="Georgia;Times;Serif" w:hAnsi="Georgia;Times;Serif"/>
                                <w:b w:val="false"/>
                                <w:i w:val="false"/>
                                <w:caps w:val="false"/>
                                <w:smallCaps w:val="false"/>
                                <w:sz w:val="16"/>
                              </w:rPr>
                              <w:t>%.  In addition, in respect of certain securities sold in this offering, JPMS may pay a fee of up to 0</w:t>
                            </w:r>
                            <w:r>
                              <w:rPr>
                                <w:rFonts w:ascii="Georgia;Times;Serif" w:hAnsi="Georgia;Times;Serif"/>
                                <w:b w:val="false"/>
                                <w:i w:val="false"/>
                                <w:caps w:val="false"/>
                                <w:smallCaps w:val="false"/>
                                <w:sz w:val="18"/>
                              </w:rPr>
                              <w:t>.20</w:t>
                            </w:r>
                            <w:r>
                              <w:rPr>
                                <w:rFonts w:ascii="Georgia;Times;Serif" w:hAnsi="Georgia;Times;Serif"/>
                                <w:b w:val="false"/>
                                <w:i w:val="false"/>
                                <w:caps w:val="false"/>
                                <w:smallCaps w:val="false"/>
                                <w:sz w:val="16"/>
                              </w:rPr>
                              <w:t>% to selected dealers in consideration for marketing and other services in connection with the distribution of the securities to other dealers.</w:t>
                            </w:r>
                          </w:p>
                        </w:tc>
                      </w:tr>
                      <w:tr>
                        <w:trPr/>
                        <w:tc>
                          <w:tcPr>
                            <w:tcW w:w="1587"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left"/>
                              <w:rPr>
                                <w:rFonts w:ascii="Georgia;Times;Serif" w:hAnsi="Georgia;Times;Serif"/>
                                <w:b w:val="false"/>
                                <w:i w:val="false"/>
                                <w:caps w:val="false"/>
                                <w:smallCaps w:val="false"/>
                                <w:sz w:val="16"/>
                              </w:rPr>
                            </w:pPr>
                            <w:r>
                              <w:rPr>
                                <w:rFonts w:ascii="Georgia;Times;Serif" w:hAnsi="Georgia;Times;Serif"/>
                                <w:b w:val="false"/>
                                <w:i w:val="false"/>
                                <w:caps w:val="false"/>
                                <w:smallCaps w:val="false"/>
                                <w:sz w:val="16"/>
                              </w:rPr>
                              <w:t>Tax Considerations:</w:t>
                            </w:r>
                          </w:p>
                        </w:tc>
                        <w:tc>
                          <w:tcPr>
                            <w:tcW w:w="8618"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rFonts w:ascii="Georgia;Times;Serif" w:hAnsi="Georgia;Times;Serif"/>
                                <w:b w:val="false"/>
                                <w:i w:val="false"/>
                                <w:caps w:val="false"/>
                                <w:smallCaps w:val="false"/>
                                <w:sz w:val="16"/>
                              </w:rPr>
                            </w:pPr>
                            <w:r>
                              <w:rPr>
                                <w:rFonts w:ascii="Georgia;Times;Serif" w:hAnsi="Georgia;Times;Serif"/>
                                <w:b w:val="false"/>
                                <w:i w:val="false"/>
                                <w:caps w:val="false"/>
                                <w:smallCaps w:val="false"/>
                                <w:sz w:val="16"/>
                              </w:rPr>
                              <w:t>See the preliminary pricing supplement.</w:t>
                            </w:r>
                          </w:p>
                        </w:tc>
                      </w:tr>
                      <w:tr>
                        <w:trPr/>
                        <w:tc>
                          <w:tcPr>
                            <w:tcW w:w="10205" w:type="dxa"/>
                            <w:gridSpan w:val="2"/>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0"/>
                              <w:jc w:val="left"/>
                              <w:rPr>
                                <w:rFonts w:ascii="Georgia;Times;Serif" w:hAnsi="Georgia;Times;Serif"/>
                                <w:b w:val="false"/>
                                <w:i w:val="false"/>
                                <w:caps w:val="false"/>
                                <w:smallCaps w:val="false"/>
                                <w:sz w:val="15"/>
                              </w:rPr>
                            </w:pPr>
                            <w:r>
                              <w:rPr>
                                <w:rFonts w:ascii="Georgia;Times;Serif" w:hAnsi="Georgia;Times;Serif"/>
                                <w:b w:val="false"/>
                                <w:i w:val="false"/>
                                <w:caps w:val="false"/>
                                <w:smallCaps w:val="false"/>
                                <w:position w:val="5"/>
                                <w:sz w:val="12"/>
                                <w:sz w:val="15"/>
                              </w:rPr>
                              <w:t xml:space="preserve">1 </w:t>
                            </w:r>
                            <w:r>
                              <w:rPr>
                                <w:rFonts w:ascii="Georgia;Times;Serif" w:hAnsi="Georgia;Times;Serif"/>
                                <w:b w:val="false"/>
                                <w:i w:val="false"/>
                                <w:caps w:val="false"/>
                                <w:smallCaps w:val="false"/>
                                <w:sz w:val="15"/>
                              </w:rPr>
                              <w:t>Subject to change</w:t>
                            </w:r>
                          </w:p>
                          <w:p>
                            <w:pPr>
                              <w:pStyle w:val="TableContents"/>
                              <w:bidi w:val="0"/>
                              <w:spacing w:before="0" w:after="283"/>
                              <w:jc w:val="left"/>
                              <w:rPr>
                                <w:rFonts w:ascii="Georgia;Times;Serif" w:hAnsi="Georgia;Times;Serif"/>
                                <w:b w:val="false"/>
                                <w:i w:val="false"/>
                                <w:caps w:val="false"/>
                                <w:smallCaps w:val="false"/>
                                <w:sz w:val="15"/>
                              </w:rPr>
                            </w:pPr>
                            <w:r>
                              <w:rPr>
                                <w:rFonts w:ascii="Georgia;Times;Serif" w:hAnsi="Georgia;Times;Serif"/>
                                <w:b w:val="false"/>
                                <w:i w:val="false"/>
                                <w:caps w:val="false"/>
                                <w:smallCaps w:val="false"/>
                                <w:position w:val="5"/>
                                <w:sz w:val="12"/>
                                <w:sz w:val="15"/>
                              </w:rPr>
                              <w:t xml:space="preserve">2 </w:t>
                            </w:r>
                            <w:r>
                              <w:rPr>
                                <w:rFonts w:ascii="Georgia;Times;Serif" w:hAnsi="Georgia;Times;Serif"/>
                                <w:b w:val="false"/>
                                <w:i w:val="false"/>
                                <w:caps w:val="false"/>
                                <w:smallCaps w:val="false"/>
                                <w:sz w:val="15"/>
                              </w:rPr>
                              <w:t>Subject to postponement</w:t>
                            </w:r>
                          </w:p>
                        </w:tc>
                      </w:tr>
                    </w:tbl>
                    <w:p>
                      <w:pPr>
                        <w:pStyle w:val="TextBody"/>
                        <w:bidi w:val="0"/>
                        <w:spacing w:before="0" w:after="283"/>
                        <w:ind w:left="90" w:right="0" w:hanging="0"/>
                        <w:jc w:val="left"/>
                        <w:rPr>
                          <w:caps w:val="false"/>
                          <w:smallCaps w:val="false"/>
                          <w:color w:val="8F8F8F"/>
                        </w:rPr>
                      </w:pPr>
                      <w:r>
                        <w:rPr>
                          <w:caps w:val="false"/>
                          <w:smallCaps w:val="false"/>
                          <w:color w:val="8F8F8F"/>
                        </w:rPr>
                        <w:t> </w:t>
                      </w:r>
                    </w:p>
                  </w:txbxContent>
                </v:textbox>
                <w10:wrap type="square" side="right"/>
              </v:rect>
            </w:pict>
          </mc:Fallback>
        </mc:AlternateContent>
      </w:r>
      <w:r>
        <mc:AlternateContent>
          <mc:Choice Requires="wps">
            <w:drawing>
              <wp:anchor behindDoc="0" distT="0" distB="0" distL="0" distR="0" simplePos="0" locked="0" layoutInCell="1" allowOverlap="1" relativeHeight="4">
                <wp:simplePos x="0" y="0"/>
                <wp:positionH relativeFrom="column">
                  <wp:align>right</wp:align>
                </wp:positionH>
                <wp:positionV relativeFrom="line">
                  <wp:posOffset>635</wp:posOffset>
                </wp:positionV>
                <wp:extent cx="3110230" cy="6317615"/>
                <wp:effectExtent l="0" t="0" r="0" b="0"/>
                <wp:wrapSquare wrapText="left"/>
                <wp:docPr id="3" name="Frame2"/>
                <a:graphic xmlns:a="http://schemas.openxmlformats.org/drawingml/2006/main">
                  <a:graphicData uri="http://schemas.microsoft.com/office/word/2010/wordprocessingShape">
                    <wps:wsp>
                      <wps:cNvSpPr txBox="1"/>
                      <wps:spPr>
                        <a:xfrm>
                          <a:off x="0" y="0"/>
                          <a:ext cx="3110230" cy="6317615"/>
                        </a:xfrm>
                        <a:prstGeom prst="rect"/>
                        <a:solidFill>
                          <a:srgbClr val="FFFFFF"/>
                        </a:solidFill>
                      </wps:spPr>
                      <wps:txbx>
                        <w:txbxContent>
                          <w:p>
                            <w:pPr>
                              <w:pStyle w:val="TextBody"/>
                              <w:bidi w:val="0"/>
                              <w:jc w:val="left"/>
                              <w:rPr>
                                <w:rFonts w:ascii="Verdana;Helvetica;Sans-Serif" w:hAnsi="Verdana;Helvetica;Sans-Serif"/>
                                <w:b w:val="false"/>
                                <w:i w:val="false"/>
                                <w:caps w:val="false"/>
                                <w:smallCaps w:val="false"/>
                                <w:color w:val="8F8F8F"/>
                                <w:sz w:val="26"/>
                              </w:rPr>
                            </w:pPr>
                            <w:r>
                              <w:rPr>
                                <w:rFonts w:ascii="Verdana;Helvetica;Sans-Serif" w:hAnsi="Verdana;Helvetica;Sans-Serif"/>
                                <w:b w:val="false"/>
                                <w:i w:val="false"/>
                                <w:caps w:val="false"/>
                                <w:smallCaps w:val="false"/>
                                <w:color w:val="8F8F8F"/>
                                <w:sz w:val="26"/>
                              </w:rPr>
                              <w:t>Hypothetical Payout Profile*</w:t>
                            </w:r>
                          </w:p>
                          <w:p>
                            <w:pPr>
                              <w:pStyle w:val="TextBody"/>
                              <w:bidi w:val="0"/>
                              <w:spacing w:before="60" w:after="40"/>
                              <w:ind w:left="0" w:right="0" w:hanging="0"/>
                              <w:jc w:val="left"/>
                              <w:rPr>
                                <w:caps w:val="false"/>
                                <w:smallCaps w:val="false"/>
                              </w:rPr>
                            </w:pPr>
                            <w:r>
                              <w:rPr>
                                <w:caps w:val="false"/>
                                <w:smallCaps w:val="false"/>
                              </w:rPr>
                              <w:drawing>
                                <wp:inline distT="0" distB="0" distL="0" distR="0">
                                  <wp:extent cx="3200400" cy="2038350"/>
                                  <wp:effectExtent l="0" t="0" r="0" b="0"/>
                                  <wp:docPr id="4"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2" descr=""/>
                                          <pic:cNvPicPr>
                                            <a:picLocks noChangeAspect="1" noChangeArrowheads="1"/>
                                          </pic:cNvPicPr>
                                        </pic:nvPicPr>
                                        <pic:blipFill>
                                          <a:blip r:embed="rId3"/>
                                          <a:stretch>
                                            <a:fillRect/>
                                          </a:stretch>
                                        </pic:blipFill>
                                        <pic:spPr bwMode="auto">
                                          <a:xfrm>
                                            <a:off x="0" y="0"/>
                                            <a:ext cx="3200400" cy="2038350"/>
                                          </a:xfrm>
                                          <a:prstGeom prst="rect">
                                            <a:avLst/>
                                          </a:prstGeom>
                                        </pic:spPr>
                                      </pic:pic>
                                    </a:graphicData>
                                  </a:graphic>
                                </wp:inline>
                              </w:drawing>
                            </w:r>
                          </w:p>
                          <w:p>
                            <w:pPr>
                              <w:pStyle w:val="TextBody"/>
                              <w:bidi w:val="0"/>
                              <w:spacing w:before="0" w:after="60"/>
                              <w:jc w:val="left"/>
                              <w:rPr>
                                <w:rFonts w:ascii="Georgia;Times;Serif" w:hAnsi="Georgia;Times;Serif"/>
                                <w:b w:val="false"/>
                                <w:i w:val="false"/>
                                <w:caps w:val="false"/>
                                <w:smallCaps w:val="false"/>
                                <w:sz w:val="16"/>
                              </w:rPr>
                            </w:pPr>
                            <w:r>
                              <w:rPr>
                                <w:rFonts w:ascii="Georgia;Times;Serif" w:hAnsi="Georgia;Times;Serif"/>
                                <w:b w:val="false"/>
                                <w:i w:val="false"/>
                                <w:caps w:val="false"/>
                                <w:smallCaps w:val="false"/>
                                <w:sz w:val="16"/>
                              </w:rPr>
                              <w:t>*Assumes a contingent fixed return equal to the minimum contingent fixed return</w:t>
                            </w:r>
                          </w:p>
                          <w:p>
                            <w:pPr>
                              <w:pStyle w:val="TextBody"/>
                              <w:bidi w:val="0"/>
                              <w:spacing w:before="0" w:after="60"/>
                              <w:jc w:val="left"/>
                              <w:rPr>
                                <w:caps w:val="false"/>
                                <w:smallCaps w:val="false"/>
                              </w:rPr>
                            </w:pPr>
                            <w:r>
                              <w:rPr>
                                <w:caps w:val="false"/>
                                <w:smallCaps w:val="false"/>
                              </w:rPr>
                              <w:t> </w:t>
                            </w:r>
                          </w:p>
                          <w:p>
                            <w:pPr>
                              <w:pStyle w:val="TextBody"/>
                              <w:bidi w:val="0"/>
                              <w:spacing w:before="0" w:after="60"/>
                              <w:jc w:val="left"/>
                              <w:rPr>
                                <w:rFonts w:ascii="Georgia;Times;Serif" w:hAnsi="Georgia;Times;Serif"/>
                                <w:b/>
                                <w:i w:val="false"/>
                                <w:caps w:val="false"/>
                                <w:smallCaps w:val="false"/>
                                <w:sz w:val="16"/>
                              </w:rPr>
                            </w:pPr>
                            <w:r>
                              <w:rPr>
                                <w:rFonts w:ascii="Georgia;Times;Serif" w:hAnsi="Georgia;Times;Serif"/>
                                <w:b/>
                                <w:i w:val="false"/>
                                <w:caps w:val="false"/>
                                <w:smallCaps w:val="false"/>
                                <w:sz w:val="16"/>
                              </w:rPr>
                              <w:t>If the ending price is less than the threshold price, you will have full downside exposure to the decrease in the price of the Underlying Stock from the starting price and will lose more than 40%, and possibly all, of the principal amount of your securities at maturity.</w:t>
                            </w:r>
                          </w:p>
                          <w:p>
                            <w:pPr>
                              <w:pStyle w:val="TextBody"/>
                              <w:bidi w:val="0"/>
                              <w:spacing w:before="0" w:after="60"/>
                              <w:jc w:val="left"/>
                              <w:rPr>
                                <w:caps w:val="false"/>
                                <w:smallCaps w:val="false"/>
                              </w:rPr>
                            </w:pPr>
                            <w:r>
                              <w:rPr>
                                <w:caps w:val="false"/>
                                <w:smallCaps w:val="false"/>
                              </w:rPr>
                              <w:t> </w:t>
                            </w:r>
                          </w:p>
                          <w:p>
                            <w:pPr>
                              <w:pStyle w:val="TextBody"/>
                              <w:bidi w:val="0"/>
                              <w:spacing w:before="0" w:after="60"/>
                              <w:jc w:val="left"/>
                              <w:rPr>
                                <w:rFonts w:ascii="Georgia;Times;Serif" w:hAnsi="Georgia;Times;Serif"/>
                                <w:b w:val="false"/>
                                <w:i w:val="false"/>
                                <w:caps w:val="false"/>
                                <w:smallCaps w:val="false"/>
                                <w:sz w:val="16"/>
                              </w:rPr>
                            </w:pPr>
                            <w:r>
                              <w:rPr>
                                <w:rFonts w:ascii="Georgia;Times;Serif" w:hAnsi="Georgia;Times;Serif"/>
                                <w:b w:val="false"/>
                                <w:i w:val="false"/>
                                <w:caps w:val="false"/>
                                <w:smallCaps w:val="false"/>
                                <w:sz w:val="16"/>
                              </w:rPr>
                              <w:t xml:space="preserve">The securities are unsecured and unsubordinated obligations of JPMorgan Chase Financial Company LLC, which we refer to as JPMorgan Financial, the payment on which is fully and unconditionally guaranteed by JPMorgan Chase &amp; Co. </w:t>
                            </w:r>
                            <w:r>
                              <w:rPr>
                                <w:rFonts w:ascii="Georgia;Times;Serif" w:hAnsi="Georgia;Times;Serif"/>
                                <w:b/>
                                <w:i w:val="false"/>
                                <w:caps w:val="false"/>
                                <w:smallCaps w:val="false"/>
                                <w:sz w:val="16"/>
                              </w:rPr>
                              <w:t>Any payment on the securities is subject to the credit risk of JPMorgan Financial, as issuer of the securities, and the credit risk of JPMorgan Chase &amp; Co., as guarantor of the securities.</w:t>
                            </w:r>
                          </w:p>
                          <w:p>
                            <w:pPr>
                              <w:pStyle w:val="TextBody"/>
                              <w:bidi w:val="0"/>
                              <w:spacing w:before="0" w:after="60"/>
                              <w:jc w:val="left"/>
                              <w:rPr>
                                <w:caps w:val="false"/>
                                <w:smallCaps w:val="false"/>
                              </w:rPr>
                            </w:pPr>
                            <w:r>
                              <w:rPr>
                                <w:caps w:val="false"/>
                                <w:smallCaps w:val="false"/>
                              </w:rPr>
                              <w:t> </w:t>
                            </w:r>
                          </w:p>
                          <w:p>
                            <w:pPr>
                              <w:pStyle w:val="TextBody"/>
                              <w:bidi w:val="0"/>
                              <w:spacing w:before="0" w:after="120"/>
                              <w:jc w:val="left"/>
                              <w:rPr>
                                <w:rFonts w:ascii="Georgia;Times;Serif" w:hAnsi="Georgia;Times;Serif"/>
                                <w:b w:val="false"/>
                                <w:i w:val="false"/>
                                <w:caps w:val="false"/>
                                <w:smallCaps w:val="false"/>
                                <w:sz w:val="16"/>
                              </w:rPr>
                            </w:pPr>
                            <w:r>
                              <w:rPr>
                                <w:rFonts w:ascii="Georgia;Times;Serif" w:hAnsi="Georgia;Times;Serif"/>
                                <w:b w:val="false"/>
                                <w:i w:val="false"/>
                                <w:caps w:val="false"/>
                                <w:smallCaps w:val="false"/>
                                <w:sz w:val="16"/>
                              </w:rPr>
                              <w:t>If the securities priced on the date of the accompanying preliminary pricing supplement, the estimated value of the securities would be approximately $970.80 per security. The estimated value of the securities, when the terms of the securities are set, will be provided in the pricing supplement and will not be less than $940.00 per security. See “The Estimated Value of the Securities” in the preliminary pricing supplement for additional information.</w:t>
                            </w:r>
                          </w:p>
                          <w:p>
                            <w:pPr>
                              <w:pStyle w:val="TextBody"/>
                              <w:bidi w:val="0"/>
                              <w:spacing w:before="0" w:after="60"/>
                              <w:jc w:val="left"/>
                              <w:rPr/>
                            </w:pPr>
                            <w:r>
                              <w:rPr>
                                <w:rFonts w:ascii="Georgia;Times;Serif" w:hAnsi="Georgia;Times;Serif"/>
                                <w:b w:val="false"/>
                                <w:i w:val="false"/>
                                <w:caps w:val="false"/>
                                <w:smallCaps w:val="false"/>
                                <w:sz w:val="16"/>
                              </w:rPr>
                              <w:t>Preliminary Pricing Supplement:</w:t>
                              <w:br/>
                            </w:r>
                            <w:hyperlink r:id="rId4">
                              <w:r>
                                <w:rPr>
                                  <w:rStyle w:val="InternetLink"/>
                                  <w:rFonts w:ascii="Georgia;Times;Serif" w:hAnsi="Georgia;Times;Serif"/>
                                  <w:b w:val="false"/>
                                  <w:i w:val="false"/>
                                  <w:caps w:val="false"/>
                                  <w:smallCaps w:val="false"/>
                                  <w:sz w:val="16"/>
                                </w:rPr>
                                <w:t>http://www.sec.gov/Archives/edgar/data/19617/000121390026095813/</w:t>
                                <w:br/>
                                <w:t>ea0304118-01_424b2.htm</w:t>
                              </w:r>
                            </w:hyperlink>
                          </w:p>
                        </w:txbxContent>
                      </wps:txbx>
                      <wps:bodyPr anchor="t" lIns="0" tIns="0" rIns="0" bIns="0">
                        <a:noAutofit/>
                      </wps:bodyPr>
                    </wps:wsp>
                  </a:graphicData>
                </a:graphic>
                <wp14:sizeRelH relativeFrom="margin">
                  <wp14:pctWidth>48000</wp14:pctWidth>
                </wp14:sizeRelH>
              </wp:anchor>
            </w:drawing>
          </mc:Choice>
          <mc:Fallback>
            <w:pict>
              <v:rect style="position:absolute;rotation:-0;width:244.9pt;height:497.45pt;mso-wrap-distance-left:0pt;mso-wrap-distance-right:0pt;mso-wrap-distance-top:0pt;mso-wrap-distance-bottom:0pt;margin-top:0pt;mso-position-vertical:top;mso-position-vertical-relative:text;margin-left:265.35pt;mso-position-horizontal:right;mso-position-horizontal-relative:text">
                <v:textbox>
                  <w:txbxContent>
                    <w:p>
                      <w:pPr>
                        <w:pStyle w:val="TextBody"/>
                        <w:bidi w:val="0"/>
                        <w:jc w:val="left"/>
                        <w:rPr>
                          <w:rFonts w:ascii="Verdana;Helvetica;Sans-Serif" w:hAnsi="Verdana;Helvetica;Sans-Serif"/>
                          <w:b w:val="false"/>
                          <w:i w:val="false"/>
                          <w:caps w:val="false"/>
                          <w:smallCaps w:val="false"/>
                          <w:color w:val="8F8F8F"/>
                          <w:sz w:val="26"/>
                        </w:rPr>
                      </w:pPr>
                      <w:r>
                        <w:rPr>
                          <w:rFonts w:ascii="Verdana;Helvetica;Sans-Serif" w:hAnsi="Verdana;Helvetica;Sans-Serif"/>
                          <w:b w:val="false"/>
                          <w:i w:val="false"/>
                          <w:caps w:val="false"/>
                          <w:smallCaps w:val="false"/>
                          <w:color w:val="8F8F8F"/>
                          <w:sz w:val="26"/>
                        </w:rPr>
                        <w:t>Hypothetical Payout Profile*</w:t>
                      </w:r>
                    </w:p>
                    <w:p>
                      <w:pPr>
                        <w:pStyle w:val="TextBody"/>
                        <w:bidi w:val="0"/>
                        <w:spacing w:before="60" w:after="40"/>
                        <w:ind w:left="0" w:right="0" w:hanging="0"/>
                        <w:jc w:val="left"/>
                        <w:rPr>
                          <w:caps w:val="false"/>
                          <w:smallCaps w:val="false"/>
                        </w:rPr>
                      </w:pPr>
                      <w:r>
                        <w:rPr>
                          <w:caps w:val="false"/>
                          <w:smallCaps w:val="false"/>
                        </w:rPr>
                        <w:drawing>
                          <wp:inline distT="0" distB="0" distL="0" distR="0">
                            <wp:extent cx="3200400" cy="2038350"/>
                            <wp:effectExtent l="0" t="0" r="0" b="0"/>
                            <wp:docPr id="5"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2" descr=""/>
                                    <pic:cNvPicPr>
                                      <a:picLocks noChangeAspect="1" noChangeArrowheads="1"/>
                                    </pic:cNvPicPr>
                                  </pic:nvPicPr>
                                  <pic:blipFill>
                                    <a:blip r:embed="rId5"/>
                                    <a:stretch>
                                      <a:fillRect/>
                                    </a:stretch>
                                  </pic:blipFill>
                                  <pic:spPr bwMode="auto">
                                    <a:xfrm>
                                      <a:off x="0" y="0"/>
                                      <a:ext cx="3200400" cy="2038350"/>
                                    </a:xfrm>
                                    <a:prstGeom prst="rect">
                                      <a:avLst/>
                                    </a:prstGeom>
                                  </pic:spPr>
                                </pic:pic>
                              </a:graphicData>
                            </a:graphic>
                          </wp:inline>
                        </w:drawing>
                      </w:r>
                    </w:p>
                    <w:p>
                      <w:pPr>
                        <w:pStyle w:val="TextBody"/>
                        <w:bidi w:val="0"/>
                        <w:spacing w:before="0" w:after="60"/>
                        <w:jc w:val="left"/>
                        <w:rPr>
                          <w:rFonts w:ascii="Georgia;Times;Serif" w:hAnsi="Georgia;Times;Serif"/>
                          <w:b w:val="false"/>
                          <w:i w:val="false"/>
                          <w:caps w:val="false"/>
                          <w:smallCaps w:val="false"/>
                          <w:sz w:val="16"/>
                        </w:rPr>
                      </w:pPr>
                      <w:r>
                        <w:rPr>
                          <w:rFonts w:ascii="Georgia;Times;Serif" w:hAnsi="Georgia;Times;Serif"/>
                          <w:b w:val="false"/>
                          <w:i w:val="false"/>
                          <w:caps w:val="false"/>
                          <w:smallCaps w:val="false"/>
                          <w:sz w:val="16"/>
                        </w:rPr>
                        <w:t>*Assumes a contingent fixed return equal to the minimum contingent fixed return</w:t>
                      </w:r>
                    </w:p>
                    <w:p>
                      <w:pPr>
                        <w:pStyle w:val="TextBody"/>
                        <w:bidi w:val="0"/>
                        <w:spacing w:before="0" w:after="60"/>
                        <w:jc w:val="left"/>
                        <w:rPr>
                          <w:caps w:val="false"/>
                          <w:smallCaps w:val="false"/>
                        </w:rPr>
                      </w:pPr>
                      <w:r>
                        <w:rPr>
                          <w:caps w:val="false"/>
                          <w:smallCaps w:val="false"/>
                        </w:rPr>
                        <w:t> </w:t>
                      </w:r>
                    </w:p>
                    <w:p>
                      <w:pPr>
                        <w:pStyle w:val="TextBody"/>
                        <w:bidi w:val="0"/>
                        <w:spacing w:before="0" w:after="60"/>
                        <w:jc w:val="left"/>
                        <w:rPr>
                          <w:rFonts w:ascii="Georgia;Times;Serif" w:hAnsi="Georgia;Times;Serif"/>
                          <w:b/>
                          <w:i w:val="false"/>
                          <w:caps w:val="false"/>
                          <w:smallCaps w:val="false"/>
                          <w:sz w:val="16"/>
                        </w:rPr>
                      </w:pPr>
                      <w:r>
                        <w:rPr>
                          <w:rFonts w:ascii="Georgia;Times;Serif" w:hAnsi="Georgia;Times;Serif"/>
                          <w:b/>
                          <w:i w:val="false"/>
                          <w:caps w:val="false"/>
                          <w:smallCaps w:val="false"/>
                          <w:sz w:val="16"/>
                        </w:rPr>
                        <w:t>If the ending price is less than the threshold price, you will have full downside exposure to the decrease in the price of the Underlying Stock from the starting price and will lose more than 40%, and possibly all, of the principal amount of your securities at maturity.</w:t>
                      </w:r>
                    </w:p>
                    <w:p>
                      <w:pPr>
                        <w:pStyle w:val="TextBody"/>
                        <w:bidi w:val="0"/>
                        <w:spacing w:before="0" w:after="60"/>
                        <w:jc w:val="left"/>
                        <w:rPr>
                          <w:caps w:val="false"/>
                          <w:smallCaps w:val="false"/>
                        </w:rPr>
                      </w:pPr>
                      <w:r>
                        <w:rPr>
                          <w:caps w:val="false"/>
                          <w:smallCaps w:val="false"/>
                        </w:rPr>
                        <w:t> </w:t>
                      </w:r>
                    </w:p>
                    <w:p>
                      <w:pPr>
                        <w:pStyle w:val="TextBody"/>
                        <w:bidi w:val="0"/>
                        <w:spacing w:before="0" w:after="60"/>
                        <w:jc w:val="left"/>
                        <w:rPr>
                          <w:rFonts w:ascii="Georgia;Times;Serif" w:hAnsi="Georgia;Times;Serif"/>
                          <w:b w:val="false"/>
                          <w:i w:val="false"/>
                          <w:caps w:val="false"/>
                          <w:smallCaps w:val="false"/>
                          <w:sz w:val="16"/>
                        </w:rPr>
                      </w:pPr>
                      <w:r>
                        <w:rPr>
                          <w:rFonts w:ascii="Georgia;Times;Serif" w:hAnsi="Georgia;Times;Serif"/>
                          <w:b w:val="false"/>
                          <w:i w:val="false"/>
                          <w:caps w:val="false"/>
                          <w:smallCaps w:val="false"/>
                          <w:sz w:val="16"/>
                        </w:rPr>
                        <w:t xml:space="preserve">The securities are unsecured and unsubordinated obligations of JPMorgan Chase Financial Company LLC, which we refer to as JPMorgan Financial, the payment on which is fully and unconditionally guaranteed by JPMorgan Chase &amp; Co. </w:t>
                      </w:r>
                      <w:r>
                        <w:rPr>
                          <w:rFonts w:ascii="Georgia;Times;Serif" w:hAnsi="Georgia;Times;Serif"/>
                          <w:b/>
                          <w:i w:val="false"/>
                          <w:caps w:val="false"/>
                          <w:smallCaps w:val="false"/>
                          <w:sz w:val="16"/>
                        </w:rPr>
                        <w:t>Any payment on the securities is subject to the credit risk of JPMorgan Financial, as issuer of the securities, and the credit risk of JPMorgan Chase &amp; Co., as guarantor of the securities.</w:t>
                      </w:r>
                    </w:p>
                    <w:p>
                      <w:pPr>
                        <w:pStyle w:val="TextBody"/>
                        <w:bidi w:val="0"/>
                        <w:spacing w:before="0" w:after="60"/>
                        <w:jc w:val="left"/>
                        <w:rPr>
                          <w:caps w:val="false"/>
                          <w:smallCaps w:val="false"/>
                        </w:rPr>
                      </w:pPr>
                      <w:r>
                        <w:rPr>
                          <w:caps w:val="false"/>
                          <w:smallCaps w:val="false"/>
                        </w:rPr>
                        <w:t> </w:t>
                      </w:r>
                    </w:p>
                    <w:p>
                      <w:pPr>
                        <w:pStyle w:val="TextBody"/>
                        <w:bidi w:val="0"/>
                        <w:spacing w:before="0" w:after="120"/>
                        <w:jc w:val="left"/>
                        <w:rPr>
                          <w:rFonts w:ascii="Georgia;Times;Serif" w:hAnsi="Georgia;Times;Serif"/>
                          <w:b w:val="false"/>
                          <w:i w:val="false"/>
                          <w:caps w:val="false"/>
                          <w:smallCaps w:val="false"/>
                          <w:sz w:val="16"/>
                        </w:rPr>
                      </w:pPr>
                      <w:r>
                        <w:rPr>
                          <w:rFonts w:ascii="Georgia;Times;Serif" w:hAnsi="Georgia;Times;Serif"/>
                          <w:b w:val="false"/>
                          <w:i w:val="false"/>
                          <w:caps w:val="false"/>
                          <w:smallCaps w:val="false"/>
                          <w:sz w:val="16"/>
                        </w:rPr>
                        <w:t>If the securities priced on the date of the accompanying preliminary pricing supplement, the estimated value of the securities would be approximately $970.80 per security. The estimated value of the securities, when the terms of the securities are set, will be provided in the pricing supplement and will not be less than $940.00 per security. See “The Estimated Value of the Securities” in the preliminary pricing supplement for additional information.</w:t>
                      </w:r>
                    </w:p>
                    <w:p>
                      <w:pPr>
                        <w:pStyle w:val="TextBody"/>
                        <w:bidi w:val="0"/>
                        <w:spacing w:before="0" w:after="60"/>
                        <w:jc w:val="left"/>
                        <w:rPr/>
                      </w:pPr>
                      <w:r>
                        <w:rPr>
                          <w:rFonts w:ascii="Georgia;Times;Serif" w:hAnsi="Georgia;Times;Serif"/>
                          <w:b w:val="false"/>
                          <w:i w:val="false"/>
                          <w:caps w:val="false"/>
                          <w:smallCaps w:val="false"/>
                          <w:sz w:val="16"/>
                        </w:rPr>
                        <w:t>Preliminary Pricing Supplement:</w:t>
                        <w:br/>
                      </w:r>
                      <w:hyperlink r:id="rId6">
                        <w:r>
                          <w:rPr>
                            <w:rStyle w:val="InternetLink"/>
                            <w:rFonts w:ascii="Georgia;Times;Serif" w:hAnsi="Georgia;Times;Serif"/>
                            <w:b w:val="false"/>
                            <w:i w:val="false"/>
                            <w:caps w:val="false"/>
                            <w:smallCaps w:val="false"/>
                            <w:sz w:val="16"/>
                          </w:rPr>
                          <w:t>http://www.sec.gov/Archives/edgar/data/19617/000121390026095813/</w:t>
                          <w:br/>
                          <w:t>ea0304118-01_424b2.htm</w:t>
                        </w:r>
                      </w:hyperlink>
                    </w:p>
                  </w:txbxContent>
                </v:textbox>
                <w10:wrap type="square" side="left"/>
              </v:rect>
            </w:pict>
          </mc:Fallback>
        </mc:AlternateContent>
      </w:r>
    </w:p>
    <w:p>
      <w:pPr>
        <w:pStyle w:val="TextBody"/>
        <w:bidi w:val="0"/>
        <w:spacing w:before="60" w:after="60"/>
        <w:ind w:left="60" w:right="60" w:hanging="0"/>
        <w:jc w:val="left"/>
        <w:rPr>
          <w:rFonts w:ascii="Georgia;Times;Serif" w:hAnsi="Georgia;Times;Serif"/>
          <w:b w:val="false"/>
          <w:i/>
          <w:caps w:val="false"/>
          <w:smallCaps w:val="false"/>
          <w:sz w:val="16"/>
        </w:rPr>
      </w:pPr>
      <w:r>
        <w:rPr>
          <w:rFonts w:ascii="Georgia;Times;Serif" w:hAnsi="Georgia;Times;Serif"/>
          <w:b w:val="false"/>
          <w:i/>
          <w:caps w:val="false"/>
          <w:smallCaps w:val="false"/>
          <w:sz w:val="16"/>
        </w:rPr>
        <w:t>The securities are not bank deposits, are not insured by the Federal Deposit Insurance Corporation or any other governmental agency and are not obligations of, or guaranteed by, a bank.</w:t>
      </w:r>
    </w:p>
    <w:p>
      <w:pPr>
        <w:pStyle w:val="TextBody"/>
        <w:pBdr>
          <w:top w:val="single" w:sz="4" w:space="1" w:color="7F7F7F"/>
        </w:pBdr>
        <w:bidi w:val="0"/>
        <w:spacing w:before="80" w:after="80"/>
        <w:ind w:left="80" w:right="80" w:hanging="0"/>
        <w:jc w:val="left"/>
        <w:rPr>
          <w:rFonts w:ascii="Georgia;Times;Serif" w:hAnsi="Georgia;Times;Serif"/>
          <w:b w:val="false"/>
          <w:i w:val="false"/>
          <w:caps w:val="false"/>
          <w:smallCaps w:val="false"/>
          <w:sz w:val="16"/>
        </w:rPr>
      </w:pPr>
      <w:r>
        <w:rPr>
          <w:rFonts w:ascii="Georgia;Times;Serif" w:hAnsi="Georgia;Times;Serif"/>
          <w:b/>
          <w:i w:val="false"/>
          <w:caps w:val="false"/>
          <w:smallCaps w:val="false"/>
          <w:color w:val="C00000"/>
          <w:sz w:val="16"/>
        </w:rPr>
        <w:t xml:space="preserve">THIS FACT SHEET DOES NOT PROVIDE ALL OF THE INFORMATION THAT AN INVESTOR SHOULD CONSIDER PRIOR TO MAKING AN INVESTMENT DECISION. </w:t>
      </w:r>
      <w:r>
        <w:rPr>
          <w:rFonts w:ascii="Georgia;Times;Serif" w:hAnsi="Georgia;Times;Serif"/>
          <w:b/>
          <w:i w:val="false"/>
          <w:caps w:val="false"/>
          <w:smallCaps w:val="false"/>
          <w:sz w:val="16"/>
        </w:rPr>
        <w:t>This fact sheet should be read in conjunction with the accompanying preliminary pricing supplement, prospectus, prospectus supplement and product supplement.</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p>
      <w:pPr>
        <w:pStyle w:val="TextBody"/>
        <w:bidi w:val="0"/>
        <w:spacing w:before="60" w:after="144"/>
        <w:ind w:left="60" w:right="60" w:hanging="0"/>
        <w:jc w:val="left"/>
        <w:rPr>
          <w:rFonts w:ascii="Georgia;Times;Serif" w:hAnsi="Georgia;Times;Serif"/>
          <w:b w:val="false"/>
          <w:i w:val="false"/>
          <w:caps w:val="false"/>
          <w:smallCaps w:val="false"/>
          <w:color w:val="8F8F8F"/>
          <w:sz w:val="28"/>
        </w:rPr>
      </w:pPr>
      <w:r>
        <w:rPr>
          <w:rFonts w:ascii="Georgia;Times;Serif" w:hAnsi="Georgia;Times;Serif"/>
          <w:b w:val="false"/>
          <w:i w:val="false"/>
          <w:caps w:val="false"/>
          <w:smallCaps w:val="false"/>
          <w:color w:val="8F8F8F"/>
          <w:sz w:val="28"/>
        </w:rPr>
        <w:t>Selected Risk Considerations</w:t>
      </w:r>
    </w:p>
    <w:p>
      <w:pPr>
        <w:pStyle w:val="TextBody"/>
        <w:bidi w:val="0"/>
        <w:spacing w:before="20" w:after="120"/>
        <w:ind w:left="20" w:right="20" w:hanging="0"/>
        <w:jc w:val="left"/>
        <w:rPr>
          <w:rFonts w:ascii="Georgia;Times;Serif" w:hAnsi="Georgia;Times;Serif"/>
          <w:b w:val="false"/>
          <w:i w:val="false"/>
          <w:caps w:val="false"/>
          <w:smallCaps w:val="false"/>
          <w:sz w:val="18"/>
        </w:rPr>
      </w:pPr>
      <w:r>
        <w:rPr>
          <w:rFonts w:ascii="Georgia;Times;Serif" w:hAnsi="Georgia;Times;Serif"/>
          <w:b w:val="false"/>
          <w:i w:val="false"/>
          <w:caps w:val="false"/>
          <w:smallCaps w:val="false"/>
          <w:sz w:val="18"/>
        </w:rPr>
        <w:t>The risks set forth below are discussed in detail in the “Selected Risk Considerations” section in the accompanying preliminary pricing supplement and the “Risk Factors” sections in the accompanying prospectus supplement and product supplement. Please review the risk disclosure carefully.</w:t>
      </w:r>
    </w:p>
    <w:tbl>
      <w:tblPr>
        <w:tblW w:w="10205" w:type="dxa"/>
        <w:jc w:val="left"/>
        <w:tblInd w:w="0" w:type="dxa"/>
        <w:tblLayout w:type="fixed"/>
        <w:tblCellMar>
          <w:top w:w="0" w:type="dxa"/>
          <w:left w:w="0" w:type="dxa"/>
          <w:bottom w:w="0" w:type="dxa"/>
          <w:right w:w="0" w:type="dxa"/>
        </w:tblCellMar>
      </w:tblPr>
      <w:tblGrid>
        <w:gridCol w:w="3978"/>
        <w:gridCol w:w="6227"/>
      </w:tblGrid>
      <w:tr>
        <w:trPr/>
        <w:tc>
          <w:tcPr>
            <w:tcW w:w="3978" w:type="dxa"/>
            <w:tcBorders/>
            <w:vAlign w:val="center"/>
          </w:tcPr>
          <w:p>
            <w:pPr>
              <w:pStyle w:val="TableContents"/>
              <w:bidi w:val="0"/>
              <w:spacing w:before="0" w:after="40"/>
              <w:ind w:left="389" w:right="0" w:hanging="389"/>
              <w:jc w:val="left"/>
              <w:rPr>
                <w:rFonts w:ascii="Georgia;Times;Serif" w:hAnsi="Georgia;Times;Serif"/>
                <w:b w:val="false"/>
                <w:i w:val="false"/>
                <w:caps w:val="false"/>
                <w:smallCaps w:val="false"/>
                <w:sz w:val="18"/>
              </w:rPr>
            </w:pPr>
            <w:r>
              <w:rPr>
                <w:rFonts w:ascii="Symbol" w:hAnsi="Symbol"/>
                <w:b w:val="false"/>
                <w:i w:val="false"/>
                <w:caps w:val="false"/>
                <w:smallCaps w:val="false"/>
                <w:sz w:val="18"/>
              </w:rPr>
              <w:t>·</w:t>
            </w:r>
            <w:r>
              <w:rPr>
                <w:rFonts w:ascii="Georgia;Times;Serif" w:hAnsi="Georgia;Times;Serif"/>
                <w:b w:val="false"/>
                <w:i w:val="false"/>
                <w:caps w:val="false"/>
                <w:smallCaps w:val="false"/>
                <w:sz w:val="18"/>
              </w:rPr>
              <w:t>      </w:t>
            </w:r>
            <w:r>
              <w:rPr>
                <w:rFonts w:ascii="Georgia;Times;Serif" w:hAnsi="Georgia;Times;Serif"/>
                <w:b/>
                <w:i w:val="false"/>
                <w:caps w:val="false"/>
                <w:smallCaps w:val="false"/>
                <w:sz w:val="18"/>
              </w:rPr>
              <w:t>If the Ending Price Is Less Than the Threshold Price, You Will Lose More Than 40%, and Possibly All, of the Principal Amount of Your Securities at Maturity.</w:t>
            </w:r>
          </w:p>
          <w:p>
            <w:pPr>
              <w:pStyle w:val="TableContents"/>
              <w:bidi w:val="0"/>
              <w:spacing w:before="0" w:after="40"/>
              <w:ind w:left="389" w:right="0" w:hanging="389"/>
              <w:jc w:val="left"/>
              <w:rPr>
                <w:rFonts w:ascii="Georgia;Times;Serif" w:hAnsi="Georgia;Times;Serif"/>
                <w:b w:val="false"/>
                <w:i w:val="false"/>
                <w:caps w:val="false"/>
                <w:smallCaps w:val="false"/>
                <w:sz w:val="18"/>
              </w:rPr>
            </w:pPr>
            <w:r>
              <w:rPr>
                <w:rFonts w:ascii="Symbol" w:hAnsi="Symbol"/>
                <w:b w:val="false"/>
                <w:i w:val="false"/>
                <w:caps w:val="false"/>
                <w:smallCaps w:val="false"/>
                <w:sz w:val="18"/>
              </w:rPr>
              <w:t>·</w:t>
            </w:r>
            <w:r>
              <w:rPr>
                <w:rFonts w:ascii="Georgia;Times;Serif" w:hAnsi="Georgia;Times;Serif"/>
                <w:b w:val="false"/>
                <w:i w:val="false"/>
                <w:caps w:val="false"/>
                <w:smallCaps w:val="false"/>
                <w:sz w:val="18"/>
              </w:rPr>
              <w:t>      </w:t>
            </w:r>
            <w:r>
              <w:rPr>
                <w:rFonts w:ascii="Georgia;Times;Serif" w:hAnsi="Georgia;Times;Serif"/>
                <w:b/>
                <w:i w:val="false"/>
                <w:caps w:val="false"/>
                <w:smallCaps w:val="false"/>
                <w:sz w:val="18"/>
              </w:rPr>
              <w:t>The Potential Return on the Securities Is Limited to the Contingent Fixed Return and May Be Lower Than the Return on a Direct Investment in the Underlying Stock.</w:t>
            </w:r>
          </w:p>
          <w:p>
            <w:pPr>
              <w:pStyle w:val="TableContents"/>
              <w:bidi w:val="0"/>
              <w:spacing w:before="0" w:after="40"/>
              <w:ind w:left="389" w:right="0" w:hanging="389"/>
              <w:jc w:val="left"/>
              <w:rPr>
                <w:rFonts w:ascii="Georgia;Times;Serif" w:hAnsi="Georgia;Times;Serif"/>
                <w:b w:val="false"/>
                <w:i w:val="false"/>
                <w:caps w:val="false"/>
                <w:smallCaps w:val="false"/>
                <w:sz w:val="18"/>
              </w:rPr>
            </w:pPr>
            <w:r>
              <w:rPr>
                <w:rFonts w:ascii="Symbol" w:hAnsi="Symbol"/>
                <w:b w:val="false"/>
                <w:i w:val="false"/>
                <w:caps w:val="false"/>
                <w:smallCaps w:val="false"/>
                <w:sz w:val="18"/>
              </w:rPr>
              <w:t>·</w:t>
            </w:r>
            <w:r>
              <w:rPr>
                <w:rFonts w:ascii="Georgia;Times;Serif" w:hAnsi="Georgia;Times;Serif"/>
                <w:b w:val="false"/>
                <w:i w:val="false"/>
                <w:caps w:val="false"/>
                <w:smallCaps w:val="false"/>
                <w:sz w:val="18"/>
              </w:rPr>
              <w:t>      </w:t>
            </w:r>
            <w:r>
              <w:rPr>
                <w:rFonts w:ascii="Georgia;Times;Serif" w:hAnsi="Georgia;Times;Serif"/>
                <w:b/>
                <w:i w:val="false"/>
                <w:caps w:val="false"/>
                <w:smallCaps w:val="false"/>
                <w:sz w:val="18"/>
              </w:rPr>
              <w:t>Your Ability to Receive the Contingent Fixed Return May Terminate on the Calculation Day.</w:t>
            </w:r>
          </w:p>
          <w:p>
            <w:pPr>
              <w:pStyle w:val="TableContents"/>
              <w:bidi w:val="0"/>
              <w:spacing w:before="0" w:after="40"/>
              <w:ind w:left="389" w:right="0" w:hanging="389"/>
              <w:jc w:val="left"/>
              <w:rPr>
                <w:rFonts w:ascii="Georgia;Times;Serif" w:hAnsi="Georgia;Times;Serif"/>
                <w:b w:val="false"/>
                <w:i w:val="false"/>
                <w:caps w:val="false"/>
                <w:smallCaps w:val="false"/>
                <w:sz w:val="18"/>
              </w:rPr>
            </w:pPr>
            <w:r>
              <w:rPr>
                <w:rFonts w:ascii="Symbol" w:hAnsi="Symbol"/>
                <w:b w:val="false"/>
                <w:i w:val="false"/>
                <w:caps w:val="false"/>
                <w:smallCaps w:val="false"/>
                <w:sz w:val="18"/>
              </w:rPr>
              <w:t>·</w:t>
            </w:r>
            <w:r>
              <w:rPr>
                <w:rFonts w:ascii="Georgia;Times;Serif" w:hAnsi="Georgia;Times;Serif"/>
                <w:b w:val="false"/>
                <w:i w:val="false"/>
                <w:caps w:val="false"/>
                <w:smallCaps w:val="false"/>
                <w:sz w:val="18"/>
              </w:rPr>
              <w:t>      </w:t>
            </w:r>
            <w:r>
              <w:rPr>
                <w:rFonts w:ascii="Georgia;Times;Serif" w:hAnsi="Georgia;Times;Serif"/>
                <w:b/>
                <w:i w:val="false"/>
                <w:caps w:val="false"/>
                <w:smallCaps w:val="false"/>
                <w:sz w:val="18"/>
              </w:rPr>
              <w:t>The Securities Are Subject to the Credit Risks of JPMorgan Financial and JPMorgan Chase &amp; Co.</w:t>
            </w:r>
          </w:p>
          <w:p>
            <w:pPr>
              <w:pStyle w:val="TableContents"/>
              <w:bidi w:val="0"/>
              <w:spacing w:before="0" w:after="40"/>
              <w:ind w:left="389" w:right="0" w:hanging="389"/>
              <w:jc w:val="left"/>
              <w:rPr>
                <w:rFonts w:ascii="Georgia;Times;Serif" w:hAnsi="Georgia;Times;Serif"/>
                <w:b w:val="false"/>
                <w:i w:val="false"/>
                <w:caps w:val="false"/>
                <w:smallCaps w:val="false"/>
                <w:sz w:val="18"/>
              </w:rPr>
            </w:pPr>
            <w:r>
              <w:rPr>
                <w:rFonts w:ascii="Symbol" w:hAnsi="Symbol"/>
                <w:b w:val="false"/>
                <w:i w:val="false"/>
                <w:caps w:val="false"/>
                <w:smallCaps w:val="false"/>
                <w:sz w:val="18"/>
              </w:rPr>
              <w:t>·</w:t>
            </w:r>
            <w:r>
              <w:rPr>
                <w:rFonts w:ascii="Georgia;Times;Serif" w:hAnsi="Georgia;Times;Serif"/>
                <w:b w:val="false"/>
                <w:i w:val="false"/>
                <w:caps w:val="false"/>
                <w:smallCaps w:val="false"/>
                <w:sz w:val="18"/>
              </w:rPr>
              <w:t>      </w:t>
            </w:r>
            <w:r>
              <w:rPr>
                <w:rFonts w:ascii="Georgia;Times;Serif" w:hAnsi="Georgia;Times;Serif"/>
                <w:b/>
                <w:i w:val="false"/>
                <w:caps w:val="false"/>
                <w:smallCaps w:val="false"/>
                <w:sz w:val="18"/>
              </w:rPr>
              <w:t>As a Finance Subsidiary, JPMorgan Financial Has No Independent Activities and Has Limited Assets.</w:t>
            </w:r>
          </w:p>
          <w:p>
            <w:pPr>
              <w:pStyle w:val="TableContents"/>
              <w:bidi w:val="0"/>
              <w:spacing w:before="0" w:after="40"/>
              <w:ind w:left="389" w:right="0" w:hanging="389"/>
              <w:jc w:val="left"/>
              <w:rPr>
                <w:rFonts w:ascii="Georgia;Times;Serif" w:hAnsi="Georgia;Times;Serif"/>
                <w:b w:val="false"/>
                <w:i w:val="false"/>
                <w:caps w:val="false"/>
                <w:smallCaps w:val="false"/>
                <w:sz w:val="18"/>
              </w:rPr>
            </w:pPr>
            <w:r>
              <w:rPr>
                <w:rFonts w:ascii="Symbol" w:hAnsi="Symbol"/>
                <w:b w:val="false"/>
                <w:i w:val="false"/>
                <w:caps w:val="false"/>
                <w:smallCaps w:val="false"/>
                <w:sz w:val="18"/>
              </w:rPr>
              <w:t>·</w:t>
            </w:r>
            <w:r>
              <w:rPr>
                <w:rFonts w:ascii="Georgia;Times;Serif" w:hAnsi="Georgia;Times;Serif"/>
                <w:b w:val="false"/>
                <w:i w:val="false"/>
                <w:caps w:val="false"/>
                <w:smallCaps w:val="false"/>
                <w:sz w:val="18"/>
              </w:rPr>
              <w:t>      </w:t>
            </w:r>
            <w:r>
              <w:rPr>
                <w:rFonts w:ascii="Georgia;Times;Serif" w:hAnsi="Georgia;Times;Serif"/>
                <w:b/>
                <w:i w:val="false"/>
                <w:caps w:val="false"/>
                <w:smallCaps w:val="false"/>
                <w:sz w:val="18"/>
              </w:rPr>
              <w:t>The Benefit Provided by the Threshold Price May Terminate on the Calculation Day.</w:t>
            </w:r>
          </w:p>
          <w:p>
            <w:pPr>
              <w:pStyle w:val="TableContents"/>
              <w:bidi w:val="0"/>
              <w:spacing w:before="0" w:after="40"/>
              <w:ind w:left="389" w:right="0" w:hanging="389"/>
              <w:jc w:val="left"/>
              <w:rPr>
                <w:rFonts w:ascii="Georgia;Times;Serif" w:hAnsi="Georgia;Times;Serif"/>
                <w:b w:val="false"/>
                <w:i w:val="false"/>
                <w:caps w:val="false"/>
                <w:smallCaps w:val="false"/>
                <w:sz w:val="18"/>
              </w:rPr>
            </w:pPr>
            <w:r>
              <w:rPr>
                <w:rFonts w:ascii="Symbol" w:hAnsi="Symbol"/>
                <w:b w:val="false"/>
                <w:i w:val="false"/>
                <w:caps w:val="false"/>
                <w:smallCaps w:val="false"/>
                <w:sz w:val="18"/>
              </w:rPr>
              <w:t>·</w:t>
            </w:r>
            <w:r>
              <w:rPr>
                <w:rFonts w:ascii="Georgia;Times;Serif" w:hAnsi="Georgia;Times;Serif"/>
                <w:b w:val="false"/>
                <w:i w:val="false"/>
                <w:caps w:val="false"/>
                <w:smallCaps w:val="false"/>
                <w:sz w:val="18"/>
              </w:rPr>
              <w:t>      </w:t>
            </w:r>
            <w:r>
              <w:rPr>
                <w:rFonts w:ascii="Georgia;Times;Serif" w:hAnsi="Georgia;Times;Serif"/>
                <w:b/>
                <w:i w:val="false"/>
                <w:caps w:val="false"/>
                <w:smallCaps w:val="false"/>
                <w:sz w:val="18"/>
              </w:rPr>
              <w:t>No Interest or Dividend Payments or Voting Rights</w:t>
            </w:r>
          </w:p>
          <w:p>
            <w:pPr>
              <w:pStyle w:val="TableContents"/>
              <w:bidi w:val="0"/>
              <w:spacing w:before="0" w:after="40"/>
              <w:ind w:left="389" w:right="0" w:hanging="389"/>
              <w:jc w:val="left"/>
              <w:rPr>
                <w:rFonts w:ascii="Georgia;Times;Serif" w:hAnsi="Georgia;Times;Serif"/>
                <w:b w:val="false"/>
                <w:i w:val="false"/>
                <w:caps w:val="false"/>
                <w:smallCaps w:val="false"/>
                <w:sz w:val="18"/>
              </w:rPr>
            </w:pPr>
            <w:r>
              <w:rPr>
                <w:rFonts w:ascii="Symbol" w:hAnsi="Symbol"/>
                <w:b w:val="false"/>
                <w:i w:val="false"/>
                <w:caps w:val="false"/>
                <w:smallCaps w:val="false"/>
                <w:sz w:val="18"/>
              </w:rPr>
              <w:t>·</w:t>
            </w:r>
            <w:r>
              <w:rPr>
                <w:rFonts w:ascii="Georgia;Times;Serif" w:hAnsi="Georgia;Times;Serif"/>
                <w:b w:val="false"/>
                <w:i w:val="false"/>
                <w:caps w:val="false"/>
                <w:smallCaps w:val="false"/>
                <w:sz w:val="18"/>
              </w:rPr>
              <w:t>      </w:t>
            </w:r>
            <w:r>
              <w:rPr>
                <w:rFonts w:ascii="Georgia;Times;Serif" w:hAnsi="Georgia;Times;Serif"/>
                <w:b/>
                <w:i w:val="false"/>
                <w:caps w:val="false"/>
                <w:smallCaps w:val="false"/>
                <w:sz w:val="18"/>
              </w:rPr>
              <w:t>Lack of Liquidity</w:t>
            </w:r>
          </w:p>
          <w:p>
            <w:pPr>
              <w:pStyle w:val="TableContents"/>
              <w:bidi w:val="0"/>
              <w:spacing w:before="0" w:after="40"/>
              <w:ind w:left="389" w:right="0" w:hanging="389"/>
              <w:jc w:val="left"/>
              <w:rPr>
                <w:rFonts w:ascii="Georgia;Times;Serif" w:hAnsi="Georgia;Times;Serif"/>
                <w:b w:val="false"/>
                <w:i w:val="false"/>
                <w:caps w:val="false"/>
                <w:smallCaps w:val="false"/>
                <w:sz w:val="18"/>
              </w:rPr>
            </w:pPr>
            <w:r>
              <w:rPr>
                <w:rFonts w:ascii="Symbol" w:hAnsi="Symbol"/>
                <w:b w:val="false"/>
                <w:i w:val="false"/>
                <w:caps w:val="false"/>
                <w:smallCaps w:val="false"/>
                <w:sz w:val="18"/>
              </w:rPr>
              <w:t>·</w:t>
            </w:r>
            <w:r>
              <w:rPr>
                <w:rFonts w:ascii="Georgia;Times;Serif" w:hAnsi="Georgia;Times;Serif"/>
                <w:b w:val="false"/>
                <w:i w:val="false"/>
                <w:caps w:val="false"/>
                <w:smallCaps w:val="false"/>
                <w:sz w:val="18"/>
              </w:rPr>
              <w:t>      </w:t>
            </w:r>
            <w:r>
              <w:rPr>
                <w:rFonts w:ascii="Georgia;Times;Serif" w:hAnsi="Georgia;Times;Serif"/>
                <w:b/>
                <w:i w:val="false"/>
                <w:caps w:val="false"/>
                <w:smallCaps w:val="false"/>
                <w:sz w:val="18"/>
              </w:rPr>
              <w:t>The Final Terms and Estimated Valuation of the Securities Will Be Provided in the Pricing Supplement.</w:t>
            </w:r>
          </w:p>
          <w:p>
            <w:pPr>
              <w:pStyle w:val="TableContents"/>
              <w:bidi w:val="0"/>
              <w:spacing w:before="0" w:after="40"/>
              <w:ind w:left="389" w:right="0" w:hanging="389"/>
              <w:jc w:val="left"/>
              <w:rPr>
                <w:rFonts w:ascii="Georgia;Times;Serif" w:hAnsi="Georgia;Times;Serif"/>
                <w:b w:val="false"/>
                <w:i w:val="false"/>
                <w:caps w:val="false"/>
                <w:smallCaps w:val="false"/>
                <w:sz w:val="18"/>
              </w:rPr>
            </w:pPr>
            <w:r>
              <w:rPr>
                <w:rFonts w:ascii="Symbol" w:hAnsi="Symbol"/>
                <w:b w:val="false"/>
                <w:i w:val="false"/>
                <w:caps w:val="false"/>
                <w:smallCaps w:val="false"/>
                <w:sz w:val="18"/>
              </w:rPr>
              <w:t>·</w:t>
            </w:r>
            <w:r>
              <w:rPr>
                <w:rFonts w:ascii="Georgia;Times;Serif" w:hAnsi="Georgia;Times;Serif"/>
                <w:b w:val="false"/>
                <w:i w:val="false"/>
                <w:caps w:val="false"/>
                <w:smallCaps w:val="false"/>
                <w:sz w:val="18"/>
              </w:rPr>
              <w:t>      </w:t>
            </w:r>
            <w:r>
              <w:rPr>
                <w:rFonts w:ascii="Georgia;Times;Serif" w:hAnsi="Georgia;Times;Serif"/>
                <w:b/>
                <w:i w:val="false"/>
                <w:caps w:val="false"/>
                <w:smallCaps w:val="false"/>
                <w:sz w:val="18"/>
              </w:rPr>
              <w:t>The U.S. Federal Tax Consequences of the Securities Are Uncertain, and May Be Adverse to a Holder of the Securities.</w:t>
            </w:r>
          </w:p>
          <w:p>
            <w:pPr>
              <w:pStyle w:val="TableContents"/>
              <w:bidi w:val="0"/>
              <w:spacing w:before="0" w:after="40"/>
              <w:ind w:left="389" w:right="0" w:hanging="389"/>
              <w:jc w:val="left"/>
              <w:rPr>
                <w:rFonts w:ascii="Georgia;Times;Serif" w:hAnsi="Georgia;Times;Serif"/>
                <w:b w:val="false"/>
                <w:i w:val="false"/>
                <w:caps w:val="false"/>
                <w:smallCaps w:val="false"/>
                <w:sz w:val="18"/>
              </w:rPr>
            </w:pPr>
            <w:r>
              <w:rPr>
                <w:rFonts w:ascii="Symbol" w:hAnsi="Symbol"/>
                <w:b w:val="false"/>
                <w:i w:val="false"/>
                <w:caps w:val="false"/>
                <w:smallCaps w:val="false"/>
                <w:sz w:val="18"/>
              </w:rPr>
              <w:t>·</w:t>
            </w:r>
            <w:r>
              <w:rPr>
                <w:rFonts w:ascii="Georgia;Times;Serif" w:hAnsi="Georgia;Times;Serif"/>
                <w:b w:val="false"/>
                <w:i w:val="false"/>
                <w:caps w:val="false"/>
                <w:smallCaps w:val="false"/>
                <w:sz w:val="18"/>
              </w:rPr>
              <w:t>      </w:t>
            </w:r>
            <w:r>
              <w:rPr>
                <w:rFonts w:ascii="Georgia;Times;Serif" w:hAnsi="Georgia;Times;Serif"/>
                <w:b/>
                <w:i w:val="false"/>
                <w:caps w:val="false"/>
                <w:smallCaps w:val="false"/>
                <w:sz w:val="18"/>
              </w:rPr>
              <w:t>Potential Conflicts</w:t>
            </w:r>
          </w:p>
          <w:p>
            <w:pPr>
              <w:pStyle w:val="TableContents"/>
              <w:bidi w:val="0"/>
              <w:spacing w:before="0" w:after="40"/>
              <w:ind w:left="389" w:right="0" w:hanging="389"/>
              <w:jc w:val="left"/>
              <w:rPr>
                <w:rFonts w:ascii="Georgia;Times;Serif" w:hAnsi="Georgia;Times;Serif"/>
                <w:b w:val="false"/>
                <w:i w:val="false"/>
                <w:caps w:val="false"/>
                <w:smallCaps w:val="false"/>
                <w:sz w:val="18"/>
              </w:rPr>
            </w:pPr>
            <w:r>
              <w:rPr>
                <w:rFonts w:ascii="Symbol" w:hAnsi="Symbol"/>
                <w:b w:val="false"/>
                <w:i w:val="false"/>
                <w:caps w:val="false"/>
                <w:smallCaps w:val="false"/>
                <w:sz w:val="18"/>
              </w:rPr>
              <w:t>·</w:t>
            </w:r>
            <w:r>
              <w:rPr>
                <w:rFonts w:ascii="Georgia;Times;Serif" w:hAnsi="Georgia;Times;Serif"/>
                <w:b w:val="false"/>
                <w:i w:val="false"/>
                <w:caps w:val="false"/>
                <w:smallCaps w:val="false"/>
                <w:sz w:val="18"/>
              </w:rPr>
              <w:t>      </w:t>
            </w:r>
            <w:r>
              <w:rPr>
                <w:rFonts w:ascii="Georgia;Times;Serif" w:hAnsi="Georgia;Times;Serif"/>
                <w:b/>
                <w:i w:val="false"/>
                <w:caps w:val="false"/>
                <w:smallCaps w:val="false"/>
                <w:sz w:val="18"/>
              </w:rPr>
              <w:t>The Estimated Value of the Securities Will Be Lower Than the Original Issue Price (Price to Public) of the Securities.</w:t>
            </w:r>
          </w:p>
          <w:p>
            <w:pPr>
              <w:pStyle w:val="TableContents"/>
              <w:bidi w:val="0"/>
              <w:spacing w:before="0" w:after="40"/>
              <w:ind w:left="360" w:right="0" w:hanging="0"/>
              <w:jc w:val="left"/>
              <w:rPr>
                <w:caps w:val="false"/>
                <w:smallCaps w:val="false"/>
              </w:rPr>
            </w:pPr>
            <w:r>
              <w:rPr>
                <w:caps w:val="false"/>
                <w:smallCaps w:val="false"/>
              </w:rPr>
              <w:t> </w:t>
            </w:r>
          </w:p>
        </w:tc>
        <w:tc>
          <w:tcPr>
            <w:tcW w:w="6227" w:type="dxa"/>
            <w:tcBorders/>
            <w:vAlign w:val="center"/>
          </w:tcPr>
          <w:p>
            <w:pPr>
              <w:pStyle w:val="TableContents"/>
              <w:bidi w:val="0"/>
              <w:spacing w:before="0" w:after="40"/>
              <w:ind w:left="389" w:right="0" w:hanging="389"/>
              <w:jc w:val="left"/>
              <w:rPr>
                <w:rFonts w:ascii="Georgia;Times;Serif" w:hAnsi="Georgia;Times;Serif"/>
                <w:b w:val="false"/>
                <w:i w:val="false"/>
                <w:caps w:val="false"/>
                <w:smallCaps w:val="false"/>
                <w:sz w:val="18"/>
              </w:rPr>
            </w:pPr>
            <w:r>
              <w:rPr>
                <w:rFonts w:ascii="Symbol" w:hAnsi="Symbol"/>
                <w:b w:val="false"/>
                <w:i w:val="false"/>
                <w:caps w:val="false"/>
                <w:smallCaps w:val="false"/>
                <w:sz w:val="18"/>
              </w:rPr>
              <w:t>·</w:t>
            </w:r>
            <w:r>
              <w:rPr>
                <w:rFonts w:ascii="Georgia;Times;Serif" w:hAnsi="Georgia;Times;Serif"/>
                <w:b w:val="false"/>
                <w:i w:val="false"/>
                <w:caps w:val="false"/>
                <w:smallCaps w:val="false"/>
                <w:sz w:val="18"/>
              </w:rPr>
              <w:t>      </w:t>
            </w:r>
            <w:r>
              <w:rPr>
                <w:rFonts w:ascii="Georgia;Times;Serif" w:hAnsi="Georgia;Times;Serif"/>
                <w:b/>
                <w:i w:val="false"/>
                <w:caps w:val="false"/>
                <w:smallCaps w:val="false"/>
                <w:sz w:val="18"/>
              </w:rPr>
              <w:t>The Estimated Value of the Securities Does Not Represent Future Values of the Securities and May Differ from Others’ Estimates.</w:t>
            </w:r>
          </w:p>
          <w:p>
            <w:pPr>
              <w:pStyle w:val="TableContents"/>
              <w:bidi w:val="0"/>
              <w:spacing w:before="0" w:after="40"/>
              <w:ind w:left="389" w:right="0" w:hanging="389"/>
              <w:jc w:val="left"/>
              <w:rPr>
                <w:rFonts w:ascii="Georgia;Times;Serif" w:hAnsi="Georgia;Times;Serif"/>
                <w:b w:val="false"/>
                <w:i w:val="false"/>
                <w:caps w:val="false"/>
                <w:smallCaps w:val="false"/>
                <w:sz w:val="18"/>
              </w:rPr>
            </w:pPr>
            <w:r>
              <w:rPr>
                <w:rFonts w:ascii="Symbol" w:hAnsi="Symbol"/>
                <w:b w:val="false"/>
                <w:i w:val="false"/>
                <w:caps w:val="false"/>
                <w:smallCaps w:val="false"/>
                <w:sz w:val="18"/>
              </w:rPr>
              <w:t>·</w:t>
            </w:r>
            <w:r>
              <w:rPr>
                <w:rFonts w:ascii="Georgia;Times;Serif" w:hAnsi="Georgia;Times;Serif"/>
                <w:b w:val="false"/>
                <w:i w:val="false"/>
                <w:caps w:val="false"/>
                <w:smallCaps w:val="false"/>
                <w:sz w:val="18"/>
              </w:rPr>
              <w:t>      </w:t>
            </w:r>
            <w:r>
              <w:rPr>
                <w:rFonts w:ascii="Georgia;Times;Serif" w:hAnsi="Georgia;Times;Serif"/>
                <w:b/>
                <w:i w:val="false"/>
                <w:caps w:val="false"/>
                <w:smallCaps w:val="false"/>
                <w:sz w:val="18"/>
              </w:rPr>
              <w:t>The Estimated Value of the Securities Is Derived by Reference to an Internal Funding Rate.</w:t>
            </w:r>
          </w:p>
          <w:p>
            <w:pPr>
              <w:pStyle w:val="TableContents"/>
              <w:bidi w:val="0"/>
              <w:spacing w:before="0" w:after="40"/>
              <w:ind w:left="389" w:right="0" w:hanging="389"/>
              <w:jc w:val="left"/>
              <w:rPr>
                <w:rFonts w:ascii="Georgia;Times;Serif" w:hAnsi="Georgia;Times;Serif"/>
                <w:b w:val="false"/>
                <w:i w:val="false"/>
                <w:caps w:val="false"/>
                <w:smallCaps w:val="false"/>
                <w:sz w:val="18"/>
              </w:rPr>
            </w:pPr>
            <w:r>
              <w:rPr>
                <w:rFonts w:ascii="Symbol" w:hAnsi="Symbol"/>
                <w:b w:val="false"/>
                <w:i w:val="false"/>
                <w:caps w:val="false"/>
                <w:smallCaps w:val="false"/>
                <w:sz w:val="18"/>
              </w:rPr>
              <w:t>·</w:t>
            </w:r>
            <w:r>
              <w:rPr>
                <w:rFonts w:ascii="Georgia;Times;Serif" w:hAnsi="Georgia;Times;Serif"/>
                <w:b w:val="false"/>
                <w:i w:val="false"/>
                <w:caps w:val="false"/>
                <w:smallCaps w:val="false"/>
                <w:sz w:val="18"/>
              </w:rPr>
              <w:t>      </w:t>
            </w:r>
            <w:r>
              <w:rPr>
                <w:rFonts w:ascii="Georgia;Times;Serif" w:hAnsi="Georgia;Times;Serif"/>
                <w:b/>
                <w:i w:val="false"/>
                <w:caps w:val="false"/>
                <w:smallCaps w:val="false"/>
                <w:sz w:val="18"/>
              </w:rPr>
              <w:t>The Value of the Securities as Published by JPMS (and Which May Be Reflected on Customer Account Statements) May Be Higher Than the Then-Current Estimated Value of the Securities for a Limited Time Period.</w:t>
            </w:r>
          </w:p>
          <w:p>
            <w:pPr>
              <w:pStyle w:val="TableContents"/>
              <w:bidi w:val="0"/>
              <w:spacing w:before="0" w:after="40"/>
              <w:ind w:left="389" w:right="0" w:hanging="389"/>
              <w:jc w:val="left"/>
              <w:rPr>
                <w:rFonts w:ascii="Georgia;Times;Serif" w:hAnsi="Georgia;Times;Serif"/>
                <w:b w:val="false"/>
                <w:i w:val="false"/>
                <w:caps w:val="false"/>
                <w:smallCaps w:val="false"/>
                <w:sz w:val="18"/>
              </w:rPr>
            </w:pPr>
            <w:r>
              <w:rPr>
                <w:rFonts w:ascii="Symbol" w:hAnsi="Symbol"/>
                <w:b w:val="false"/>
                <w:i w:val="false"/>
                <w:caps w:val="false"/>
                <w:smallCaps w:val="false"/>
                <w:sz w:val="18"/>
              </w:rPr>
              <w:t>·</w:t>
            </w:r>
            <w:r>
              <w:rPr>
                <w:rFonts w:ascii="Georgia;Times;Serif" w:hAnsi="Georgia;Times;Serif"/>
                <w:b w:val="false"/>
                <w:i w:val="false"/>
                <w:caps w:val="false"/>
                <w:smallCaps w:val="false"/>
                <w:sz w:val="18"/>
              </w:rPr>
              <w:t>      </w:t>
            </w:r>
            <w:r>
              <w:rPr>
                <w:rFonts w:ascii="Georgia;Times;Serif" w:hAnsi="Georgia;Times;Serif"/>
                <w:b/>
                <w:i w:val="false"/>
                <w:caps w:val="false"/>
                <w:smallCaps w:val="false"/>
                <w:sz w:val="18"/>
              </w:rPr>
              <w:t>Secondary Market Prices of the Securities Will Likely Be Lower Than the Original Issue Price of the Securities.</w:t>
            </w:r>
          </w:p>
          <w:p>
            <w:pPr>
              <w:pStyle w:val="TableContents"/>
              <w:bidi w:val="0"/>
              <w:spacing w:before="0" w:after="40"/>
              <w:ind w:left="389" w:right="0" w:hanging="389"/>
              <w:jc w:val="left"/>
              <w:rPr>
                <w:rFonts w:ascii="Georgia;Times;Serif" w:hAnsi="Georgia;Times;Serif"/>
                <w:b w:val="false"/>
                <w:i w:val="false"/>
                <w:caps w:val="false"/>
                <w:smallCaps w:val="false"/>
                <w:sz w:val="18"/>
              </w:rPr>
            </w:pPr>
            <w:r>
              <w:rPr>
                <w:rFonts w:ascii="Symbol" w:hAnsi="Symbol"/>
                <w:b w:val="false"/>
                <w:i w:val="false"/>
                <w:caps w:val="false"/>
                <w:smallCaps w:val="false"/>
                <w:sz w:val="18"/>
              </w:rPr>
              <w:t>·</w:t>
            </w:r>
            <w:r>
              <w:rPr>
                <w:rFonts w:ascii="Georgia;Times;Serif" w:hAnsi="Georgia;Times;Serif"/>
                <w:b w:val="false"/>
                <w:i w:val="false"/>
                <w:caps w:val="false"/>
                <w:smallCaps w:val="false"/>
                <w:sz w:val="18"/>
              </w:rPr>
              <w:t>      </w:t>
            </w:r>
            <w:r>
              <w:rPr>
                <w:rFonts w:ascii="Georgia;Times;Serif" w:hAnsi="Georgia;Times;Serif"/>
                <w:b/>
                <w:i w:val="false"/>
                <w:caps w:val="false"/>
                <w:smallCaps w:val="false"/>
                <w:sz w:val="18"/>
              </w:rPr>
              <w:t>Many Economic and Market Factors Will Impact the Value of the Securities.</w:t>
            </w:r>
          </w:p>
          <w:p>
            <w:pPr>
              <w:pStyle w:val="TableContents"/>
              <w:bidi w:val="0"/>
              <w:spacing w:before="0" w:after="40"/>
              <w:ind w:left="389" w:right="0" w:hanging="389"/>
              <w:jc w:val="left"/>
              <w:rPr>
                <w:rFonts w:ascii="Georgia;Times;Serif" w:hAnsi="Georgia;Times;Serif"/>
                <w:b w:val="false"/>
                <w:i w:val="false"/>
                <w:caps w:val="false"/>
                <w:smallCaps w:val="false"/>
                <w:sz w:val="18"/>
              </w:rPr>
            </w:pPr>
            <w:r>
              <w:rPr>
                <w:rFonts w:ascii="Symbol" w:hAnsi="Symbol"/>
                <w:b w:val="false"/>
                <w:i w:val="false"/>
                <w:caps w:val="false"/>
                <w:smallCaps w:val="false"/>
                <w:sz w:val="18"/>
              </w:rPr>
              <w:t>·</w:t>
            </w:r>
            <w:r>
              <w:rPr>
                <w:rFonts w:ascii="Georgia;Times;Serif" w:hAnsi="Georgia;Times;Serif"/>
                <w:b w:val="false"/>
                <w:i w:val="false"/>
                <w:caps w:val="false"/>
                <w:smallCaps w:val="false"/>
                <w:sz w:val="18"/>
              </w:rPr>
              <w:t>      </w:t>
            </w:r>
            <w:r>
              <w:rPr>
                <w:rFonts w:ascii="Georgia;Times;Serif" w:hAnsi="Georgia;Times;Serif"/>
                <w:b/>
                <w:i w:val="false"/>
                <w:caps w:val="false"/>
                <w:smallCaps w:val="false"/>
                <w:sz w:val="18"/>
              </w:rPr>
              <w:t>No Affiliation with the Underlying Stock Issuer</w:t>
            </w:r>
          </w:p>
          <w:p>
            <w:pPr>
              <w:pStyle w:val="TableContents"/>
              <w:bidi w:val="0"/>
              <w:spacing w:before="0" w:after="40"/>
              <w:ind w:left="389" w:right="0" w:hanging="389"/>
              <w:jc w:val="left"/>
              <w:rPr>
                <w:rFonts w:ascii="Georgia;Times;Serif" w:hAnsi="Georgia;Times;Serif"/>
                <w:b w:val="false"/>
                <w:i w:val="false"/>
                <w:caps w:val="false"/>
                <w:smallCaps w:val="false"/>
                <w:sz w:val="18"/>
              </w:rPr>
            </w:pPr>
            <w:r>
              <w:rPr>
                <w:rFonts w:ascii="Symbol" w:hAnsi="Symbol"/>
                <w:b w:val="false"/>
                <w:i w:val="false"/>
                <w:caps w:val="false"/>
                <w:smallCaps w:val="false"/>
                <w:sz w:val="18"/>
              </w:rPr>
              <w:t>·</w:t>
            </w:r>
            <w:r>
              <w:rPr>
                <w:rFonts w:ascii="Georgia;Times;Serif" w:hAnsi="Georgia;Times;Serif"/>
                <w:b w:val="false"/>
                <w:i w:val="false"/>
                <w:caps w:val="false"/>
                <w:smallCaps w:val="false"/>
                <w:sz w:val="18"/>
              </w:rPr>
              <w:t>      </w:t>
            </w:r>
            <w:r>
              <w:rPr>
                <w:rFonts w:ascii="Georgia;Times;Serif" w:hAnsi="Georgia;Times;Serif"/>
                <w:b/>
                <w:i w:val="false"/>
                <w:caps w:val="false"/>
                <w:smallCaps w:val="false"/>
                <w:sz w:val="18"/>
              </w:rPr>
              <w:t>The Anti-Dilution Protection Is Limited and May Be Discretionary.</w:t>
            </w:r>
          </w:p>
          <w:p>
            <w:pPr>
              <w:pStyle w:val="TableContents"/>
              <w:bidi w:val="0"/>
              <w:spacing w:before="0" w:after="40"/>
              <w:ind w:left="389" w:right="0" w:hanging="389"/>
              <w:jc w:val="left"/>
              <w:rPr>
                <w:rFonts w:ascii="Georgia;Times;Serif" w:hAnsi="Georgia;Times;Serif"/>
                <w:b w:val="false"/>
                <w:i w:val="false"/>
                <w:caps w:val="false"/>
                <w:smallCaps w:val="false"/>
                <w:sz w:val="18"/>
              </w:rPr>
            </w:pPr>
            <w:r>
              <w:rPr>
                <w:rFonts w:ascii="Symbol" w:hAnsi="Symbol"/>
                <w:b w:val="false"/>
                <w:i w:val="false"/>
                <w:caps w:val="false"/>
                <w:smallCaps w:val="false"/>
                <w:sz w:val="18"/>
              </w:rPr>
              <w:t>·</w:t>
            </w:r>
            <w:r>
              <w:rPr>
                <w:rFonts w:ascii="Georgia;Times;Serif" w:hAnsi="Georgia;Times;Serif"/>
                <w:b w:val="false"/>
                <w:i w:val="false"/>
                <w:caps w:val="false"/>
                <w:smallCaps w:val="false"/>
                <w:sz w:val="18"/>
              </w:rPr>
              <w:t>      </w:t>
            </w:r>
            <w:r>
              <w:rPr>
                <w:rFonts w:ascii="Georgia;Times;Serif" w:hAnsi="Georgia;Times;Serif"/>
                <w:b/>
                <w:i w:val="false"/>
                <w:caps w:val="false"/>
                <w:smallCaps w:val="false"/>
                <w:sz w:val="18"/>
              </w:rPr>
              <w:t>The Maturity Payment Amount Will Depend upon the Performance of the Underlying Stock and Therefore the Securities Are Subject to the Risks Associated with the Underlying Stock, Each as Discussed in the Accompanying Preliminary Pricing Supplement and Product Supplement.</w:t>
            </w:r>
          </w:p>
          <w:p>
            <w:pPr>
              <w:pStyle w:val="TableContents"/>
              <w:bidi w:val="0"/>
              <w:spacing w:before="0" w:after="40"/>
              <w:ind w:left="360" w:right="0" w:hanging="0"/>
              <w:jc w:val="left"/>
              <w:rPr>
                <w:caps w:val="false"/>
                <w:smallCaps w:val="false"/>
              </w:rPr>
            </w:pPr>
            <w:r>
              <w:rPr>
                <w:caps w:val="false"/>
                <w:smallCaps w:val="false"/>
              </w:rPr>
              <w:t> </w:t>
            </w:r>
          </w:p>
        </w:tc>
      </w:tr>
    </w:tbl>
    <w:p>
      <w:pPr>
        <w:pStyle w:val="TextBody"/>
        <w:bidi w:val="0"/>
        <w:spacing w:before="0" w:after="120"/>
        <w:jc w:val="left"/>
        <w:rPr>
          <w:caps w:val="false"/>
          <w:smallCaps w:val="false"/>
          <w:color w:val="8F8F8F"/>
        </w:rPr>
      </w:pPr>
      <w:r>
        <w:rPr>
          <w:caps w:val="false"/>
          <w:smallCaps w:val="false"/>
          <w:color w:val="8F8F8F"/>
        </w:rPr>
        <w:t> </w:t>
      </w:r>
    </w:p>
    <w:p>
      <w:pPr>
        <w:pStyle w:val="TextBody"/>
        <w:bidi w:val="0"/>
        <w:spacing w:before="0" w:after="120"/>
        <w:jc w:val="left"/>
        <w:rPr>
          <w:caps w:val="false"/>
          <w:smallCaps w:val="false"/>
          <w:color w:val="8F8F8F"/>
        </w:rPr>
      </w:pPr>
      <w:r>
        <w:rPr>
          <w:caps w:val="false"/>
          <w:smallCaps w:val="false"/>
          <w:color w:val="8F8F8F"/>
        </w:rPr>
        <w:t> </w:t>
      </w:r>
    </w:p>
    <w:p>
      <w:pPr>
        <w:pStyle w:val="TextBody"/>
        <w:bidi w:val="0"/>
        <w:spacing w:before="0" w:after="120"/>
        <w:jc w:val="left"/>
        <w:rPr>
          <w:caps w:val="false"/>
          <w:smallCaps w:val="false"/>
          <w:color w:val="8F8F8F"/>
        </w:rPr>
      </w:pPr>
      <w:r>
        <w:rPr>
          <w:caps w:val="false"/>
          <w:smallCaps w:val="false"/>
          <w:color w:val="8F8F8F"/>
        </w:rPr>
        <w:t> </w:t>
      </w:r>
    </w:p>
    <w:p>
      <w:pPr>
        <w:pStyle w:val="TextBody"/>
        <w:bidi w:val="0"/>
        <w:spacing w:before="0" w:after="120"/>
        <w:jc w:val="left"/>
        <w:rPr>
          <w:caps w:val="false"/>
          <w:smallCaps w:val="false"/>
          <w:color w:val="8F8F8F"/>
        </w:rPr>
      </w:pPr>
      <w:r>
        <w:rPr>
          <w:caps w:val="false"/>
          <w:smallCaps w:val="false"/>
          <w:color w:val="8F8F8F"/>
        </w:rPr>
        <w:t> </w:t>
      </w:r>
    </w:p>
    <w:p>
      <w:pPr>
        <w:pStyle w:val="TextBody"/>
        <w:bidi w:val="0"/>
        <w:spacing w:before="0" w:after="120"/>
        <w:jc w:val="left"/>
        <w:rPr>
          <w:caps w:val="false"/>
          <w:smallCaps w:val="false"/>
          <w:color w:val="8F8F8F"/>
        </w:rPr>
      </w:pPr>
      <w:r>
        <w:rPr>
          <w:caps w:val="false"/>
          <w:smallCaps w:val="false"/>
          <w:color w:val="8F8F8F"/>
        </w:rPr>
        <w:t> </w:t>
      </w:r>
    </w:p>
    <w:p>
      <w:pPr>
        <w:pStyle w:val="TextBody"/>
        <w:bidi w:val="0"/>
        <w:spacing w:before="0" w:after="120"/>
        <w:jc w:val="left"/>
        <w:rPr>
          <w:rFonts w:ascii="Georgia;Times;Serif" w:hAnsi="Georgia;Times;Serif"/>
          <w:b w:val="false"/>
          <w:i w:val="false"/>
          <w:caps w:val="false"/>
          <w:smallCaps w:val="false"/>
          <w:color w:val="8F8F8F"/>
          <w:sz w:val="18"/>
        </w:rPr>
      </w:pPr>
      <w:r>
        <w:rPr>
          <w:rFonts w:ascii="Georgia;Times;Serif" w:hAnsi="Georgia;Times;Serif"/>
          <w:b w:val="false"/>
          <w:i w:val="false"/>
          <w:caps w:val="false"/>
          <w:smallCaps w:val="false"/>
          <w:color w:val="8F8F8F"/>
          <w:sz w:val="18"/>
        </w:rPr>
        <w:t>SEC Legend: JPMorgan Chase Financial Company LLC and JPMorgan Chase &amp; Co. have filed a registration statement (including a prospectus) with the SEC for any offerings to which these materials relate. Before you invest, you should read the prospectus in that registration statement and the other documents relating to this offering that JPMorgan Chase Financial Company LLC and JPMorgan Chase &amp; Co. has filed with the SEC for more complete information about JPMorgan Chase Financial Company LLC and JPMorgan Chase &amp; Co. and this offering. You may get these documents without cost by visiting EDGAR on the SEC web site at www.sec.gov. Alternatively, JPMorgan Chase Financial Company LLC and JPMorgan Chase &amp; Co., any agent or any dealer participating in this offering will arrange to send you the prospectus and each prospectus supplement as well as any product supplement and preliminary pricing supplement if you so request by calling toll-free 1-866-535-9248.</w:t>
      </w:r>
    </w:p>
    <w:p>
      <w:pPr>
        <w:pStyle w:val="TextBody"/>
        <w:bidi w:val="0"/>
        <w:spacing w:before="0" w:after="60"/>
        <w:jc w:val="left"/>
        <w:rPr>
          <w:rFonts w:ascii="Georgia;Times;Serif" w:hAnsi="Georgia;Times;Serif"/>
          <w:b w:val="false"/>
          <w:i w:val="false"/>
          <w:caps w:val="false"/>
          <w:smallCaps w:val="false"/>
          <w:color w:val="8F8F8F"/>
          <w:sz w:val="18"/>
        </w:rPr>
      </w:pPr>
      <w:r>
        <w:rPr>
          <w:rFonts w:ascii="Georgia;Times;Serif" w:hAnsi="Georgia;Times;Serif"/>
          <w:b w:val="false"/>
          <w:i w:val="false"/>
          <w:caps w:val="false"/>
          <w:smallCaps w:val="false"/>
          <w:color w:val="8F8F8F"/>
          <w:sz w:val="18"/>
        </w:rPr>
        <w:t>As used in this fact sheet, “we,” “us” and “our” refer to JPMorgan Financial Company LLC. Wells Fargo Advisors is a trade name used by Wells Fargo Clearing Services, LLC and Wells Fargo Advisors Financial Network, LLC, members SIPC, separate registered broker-dealers and non-bank affiliates of Wells Fargo &amp; Company.</w:t>
      </w:r>
    </w:p>
    <w:p>
      <w:pPr>
        <w:pStyle w:val="TextBody"/>
        <w:bidi w:val="0"/>
        <w:spacing w:before="0" w:after="60"/>
        <w:ind w:left="0" w:right="0" w:hanging="0"/>
        <w:jc w:val="left"/>
        <w:rPr>
          <w:caps w:val="false"/>
          <w:smallCaps w:val="false"/>
          <w:color w:val="8F8F8F"/>
        </w:rPr>
      </w:pPr>
      <w:r>
        <w:rPr>
          <w:caps w:val="false"/>
          <w:smallCaps w:val="false"/>
          <w:color w:val="8F8F8F"/>
        </w:rPr>
        <w:t> </w:t>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Verdana">
    <w:altName w:val="Helvetica"/>
    <w:charset w:val="01"/>
    <w:family w:val="auto"/>
    <w:pitch w:val="default"/>
  </w:font>
  <w:font w:name="Georgia">
    <w:altName w:val="Times"/>
    <w:charset w:val="01"/>
    <w:family w:val="auto"/>
    <w:pitch w:val="default"/>
  </w:font>
  <w:font w:name="Symbol">
    <w:charset w:val="02"/>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image" Target="media/image2.jpeg"/><Relationship Id="rId4" Type="http://schemas.openxmlformats.org/officeDocument/2006/relationships/hyperlink" Target="http://www.sec.gov/Archives/edgar/data/19617/000121390026095813/ea0304118-01_424b2.htm" TargetMode="External"/><Relationship Id="rId5" Type="http://schemas.openxmlformats.org/officeDocument/2006/relationships/image" Target="media/image2.jpeg"/><Relationship Id="rId6" Type="http://schemas.openxmlformats.org/officeDocument/2006/relationships/hyperlink" Target="http://www.sec.gov/Archives/edgar/data/19617/000121390026095813/ea0304118-01_424b2.htm" TargetMode="External"/><Relationship Id="rId7" Type="http://schemas.openxmlformats.org/officeDocument/2006/relationships/fontTable" Target="fontTable.xml"/><Relationship Id="rId8"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1267</Words>
  <Characters>6891</Characters>
  <CharactersWithSpaces>8198</CharactersWithSpaces>
  <Paragraphs>102</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