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186055</wp:posOffset>
            </wp:positionV>
            <wp:extent cx="27774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201930</wp:posOffset>
            </wp:positionV>
            <wp:extent cx="2777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Date of Report (date of earliest event reported): January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231775</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JPMorgan Chase &amp; Co.</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182880</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tbl>
      <w:tblPr>
        <w:tblLayout w:type="fixed"/>
        <w:tblInd w:w="2620" w:type="dxa"/>
        <w:tblCellMar>
          <w:top w:w="0" w:type="dxa"/>
          <w:left w:w="0" w:type="dxa"/>
          <w:bottom w:w="0" w:type="dxa"/>
          <w:right w:w="0" w:type="dxa"/>
        </w:tblCellMar>
      </w:tblPr>
      <w:tr>
        <w:trPr>
          <w:trHeight w:val="172"/>
        </w:trPr>
        <w:tc>
          <w:tcPr>
            <w:tcW w:w="2500" w:type="dxa"/>
            <w:vAlign w:val="bottom"/>
          </w:tcPr>
          <w:p>
            <w:pPr>
              <w:jc w:val="center"/>
              <w:ind w:right="77"/>
              <w:spacing w:after="0"/>
              <w:rPr>
                <w:sz w:val="20"/>
                <w:szCs w:val="20"/>
                <w:color w:val="auto"/>
              </w:rPr>
            </w:pPr>
            <w:r>
              <w:rPr>
                <w:rFonts w:ascii="Arial" w:cs="Arial" w:eastAsia="Arial" w:hAnsi="Arial"/>
                <w:sz w:val="13"/>
                <w:szCs w:val="13"/>
                <w:b w:val="1"/>
                <w:bCs w:val="1"/>
                <w:color w:val="auto"/>
                <w:w w:val="98"/>
              </w:rPr>
              <w:t>Delaware</w:t>
            </w:r>
          </w:p>
        </w:tc>
        <w:tc>
          <w:tcPr>
            <w:tcW w:w="1580" w:type="dxa"/>
            <w:vAlign w:val="bottom"/>
          </w:tcPr>
          <w:p>
            <w:pPr>
              <w:jc w:val="center"/>
              <w:ind w:right="197"/>
              <w:spacing w:after="0"/>
              <w:rPr>
                <w:sz w:val="20"/>
                <w:szCs w:val="20"/>
                <w:color w:val="auto"/>
              </w:rPr>
            </w:pPr>
            <w:r>
              <w:rPr>
                <w:rFonts w:ascii="Arial" w:cs="Arial" w:eastAsia="Arial" w:hAnsi="Arial"/>
                <w:sz w:val="13"/>
                <w:szCs w:val="13"/>
                <w:b w:val="1"/>
                <w:bCs w:val="1"/>
                <w:color w:val="auto"/>
                <w:w w:val="98"/>
              </w:rPr>
              <w:t>1-5805</w:t>
            </w:r>
          </w:p>
        </w:tc>
        <w:tc>
          <w:tcPr>
            <w:tcW w:w="1440" w:type="dxa"/>
            <w:vAlign w:val="bottom"/>
          </w:tcPr>
          <w:p>
            <w:pPr>
              <w:jc w:val="right"/>
              <w:ind w:right="137"/>
              <w:spacing w:after="0"/>
              <w:rPr>
                <w:sz w:val="20"/>
                <w:szCs w:val="20"/>
                <w:color w:val="auto"/>
              </w:rPr>
            </w:pPr>
            <w:r>
              <w:rPr>
                <w:rFonts w:ascii="Arial" w:cs="Arial" w:eastAsia="Arial" w:hAnsi="Arial"/>
                <w:sz w:val="13"/>
                <w:szCs w:val="13"/>
                <w:b w:val="1"/>
                <w:bCs w:val="1"/>
                <w:color w:val="auto"/>
              </w:rPr>
              <w:t>13-2624428</w:t>
            </w:r>
          </w:p>
        </w:tc>
      </w:tr>
      <w:tr>
        <w:trPr>
          <w:trHeight w:val="130"/>
        </w:trPr>
        <w:tc>
          <w:tcPr>
            <w:tcW w:w="2500" w:type="dxa"/>
            <w:vAlign w:val="bottom"/>
          </w:tcPr>
          <w:p>
            <w:pPr>
              <w:jc w:val="center"/>
              <w:ind w:right="77"/>
              <w:spacing w:after="0" w:line="129" w:lineRule="exact"/>
              <w:rPr>
                <w:sz w:val="20"/>
                <w:szCs w:val="20"/>
                <w:color w:val="auto"/>
              </w:rPr>
            </w:pPr>
            <w:r>
              <w:rPr>
                <w:rFonts w:ascii="Arial" w:cs="Arial" w:eastAsia="Arial" w:hAnsi="Arial"/>
                <w:sz w:val="13"/>
                <w:szCs w:val="13"/>
                <w:b w:val="1"/>
                <w:bCs w:val="1"/>
                <w:color w:val="auto"/>
                <w:w w:val="96"/>
              </w:rPr>
              <w:t>(State or other jurisdiction of</w:t>
            </w:r>
          </w:p>
        </w:tc>
        <w:tc>
          <w:tcPr>
            <w:tcW w:w="1580" w:type="dxa"/>
            <w:vAlign w:val="bottom"/>
          </w:tcPr>
          <w:p>
            <w:pPr>
              <w:jc w:val="center"/>
              <w:ind w:right="197"/>
              <w:spacing w:after="0" w:line="129" w:lineRule="exact"/>
              <w:rPr>
                <w:sz w:val="20"/>
                <w:szCs w:val="20"/>
                <w:color w:val="auto"/>
              </w:rPr>
            </w:pPr>
            <w:r>
              <w:rPr>
                <w:rFonts w:ascii="Arial" w:cs="Arial" w:eastAsia="Arial" w:hAnsi="Arial"/>
                <w:sz w:val="13"/>
                <w:szCs w:val="13"/>
                <w:b w:val="1"/>
                <w:bCs w:val="1"/>
                <w:color w:val="auto"/>
                <w:w w:val="95"/>
              </w:rPr>
              <w:t>(Commission File</w:t>
            </w:r>
          </w:p>
        </w:tc>
        <w:tc>
          <w:tcPr>
            <w:tcW w:w="1440" w:type="dxa"/>
            <w:vAlign w:val="bottom"/>
          </w:tcPr>
          <w:p>
            <w:pPr>
              <w:jc w:val="center"/>
              <w:ind w:left="317"/>
              <w:spacing w:after="0" w:line="129" w:lineRule="exact"/>
              <w:rPr>
                <w:sz w:val="20"/>
                <w:szCs w:val="20"/>
                <w:color w:val="auto"/>
              </w:rPr>
            </w:pPr>
            <w:r>
              <w:rPr>
                <w:rFonts w:ascii="Arial" w:cs="Arial" w:eastAsia="Arial" w:hAnsi="Arial"/>
                <w:sz w:val="13"/>
                <w:szCs w:val="13"/>
                <w:b w:val="1"/>
                <w:bCs w:val="1"/>
                <w:color w:val="auto"/>
                <w:w w:val="95"/>
              </w:rPr>
              <w:t>(I.R.S. employer</w:t>
            </w:r>
          </w:p>
        </w:tc>
      </w:tr>
      <w:tr>
        <w:trPr>
          <w:trHeight w:val="172"/>
        </w:trPr>
        <w:tc>
          <w:tcPr>
            <w:tcW w:w="250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incorporation or organization)</w:t>
            </w:r>
          </w:p>
        </w:tc>
        <w:tc>
          <w:tcPr>
            <w:tcW w:w="1580" w:type="dxa"/>
            <w:vAlign w:val="bottom"/>
          </w:tcPr>
          <w:p>
            <w:pPr>
              <w:jc w:val="center"/>
              <w:ind w:right="197"/>
              <w:spacing w:after="0"/>
              <w:rPr>
                <w:sz w:val="20"/>
                <w:szCs w:val="20"/>
                <w:color w:val="auto"/>
              </w:rPr>
            </w:pPr>
            <w:r>
              <w:rPr>
                <w:rFonts w:ascii="Arial" w:cs="Arial" w:eastAsia="Arial" w:hAnsi="Arial"/>
                <w:sz w:val="13"/>
                <w:szCs w:val="13"/>
                <w:b w:val="1"/>
                <w:bCs w:val="1"/>
                <w:color w:val="auto"/>
                <w:w w:val="97"/>
              </w:rPr>
              <w:t>Number)</w:t>
            </w:r>
          </w:p>
        </w:tc>
        <w:tc>
          <w:tcPr>
            <w:tcW w:w="1440" w:type="dxa"/>
            <w:vAlign w:val="bottom"/>
          </w:tcPr>
          <w:p>
            <w:pPr>
              <w:jc w:val="center"/>
              <w:ind w:left="317"/>
              <w:spacing w:after="0"/>
              <w:rPr>
                <w:sz w:val="20"/>
                <w:szCs w:val="20"/>
                <w:color w:val="auto"/>
              </w:rPr>
            </w:pPr>
            <w:r>
              <w:rPr>
                <w:rFonts w:ascii="Arial" w:cs="Arial" w:eastAsia="Arial" w:hAnsi="Arial"/>
                <w:sz w:val="13"/>
                <w:szCs w:val="13"/>
                <w:b w:val="1"/>
                <w:bCs w:val="1"/>
                <w:color w:val="auto"/>
                <w:w w:val="97"/>
              </w:rPr>
              <w:t>identification no.)</w:t>
            </w:r>
          </w:p>
        </w:tc>
      </w:tr>
      <w:tr>
        <w:trPr>
          <w:trHeight w:val="306"/>
        </w:trPr>
        <w:tc>
          <w:tcPr>
            <w:tcW w:w="250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383 Madison Avenue,</w:t>
            </w: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2500" w:type="dxa"/>
            <w:vAlign w:val="bottom"/>
          </w:tcPr>
          <w:p>
            <w:pPr>
              <w:ind w:left="540"/>
              <w:spacing w:after="0"/>
              <w:rPr>
                <w:sz w:val="20"/>
                <w:szCs w:val="20"/>
                <w:color w:val="auto"/>
              </w:rPr>
            </w:pPr>
            <w:r>
              <w:rPr>
                <w:rFonts w:ascii="Arial" w:cs="Arial" w:eastAsia="Arial" w:hAnsi="Arial"/>
                <w:sz w:val="13"/>
                <w:szCs w:val="13"/>
                <w:b w:val="1"/>
                <w:bCs w:val="1"/>
                <w:color w:val="auto"/>
              </w:rPr>
              <w:t>New York, New York</w:t>
            </w:r>
          </w:p>
        </w:tc>
        <w:tc>
          <w:tcPr>
            <w:tcW w:w="1580" w:type="dxa"/>
            <w:vAlign w:val="bottom"/>
          </w:tcPr>
          <w:p>
            <w:pPr>
              <w:spacing w:after="0"/>
              <w:rPr>
                <w:sz w:val="15"/>
                <w:szCs w:val="15"/>
                <w:color w:val="auto"/>
              </w:rPr>
            </w:pPr>
          </w:p>
        </w:tc>
        <w:tc>
          <w:tcPr>
            <w:tcW w:w="1440" w:type="dxa"/>
            <w:vAlign w:val="bottom"/>
          </w:tcPr>
          <w:p>
            <w:pPr>
              <w:jc w:val="right"/>
              <w:ind w:right="297"/>
              <w:spacing w:after="0"/>
              <w:rPr>
                <w:sz w:val="20"/>
                <w:szCs w:val="20"/>
                <w:color w:val="auto"/>
              </w:rPr>
            </w:pPr>
            <w:r>
              <w:rPr>
                <w:rFonts w:ascii="Arial" w:cs="Arial" w:eastAsia="Arial" w:hAnsi="Arial"/>
                <w:sz w:val="13"/>
                <w:szCs w:val="13"/>
                <w:b w:val="1"/>
                <w:bCs w:val="1"/>
                <w:color w:val="auto"/>
              </w:rPr>
              <w:t>10179</w:t>
            </w:r>
          </w:p>
        </w:tc>
      </w:tr>
      <w:tr>
        <w:trPr>
          <w:trHeight w:val="216"/>
        </w:trPr>
        <w:tc>
          <w:tcPr>
            <w:tcW w:w="2500" w:type="dxa"/>
            <w:vAlign w:val="bottom"/>
          </w:tcPr>
          <w:p>
            <w:pPr>
              <w:jc w:val="center"/>
              <w:ind w:right="77"/>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1580" w:type="dxa"/>
            <w:vAlign w:val="bottom"/>
          </w:tcPr>
          <w:p>
            <w:pPr>
              <w:spacing w:after="0"/>
              <w:rPr>
                <w:sz w:val="18"/>
                <w:szCs w:val="18"/>
                <w:color w:val="auto"/>
              </w:rPr>
            </w:pPr>
          </w:p>
        </w:tc>
        <w:tc>
          <w:tcPr>
            <w:tcW w:w="1440" w:type="dxa"/>
            <w:vAlign w:val="bottom"/>
          </w:tcPr>
          <w:p>
            <w:pPr>
              <w:jc w:val="center"/>
              <w:ind w:left="317"/>
              <w:spacing w:after="0"/>
              <w:rPr>
                <w:sz w:val="20"/>
                <w:szCs w:val="20"/>
                <w:color w:val="auto"/>
              </w:rPr>
            </w:pPr>
            <w:r>
              <w:rPr>
                <w:rFonts w:ascii="Arial" w:cs="Arial" w:eastAsia="Arial" w:hAnsi="Arial"/>
                <w:sz w:val="13"/>
                <w:szCs w:val="13"/>
                <w:b w:val="1"/>
                <w:bCs w:val="1"/>
                <w:color w:val="auto"/>
                <w:w w:val="96"/>
              </w:rPr>
              <w:t>(Zip Code)</w:t>
            </w:r>
          </w:p>
        </w:tc>
      </w:tr>
    </w:tbl>
    <w:p>
      <w:pPr>
        <w:spacing w:after="0" w:line="80"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 (212) 270-6000</w:t>
      </w:r>
    </w:p>
    <w:p>
      <w:pPr>
        <w:spacing w:after="0" w:line="11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Check the appropriate box below if the Form 8-K filing is intended to simultaneously satisfy the filing obligation of the registrant under any of the following provisions:</w:t>
      </w:r>
    </w:p>
    <w:p>
      <w:pPr>
        <w:spacing w:after="0" w:line="134"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Written communications pursuant to Rule 425 under the Securities Act (17 CFR 230.425)</w:t>
      </w:r>
    </w:p>
    <w:p>
      <w:pPr>
        <w:spacing w:after="0" w:line="147"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Soliciting material pursuant to Rule 14a-12 under the Exchange Act (17 CFR 240.14a-12)</w:t>
      </w:r>
    </w:p>
    <w:p>
      <w:pPr>
        <w:spacing w:after="0" w:line="134"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14d-2(b) under the Exchange Act (17 CFR 240.14d-2(b))</w:t>
      </w:r>
    </w:p>
    <w:p>
      <w:pPr>
        <w:spacing w:after="0" w:line="147"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13e-4(c) under the Exchange Act (17 CFR 240.13e-4(c))</w:t>
      </w:r>
    </w:p>
    <w:p>
      <w:pPr>
        <w:spacing w:after="0" w:line="116"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17" w:lineRule="exact"/>
        <w:rPr>
          <w:sz w:val="24"/>
          <w:szCs w:val="24"/>
          <w:color w:val="auto"/>
        </w:rPr>
      </w:pPr>
    </w:p>
    <w:tbl>
      <w:tblPr>
        <w:tblLayout w:type="fixed"/>
        <w:tblInd w:w="100" w:type="dxa"/>
        <w:tblCellMar>
          <w:top w:w="0" w:type="dxa"/>
          <w:left w:w="0" w:type="dxa"/>
          <w:bottom w:w="0" w:type="dxa"/>
          <w:right w:w="0" w:type="dxa"/>
        </w:tblCellMar>
      </w:tblPr>
      <w:tr>
        <w:trPr>
          <w:trHeight w:val="149"/>
        </w:trPr>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Title of each class</w:t>
            </w:r>
          </w:p>
        </w:tc>
        <w:tc>
          <w:tcPr>
            <w:tcW w:w="4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Trading Symbol(s)</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88"/>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Common stock</w:t>
            </w:r>
          </w:p>
        </w:tc>
        <w:tc>
          <w:tcPr>
            <w:tcW w:w="1700" w:type="dxa"/>
            <w:vAlign w:val="bottom"/>
            <w:gridSpan w:val="3"/>
          </w:tcPr>
          <w:p>
            <w:pPr>
              <w:ind w:left="60"/>
              <w:spacing w:after="0"/>
              <w:rPr>
                <w:sz w:val="20"/>
                <w:szCs w:val="20"/>
                <w:color w:val="auto"/>
              </w:rPr>
            </w:pPr>
            <w:r>
              <w:rPr>
                <w:rFonts w:ascii="Arial" w:cs="Arial" w:eastAsia="Arial" w:hAnsi="Arial"/>
                <w:sz w:val="13"/>
                <w:szCs w:val="13"/>
                <w:b w:val="1"/>
                <w:bCs w:val="1"/>
                <w:color w:val="auto"/>
              </w:rPr>
              <w:t>JPM</w:t>
            </w:r>
          </w:p>
        </w:tc>
        <w:tc>
          <w:tcPr>
            <w:tcW w:w="3200" w:type="dxa"/>
            <w:vAlign w:val="bottom"/>
            <w:gridSpan w:val="2"/>
          </w:tcPr>
          <w:p>
            <w:pPr>
              <w:ind w:left="540"/>
              <w:spacing w:after="0"/>
              <w:rPr>
                <w:sz w:val="20"/>
                <w:szCs w:val="20"/>
                <w:color w:val="auto"/>
              </w:rPr>
            </w:pPr>
            <w:r>
              <w:rPr>
                <w:rFonts w:ascii="Arial" w:cs="Arial" w:eastAsia="Arial" w:hAnsi="Arial"/>
                <w:sz w:val="13"/>
                <w:szCs w:val="13"/>
                <w:b w:val="1"/>
                <w:bCs w:val="1"/>
                <w:color w:val="auto"/>
              </w:rPr>
              <w:t>The New York Stock Exchange</w:t>
            </w: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5.75% Non-</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D</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DD</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6.00% Non-</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C</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EE</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4.75% Non-</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J</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GG</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4.55% Non-</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K</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JJ</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4.625% Non-</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L</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LL</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4.20% Non-</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M</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MM</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75"/>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Alerian MLP Index ETNs due May 24, 2024</w:t>
            </w:r>
          </w:p>
        </w:tc>
        <w:tc>
          <w:tcPr>
            <w:tcW w:w="1700" w:type="dxa"/>
            <w:vAlign w:val="bottom"/>
            <w:gridSpan w:val="3"/>
          </w:tcPr>
          <w:p>
            <w:pPr>
              <w:ind w:left="60"/>
              <w:spacing w:after="0"/>
              <w:rPr>
                <w:sz w:val="20"/>
                <w:szCs w:val="20"/>
                <w:color w:val="auto"/>
              </w:rPr>
            </w:pPr>
            <w:r>
              <w:rPr>
                <w:rFonts w:ascii="Arial" w:cs="Arial" w:eastAsia="Arial" w:hAnsi="Arial"/>
                <w:sz w:val="13"/>
                <w:szCs w:val="13"/>
                <w:b w:val="1"/>
                <w:bCs w:val="1"/>
                <w:color w:val="auto"/>
              </w:rPr>
              <w:t>AMJ</w:t>
            </w:r>
          </w:p>
        </w:tc>
        <w:tc>
          <w:tcPr>
            <w:tcW w:w="3200" w:type="dxa"/>
            <w:vAlign w:val="bottom"/>
            <w:gridSpan w:val="2"/>
          </w:tcPr>
          <w:p>
            <w:pPr>
              <w:ind w:left="540"/>
              <w:spacing w:after="0"/>
              <w:rPr>
                <w:sz w:val="20"/>
                <w:szCs w:val="20"/>
                <w:color w:val="auto"/>
              </w:rPr>
            </w:pPr>
            <w:r>
              <w:rPr>
                <w:rFonts w:ascii="Arial" w:cs="Arial" w:eastAsia="Arial" w:hAnsi="Arial"/>
                <w:sz w:val="13"/>
                <w:szCs w:val="13"/>
                <w:b w:val="1"/>
                <w:bCs w:val="1"/>
                <w:color w:val="auto"/>
              </w:rPr>
              <w:t>NYSE Arca, Inc.</w:t>
            </w: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w w:val="97"/>
              </w:rPr>
              <w:t>Guarantee of Callable Fixed Rate Notes due June 10, 2032 of JPMorgan Chase Financial Company</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JPM/32</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LLC</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bl>
    <w:p>
      <w:pPr>
        <w:spacing w:after="0" w:line="93" w:lineRule="exact"/>
        <w:rPr>
          <w:sz w:val="24"/>
          <w:szCs w:val="24"/>
          <w:color w:val="auto"/>
        </w:rPr>
      </w:pPr>
    </w:p>
    <w:p>
      <w:pPr>
        <w:spacing w:after="0" w:line="274"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92" w:lineRule="exact"/>
        <w:rPr>
          <w:sz w:val="24"/>
          <w:szCs w:val="24"/>
          <w:color w:val="auto"/>
        </w:rPr>
      </w:pPr>
    </w:p>
    <w:p>
      <w:pPr>
        <w:ind w:right="120"/>
        <w:spacing w:after="0" w:line="18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98"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On January 13, 2023, JPMorgan Chase &amp; Co. (“JPMorgan Chase” or the “Firm”) reported 2022 fourth quarter net income of $11.0 billion, or $3.57 per share, compared with net income of $10.4 billion, or $ 3.33 per share, in the fourth quarter of 2021. A copy of the 2022 fourth quarter earnings release is attached hereto as Exhibit 99.1, and a copy of the earnings release financial supplement is attached hereto as Exhibit 99.2.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Each of the Exhibits provided with this Form 8-K shall be deemed to be “filed” for purposes of the Securities Exchange Act of 1934.</w:t>
      </w:r>
    </w:p>
    <w:p>
      <w:pPr>
        <w:spacing w:after="0" w:line="22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This Current Report on Form 8-K (including the Exhibits hereto) contains forward-looking statements within the meaning of the Private Securities Litigation Reform Act of 1995. These statements are based on the current beliefs and expectations of JPMorgan Chase’s management and are subject to significant risks and uncertainties. Actual results may differ from those set forth in the forward-looking statements. Factors that could cause JPMorgan Chase’s actual results to differ materially from those described in the forward-looking statements can be found in JPMorgan Chase’s Annual Report on Form 10-K for the year ended December 31, 2021, and Quarterly Report on Form 10-Q for the quarters ended March 31, 2022, June 30, 2022 and September 30, 2022, which have been filed with the Securities and Exchange Commission and are available on JPMorgan Chase’s website (</w:t>
      </w:r>
      <w:r>
        <w:rPr>
          <w:rFonts w:ascii="Arial" w:cs="Arial" w:eastAsia="Arial" w:hAnsi="Arial"/>
          <w:sz w:val="18"/>
          <w:szCs w:val="18"/>
          <w:i w:val="1"/>
          <w:iCs w:val="1"/>
          <w:u w:val="single" w:color="auto"/>
          <w:color w:val="auto"/>
        </w:rPr>
        <w:t>https://jpmorganchaseco.gcs-web.com/financial-information/sec-filings</w:t>
      </w:r>
      <w:r>
        <w:rPr>
          <w:rFonts w:ascii="Arial" w:cs="Arial" w:eastAsia="Arial" w:hAnsi="Arial"/>
          <w:sz w:val="18"/>
          <w:szCs w:val="18"/>
          <w:i w:val="1"/>
          <w:iCs w:val="1"/>
          <w:color w:val="auto"/>
        </w:rPr>
        <w:t>) and on the Securities and Exchange Commission’s website (</w:t>
      </w:r>
      <w:r>
        <w:rPr>
          <w:rFonts w:ascii="Arial" w:cs="Arial" w:eastAsia="Arial" w:hAnsi="Arial"/>
          <w:sz w:val="18"/>
          <w:szCs w:val="18"/>
          <w:i w:val="1"/>
          <w:iCs w:val="1"/>
          <w:u w:val="single" w:color="auto"/>
          <w:color w:val="auto"/>
        </w:rPr>
        <w:t>www.sec.gov</w:t>
      </w:r>
      <w:r>
        <w:rPr>
          <w:rFonts w:ascii="Arial" w:cs="Arial" w:eastAsia="Arial" w:hAnsi="Arial"/>
          <w:sz w:val="18"/>
          <w:szCs w:val="18"/>
          <w:i w:val="1"/>
          <w:iCs w:val="1"/>
          <w:color w:val="auto"/>
        </w:rPr>
        <w:t>). JPMorgan Chase does not undertake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235"/>
        </w:trPr>
        <w:tc>
          <w:tcPr>
            <w:tcW w:w="164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8440" w:type="dxa"/>
            <w:vAlign w:val="bottom"/>
            <w:gridSpan w:val="3"/>
          </w:tcPr>
          <w:p>
            <w:pPr>
              <w:ind w:left="3280"/>
              <w:spacing w:after="0"/>
              <w:rPr>
                <w:sz w:val="20"/>
                <w:szCs w:val="20"/>
                <w:color w:val="auto"/>
              </w:rPr>
            </w:pPr>
            <w:r>
              <w:rPr>
                <w:rFonts w:ascii="Arial" w:cs="Arial" w:eastAsia="Arial" w:hAnsi="Arial"/>
                <w:sz w:val="18"/>
                <w:szCs w:val="18"/>
                <w:b w:val="1"/>
                <w:bCs w:val="1"/>
                <w:color w:val="auto"/>
              </w:rPr>
              <w:t>Description of Exhibit</w:t>
            </w:r>
          </w:p>
        </w:tc>
      </w:tr>
      <w:tr>
        <w:trPr>
          <w:trHeight w:val="412"/>
        </w:trPr>
        <w:tc>
          <w:tcPr>
            <w:tcW w:w="1480" w:type="dxa"/>
            <w:vAlign w:val="bottom"/>
            <w:tcBorders>
              <w:top w:val="single" w:sz="8" w:color="auto"/>
            </w:tcBorders>
          </w:tcPr>
          <w:p>
            <w:pPr>
              <w:jc w:val="right"/>
              <w:ind w:right="1030"/>
              <w:spacing w:after="0"/>
              <w:rPr>
                <w:sz w:val="20"/>
                <w:szCs w:val="20"/>
                <w:color w:val="auto"/>
              </w:rPr>
            </w:pPr>
            <w:r>
              <w:rPr>
                <w:rFonts w:ascii="Arial" w:cs="Arial" w:eastAsia="Arial" w:hAnsi="Arial"/>
                <w:sz w:val="18"/>
                <w:szCs w:val="18"/>
                <w:color w:val="auto"/>
                <w:w w:val="96"/>
              </w:rPr>
              <w:t>99.1</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4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0000FF"/>
              </w:rPr>
              <w:t>JPMorgan Chase &amp; Co. Earnings Release - Fourth Quarter 2022 Results</w:t>
            </w:r>
          </w:p>
        </w:tc>
      </w:tr>
      <w:tr>
        <w:trPr>
          <w:trHeight w:val="20"/>
        </w:trPr>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09"/>
        </w:trPr>
        <w:tc>
          <w:tcPr>
            <w:tcW w:w="1480" w:type="dxa"/>
            <w:vAlign w:val="bottom"/>
          </w:tcPr>
          <w:p>
            <w:pPr>
              <w:jc w:val="right"/>
              <w:ind w:right="1030"/>
              <w:spacing w:after="0"/>
              <w:rPr>
                <w:sz w:val="20"/>
                <w:szCs w:val="20"/>
                <w:color w:val="auto"/>
              </w:rPr>
            </w:pPr>
            <w:r>
              <w:rPr>
                <w:rFonts w:ascii="Arial" w:cs="Arial" w:eastAsia="Arial" w:hAnsi="Arial"/>
                <w:sz w:val="18"/>
                <w:szCs w:val="18"/>
                <w:color w:val="auto"/>
                <w:w w:val="96"/>
              </w:rPr>
              <w:t>99.2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JPMorgan Chase &amp; Co. Earnings Release Financial Supplement - Fourth Quarter 2022</w:t>
            </w:r>
          </w:p>
        </w:tc>
        <w:tc>
          <w:tcPr>
            <w:tcW w:w="1500" w:type="dxa"/>
            <w:vAlign w:val="bottom"/>
          </w:tcPr>
          <w:p>
            <w:pPr>
              <w:spacing w:after="0"/>
              <w:rPr>
                <w:sz w:val="18"/>
                <w:szCs w:val="18"/>
                <w:color w:val="auto"/>
              </w:rPr>
            </w:pPr>
          </w:p>
        </w:tc>
      </w:tr>
    </w:tbl>
    <w:p>
      <w:pPr>
        <w:spacing w:after="0" w:line="22" w:lineRule="exact"/>
        <w:rPr>
          <w:sz w:val="20"/>
          <w:szCs w:val="20"/>
          <w:color w:val="auto"/>
        </w:rPr>
      </w:pPr>
    </w:p>
    <w:p>
      <w:pPr>
        <w:ind w:left="2240" w:right="960" w:hanging="1647"/>
        <w:spacing w:after="0"/>
        <w:tabs>
          <w:tab w:leader="none" w:pos="2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Rule 406 of Regulation S-T, the cover page is formatted in Inline XBRL (Inline eXtensible Business Reporting Language).</w:t>
      </w:r>
    </w:p>
    <w:p>
      <w:pPr>
        <w:spacing w:after="0" w:line="5" w:lineRule="exact"/>
        <w:rPr>
          <w:sz w:val="20"/>
          <w:szCs w:val="20"/>
          <w:color w:val="auto"/>
        </w:rPr>
      </w:pPr>
    </w:p>
    <w:p>
      <w:pPr>
        <w:ind w:left="2240" w:right="920" w:hanging="1647"/>
        <w:spacing w:after="0"/>
        <w:tabs>
          <w:tab w:leader="none" w:pos="2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3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72" w:lineRule="exact"/>
        <w:rPr>
          <w:sz w:val="20"/>
          <w:szCs w:val="20"/>
          <w:color w:val="auto"/>
        </w:rPr>
      </w:pPr>
    </w:p>
    <w:tbl>
      <w:tblPr>
        <w:tblLayout w:type="fixed"/>
        <w:tblInd w:w="5800" w:type="dxa"/>
        <w:tblCellMar>
          <w:top w:w="0" w:type="dxa"/>
          <w:left w:w="0" w:type="dxa"/>
          <w:bottom w:w="0" w:type="dxa"/>
          <w:right w:w="0" w:type="dxa"/>
        </w:tblCellMar>
      </w:tblPr>
      <w:tr>
        <w:trPr>
          <w:trHeight w:val="235"/>
        </w:trPr>
        <w:tc>
          <w:tcPr>
            <w:tcW w:w="500" w:type="dxa"/>
            <w:vAlign w:val="bottom"/>
          </w:tcPr>
          <w:p>
            <w:pPr>
              <w:spacing w:after="0"/>
              <w:rPr>
                <w:sz w:val="20"/>
                <w:szCs w:val="20"/>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JPMorgan Chase &amp; Co.</w:t>
            </w:r>
          </w:p>
        </w:tc>
      </w:tr>
      <w:tr>
        <w:trPr>
          <w:trHeight w:val="232"/>
        </w:trPr>
        <w:tc>
          <w:tcPr>
            <w:tcW w:w="50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71"/>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Elena Korablina</w:t>
            </w:r>
          </w:p>
        </w:tc>
      </w:tr>
      <w:tr>
        <w:trPr>
          <w:trHeight w:val="218"/>
        </w:trPr>
        <w:tc>
          <w:tcPr>
            <w:tcW w:w="50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Elena Korablina</w:t>
            </w:r>
          </w:p>
        </w:tc>
      </w:tr>
      <w:tr>
        <w:trPr>
          <w:trHeight w:val="230"/>
        </w:trPr>
        <w:tc>
          <w:tcPr>
            <w:tcW w:w="5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Managing Director and Firmwide Controller</w:t>
            </w:r>
          </w:p>
        </w:tc>
      </w:tr>
      <w:tr>
        <w:trPr>
          <w:trHeight w:val="239"/>
        </w:trPr>
        <w:tc>
          <w:tcPr>
            <w:tcW w:w="50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rPr>
              <w:t>(Principal Accounting Officer)</w:t>
            </w:r>
          </w:p>
        </w:tc>
      </w:tr>
    </w:tbl>
    <w:p>
      <w:pPr>
        <w:spacing w:after="0" w:line="396"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Dated:</w:t>
        <w:tab/>
        <w:t>January 13,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3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-35560</wp:posOffset>
            </wp:positionV>
            <wp:extent cx="3103245"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03245" cy="222885"/>
                    </a:xfrm>
                    <a:prstGeom prst="rect">
                      <a:avLst/>
                    </a:prstGeom>
                    <a:noFill/>
                  </pic:spPr>
                </pic:pic>
              </a:graphicData>
            </a:graphic>
          </wp:anchor>
        </w:drawing>
      </w:r>
    </w:p>
    <w:p>
      <w:pPr>
        <w:ind w:left="20"/>
        <w:spacing w:after="0" w:line="206" w:lineRule="auto"/>
        <w:rPr>
          <w:sz w:val="20"/>
          <w:szCs w:val="20"/>
          <w:color w:val="auto"/>
        </w:rPr>
      </w:pPr>
      <w:r>
        <w:rPr>
          <w:rFonts w:ascii="Times New Roman" w:cs="Times New Roman" w:eastAsia="Times New Roman" w:hAnsi="Times New Roman"/>
          <w:sz w:val="14"/>
          <w:szCs w:val="14"/>
          <w:color w:val="auto"/>
        </w:rPr>
        <w:t>383 Madison Avenue, New York, NY 10179-0001</w:t>
      </w:r>
    </w:p>
    <w:p>
      <w:pPr>
        <w:ind w:left="20"/>
        <w:spacing w:after="0" w:line="221" w:lineRule="auto"/>
        <w:rPr>
          <w:sz w:val="20"/>
          <w:szCs w:val="20"/>
          <w:color w:val="auto"/>
        </w:rPr>
      </w:pPr>
      <w:r>
        <w:rPr>
          <w:rFonts w:ascii="Times New Roman" w:cs="Times New Roman" w:eastAsia="Times New Roman" w:hAnsi="Times New Roman"/>
          <w:sz w:val="14"/>
          <w:szCs w:val="14"/>
          <w:color w:val="auto"/>
        </w:rPr>
        <w:t>NYSE symbol: JPM</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www.jpmorganchase.com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JPMORGAN CHASE REPORTS FOURTH-QUARTER 2022 NET INCOME OF $11.0 BILLION ($3.57 PER SHARE)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FULL-YEAR 2022 NET INCOME OF $37.7 BILLION ($12.09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21590</wp:posOffset>
            </wp:positionV>
            <wp:extent cx="709803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FULL-YEAR 2022 RESULTS</w:t>
            </w:r>
          </w:p>
        </w:tc>
        <w:tc>
          <w:tcPr>
            <w:tcW w:w="1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100" w:type="dxa"/>
            <w:vAlign w:val="bottom"/>
            <w:vMerge w:val="restart"/>
          </w:tcPr>
          <w:p>
            <w:pPr>
              <w:spacing w:after="0"/>
              <w:rPr>
                <w:sz w:val="10"/>
                <w:szCs w:val="10"/>
                <w:color w:val="auto"/>
              </w:rPr>
            </w:pPr>
          </w:p>
        </w:tc>
        <w:tc>
          <w:tcPr>
            <w:tcW w:w="2560" w:type="dxa"/>
            <w:vAlign w:val="bottom"/>
          </w:tcPr>
          <w:p>
            <w:pPr>
              <w:spacing w:after="0"/>
              <w:rPr>
                <w:sz w:val="10"/>
                <w:szCs w:val="10"/>
                <w:color w:val="auto"/>
              </w:rPr>
            </w:pPr>
          </w:p>
        </w:tc>
        <w:tc>
          <w:tcPr>
            <w:tcW w:w="1140" w:type="dxa"/>
            <w:vAlign w:val="bottom"/>
            <w:vMerge w:val="restart"/>
          </w:tcPr>
          <w:p>
            <w:pPr>
              <w:spacing w:after="0"/>
              <w:rPr>
                <w:sz w:val="10"/>
                <w:szCs w:val="10"/>
                <w:color w:val="auto"/>
              </w:rPr>
            </w:pPr>
          </w:p>
        </w:tc>
        <w:tc>
          <w:tcPr>
            <w:tcW w:w="2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2540" w:type="dxa"/>
            <w:vAlign w:val="bottom"/>
            <w:vMerge w:val="restart"/>
            <w:shd w:val="clear" w:color="auto" w:fill="7397BC"/>
          </w:tcPr>
          <w:p>
            <w:pPr>
              <w:jc w:val="center"/>
              <w:spacing w:after="0"/>
              <w:rPr>
                <w:sz w:val="20"/>
                <w:szCs w:val="20"/>
                <w:color w:val="auto"/>
              </w:rPr>
            </w:pPr>
            <w:r>
              <w:rPr>
                <w:rFonts w:ascii="Arial" w:cs="Arial" w:eastAsia="Arial" w:hAnsi="Arial"/>
                <w:sz w:val="18"/>
                <w:szCs w:val="18"/>
                <w:b w:val="1"/>
                <w:bCs w:val="1"/>
                <w:i w:val="1"/>
                <w:iCs w:val="1"/>
                <w:color w:val="FFFFFF"/>
                <w:w w:val="99"/>
              </w:rPr>
              <w:t>ROE 14%</w:t>
            </w:r>
          </w:p>
        </w:tc>
        <w:tc>
          <w:tcPr>
            <w:tcW w:w="1100" w:type="dxa"/>
            <w:vAlign w:val="bottom"/>
            <w:vMerge w:val="continue"/>
          </w:tcPr>
          <w:p>
            <w:pPr>
              <w:spacing w:after="0"/>
              <w:rPr>
                <w:sz w:val="15"/>
                <w:szCs w:val="15"/>
                <w:color w:val="auto"/>
              </w:rPr>
            </w:pPr>
          </w:p>
        </w:tc>
        <w:tc>
          <w:tcPr>
            <w:tcW w:w="2560" w:type="dxa"/>
            <w:vAlign w:val="bottom"/>
            <w:shd w:val="clear" w:color="auto" w:fill="7397BC"/>
          </w:tcPr>
          <w:p>
            <w:pPr>
              <w:jc w:val="center"/>
              <w:spacing w:after="0" w:line="176" w:lineRule="exact"/>
              <w:rPr>
                <w:sz w:val="20"/>
                <w:szCs w:val="20"/>
                <w:color w:val="auto"/>
              </w:rPr>
            </w:pPr>
            <w:r>
              <w:rPr>
                <w:rFonts w:ascii="Arial" w:cs="Arial" w:eastAsia="Arial" w:hAnsi="Arial"/>
                <w:sz w:val="16"/>
                <w:szCs w:val="16"/>
                <w:b w:val="1"/>
                <w:bCs w:val="1"/>
                <w:i w:val="1"/>
                <w:iCs w:val="1"/>
                <w:color w:val="FFFFFF"/>
              </w:rPr>
              <w:t>CET1 Capital Ratios</w:t>
            </w:r>
            <w:r>
              <w:rPr>
                <w:rFonts w:ascii="Arial" w:cs="Arial" w:eastAsia="Arial" w:hAnsi="Arial"/>
                <w:sz w:val="20"/>
                <w:szCs w:val="20"/>
                <w:b w:val="1"/>
                <w:bCs w:val="1"/>
                <w:i w:val="1"/>
                <w:iCs w:val="1"/>
                <w:color w:val="FFFFFF"/>
                <w:vertAlign w:val="superscript"/>
              </w:rPr>
              <w:t>2</w:t>
            </w:r>
          </w:p>
        </w:tc>
        <w:tc>
          <w:tcPr>
            <w:tcW w:w="1140" w:type="dxa"/>
            <w:vAlign w:val="bottom"/>
            <w:vMerge w:val="continue"/>
          </w:tcPr>
          <w:p>
            <w:pPr>
              <w:spacing w:after="0"/>
              <w:rPr>
                <w:sz w:val="15"/>
                <w:szCs w:val="15"/>
                <w:color w:val="auto"/>
              </w:rPr>
            </w:pPr>
          </w:p>
        </w:tc>
        <w:tc>
          <w:tcPr>
            <w:tcW w:w="2560" w:type="dxa"/>
            <w:vAlign w:val="bottom"/>
            <w:shd w:val="clear" w:color="auto" w:fill="7397BC"/>
          </w:tcPr>
          <w:p>
            <w:pPr>
              <w:jc w:val="center"/>
              <w:spacing w:after="0" w:line="176" w:lineRule="exact"/>
              <w:rPr>
                <w:sz w:val="20"/>
                <w:szCs w:val="20"/>
                <w:color w:val="auto"/>
              </w:rPr>
            </w:pPr>
            <w:r>
              <w:rPr>
                <w:rFonts w:ascii="Arial" w:cs="Arial" w:eastAsia="Arial" w:hAnsi="Arial"/>
                <w:sz w:val="16"/>
                <w:szCs w:val="16"/>
                <w:b w:val="1"/>
                <w:bCs w:val="1"/>
                <w:i w:val="1"/>
                <w:iCs w:val="1"/>
                <w:color w:val="FFFFFF"/>
              </w:rPr>
              <w:t>Std. RWA</w:t>
            </w:r>
            <w:r>
              <w:rPr>
                <w:rFonts w:ascii="Arial" w:cs="Arial" w:eastAsia="Arial" w:hAnsi="Arial"/>
                <w:sz w:val="20"/>
                <w:szCs w:val="20"/>
                <w:b w:val="1"/>
                <w:bCs w:val="1"/>
                <w:i w:val="1"/>
                <w:iCs w:val="1"/>
                <w:color w:val="FFFFFF"/>
                <w:vertAlign w:val="superscript"/>
              </w:rPr>
              <w:t>2</w:t>
            </w:r>
            <w:r>
              <w:rPr>
                <w:rFonts w:ascii="Arial" w:cs="Arial" w:eastAsia="Arial" w:hAnsi="Arial"/>
                <w:sz w:val="16"/>
                <w:szCs w:val="16"/>
                <w:b w:val="1"/>
                <w:bCs w:val="1"/>
                <w:i w:val="1"/>
                <w:iCs w:val="1"/>
                <w:color w:val="FFFFFF"/>
              </w:rPr>
              <w:t xml:space="preserve"> $1.7T</w:t>
            </w: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2540" w:type="dxa"/>
            <w:vAlign w:val="bottom"/>
            <w:vMerge w:val="continue"/>
            <w:shd w:val="clear" w:color="auto" w:fill="7397BC"/>
          </w:tcPr>
          <w:p>
            <w:pPr>
              <w:spacing w:after="0"/>
              <w:rPr>
                <w:sz w:val="15"/>
                <w:szCs w:val="15"/>
                <w:color w:val="auto"/>
              </w:rPr>
            </w:pPr>
          </w:p>
        </w:tc>
        <w:tc>
          <w:tcPr>
            <w:tcW w:w="1100" w:type="dxa"/>
            <w:vAlign w:val="bottom"/>
          </w:tcPr>
          <w:p>
            <w:pPr>
              <w:spacing w:after="0"/>
              <w:rPr>
                <w:sz w:val="15"/>
                <w:szCs w:val="15"/>
                <w:color w:val="auto"/>
              </w:rPr>
            </w:pPr>
          </w:p>
        </w:tc>
        <w:tc>
          <w:tcPr>
            <w:tcW w:w="2560" w:type="dxa"/>
            <w:vAlign w:val="bottom"/>
            <w:shd w:val="clear" w:color="auto" w:fill="7397BC"/>
          </w:tcPr>
          <w:p>
            <w:pPr>
              <w:jc w:val="center"/>
              <w:spacing w:after="0" w:line="176" w:lineRule="exact"/>
              <w:rPr>
                <w:sz w:val="20"/>
                <w:szCs w:val="20"/>
                <w:color w:val="auto"/>
              </w:rPr>
            </w:pPr>
            <w:r>
              <w:rPr>
                <w:rFonts w:ascii="Arial" w:cs="Arial" w:eastAsia="Arial" w:hAnsi="Arial"/>
                <w:sz w:val="18"/>
                <w:szCs w:val="18"/>
                <w:b w:val="1"/>
                <w:bCs w:val="1"/>
                <w:color w:val="FFFFFF"/>
                <w:w w:val="98"/>
              </w:rPr>
              <w:t>Std. 13.2% | Adv. 13.5%</w:t>
            </w:r>
          </w:p>
        </w:tc>
        <w:tc>
          <w:tcPr>
            <w:tcW w:w="1140" w:type="dxa"/>
            <w:vAlign w:val="bottom"/>
          </w:tcPr>
          <w:p>
            <w:pPr>
              <w:spacing w:after="0"/>
              <w:rPr>
                <w:sz w:val="15"/>
                <w:szCs w:val="15"/>
                <w:color w:val="auto"/>
              </w:rPr>
            </w:pPr>
          </w:p>
        </w:tc>
        <w:tc>
          <w:tcPr>
            <w:tcW w:w="2560" w:type="dxa"/>
            <w:vAlign w:val="bottom"/>
            <w:shd w:val="clear" w:color="auto" w:fill="7397BC"/>
          </w:tcPr>
          <w:p>
            <w:pPr>
              <w:jc w:val="center"/>
              <w:spacing w:after="0" w:line="176" w:lineRule="exact"/>
              <w:rPr>
                <w:sz w:val="20"/>
                <w:szCs w:val="20"/>
                <w:color w:val="auto"/>
              </w:rPr>
            </w:pPr>
            <w:r>
              <w:rPr>
                <w:rFonts w:ascii="Arial" w:cs="Arial" w:eastAsia="Arial" w:hAnsi="Arial"/>
                <w:sz w:val="18"/>
                <w:szCs w:val="18"/>
                <w:b w:val="1"/>
                <w:bCs w:val="1"/>
                <w:i w:val="1"/>
                <w:iCs w:val="1"/>
                <w:color w:val="FFFFFF"/>
              </w:rPr>
              <w:t>Cash and marketable</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2540" w:type="dxa"/>
            <w:vAlign w:val="bottom"/>
            <w:shd w:val="clear" w:color="auto" w:fill="7397BC"/>
          </w:tcPr>
          <w:p>
            <w:pPr>
              <w:jc w:val="center"/>
              <w:spacing w:after="0" w:line="202" w:lineRule="exact"/>
              <w:rPr>
                <w:sz w:val="20"/>
                <w:szCs w:val="20"/>
                <w:color w:val="auto"/>
              </w:rPr>
            </w:pPr>
            <w:r>
              <w:rPr>
                <w:rFonts w:ascii="Arial" w:cs="Arial" w:eastAsia="Arial" w:hAnsi="Arial"/>
                <w:sz w:val="18"/>
                <w:szCs w:val="18"/>
                <w:b w:val="1"/>
                <w:bCs w:val="1"/>
                <w:i w:val="1"/>
                <w:iCs w:val="1"/>
                <w:color w:val="FFFFFF"/>
                <w:w w:val="97"/>
              </w:rPr>
              <w:t>ROTCE</w:t>
            </w:r>
            <w:r>
              <w:rPr>
                <w:rFonts w:ascii="Arial" w:cs="Arial" w:eastAsia="Arial" w:hAnsi="Arial"/>
                <w:sz w:val="23"/>
                <w:szCs w:val="23"/>
                <w:b w:val="1"/>
                <w:bCs w:val="1"/>
                <w:i w:val="1"/>
                <w:iCs w:val="1"/>
                <w:color w:val="FFFFFF"/>
                <w:w w:val="97"/>
                <w:vertAlign w:val="superscript"/>
              </w:rPr>
              <w:t>1</w:t>
            </w:r>
            <w:r>
              <w:rPr>
                <w:rFonts w:ascii="Arial" w:cs="Arial" w:eastAsia="Arial" w:hAnsi="Arial"/>
                <w:sz w:val="18"/>
                <w:szCs w:val="18"/>
                <w:b w:val="1"/>
                <w:bCs w:val="1"/>
                <w:i w:val="1"/>
                <w:iCs w:val="1"/>
                <w:color w:val="FFFFFF"/>
                <w:w w:val="97"/>
              </w:rPr>
              <w:t xml:space="preserve"> 18%</w:t>
            </w:r>
          </w:p>
        </w:tc>
        <w:tc>
          <w:tcPr>
            <w:tcW w:w="1100" w:type="dxa"/>
            <w:vAlign w:val="bottom"/>
          </w:tcPr>
          <w:p>
            <w:pPr>
              <w:spacing w:after="0"/>
              <w:rPr>
                <w:sz w:val="17"/>
                <w:szCs w:val="17"/>
                <w:color w:val="auto"/>
              </w:rPr>
            </w:pPr>
          </w:p>
        </w:tc>
        <w:tc>
          <w:tcPr>
            <w:tcW w:w="2560" w:type="dxa"/>
            <w:vAlign w:val="bottom"/>
            <w:shd w:val="clear" w:color="auto" w:fill="7397BC"/>
          </w:tcPr>
          <w:p>
            <w:pPr>
              <w:jc w:val="center"/>
              <w:spacing w:after="0" w:line="202" w:lineRule="exact"/>
              <w:rPr>
                <w:sz w:val="20"/>
                <w:szCs w:val="20"/>
                <w:color w:val="auto"/>
              </w:rPr>
            </w:pPr>
            <w:r>
              <w:rPr>
                <w:rFonts w:ascii="Arial" w:cs="Arial" w:eastAsia="Arial" w:hAnsi="Arial"/>
                <w:sz w:val="18"/>
                <w:szCs w:val="18"/>
                <w:b w:val="1"/>
                <w:bCs w:val="1"/>
                <w:color w:val="FFFFFF"/>
                <w:w w:val="98"/>
              </w:rPr>
              <w:t>Total Loss-Absorbing</w:t>
            </w:r>
          </w:p>
        </w:tc>
        <w:tc>
          <w:tcPr>
            <w:tcW w:w="1140" w:type="dxa"/>
            <w:vAlign w:val="bottom"/>
          </w:tcPr>
          <w:p>
            <w:pPr>
              <w:spacing w:after="0"/>
              <w:rPr>
                <w:sz w:val="17"/>
                <w:szCs w:val="17"/>
                <w:color w:val="auto"/>
              </w:rPr>
            </w:pPr>
          </w:p>
        </w:tc>
        <w:tc>
          <w:tcPr>
            <w:tcW w:w="2560" w:type="dxa"/>
            <w:vAlign w:val="bottom"/>
            <w:shd w:val="clear" w:color="auto" w:fill="7397BC"/>
          </w:tcPr>
          <w:p>
            <w:pPr>
              <w:jc w:val="center"/>
              <w:spacing w:after="0" w:line="202" w:lineRule="exact"/>
              <w:rPr>
                <w:sz w:val="20"/>
                <w:szCs w:val="20"/>
                <w:color w:val="auto"/>
              </w:rPr>
            </w:pPr>
            <w:r>
              <w:rPr>
                <w:rFonts w:ascii="Arial" w:cs="Arial" w:eastAsia="Arial" w:hAnsi="Arial"/>
                <w:sz w:val="18"/>
                <w:szCs w:val="18"/>
                <w:b w:val="1"/>
                <w:bCs w:val="1"/>
                <w:i w:val="1"/>
                <w:iCs w:val="1"/>
                <w:color w:val="FFFFFF"/>
                <w:w w:val="98"/>
              </w:rPr>
              <w:t>securities</w:t>
            </w:r>
            <w:r>
              <w:rPr>
                <w:rFonts w:ascii="Arial" w:cs="Arial" w:eastAsia="Arial" w:hAnsi="Arial"/>
                <w:sz w:val="23"/>
                <w:szCs w:val="23"/>
                <w:b w:val="1"/>
                <w:bCs w:val="1"/>
                <w:i w:val="1"/>
                <w:iCs w:val="1"/>
                <w:color w:val="FFFFFF"/>
                <w:w w:val="98"/>
                <w:vertAlign w:val="superscript"/>
              </w:rPr>
              <w:t>3</w:t>
            </w:r>
            <w:r>
              <w:rPr>
                <w:rFonts w:ascii="Arial" w:cs="Arial" w:eastAsia="Arial" w:hAnsi="Arial"/>
                <w:sz w:val="18"/>
                <w:szCs w:val="18"/>
                <w:b w:val="1"/>
                <w:bCs w:val="1"/>
                <w:i w:val="1"/>
                <w:iCs w:val="1"/>
                <w:color w:val="FFFFFF"/>
                <w:w w:val="98"/>
              </w:rPr>
              <w:t xml:space="preserve"> $1.4T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540" w:type="dxa"/>
            <w:vAlign w:val="bottom"/>
            <w:shd w:val="clear" w:color="auto" w:fill="7397BC"/>
          </w:tcPr>
          <w:p>
            <w:pPr>
              <w:spacing w:after="0"/>
              <w:rPr>
                <w:sz w:val="18"/>
                <w:szCs w:val="18"/>
                <w:color w:val="auto"/>
              </w:rPr>
            </w:pPr>
          </w:p>
        </w:tc>
        <w:tc>
          <w:tcPr>
            <w:tcW w:w="1100" w:type="dxa"/>
            <w:vAlign w:val="bottom"/>
          </w:tcPr>
          <w:p>
            <w:pPr>
              <w:spacing w:after="0"/>
              <w:rPr>
                <w:sz w:val="18"/>
                <w:szCs w:val="18"/>
                <w:color w:val="auto"/>
              </w:rPr>
            </w:pPr>
          </w:p>
        </w:tc>
        <w:tc>
          <w:tcPr>
            <w:tcW w:w="2560" w:type="dxa"/>
            <w:vAlign w:val="bottom"/>
            <w:shd w:val="clear" w:color="auto" w:fill="7397BC"/>
          </w:tcPr>
          <w:p>
            <w:pPr>
              <w:jc w:val="center"/>
              <w:spacing w:after="0" w:line="216" w:lineRule="exact"/>
              <w:rPr>
                <w:sz w:val="20"/>
                <w:szCs w:val="20"/>
                <w:color w:val="auto"/>
              </w:rPr>
            </w:pPr>
            <w:r>
              <w:rPr>
                <w:rFonts w:ascii="Arial" w:cs="Arial" w:eastAsia="Arial" w:hAnsi="Arial"/>
                <w:sz w:val="18"/>
                <w:szCs w:val="18"/>
                <w:b w:val="1"/>
                <w:bCs w:val="1"/>
                <w:color w:val="FFFFFF"/>
                <w:w w:val="98"/>
              </w:rPr>
              <w:t>Capacity</w:t>
            </w:r>
            <w:r>
              <w:rPr>
                <w:rFonts w:ascii="Arial" w:cs="Arial" w:eastAsia="Arial" w:hAnsi="Arial"/>
                <w:sz w:val="23"/>
                <w:szCs w:val="23"/>
                <w:b w:val="1"/>
                <w:bCs w:val="1"/>
                <w:color w:val="FFFFFF"/>
                <w:w w:val="98"/>
                <w:vertAlign w:val="superscript"/>
              </w:rPr>
              <w:t>2</w:t>
            </w:r>
            <w:r>
              <w:rPr>
                <w:rFonts w:ascii="Arial" w:cs="Arial" w:eastAsia="Arial" w:hAnsi="Arial"/>
                <w:sz w:val="18"/>
                <w:szCs w:val="18"/>
                <w:b w:val="1"/>
                <w:bCs w:val="1"/>
                <w:color w:val="FFFFFF"/>
                <w:w w:val="98"/>
              </w:rPr>
              <w:t xml:space="preserve"> $486B</w:t>
            </w:r>
          </w:p>
        </w:tc>
        <w:tc>
          <w:tcPr>
            <w:tcW w:w="1140" w:type="dxa"/>
            <w:vAlign w:val="bottom"/>
          </w:tcPr>
          <w:p>
            <w:pPr>
              <w:spacing w:after="0"/>
              <w:rPr>
                <w:sz w:val="18"/>
                <w:szCs w:val="18"/>
                <w:color w:val="auto"/>
              </w:rPr>
            </w:pPr>
          </w:p>
        </w:tc>
        <w:tc>
          <w:tcPr>
            <w:tcW w:w="2560" w:type="dxa"/>
            <w:vAlign w:val="bottom"/>
            <w:shd w:val="clear" w:color="auto" w:fill="7397BC"/>
          </w:tcPr>
          <w:p>
            <w:pPr>
              <w:jc w:val="center"/>
              <w:spacing w:after="0"/>
              <w:rPr>
                <w:sz w:val="20"/>
                <w:szCs w:val="20"/>
                <w:color w:val="auto"/>
              </w:rPr>
            </w:pPr>
            <w:r>
              <w:rPr>
                <w:rFonts w:ascii="Arial" w:cs="Arial" w:eastAsia="Arial" w:hAnsi="Arial"/>
                <w:sz w:val="18"/>
                <w:szCs w:val="18"/>
                <w:b w:val="1"/>
                <w:bCs w:val="1"/>
                <w:i w:val="1"/>
                <w:iCs w:val="1"/>
                <w:color w:val="FFFFFF"/>
                <w:w w:val="99"/>
              </w:rPr>
              <w:t>Average loans $1.1T</w:t>
            </w:r>
          </w:p>
        </w:tc>
        <w:tc>
          <w:tcPr>
            <w:tcW w:w="0" w:type="dxa"/>
            <w:vAlign w:val="bottom"/>
          </w:tcPr>
          <w:p>
            <w:pPr>
              <w:spacing w:after="0"/>
              <w:rPr>
                <w:sz w:val="1"/>
                <w:szCs w:val="1"/>
                <w:color w:val="auto"/>
              </w:rPr>
            </w:pPr>
          </w:p>
        </w:tc>
      </w:tr>
      <w:tr>
        <w:trPr>
          <w:trHeight w:val="459"/>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FOURTH-QUARTER 2022 RESULTS</w:t>
            </w:r>
            <w:r>
              <w:rPr>
                <w:rFonts w:ascii="Times New Roman" w:cs="Times New Roman" w:eastAsia="Times New Roman" w:hAnsi="Times New Roman"/>
                <w:sz w:val="23"/>
                <w:szCs w:val="23"/>
                <w:b w:val="1"/>
                <w:bCs w:val="1"/>
                <w:color w:val="auto"/>
                <w:vertAlign w:val="superscript"/>
              </w:rPr>
              <w:t>4</w:t>
            </w:r>
          </w:p>
        </w:tc>
        <w:tc>
          <w:tcPr>
            <w:tcW w:w="1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05815" cy="10801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05815" cy="10801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59" w:lineRule="exact"/>
        <w:rPr>
          <w:sz w:val="20"/>
          <w:szCs w:val="20"/>
          <w:color w:val="auto"/>
        </w:rPr>
      </w:pPr>
    </w:p>
    <w:p>
      <w:pPr>
        <w:jc w:val="center"/>
        <w:ind w:left="120"/>
        <w:spacing w:after="0"/>
        <w:rPr>
          <w:sz w:val="20"/>
          <w:szCs w:val="20"/>
          <w:color w:val="auto"/>
        </w:rPr>
      </w:pPr>
      <w:r>
        <w:rPr>
          <w:rFonts w:ascii="Arial" w:cs="Arial" w:eastAsia="Arial" w:hAnsi="Arial"/>
          <w:sz w:val="18"/>
          <w:szCs w:val="18"/>
          <w:b w:val="1"/>
          <w:bCs w:val="1"/>
          <w:color w:val="FFFFFF"/>
        </w:rPr>
        <w:t>Firmwide</w:t>
      </w:r>
    </w:p>
    <w:p>
      <w:pPr>
        <w:jc w:val="center"/>
        <w:ind w:left="120"/>
        <w:spacing w:after="0"/>
        <w:rPr>
          <w:sz w:val="20"/>
          <w:szCs w:val="20"/>
          <w:color w:val="auto"/>
        </w:rPr>
      </w:pPr>
      <w:r>
        <w:rPr>
          <w:rFonts w:ascii="Arial" w:cs="Arial" w:eastAsia="Arial" w:hAnsi="Arial"/>
          <w:sz w:val="18"/>
          <w:szCs w:val="18"/>
          <w:b w:val="1"/>
          <w:bCs w:val="1"/>
          <w:color w:val="FFFFFF"/>
        </w:rPr>
        <w:t>Metrics</w:t>
      </w:r>
    </w:p>
    <w:p>
      <w:pPr>
        <w:spacing w:after="0" w:line="205" w:lineRule="exact"/>
        <w:rPr>
          <w:sz w:val="20"/>
          <w:szCs w:val="20"/>
          <w:color w:val="auto"/>
        </w:rPr>
      </w:pPr>
    </w:p>
    <w:p>
      <w:pPr>
        <w:jc w:val="center"/>
        <w:ind w:left="120"/>
        <w:spacing w:after="0"/>
        <w:rPr>
          <w:sz w:val="20"/>
          <w:szCs w:val="20"/>
          <w:color w:val="auto"/>
        </w:rPr>
      </w:pPr>
      <w:r>
        <w:rPr>
          <w:rFonts w:ascii="Arial" w:cs="Arial" w:eastAsia="Arial" w:hAnsi="Arial"/>
          <w:sz w:val="14"/>
          <w:szCs w:val="14"/>
          <w:b w:val="1"/>
          <w:bCs w:val="1"/>
          <w:i w:val="1"/>
          <w:iCs w:val="1"/>
          <w:color w:val="FFFFFF"/>
        </w:rPr>
        <w:t>ROE 16%</w:t>
      </w:r>
    </w:p>
    <w:p>
      <w:pPr>
        <w:jc w:val="center"/>
        <w:ind w:left="120"/>
        <w:spacing w:after="0"/>
        <w:rPr>
          <w:sz w:val="20"/>
          <w:szCs w:val="20"/>
          <w:color w:val="auto"/>
        </w:rPr>
      </w:pPr>
      <w:r>
        <w:rPr>
          <w:rFonts w:ascii="Arial" w:cs="Arial" w:eastAsia="Arial" w:hAnsi="Arial"/>
          <w:sz w:val="14"/>
          <w:szCs w:val="14"/>
          <w:b w:val="1"/>
          <w:bCs w:val="1"/>
          <w:i w:val="1"/>
          <w:iCs w:val="1"/>
          <w:color w:val="FFFFFF"/>
        </w:rPr>
        <w:t>ROTCE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805815" cy="10115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0581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120"/>
        <w:spacing w:after="0"/>
        <w:rPr>
          <w:sz w:val="20"/>
          <w:szCs w:val="20"/>
          <w:color w:val="auto"/>
        </w:rPr>
      </w:pPr>
      <w:r>
        <w:rPr>
          <w:rFonts w:ascii="Arial" w:cs="Arial" w:eastAsia="Arial" w:hAnsi="Arial"/>
          <w:sz w:val="18"/>
          <w:szCs w:val="18"/>
          <w:b w:val="1"/>
          <w:bCs w:val="1"/>
          <w:color w:val="FFFFFF"/>
        </w:rPr>
        <w:t>CCB</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FFFFFF"/>
        </w:rPr>
        <w:t>4Q22 ROE 35%</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FFFFFF"/>
        </w:rPr>
        <w:t>2022 ROE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805815" cy="6940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0581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120"/>
        <w:spacing w:after="0"/>
        <w:rPr>
          <w:sz w:val="20"/>
          <w:szCs w:val="20"/>
          <w:color w:val="auto"/>
        </w:rPr>
      </w:pPr>
      <w:r>
        <w:rPr>
          <w:rFonts w:ascii="Arial" w:cs="Arial" w:eastAsia="Arial" w:hAnsi="Arial"/>
          <w:sz w:val="18"/>
          <w:szCs w:val="18"/>
          <w:b w:val="1"/>
          <w:bCs w:val="1"/>
          <w:color w:val="FFFFFF"/>
        </w:rPr>
        <w:t>CIB</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FFFFFF"/>
        </w:rPr>
        <w:t>4Q22 ROE 12%</w:t>
      </w:r>
    </w:p>
    <w:p>
      <w:pPr>
        <w:ind w:left="140"/>
        <w:spacing w:after="0"/>
        <w:rPr>
          <w:sz w:val="20"/>
          <w:szCs w:val="20"/>
          <w:color w:val="auto"/>
        </w:rPr>
      </w:pPr>
      <w:r>
        <w:rPr>
          <w:rFonts w:ascii="Arial" w:cs="Arial" w:eastAsia="Arial" w:hAnsi="Arial"/>
          <w:sz w:val="14"/>
          <w:szCs w:val="14"/>
          <w:b w:val="1"/>
          <w:bCs w:val="1"/>
          <w:i w:val="1"/>
          <w:iCs w:val="1"/>
          <w:color w:val="FFFFFF"/>
        </w:rPr>
        <w:t>2022 ROE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805815"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05815" cy="565785"/>
                    </a:xfrm>
                    <a:prstGeom prst="rect">
                      <a:avLst/>
                    </a:prstGeom>
                    <a:noFill/>
                  </pic:spPr>
                </pic:pic>
              </a:graphicData>
            </a:graphic>
          </wp:anchor>
        </w:drawing>
      </w:r>
    </w:p>
    <w:p>
      <w:pPr>
        <w:spacing w:after="0" w:line="295" w:lineRule="exact"/>
        <w:rPr>
          <w:sz w:val="20"/>
          <w:szCs w:val="20"/>
          <w:color w:val="auto"/>
        </w:rPr>
      </w:pPr>
    </w:p>
    <w:p>
      <w:pPr>
        <w:jc w:val="center"/>
        <w:ind w:left="120"/>
        <w:spacing w:after="0"/>
        <w:rPr>
          <w:sz w:val="20"/>
          <w:szCs w:val="20"/>
          <w:color w:val="auto"/>
        </w:rPr>
      </w:pPr>
      <w:r>
        <w:rPr>
          <w:rFonts w:ascii="Arial" w:cs="Arial" w:eastAsia="Arial" w:hAnsi="Arial"/>
          <w:sz w:val="18"/>
          <w:szCs w:val="18"/>
          <w:b w:val="1"/>
          <w:bCs w:val="1"/>
          <w:color w:val="FFFFFF"/>
        </w:rPr>
        <w:t>CB</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FFFFFF"/>
        </w:rPr>
        <w:t>4Q22 ROE 22%</w:t>
      </w:r>
    </w:p>
    <w:p>
      <w:pPr>
        <w:ind w:left="140"/>
        <w:spacing w:after="0"/>
        <w:rPr>
          <w:sz w:val="20"/>
          <w:szCs w:val="20"/>
          <w:color w:val="auto"/>
        </w:rPr>
      </w:pPr>
      <w:r>
        <w:rPr>
          <w:rFonts w:ascii="Arial" w:cs="Arial" w:eastAsia="Arial" w:hAnsi="Arial"/>
          <w:sz w:val="14"/>
          <w:szCs w:val="14"/>
          <w:b w:val="1"/>
          <w:bCs w:val="1"/>
          <w:i w:val="1"/>
          <w:iCs w:val="1"/>
          <w:color w:val="FFFFFF"/>
        </w:rPr>
        <w:t>2022 ROE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805815"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05815" cy="565785"/>
                    </a:xfrm>
                    <a:prstGeom prst="rect">
                      <a:avLst/>
                    </a:prstGeom>
                    <a:noFill/>
                  </pic:spPr>
                </pic:pic>
              </a:graphicData>
            </a:graphic>
          </wp:anchor>
        </w:drawing>
      </w:r>
    </w:p>
    <w:p>
      <w:pPr>
        <w:spacing w:after="0" w:line="173" w:lineRule="exact"/>
        <w:rPr>
          <w:sz w:val="20"/>
          <w:szCs w:val="20"/>
          <w:color w:val="auto"/>
        </w:rPr>
      </w:pPr>
    </w:p>
    <w:p>
      <w:pPr>
        <w:jc w:val="center"/>
        <w:ind w:left="120"/>
        <w:spacing w:after="0"/>
        <w:rPr>
          <w:sz w:val="20"/>
          <w:szCs w:val="20"/>
          <w:color w:val="auto"/>
        </w:rPr>
      </w:pPr>
      <w:r>
        <w:rPr>
          <w:rFonts w:ascii="Arial" w:cs="Arial" w:eastAsia="Arial" w:hAnsi="Arial"/>
          <w:sz w:val="18"/>
          <w:szCs w:val="18"/>
          <w:b w:val="1"/>
          <w:bCs w:val="1"/>
          <w:color w:val="FFFFFF"/>
        </w:rPr>
        <w:t>AWM</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FFFFFF"/>
        </w:rPr>
        <w:t>4Q22 ROE 26%</w:t>
      </w:r>
    </w:p>
    <w:p>
      <w:pPr>
        <w:ind w:left="140"/>
        <w:spacing w:after="0"/>
        <w:rPr>
          <w:sz w:val="20"/>
          <w:szCs w:val="20"/>
          <w:color w:val="auto"/>
        </w:rPr>
      </w:pPr>
      <w:r>
        <w:rPr>
          <w:rFonts w:ascii="Arial" w:cs="Arial" w:eastAsia="Arial" w:hAnsi="Arial"/>
          <w:sz w:val="14"/>
          <w:szCs w:val="14"/>
          <w:b w:val="1"/>
          <w:bCs w:val="1"/>
          <w:i w:val="1"/>
          <w:iCs w:val="1"/>
          <w:color w:val="FFFFFF"/>
        </w:rPr>
        <w:t>2022 ROE 25%</w:t>
      </w:r>
    </w:p>
    <w:p>
      <w:pPr>
        <w:spacing w:after="0" w:line="20" w:lineRule="exact"/>
        <w:rPr>
          <w:sz w:val="20"/>
          <w:szCs w:val="20"/>
          <w:color w:val="auto"/>
        </w:rPr>
      </w:pPr>
      <w:r>
        <w:rPr>
          <w:sz w:val="20"/>
          <w:szCs w:val="20"/>
          <w:color w:val="auto"/>
        </w:rPr>
        <w:br w:type="column"/>
      </w:r>
    </w:p>
    <w:p>
      <w:pPr>
        <w:ind w:left="245" w:right="80" w:hanging="245"/>
        <w:spacing w:after="0" w:line="234" w:lineRule="auto"/>
        <w:tabs>
          <w:tab w:leader="none" w:pos="245" w:val="left"/>
        </w:tabs>
        <w:numPr>
          <w:ilvl w:val="0"/>
          <w:numId w:val="5"/>
        </w:numPr>
        <w:rPr>
          <w:rFonts w:ascii="Wingdings" w:cs="Wingdings" w:eastAsia="Wingdings" w:hAnsi="Wingdings"/>
          <w:sz w:val="18"/>
          <w:szCs w:val="18"/>
          <w:b w:val="1"/>
          <w:bCs w:val="1"/>
          <w:color w:val="7397BC"/>
        </w:rPr>
      </w:pPr>
      <w:r>
        <w:rPr>
          <w:rFonts w:ascii="Times New Roman" w:cs="Times New Roman" w:eastAsia="Times New Roman" w:hAnsi="Times New Roman"/>
          <w:sz w:val="16"/>
          <w:szCs w:val="16"/>
          <w:color w:val="auto"/>
        </w:rPr>
        <w:t>Reported revenue of $34.5 billion and managed revenue of $35.6 billion</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including a $914 million gain on the sale of Visa B shares and $874 million of net investment securities losses</w:t>
      </w:r>
    </w:p>
    <w:p>
      <w:pPr>
        <w:spacing w:after="0" w:line="87" w:lineRule="exact"/>
        <w:rPr>
          <w:rFonts w:ascii="Wingdings" w:cs="Wingdings" w:eastAsia="Wingdings" w:hAnsi="Wingdings"/>
          <w:sz w:val="18"/>
          <w:szCs w:val="18"/>
          <w:b w:val="1"/>
          <w:bCs w:val="1"/>
          <w:color w:val="7397BC"/>
        </w:rPr>
      </w:pPr>
    </w:p>
    <w:p>
      <w:pPr>
        <w:ind w:left="245" w:right="460" w:hanging="245"/>
        <w:spacing w:after="0" w:line="277" w:lineRule="auto"/>
        <w:tabs>
          <w:tab w:leader="none" w:pos="245" w:val="left"/>
        </w:tabs>
        <w:numPr>
          <w:ilvl w:val="0"/>
          <w:numId w:val="5"/>
        </w:numPr>
        <w:rPr>
          <w:rFonts w:ascii="Wingdings" w:cs="Wingdings" w:eastAsia="Wingdings" w:hAnsi="Wingdings"/>
          <w:sz w:val="18"/>
          <w:szCs w:val="18"/>
          <w:b w:val="1"/>
          <w:bCs w:val="1"/>
          <w:color w:val="7397BC"/>
        </w:rPr>
      </w:pPr>
      <w:r>
        <w:rPr>
          <w:rFonts w:ascii="Times New Roman" w:cs="Times New Roman" w:eastAsia="Times New Roman" w:hAnsi="Times New Roman"/>
          <w:sz w:val="16"/>
          <w:szCs w:val="16"/>
          <w:color w:val="auto"/>
        </w:rPr>
        <w:t>Credit costs of $2.3 billion included a $1.4 billion net reserve build and $887 million of net charge-offs</w:t>
      </w:r>
    </w:p>
    <w:p>
      <w:pPr>
        <w:spacing w:after="0" w:line="70" w:lineRule="exact"/>
        <w:rPr>
          <w:rFonts w:ascii="Wingdings" w:cs="Wingdings" w:eastAsia="Wingdings" w:hAnsi="Wingdings"/>
          <w:sz w:val="18"/>
          <w:szCs w:val="18"/>
          <w:b w:val="1"/>
          <w:bCs w:val="1"/>
          <w:color w:val="7397BC"/>
        </w:rPr>
      </w:pPr>
    </w:p>
    <w:p>
      <w:pPr>
        <w:ind w:left="245" w:hanging="245"/>
        <w:spacing w:after="0"/>
        <w:tabs>
          <w:tab w:leader="none" w:pos="245" w:val="left"/>
        </w:tabs>
        <w:numPr>
          <w:ilvl w:val="0"/>
          <w:numId w:val="5"/>
        </w:numPr>
        <w:rPr>
          <w:rFonts w:ascii="Wingdings" w:cs="Wingdings" w:eastAsia="Wingdings" w:hAnsi="Wingdings"/>
          <w:sz w:val="18"/>
          <w:szCs w:val="18"/>
          <w:b w:val="1"/>
          <w:bCs w:val="1"/>
          <w:color w:val="7397BC"/>
        </w:rPr>
      </w:pPr>
      <w:r>
        <w:rPr>
          <w:rFonts w:ascii="Times New Roman" w:cs="Times New Roman" w:eastAsia="Times New Roman" w:hAnsi="Times New Roman"/>
          <w:sz w:val="16"/>
          <w:szCs w:val="16"/>
          <w:color w:val="auto"/>
        </w:rPr>
        <w:t>Average loans up 6%; average deposits down 4%</w:t>
      </w:r>
    </w:p>
    <w:p>
      <w:pPr>
        <w:spacing w:after="0" w:line="164" w:lineRule="exact"/>
        <w:rPr>
          <w:rFonts w:ascii="Wingdings" w:cs="Wingdings" w:eastAsia="Wingdings" w:hAnsi="Wingdings"/>
          <w:sz w:val="18"/>
          <w:szCs w:val="18"/>
          <w:b w:val="1"/>
          <w:bCs w:val="1"/>
          <w:color w:val="7397BC"/>
        </w:rPr>
      </w:pPr>
    </w:p>
    <w:p>
      <w:pPr>
        <w:ind w:left="245" w:hanging="245"/>
        <w:spacing w:after="0"/>
        <w:tabs>
          <w:tab w:leader="none" w:pos="245" w:val="left"/>
        </w:tabs>
        <w:numPr>
          <w:ilvl w:val="0"/>
          <w:numId w:val="5"/>
        </w:numPr>
        <w:rPr>
          <w:rFonts w:ascii="Wingdings" w:cs="Wingdings" w:eastAsia="Wingdings" w:hAnsi="Wingdings"/>
          <w:sz w:val="18"/>
          <w:szCs w:val="18"/>
          <w:b w:val="1"/>
          <w:bCs w:val="1"/>
          <w:color w:val="0067C2"/>
        </w:rPr>
      </w:pPr>
      <w:r>
        <w:rPr>
          <w:rFonts w:ascii="Times New Roman" w:cs="Times New Roman" w:eastAsia="Times New Roman" w:hAnsi="Times New Roman"/>
          <w:sz w:val="16"/>
          <w:szCs w:val="16"/>
          <w:color w:val="auto"/>
        </w:rPr>
        <w:t>Average deposits up 3%; client investment assets down 10%</w:t>
      </w:r>
    </w:p>
    <w:p>
      <w:pPr>
        <w:spacing w:after="0" w:line="272" w:lineRule="exact"/>
        <w:rPr>
          <w:rFonts w:ascii="Wingdings" w:cs="Wingdings" w:eastAsia="Wingdings" w:hAnsi="Wingdings"/>
          <w:sz w:val="18"/>
          <w:szCs w:val="18"/>
          <w:b w:val="1"/>
          <w:bCs w:val="1"/>
          <w:color w:val="0067C2"/>
        </w:rPr>
      </w:pPr>
    </w:p>
    <w:p>
      <w:pPr>
        <w:ind w:left="245" w:right="120" w:hanging="245"/>
        <w:spacing w:after="0" w:line="277" w:lineRule="auto"/>
        <w:tabs>
          <w:tab w:leader="none" w:pos="245" w:val="left"/>
        </w:tabs>
        <w:numPr>
          <w:ilvl w:val="0"/>
          <w:numId w:val="5"/>
        </w:numPr>
        <w:rPr>
          <w:rFonts w:ascii="Wingdings" w:cs="Wingdings" w:eastAsia="Wingdings" w:hAnsi="Wingdings"/>
          <w:sz w:val="18"/>
          <w:szCs w:val="18"/>
          <w:b w:val="1"/>
          <w:bCs w:val="1"/>
          <w:color w:val="0067C2"/>
        </w:rPr>
      </w:pPr>
      <w:r>
        <w:rPr>
          <w:rFonts w:ascii="Times New Roman" w:cs="Times New Roman" w:eastAsia="Times New Roman" w:hAnsi="Times New Roman"/>
          <w:sz w:val="16"/>
          <w:szCs w:val="16"/>
          <w:color w:val="auto"/>
        </w:rPr>
        <w:t>Average loans up 2% YoY and up 1% QoQ; Card Services net charge-off rate of 1.62%</w:t>
      </w:r>
    </w:p>
    <w:p>
      <w:pPr>
        <w:spacing w:after="0" w:line="70" w:lineRule="exact"/>
        <w:rPr>
          <w:rFonts w:ascii="Wingdings" w:cs="Wingdings" w:eastAsia="Wingdings" w:hAnsi="Wingdings"/>
          <w:sz w:val="18"/>
          <w:szCs w:val="18"/>
          <w:b w:val="1"/>
          <w:bCs w:val="1"/>
          <w:color w:val="0067C2"/>
        </w:rPr>
      </w:pPr>
    </w:p>
    <w:p>
      <w:pPr>
        <w:ind w:left="245" w:hanging="245"/>
        <w:spacing w:after="0"/>
        <w:tabs>
          <w:tab w:leader="none" w:pos="245" w:val="left"/>
        </w:tabs>
        <w:numPr>
          <w:ilvl w:val="0"/>
          <w:numId w:val="5"/>
        </w:numPr>
        <w:rPr>
          <w:rFonts w:ascii="Wingdings" w:cs="Wingdings" w:eastAsia="Wingdings" w:hAnsi="Wingdings"/>
          <w:sz w:val="18"/>
          <w:szCs w:val="18"/>
          <w:b w:val="1"/>
          <w:bCs w:val="1"/>
          <w:color w:val="0067C2"/>
        </w:rPr>
      </w:pPr>
      <w:r>
        <w:rPr>
          <w:rFonts w:ascii="Times New Roman" w:cs="Times New Roman" w:eastAsia="Times New Roman" w:hAnsi="Times New Roman"/>
          <w:sz w:val="16"/>
          <w:szCs w:val="16"/>
          <w:color w:val="auto"/>
        </w:rPr>
        <w:t>Debit and credit card sales volume</w:t>
      </w: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6"/>
          <w:szCs w:val="16"/>
          <w:color w:val="auto"/>
        </w:rPr>
        <w:t xml:space="preserve"> up 9%</w:t>
      </w:r>
    </w:p>
    <w:p>
      <w:pPr>
        <w:spacing w:after="0" w:line="82" w:lineRule="exact"/>
        <w:rPr>
          <w:rFonts w:ascii="Wingdings" w:cs="Wingdings" w:eastAsia="Wingdings" w:hAnsi="Wingdings"/>
          <w:sz w:val="18"/>
          <w:szCs w:val="18"/>
          <w:b w:val="1"/>
          <w:bCs w:val="1"/>
          <w:color w:val="0067C2"/>
        </w:rPr>
      </w:pPr>
    </w:p>
    <w:p>
      <w:pPr>
        <w:ind w:left="245" w:hanging="245"/>
        <w:spacing w:after="0"/>
        <w:tabs>
          <w:tab w:leader="none" w:pos="245" w:val="left"/>
        </w:tabs>
        <w:numPr>
          <w:ilvl w:val="0"/>
          <w:numId w:val="5"/>
        </w:numPr>
        <w:rPr>
          <w:rFonts w:ascii="Wingdings" w:cs="Wingdings" w:eastAsia="Wingdings" w:hAnsi="Wingdings"/>
          <w:sz w:val="18"/>
          <w:szCs w:val="18"/>
          <w:b w:val="1"/>
          <w:bCs w:val="1"/>
          <w:color w:val="0067C2"/>
        </w:rPr>
      </w:pPr>
      <w:r>
        <w:rPr>
          <w:rFonts w:ascii="Times New Roman" w:cs="Times New Roman" w:eastAsia="Times New Roman" w:hAnsi="Times New Roman"/>
          <w:sz w:val="16"/>
          <w:szCs w:val="16"/>
          <w:color w:val="auto"/>
        </w:rPr>
        <w:t>Active mobile customers</w:t>
      </w: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6"/>
          <w:szCs w:val="16"/>
          <w:color w:val="auto"/>
        </w:rPr>
        <w:t xml:space="preserve"> up 9%</w:t>
      </w:r>
    </w:p>
    <w:p>
      <w:pPr>
        <w:spacing w:after="0" w:line="96" w:lineRule="exact"/>
        <w:rPr>
          <w:rFonts w:ascii="Wingdings" w:cs="Wingdings" w:eastAsia="Wingdings" w:hAnsi="Wingdings"/>
          <w:sz w:val="18"/>
          <w:szCs w:val="18"/>
          <w:b w:val="1"/>
          <w:bCs w:val="1"/>
          <w:color w:val="0067C2"/>
        </w:rPr>
      </w:pPr>
    </w:p>
    <w:p>
      <w:pPr>
        <w:ind w:left="245" w:right="160" w:hanging="245"/>
        <w:spacing w:after="0" w:line="277" w:lineRule="auto"/>
        <w:tabs>
          <w:tab w:leader="none" w:pos="245" w:val="left"/>
        </w:tabs>
        <w:numPr>
          <w:ilvl w:val="0"/>
          <w:numId w:val="5"/>
        </w:numPr>
        <w:rPr>
          <w:rFonts w:ascii="Wingdings" w:cs="Wingdings" w:eastAsia="Wingdings" w:hAnsi="Wingdings"/>
          <w:sz w:val="18"/>
          <w:szCs w:val="18"/>
          <w:b w:val="1"/>
          <w:bCs w:val="1"/>
          <w:color w:val="54301A"/>
        </w:rPr>
      </w:pPr>
      <w:r>
        <w:rPr>
          <w:rFonts w:ascii="Times New Roman" w:cs="Times New Roman" w:eastAsia="Times New Roman" w:hAnsi="Times New Roman"/>
          <w:sz w:val="16"/>
          <w:szCs w:val="16"/>
          <w:color w:val="auto"/>
        </w:rPr>
        <w:t>#1 ranking for Global Investment Banking fees with 8.0% wallet share for the year</w:t>
      </w:r>
    </w:p>
    <w:p>
      <w:pPr>
        <w:spacing w:after="0" w:line="2" w:lineRule="exact"/>
        <w:rPr>
          <w:rFonts w:ascii="Wingdings" w:cs="Wingdings" w:eastAsia="Wingdings" w:hAnsi="Wingdings"/>
          <w:sz w:val="18"/>
          <w:szCs w:val="18"/>
          <w:b w:val="1"/>
          <w:bCs w:val="1"/>
          <w:color w:val="54301A"/>
        </w:rPr>
      </w:pPr>
    </w:p>
    <w:p>
      <w:pPr>
        <w:ind w:left="245" w:right="220" w:hanging="245"/>
        <w:spacing w:after="0" w:line="277" w:lineRule="auto"/>
        <w:tabs>
          <w:tab w:leader="none" w:pos="245" w:val="left"/>
        </w:tabs>
        <w:numPr>
          <w:ilvl w:val="0"/>
          <w:numId w:val="5"/>
        </w:numPr>
        <w:rPr>
          <w:rFonts w:ascii="Wingdings" w:cs="Wingdings" w:eastAsia="Wingdings" w:hAnsi="Wingdings"/>
          <w:sz w:val="18"/>
          <w:szCs w:val="18"/>
          <w:b w:val="1"/>
          <w:bCs w:val="1"/>
          <w:color w:val="54301A"/>
        </w:rPr>
      </w:pPr>
      <w:r>
        <w:rPr>
          <w:rFonts w:ascii="Times New Roman" w:cs="Times New Roman" w:eastAsia="Times New Roman" w:hAnsi="Times New Roman"/>
          <w:sz w:val="16"/>
          <w:szCs w:val="16"/>
          <w:color w:val="auto"/>
        </w:rPr>
        <w:t>Total Markets revenue of $5.7 billion, up 7%, with Fixed Income Markets up 12% and Equity Markets down 1%</w:t>
      </w:r>
    </w:p>
    <w:p>
      <w:pPr>
        <w:spacing w:after="0" w:line="259" w:lineRule="exact"/>
        <w:rPr>
          <w:rFonts w:ascii="Wingdings" w:cs="Wingdings" w:eastAsia="Wingdings" w:hAnsi="Wingdings"/>
          <w:sz w:val="18"/>
          <w:szCs w:val="18"/>
          <w:b w:val="1"/>
          <w:bCs w:val="1"/>
          <w:color w:val="54301A"/>
        </w:rPr>
      </w:pPr>
    </w:p>
    <w:p>
      <w:pPr>
        <w:ind w:left="245" w:right="160" w:hanging="245"/>
        <w:spacing w:after="0" w:line="277" w:lineRule="auto"/>
        <w:tabs>
          <w:tab w:leader="none" w:pos="245" w:val="left"/>
        </w:tabs>
        <w:numPr>
          <w:ilvl w:val="0"/>
          <w:numId w:val="5"/>
        </w:numPr>
        <w:rPr>
          <w:rFonts w:ascii="Wingdings" w:cs="Wingdings" w:eastAsia="Wingdings" w:hAnsi="Wingdings"/>
          <w:sz w:val="18"/>
          <w:szCs w:val="18"/>
          <w:b w:val="1"/>
          <w:bCs w:val="1"/>
          <w:color w:val="AB835A"/>
        </w:rPr>
      </w:pPr>
      <w:r>
        <w:rPr>
          <w:rFonts w:ascii="Times New Roman" w:cs="Times New Roman" w:eastAsia="Times New Roman" w:hAnsi="Times New Roman"/>
          <w:sz w:val="16"/>
          <w:szCs w:val="16"/>
          <w:color w:val="auto"/>
        </w:rPr>
        <w:t>Gross Investment Banking revenue of $700 million, down 52%</w:t>
      </w:r>
    </w:p>
    <w:p>
      <w:pPr>
        <w:spacing w:after="0" w:line="2" w:lineRule="exact"/>
        <w:rPr>
          <w:rFonts w:ascii="Wingdings" w:cs="Wingdings" w:eastAsia="Wingdings" w:hAnsi="Wingdings"/>
          <w:sz w:val="18"/>
          <w:szCs w:val="18"/>
          <w:b w:val="1"/>
          <w:bCs w:val="1"/>
          <w:color w:val="AB835A"/>
        </w:rPr>
      </w:pPr>
    </w:p>
    <w:p>
      <w:pPr>
        <w:ind w:left="245" w:right="440" w:hanging="245"/>
        <w:spacing w:after="0" w:line="277" w:lineRule="auto"/>
        <w:tabs>
          <w:tab w:leader="none" w:pos="245" w:val="left"/>
        </w:tabs>
        <w:numPr>
          <w:ilvl w:val="0"/>
          <w:numId w:val="5"/>
        </w:numPr>
        <w:rPr>
          <w:rFonts w:ascii="Wingdings" w:cs="Wingdings" w:eastAsia="Wingdings" w:hAnsi="Wingdings"/>
          <w:sz w:val="18"/>
          <w:szCs w:val="18"/>
          <w:b w:val="1"/>
          <w:bCs w:val="1"/>
          <w:color w:val="AB835A"/>
        </w:rPr>
      </w:pPr>
      <w:r>
        <w:rPr>
          <w:rFonts w:ascii="Times New Roman" w:cs="Times New Roman" w:eastAsia="Times New Roman" w:hAnsi="Times New Roman"/>
          <w:sz w:val="16"/>
          <w:szCs w:val="16"/>
          <w:color w:val="auto"/>
        </w:rPr>
        <w:t>Average loans up 14% YoY and up 3% QoQ; average deposits down 14%</w:t>
      </w:r>
    </w:p>
    <w:p>
      <w:pPr>
        <w:spacing w:after="0" w:line="56" w:lineRule="exact"/>
        <w:rPr>
          <w:rFonts w:ascii="Wingdings" w:cs="Wingdings" w:eastAsia="Wingdings" w:hAnsi="Wingdings"/>
          <w:sz w:val="18"/>
          <w:szCs w:val="18"/>
          <w:b w:val="1"/>
          <w:bCs w:val="1"/>
          <w:color w:val="AB835A"/>
        </w:rPr>
      </w:pPr>
    </w:p>
    <w:p>
      <w:pPr>
        <w:ind w:left="245" w:right="280" w:hanging="245"/>
        <w:spacing w:after="0" w:line="277" w:lineRule="auto"/>
        <w:tabs>
          <w:tab w:leader="none" w:pos="245" w:val="left"/>
        </w:tabs>
        <w:numPr>
          <w:ilvl w:val="0"/>
          <w:numId w:val="5"/>
        </w:numPr>
        <w:rPr>
          <w:rFonts w:ascii="Wingdings" w:cs="Wingdings" w:eastAsia="Wingdings" w:hAnsi="Wingdings"/>
          <w:sz w:val="18"/>
          <w:szCs w:val="18"/>
          <w:b w:val="1"/>
          <w:bCs w:val="1"/>
          <w:color w:val="844B28"/>
        </w:rPr>
      </w:pPr>
      <w:r>
        <w:rPr>
          <w:rFonts w:ascii="Times New Roman" w:cs="Times New Roman" w:eastAsia="Times New Roman" w:hAnsi="Times New Roman"/>
          <w:sz w:val="16"/>
          <w:szCs w:val="16"/>
          <w:color w:val="auto"/>
        </w:rPr>
        <w:t>Assets under management (AUM) of $2.8 trillion, down 11%</w:t>
      </w:r>
    </w:p>
    <w:p>
      <w:pPr>
        <w:spacing w:after="0" w:line="2" w:lineRule="exact"/>
        <w:rPr>
          <w:rFonts w:ascii="Wingdings" w:cs="Wingdings" w:eastAsia="Wingdings" w:hAnsi="Wingdings"/>
          <w:sz w:val="18"/>
          <w:szCs w:val="18"/>
          <w:b w:val="1"/>
          <w:bCs w:val="1"/>
          <w:color w:val="844B28"/>
        </w:rPr>
      </w:pPr>
    </w:p>
    <w:p>
      <w:pPr>
        <w:ind w:left="245" w:right="320" w:hanging="245"/>
        <w:spacing w:after="0" w:line="277" w:lineRule="auto"/>
        <w:tabs>
          <w:tab w:leader="none" w:pos="245" w:val="left"/>
        </w:tabs>
        <w:numPr>
          <w:ilvl w:val="0"/>
          <w:numId w:val="5"/>
        </w:numPr>
        <w:rPr>
          <w:rFonts w:ascii="Wingdings" w:cs="Wingdings" w:eastAsia="Wingdings" w:hAnsi="Wingdings"/>
          <w:sz w:val="18"/>
          <w:szCs w:val="18"/>
          <w:b w:val="1"/>
          <w:bCs w:val="1"/>
          <w:color w:val="844B28"/>
        </w:rPr>
      </w:pPr>
      <w:r>
        <w:rPr>
          <w:rFonts w:ascii="Times New Roman" w:cs="Times New Roman" w:eastAsia="Times New Roman" w:hAnsi="Times New Roman"/>
          <w:sz w:val="16"/>
          <w:szCs w:val="16"/>
          <w:color w:val="auto"/>
        </w:rPr>
        <w:t>Average loans up 2% YoY and down 1% QoQ; average deposits down 10%</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right="440"/>
        <w:spacing w:after="0" w:line="254" w:lineRule="auto"/>
        <w:rPr>
          <w:sz w:val="20"/>
          <w:szCs w:val="20"/>
          <w:color w:val="auto"/>
        </w:rPr>
      </w:pPr>
      <w:r>
        <w:rPr>
          <w:rFonts w:ascii="Times New Roman" w:cs="Times New Roman" w:eastAsia="Times New Roman" w:hAnsi="Times New Roman"/>
          <w:sz w:val="14"/>
          <w:szCs w:val="14"/>
          <w:color w:val="auto"/>
        </w:rPr>
        <w:t xml:space="preserve">Jamie Dimon, Chairman and CEO, commented on the financial results: </w:t>
      </w:r>
      <w:r>
        <w:rPr>
          <w:rFonts w:ascii="Times New Roman" w:cs="Times New Roman" w:eastAsia="Times New Roman" w:hAnsi="Times New Roman"/>
          <w:sz w:val="14"/>
          <w:szCs w:val="14"/>
          <w:i w:val="1"/>
          <w:iCs w:val="1"/>
          <w:color w:val="auto"/>
        </w:rPr>
        <w:t>“JPMorgan Chase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reported strong results in the fourth quarter as we earned $11.0 billion in net income, $34.5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-226060</wp:posOffset>
            </wp:positionV>
            <wp:extent cx="3625850" cy="3926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25850" cy="3926205"/>
                    </a:xfrm>
                    <a:prstGeom prst="rect">
                      <a:avLst/>
                    </a:prstGeom>
                    <a:noFill/>
                  </pic:spPr>
                </pic:pic>
              </a:graphicData>
            </a:graphic>
          </wp:anchor>
        </w:drawing>
      </w:r>
    </w:p>
    <w:p>
      <w:pPr>
        <w:ind w:right="120"/>
        <w:spacing w:after="0" w:line="231" w:lineRule="auto"/>
        <w:rPr>
          <w:sz w:val="20"/>
          <w:szCs w:val="20"/>
          <w:color w:val="auto"/>
        </w:rPr>
      </w:pPr>
      <w:r>
        <w:rPr>
          <w:rFonts w:ascii="Times New Roman" w:cs="Times New Roman" w:eastAsia="Times New Roman" w:hAnsi="Times New Roman"/>
          <w:sz w:val="14"/>
          <w:szCs w:val="14"/>
          <w:i w:val="1"/>
          <w:iCs w:val="1"/>
          <w:color w:val="auto"/>
        </w:rPr>
        <w:t>billion in revenue and an ROTCE of 20%, while maintaining a fortress balance sheet and making all necessary investments. This robust earnings generation combined with the execution of our</w:t>
      </w:r>
    </w:p>
    <w:p>
      <w:pPr>
        <w:spacing w:after="0" w:line="1"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4"/>
          <w:szCs w:val="14"/>
          <w:i w:val="1"/>
          <w:iCs w:val="1"/>
          <w:color w:val="auto"/>
        </w:rPr>
        <w:t>capital strategy allowed us to exceed our CET1 target of 13% one quarter early, and we have the ability to resume stock buybacks this quarter, as we deem appropriate. Looking further ahead, we</w:t>
      </w:r>
    </w:p>
    <w:p>
      <w:pPr>
        <w:spacing w:after="0" w:line="1" w:lineRule="exact"/>
        <w:rPr>
          <w:sz w:val="20"/>
          <w:szCs w:val="20"/>
          <w:color w:val="auto"/>
        </w:rPr>
      </w:pPr>
    </w:p>
    <w:p>
      <w:pPr>
        <w:ind w:right="800"/>
        <w:spacing w:after="0" w:line="239" w:lineRule="auto"/>
        <w:rPr>
          <w:sz w:val="20"/>
          <w:szCs w:val="20"/>
          <w:color w:val="auto"/>
        </w:rPr>
      </w:pPr>
      <w:r>
        <w:rPr>
          <w:rFonts w:ascii="Times New Roman" w:cs="Times New Roman" w:eastAsia="Times New Roman" w:hAnsi="Times New Roman"/>
          <w:sz w:val="14"/>
          <w:szCs w:val="14"/>
          <w:i w:val="1"/>
          <w:iCs w:val="1"/>
          <w:color w:val="auto"/>
        </w:rPr>
        <w:t>still await details of the Basel III finalization package, but we will manage to the new requirements as we have demonstrated in the past.”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Dimon continued: </w:t>
      </w:r>
      <w:r>
        <w:rPr>
          <w:rFonts w:ascii="Times New Roman" w:cs="Times New Roman" w:eastAsia="Times New Roman" w:hAnsi="Times New Roman"/>
          <w:sz w:val="14"/>
          <w:szCs w:val="14"/>
          <w:i w:val="1"/>
          <w:iCs w:val="1"/>
          <w:color w:val="auto"/>
        </w:rPr>
        <w:t>“Our lines of business performed well in the quarter, and we continued to see</w:t>
      </w:r>
    </w:p>
    <w:p>
      <w:pPr>
        <w:spacing w:after="0" w:line="19" w:lineRule="exact"/>
        <w:rPr>
          <w:sz w:val="20"/>
          <w:szCs w:val="20"/>
          <w:color w:val="auto"/>
        </w:rPr>
      </w:pPr>
    </w:p>
    <w:p>
      <w:pPr>
        <w:ind w:right="160"/>
        <w:spacing w:after="0" w:line="231" w:lineRule="auto"/>
        <w:rPr>
          <w:sz w:val="20"/>
          <w:szCs w:val="20"/>
          <w:color w:val="auto"/>
        </w:rPr>
      </w:pPr>
      <w:r>
        <w:rPr>
          <w:rFonts w:ascii="Times New Roman" w:cs="Times New Roman" w:eastAsia="Times New Roman" w:hAnsi="Times New Roman"/>
          <w:sz w:val="14"/>
          <w:szCs w:val="14"/>
          <w:i w:val="1"/>
          <w:iCs w:val="1"/>
          <w:color w:val="auto"/>
        </w:rPr>
        <w:t>momentum in our areas of strategic focus. In Consumer &amp; Community Banking, debit and credit card sales were up 9%, while card loans were up 19% with total revolving balances now back to</w:t>
      </w:r>
    </w:p>
    <w:p>
      <w:pPr>
        <w:spacing w:after="0" w:line="1" w:lineRule="exact"/>
        <w:rPr>
          <w:sz w:val="20"/>
          <w:szCs w:val="20"/>
          <w:color w:val="auto"/>
        </w:rPr>
      </w:pPr>
    </w:p>
    <w:p>
      <w:pPr>
        <w:ind w:right="340"/>
        <w:spacing w:after="0" w:line="241" w:lineRule="auto"/>
        <w:rPr>
          <w:sz w:val="20"/>
          <w:szCs w:val="20"/>
          <w:color w:val="auto"/>
        </w:rPr>
      </w:pPr>
      <w:r>
        <w:rPr>
          <w:rFonts w:ascii="Times New Roman" w:cs="Times New Roman" w:eastAsia="Times New Roman" w:hAnsi="Times New Roman"/>
          <w:sz w:val="14"/>
          <w:szCs w:val="14"/>
          <w:i w:val="1"/>
          <w:iCs w:val="1"/>
          <w:color w:val="auto"/>
        </w:rPr>
        <w:t>pre-pandemic levels. In the Corporate &amp; Investment Bank, Markets revenue rose 7% as client activity remained strong in Fixed Income. Global Investment Banking fees were down</w:t>
      </w:r>
    </w:p>
    <w:p>
      <w:pPr>
        <w:spacing w:after="0" w:line="1" w:lineRule="exact"/>
        <w:rPr>
          <w:sz w:val="20"/>
          <w:szCs w:val="20"/>
          <w:color w:val="auto"/>
        </w:rPr>
      </w:pPr>
    </w:p>
    <w:p>
      <w:pPr>
        <w:ind w:right="420"/>
        <w:spacing w:after="0" w:line="231" w:lineRule="auto"/>
        <w:rPr>
          <w:sz w:val="20"/>
          <w:szCs w:val="20"/>
          <w:color w:val="auto"/>
        </w:rPr>
      </w:pPr>
      <w:r>
        <w:rPr>
          <w:rFonts w:ascii="Times New Roman" w:cs="Times New Roman" w:eastAsia="Times New Roman" w:hAnsi="Times New Roman"/>
          <w:sz w:val="14"/>
          <w:szCs w:val="14"/>
          <w:i w:val="1"/>
          <w:iCs w:val="1"/>
          <w:color w:val="auto"/>
        </w:rPr>
        <w:t>significantly in a challenging environment, although we maintained our #1 ranking in 2022. Commercial Banking loans were up 14% on new loan originations and higher revolver</w:t>
      </w:r>
    </w:p>
    <w:p>
      <w:pPr>
        <w:spacing w:after="0" w:line="1"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4"/>
          <w:szCs w:val="14"/>
          <w:i w:val="1"/>
          <w:iCs w:val="1"/>
          <w:color w:val="auto"/>
        </w:rPr>
        <w:t>utilization. And in Asset &amp; Wealth Management, revenue increased 3% as higher net interest income more than offset the impact of lower market levels.”</w:t>
      </w:r>
    </w:p>
    <w:p>
      <w:pPr>
        <w:spacing w:after="0" w:line="18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4"/>
          <w:szCs w:val="14"/>
          <w:color w:val="auto"/>
        </w:rPr>
        <w:t xml:space="preserve">Dimon added: </w:t>
      </w:r>
      <w:r>
        <w:rPr>
          <w:rFonts w:ascii="Times New Roman" w:cs="Times New Roman" w:eastAsia="Times New Roman" w:hAnsi="Times New Roman"/>
          <w:sz w:val="14"/>
          <w:szCs w:val="14"/>
          <w:i w:val="1"/>
          <w:iCs w:val="1"/>
          <w:color w:val="auto"/>
        </w:rPr>
        <w:t>“The U.S. economy currently remains strong with consumers still spending excess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cash and businesses healthy. However, we still do not know the ultimate effect of the headwinds coming from geopolitical tensions including the war in Ukraine, the vulnerable state of energy</w:t>
      </w:r>
    </w:p>
    <w:p>
      <w:pPr>
        <w:spacing w:after="0" w:line="1" w:lineRule="exact"/>
        <w:rPr>
          <w:sz w:val="20"/>
          <w:szCs w:val="20"/>
          <w:color w:val="auto"/>
        </w:rPr>
      </w:pPr>
    </w:p>
    <w:p>
      <w:pPr>
        <w:ind w:right="140"/>
        <w:spacing w:after="0" w:line="231" w:lineRule="auto"/>
        <w:rPr>
          <w:sz w:val="20"/>
          <w:szCs w:val="20"/>
          <w:color w:val="auto"/>
        </w:rPr>
      </w:pPr>
      <w:r>
        <w:rPr>
          <w:rFonts w:ascii="Times New Roman" w:cs="Times New Roman" w:eastAsia="Times New Roman" w:hAnsi="Times New Roman"/>
          <w:sz w:val="14"/>
          <w:szCs w:val="14"/>
          <w:i w:val="1"/>
          <w:iCs w:val="1"/>
          <w:color w:val="auto"/>
        </w:rPr>
        <w:t>and food supplies, persistent inflation that is eroding purchasing power and has pushed interest rates higher, and the unprecedented quantitative tightening. We remain vigilant and are prepared</w:t>
      </w:r>
    </w:p>
    <w:p>
      <w:pPr>
        <w:spacing w:after="0" w:line="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4"/>
          <w:szCs w:val="14"/>
          <w:i w:val="1"/>
          <w:iCs w:val="1"/>
          <w:color w:val="auto"/>
        </w:rPr>
        <w:t>for whatever happens, so we can serve our customers, clients and communities around the world across a broad range of economic environments.”</w:t>
      </w:r>
    </w:p>
    <w:p>
      <w:pPr>
        <w:spacing w:after="0" w:line="18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4"/>
          <w:szCs w:val="14"/>
          <w:color w:val="auto"/>
        </w:rPr>
        <w:t xml:space="preserve">Dimon concluded: </w:t>
      </w:r>
      <w:r>
        <w:rPr>
          <w:rFonts w:ascii="Times New Roman" w:cs="Times New Roman" w:eastAsia="Times New Roman" w:hAnsi="Times New Roman"/>
          <w:sz w:val="14"/>
          <w:szCs w:val="14"/>
          <w:i w:val="1"/>
          <w:iCs w:val="1"/>
          <w:color w:val="auto"/>
        </w:rPr>
        <w:t>“As a result of the investments we have made over the years and 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dedication to clients, the Firm is in a position of strength as the market leader in U.S. retail deposits, credit cards, business banking, Payments, Markets, investment banking and multifamily</w:t>
      </w:r>
    </w:p>
    <w:p>
      <w:pPr>
        <w:spacing w:after="0" w:line="1"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4"/>
          <w:szCs w:val="14"/>
          <w:i w:val="1"/>
          <w:iCs w:val="1"/>
          <w:color w:val="auto"/>
        </w:rPr>
        <w:t>lending as some examples. But we will not rest here, and we remain committed to investing in the franchise and innovating. The importance of these investments and investing through cycles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particularly evident this year, as we generated a robust ROTCE of 18% even after sharply</w:t>
      </w:r>
    </w:p>
    <w:p>
      <w:pPr>
        <w:spacing w:after="0" w:line="1" w:lineRule="exact"/>
        <w:rPr>
          <w:sz w:val="20"/>
          <w:szCs w:val="20"/>
          <w:color w:val="auto"/>
        </w:rPr>
      </w:pPr>
    </w:p>
    <w:p>
      <w:pPr>
        <w:ind w:right="140"/>
        <w:spacing w:after="0" w:line="231" w:lineRule="auto"/>
        <w:rPr>
          <w:sz w:val="20"/>
          <w:szCs w:val="20"/>
          <w:color w:val="auto"/>
        </w:rPr>
      </w:pPr>
      <w:r>
        <w:rPr>
          <w:rFonts w:ascii="Times New Roman" w:cs="Times New Roman" w:eastAsia="Times New Roman" w:hAnsi="Times New Roman"/>
          <w:sz w:val="14"/>
          <w:szCs w:val="14"/>
          <w:i w:val="1"/>
          <w:iCs w:val="1"/>
          <w:color w:val="auto"/>
        </w:rPr>
        <w:t>accelerating our investments in the business. In 2022, we extended credit and raised $2.4 trillion in capital for small and large businesses, governments and U.S. consumers. Finally, I want to</w:t>
      </w:r>
    </w:p>
    <w:p>
      <w:pPr>
        <w:spacing w:after="0" w:line="1"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4"/>
          <w:szCs w:val="14"/>
          <w:i w:val="1"/>
          <w:iCs w:val="1"/>
          <w:color w:val="auto"/>
        </w:rPr>
        <w:t>reiterate how proud I am of our employees and how they work to support our customers and communities and earn their trust every single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-3482340</wp:posOffset>
            </wp:positionH>
            <wp:positionV relativeFrom="paragraph">
              <wp:posOffset>84455</wp:posOffset>
            </wp:positionV>
            <wp:extent cx="7106285"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4318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3">
            <w:col w:w="1160" w:space="135"/>
            <w:col w:w="4165" w:space="60"/>
            <w:col w:w="5720"/>
          </w:cols>
          <w:pgMar w:left="320" w:top="121"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ITEMS</w:t>
      </w:r>
    </w:p>
    <w:p>
      <w:pPr>
        <w:spacing w:after="0" w:line="44" w:lineRule="exact"/>
        <w:rPr>
          <w:sz w:val="20"/>
          <w:szCs w:val="20"/>
          <w:color w:val="auto"/>
        </w:rPr>
      </w:pPr>
    </w:p>
    <w:p>
      <w:pPr>
        <w:ind w:left="300" w:hanging="252"/>
        <w:spacing w:after="0"/>
        <w:tabs>
          <w:tab w:leader="none" w:pos="300" w:val="left"/>
        </w:tabs>
        <w:numPr>
          <w:ilvl w:val="0"/>
          <w:numId w:val="6"/>
        </w:numPr>
        <w:rPr>
          <w:rFonts w:ascii="Wingdings" w:cs="Wingdings" w:eastAsia="Wingdings" w:hAnsi="Wingdings"/>
          <w:sz w:val="14"/>
          <w:szCs w:val="14"/>
          <w:b w:val="1"/>
          <w:bCs w:val="1"/>
          <w:color w:val="7397BC"/>
        </w:rPr>
      </w:pPr>
      <w:r>
        <w:rPr>
          <w:rFonts w:ascii="Times New Roman" w:cs="Times New Roman" w:eastAsia="Times New Roman" w:hAnsi="Times New Roman"/>
          <w:sz w:val="14"/>
          <w:szCs w:val="14"/>
          <w:color w:val="auto"/>
        </w:rPr>
        <w:t>4Q22 results included:</w:t>
      </w:r>
    </w:p>
    <w:p>
      <w:pPr>
        <w:spacing w:after="0" w:line="42" w:lineRule="exact"/>
        <w:rPr>
          <w:sz w:val="20"/>
          <w:szCs w:val="20"/>
          <w:color w:val="auto"/>
        </w:rPr>
      </w:pPr>
    </w:p>
    <w:p>
      <w:pPr>
        <w:ind w:left="420" w:right="160" w:hanging="250"/>
        <w:spacing w:after="0" w:line="281" w:lineRule="auto"/>
        <w:tabs>
          <w:tab w:leader="none" w:pos="428" w:val="left"/>
        </w:tabs>
        <w:numPr>
          <w:ilvl w:val="0"/>
          <w:numId w:val="7"/>
        </w:numPr>
        <w:rPr>
          <w:rFonts w:ascii="Wingdings" w:cs="Wingdings" w:eastAsia="Wingdings" w:hAnsi="Wingdings"/>
          <w:sz w:val="14"/>
          <w:szCs w:val="14"/>
          <w:b w:val="1"/>
          <w:bCs w:val="1"/>
          <w:color w:val="969696"/>
        </w:rPr>
      </w:pPr>
      <w:r>
        <w:rPr>
          <w:rFonts w:ascii="Times New Roman" w:cs="Times New Roman" w:eastAsia="Times New Roman" w:hAnsi="Times New Roman"/>
          <w:sz w:val="14"/>
          <w:szCs w:val="14"/>
          <w:color w:val="auto"/>
        </w:rPr>
        <w:t>$914 million gain on the sale of Visa B shares in Corporate ($0.23 increase in earnings per share)</w:t>
      </w:r>
    </w:p>
    <w:p>
      <w:pPr>
        <w:spacing w:after="0" w:line="1" w:lineRule="exact"/>
        <w:rPr>
          <w:rFonts w:ascii="Wingdings" w:cs="Wingdings" w:eastAsia="Wingdings" w:hAnsi="Wingdings"/>
          <w:sz w:val="14"/>
          <w:szCs w:val="14"/>
          <w:b w:val="1"/>
          <w:bCs w:val="1"/>
          <w:color w:val="969696"/>
        </w:rPr>
      </w:pPr>
    </w:p>
    <w:p>
      <w:pPr>
        <w:ind w:left="420" w:hanging="250"/>
        <w:spacing w:after="0" w:line="300" w:lineRule="auto"/>
        <w:tabs>
          <w:tab w:leader="none" w:pos="428" w:val="left"/>
        </w:tabs>
        <w:numPr>
          <w:ilvl w:val="0"/>
          <w:numId w:val="7"/>
        </w:numPr>
        <w:rPr>
          <w:rFonts w:ascii="Wingdings" w:cs="Wingdings" w:eastAsia="Wingdings" w:hAnsi="Wingdings"/>
          <w:sz w:val="14"/>
          <w:szCs w:val="14"/>
          <w:b w:val="1"/>
          <w:bCs w:val="1"/>
          <w:color w:val="969696"/>
        </w:rPr>
      </w:pPr>
      <w:r>
        <w:rPr>
          <w:rFonts w:ascii="Times New Roman" w:cs="Times New Roman" w:eastAsia="Times New Roman" w:hAnsi="Times New Roman"/>
          <w:sz w:val="14"/>
          <w:szCs w:val="14"/>
          <w:color w:val="auto"/>
        </w:rPr>
        <w:t>$874 million net investment securities losses in Corporate ($0.22 decrease in earnings per share)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DISTRIBUTED</w:t>
      </w:r>
    </w:p>
    <w:p>
      <w:pPr>
        <w:spacing w:after="0" w:line="44" w:lineRule="exact"/>
        <w:rPr>
          <w:sz w:val="20"/>
          <w:szCs w:val="20"/>
          <w:color w:val="auto"/>
        </w:rPr>
      </w:pPr>
    </w:p>
    <w:p>
      <w:pPr>
        <w:ind w:left="300" w:hanging="252"/>
        <w:spacing w:after="0"/>
        <w:tabs>
          <w:tab w:leader="none" w:pos="300" w:val="left"/>
        </w:tabs>
        <w:numPr>
          <w:ilvl w:val="0"/>
          <w:numId w:val="8"/>
        </w:numPr>
        <w:rPr>
          <w:rFonts w:ascii="Wingdings" w:cs="Wingdings" w:eastAsia="Wingdings" w:hAnsi="Wingdings"/>
          <w:sz w:val="14"/>
          <w:szCs w:val="14"/>
          <w:b w:val="1"/>
          <w:bCs w:val="1"/>
          <w:color w:val="7397BC"/>
        </w:rPr>
      </w:pPr>
      <w:r>
        <w:rPr>
          <w:rFonts w:ascii="Times New Roman" w:cs="Times New Roman" w:eastAsia="Times New Roman" w:hAnsi="Times New Roman"/>
          <w:sz w:val="14"/>
          <w:szCs w:val="14"/>
          <w:color w:val="auto"/>
        </w:rPr>
        <w:t>Common dividend of $3.0 billion, or $1 per share</w:t>
      </w:r>
    </w:p>
    <w:p>
      <w:pPr>
        <w:spacing w:after="0" w:line="38" w:lineRule="exact"/>
        <w:rPr>
          <w:rFonts w:ascii="Wingdings" w:cs="Wingdings" w:eastAsia="Wingdings" w:hAnsi="Wingdings"/>
          <w:sz w:val="14"/>
          <w:szCs w:val="14"/>
          <w:b w:val="1"/>
          <w:bCs w:val="1"/>
          <w:color w:val="7397BC"/>
        </w:rPr>
      </w:pPr>
    </w:p>
    <w:p>
      <w:pPr>
        <w:ind w:left="300" w:hanging="252"/>
        <w:spacing w:after="0"/>
        <w:tabs>
          <w:tab w:leader="none" w:pos="300" w:val="left"/>
        </w:tabs>
        <w:numPr>
          <w:ilvl w:val="0"/>
          <w:numId w:val="8"/>
        </w:numPr>
        <w:rPr>
          <w:rFonts w:ascii="Wingdings" w:cs="Wingdings" w:eastAsia="Wingdings" w:hAnsi="Wingdings"/>
          <w:sz w:val="14"/>
          <w:szCs w:val="14"/>
          <w:b w:val="1"/>
          <w:bCs w:val="1"/>
          <w:color w:val="7397BC"/>
        </w:rPr>
      </w:pPr>
      <w:r>
        <w:rPr>
          <w:rFonts w:ascii="Times New Roman" w:cs="Times New Roman" w:eastAsia="Times New Roman" w:hAnsi="Times New Roman"/>
          <w:sz w:val="14"/>
          <w:szCs w:val="14"/>
          <w:color w:val="auto"/>
        </w:rPr>
        <w:t>Net payout LTM</w:t>
      </w:r>
      <w:r>
        <w:rPr>
          <w:rFonts w:ascii="Times New Roman" w:cs="Times New Roman" w:eastAsia="Times New Roman" w:hAnsi="Times New Roman"/>
          <w:sz w:val="18"/>
          <w:szCs w:val="18"/>
          <w:color w:val="auto"/>
          <w:vertAlign w:val="superscript"/>
        </w:rPr>
        <w:t>7,8</w:t>
      </w:r>
      <w:r>
        <w:rPr>
          <w:rFonts w:ascii="Times New Roman" w:cs="Times New Roman" w:eastAsia="Times New Roman" w:hAnsi="Times New Roman"/>
          <w:sz w:val="14"/>
          <w:szCs w:val="14"/>
          <w:color w:val="auto"/>
        </w:rPr>
        <w:t xml:space="preserve"> of 37%</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FORTRESS PRINCIPLES</w:t>
      </w:r>
    </w:p>
    <w:p>
      <w:pPr>
        <w:spacing w:after="0" w:line="25" w:lineRule="exact"/>
        <w:rPr>
          <w:sz w:val="20"/>
          <w:szCs w:val="20"/>
          <w:color w:val="auto"/>
        </w:rPr>
      </w:pPr>
    </w:p>
    <w:p>
      <w:pPr>
        <w:ind w:left="220" w:right="600" w:hanging="172"/>
        <w:spacing w:after="0" w:line="255" w:lineRule="auto"/>
        <w:tabs>
          <w:tab w:leader="none" w:pos="309" w:val="left"/>
        </w:tabs>
        <w:numPr>
          <w:ilvl w:val="0"/>
          <w:numId w:val="9"/>
        </w:numPr>
        <w:rPr>
          <w:rFonts w:ascii="Wingdings" w:cs="Wingdings" w:eastAsia="Wingdings" w:hAnsi="Wingdings"/>
          <w:sz w:val="14"/>
          <w:szCs w:val="14"/>
          <w:b w:val="1"/>
          <w:bCs w:val="1"/>
          <w:color w:val="7397BC"/>
        </w:rPr>
      </w:pPr>
      <w:r>
        <w:rPr>
          <w:rFonts w:ascii="Times New Roman" w:cs="Times New Roman" w:eastAsia="Times New Roman" w:hAnsi="Times New Roman"/>
          <w:sz w:val="14"/>
          <w:szCs w:val="14"/>
          <w:color w:val="auto"/>
        </w:rPr>
        <w:t>Book value per share of $90.29, up 3%; tangible book value per share</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of $73.12, up 2%</w:t>
      </w:r>
    </w:p>
    <w:p>
      <w:pPr>
        <w:ind w:left="220" w:right="140" w:hanging="172"/>
        <w:spacing w:after="0" w:line="249" w:lineRule="auto"/>
        <w:tabs>
          <w:tab w:leader="none" w:pos="309" w:val="left"/>
        </w:tabs>
        <w:numPr>
          <w:ilvl w:val="0"/>
          <w:numId w:val="9"/>
        </w:numPr>
        <w:rPr>
          <w:rFonts w:ascii="Wingdings" w:cs="Wingdings" w:eastAsia="Wingdings" w:hAnsi="Wingdings"/>
          <w:sz w:val="14"/>
          <w:szCs w:val="14"/>
          <w:b w:val="1"/>
          <w:bCs w:val="1"/>
          <w:color w:val="7397BC"/>
        </w:rPr>
      </w:pPr>
      <w:r>
        <w:rPr>
          <w:rFonts w:ascii="Times New Roman" w:cs="Times New Roman" w:eastAsia="Times New Roman" w:hAnsi="Times New Roman"/>
          <w:sz w:val="14"/>
          <w:szCs w:val="14"/>
          <w:color w:val="auto"/>
        </w:rPr>
        <w:t>Basel III common equity Tier 1 capital</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of $219 billion and Standardized ratio</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of 13.2%; Advanced ratio</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of 13.5%</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300" w:hanging="256"/>
        <w:spacing w:after="0"/>
        <w:tabs>
          <w:tab w:leader="none" w:pos="300" w:val="left"/>
        </w:tabs>
        <w:numPr>
          <w:ilvl w:val="0"/>
          <w:numId w:val="10"/>
        </w:numPr>
        <w:rPr>
          <w:rFonts w:ascii="Wingdings" w:cs="Wingdings" w:eastAsia="Wingdings" w:hAnsi="Wingdings"/>
          <w:sz w:val="14"/>
          <w:szCs w:val="14"/>
          <w:b w:val="1"/>
          <w:bCs w:val="1"/>
          <w:color w:val="7397BC"/>
        </w:rPr>
      </w:pPr>
      <w:r>
        <w:rPr>
          <w:rFonts w:ascii="Times New Roman" w:cs="Times New Roman" w:eastAsia="Times New Roman" w:hAnsi="Times New Roman"/>
          <w:sz w:val="14"/>
          <w:szCs w:val="14"/>
          <w:color w:val="auto"/>
        </w:rPr>
        <w:t>Firm supplementary leverage ratio of 5.6%</w:t>
      </w:r>
    </w:p>
    <w:p>
      <w:pPr>
        <w:spacing w:after="0" w:line="66" w:lineRule="exact"/>
        <w:rPr>
          <w:rFonts w:ascii="Wingdings" w:cs="Wingdings" w:eastAsia="Wingdings" w:hAnsi="Wingdings"/>
          <w:sz w:val="14"/>
          <w:szCs w:val="14"/>
          <w:b w:val="1"/>
          <w:bCs w:val="1"/>
          <w:color w:val="7397BC"/>
        </w:rPr>
      </w:pPr>
    </w:p>
    <w:p>
      <w:pPr>
        <w:spacing w:after="0"/>
        <w:rPr>
          <w:rFonts w:ascii="Wingdings" w:cs="Wingdings" w:eastAsia="Wingdings" w:hAnsi="Wingdings"/>
          <w:sz w:val="14"/>
          <w:szCs w:val="14"/>
          <w:b w:val="1"/>
          <w:bCs w:val="1"/>
          <w:color w:val="7397BC"/>
        </w:rPr>
      </w:pPr>
      <w:r>
        <w:rPr>
          <w:rFonts w:ascii="Times New Roman" w:cs="Times New Roman" w:eastAsia="Times New Roman" w:hAnsi="Times New Roman"/>
          <w:sz w:val="14"/>
          <w:szCs w:val="14"/>
          <w:b w:val="1"/>
          <w:bCs w:val="1"/>
          <w:color w:val="auto"/>
        </w:rPr>
        <w:t>OPERATING LEVERAGE</w:t>
      </w:r>
    </w:p>
    <w:p>
      <w:pPr>
        <w:spacing w:after="0" w:line="40" w:lineRule="exact"/>
        <w:rPr>
          <w:rFonts w:ascii="Wingdings" w:cs="Wingdings" w:eastAsia="Wingdings" w:hAnsi="Wingdings"/>
          <w:sz w:val="14"/>
          <w:szCs w:val="14"/>
          <w:b w:val="1"/>
          <w:bCs w:val="1"/>
          <w:color w:val="7397BC"/>
        </w:rPr>
      </w:pPr>
    </w:p>
    <w:p>
      <w:pPr>
        <w:ind w:left="200" w:right="60" w:hanging="156"/>
        <w:spacing w:after="0" w:line="239" w:lineRule="auto"/>
        <w:tabs>
          <w:tab w:leader="none" w:pos="289" w:val="left"/>
        </w:tabs>
        <w:numPr>
          <w:ilvl w:val="0"/>
          <w:numId w:val="10"/>
        </w:numPr>
        <w:rPr>
          <w:rFonts w:ascii="Wingdings" w:cs="Wingdings" w:eastAsia="Wingdings" w:hAnsi="Wingdings"/>
          <w:sz w:val="14"/>
          <w:szCs w:val="14"/>
          <w:b w:val="1"/>
          <w:bCs w:val="1"/>
          <w:color w:val="7397BC"/>
        </w:rPr>
      </w:pPr>
      <w:r>
        <w:rPr>
          <w:rFonts w:ascii="Times New Roman" w:cs="Times New Roman" w:eastAsia="Times New Roman" w:hAnsi="Times New Roman"/>
          <w:sz w:val="14"/>
          <w:szCs w:val="14"/>
          <w:color w:val="auto"/>
        </w:rPr>
        <w:t>4Q22 expense of $19.0 billion; reported overhead ratio of 55%; managed overhead ratio</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of 53%</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SUPPORTED CONSUMERS, BUSINESSES &amp; COMMUNITIES</w:t>
      </w:r>
    </w:p>
    <w:p>
      <w:pPr>
        <w:spacing w:after="0" w:line="42" w:lineRule="exact"/>
        <w:rPr>
          <w:sz w:val="20"/>
          <w:szCs w:val="20"/>
          <w:color w:val="auto"/>
        </w:rPr>
      </w:pPr>
    </w:p>
    <w:p>
      <w:pPr>
        <w:ind w:left="300" w:hanging="256"/>
        <w:spacing w:after="0"/>
        <w:tabs>
          <w:tab w:leader="none" w:pos="300" w:val="left"/>
        </w:tabs>
        <w:numPr>
          <w:ilvl w:val="0"/>
          <w:numId w:val="11"/>
        </w:numPr>
        <w:rPr>
          <w:rFonts w:ascii="Wingdings" w:cs="Wingdings" w:eastAsia="Wingdings" w:hAnsi="Wingdings"/>
          <w:sz w:val="14"/>
          <w:szCs w:val="14"/>
          <w:b w:val="1"/>
          <w:bCs w:val="1"/>
          <w:color w:val="7397BC"/>
        </w:rPr>
      </w:pPr>
      <w:r>
        <w:rPr>
          <w:rFonts w:ascii="Times New Roman" w:cs="Times New Roman" w:eastAsia="Times New Roman" w:hAnsi="Times New Roman"/>
          <w:sz w:val="14"/>
          <w:szCs w:val="14"/>
          <w:b w:val="1"/>
          <w:bCs w:val="1"/>
          <w:color w:val="auto"/>
        </w:rPr>
        <w:t xml:space="preserve">$2.4 trillion </w:t>
      </w:r>
      <w:r>
        <w:rPr>
          <w:rFonts w:ascii="Times New Roman" w:cs="Times New Roman" w:eastAsia="Times New Roman" w:hAnsi="Times New Roman"/>
          <w:sz w:val="14"/>
          <w:szCs w:val="14"/>
          <w:color w:val="auto"/>
        </w:rPr>
        <w:t>of credit and capital</w:t>
      </w:r>
      <w:r>
        <w:rPr>
          <w:rFonts w:ascii="Times New Roman" w:cs="Times New Roman" w:eastAsia="Times New Roman" w:hAnsi="Times New Roman"/>
          <w:sz w:val="9"/>
          <w:szCs w:val="9"/>
          <w:color w:val="auto"/>
        </w:rPr>
        <w:t>9</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raised in 2022</w:t>
      </w:r>
    </w:p>
    <w:p>
      <w:pPr>
        <w:spacing w:after="0" w:line="55" w:lineRule="exact"/>
        <w:rPr>
          <w:rFonts w:ascii="Wingdings" w:cs="Wingdings" w:eastAsia="Wingdings" w:hAnsi="Wingdings"/>
          <w:sz w:val="14"/>
          <w:szCs w:val="14"/>
          <w:b w:val="1"/>
          <w:bCs w:val="1"/>
          <w:color w:val="7397BC"/>
        </w:rPr>
      </w:pPr>
    </w:p>
    <w:p>
      <w:pPr>
        <w:ind w:left="160"/>
        <w:spacing w:after="0"/>
        <w:rPr>
          <w:rFonts w:ascii="Wingdings" w:cs="Wingdings" w:eastAsia="Wingdings" w:hAnsi="Wingdings"/>
          <w:sz w:val="14"/>
          <w:szCs w:val="14"/>
          <w:b w:val="1"/>
          <w:bCs w:val="1"/>
          <w:color w:val="7397BC"/>
        </w:rPr>
      </w:pPr>
      <w:r>
        <w:rPr>
          <w:rFonts w:ascii="Wingdings" w:cs="Wingdings" w:eastAsia="Wingdings" w:hAnsi="Wingdings"/>
          <w:sz w:val="14"/>
          <w:szCs w:val="14"/>
          <w:b w:val="1"/>
          <w:bCs w:val="1"/>
          <w:color w:val="969696"/>
        </w:rPr>
        <w:t xml:space="preserve">n  </w:t>
      </w:r>
      <w:r>
        <w:rPr>
          <w:rFonts w:ascii="Times New Roman" w:cs="Times New Roman" w:eastAsia="Times New Roman" w:hAnsi="Times New Roman"/>
          <w:sz w:val="14"/>
          <w:szCs w:val="14"/>
          <w:b w:val="1"/>
          <w:bCs w:val="1"/>
          <w:color w:val="000000"/>
        </w:rPr>
        <w:t>$250 billion</w:t>
      </w:r>
      <w:r>
        <w:rPr>
          <w:rFonts w:ascii="Wingdings" w:cs="Wingdings" w:eastAsia="Wingdings" w:hAnsi="Wingdings"/>
          <w:sz w:val="14"/>
          <w:szCs w:val="14"/>
          <w:b w:val="1"/>
          <w:bCs w:val="1"/>
          <w:color w:val="969696"/>
        </w:rPr>
        <w:t xml:space="preserve"> </w:t>
      </w:r>
      <w:r>
        <w:rPr>
          <w:rFonts w:ascii="Times New Roman" w:cs="Times New Roman" w:eastAsia="Times New Roman" w:hAnsi="Times New Roman"/>
          <w:sz w:val="14"/>
          <w:szCs w:val="14"/>
          <w:color w:val="000000"/>
        </w:rPr>
        <w:t>of credit for consumers</w:t>
      </w:r>
    </w:p>
    <w:p>
      <w:pPr>
        <w:spacing w:after="0" w:line="41" w:lineRule="exact"/>
        <w:rPr>
          <w:rFonts w:ascii="Wingdings" w:cs="Wingdings" w:eastAsia="Wingdings" w:hAnsi="Wingdings"/>
          <w:sz w:val="14"/>
          <w:szCs w:val="14"/>
          <w:b w:val="1"/>
          <w:bCs w:val="1"/>
          <w:color w:val="7397BC"/>
        </w:rPr>
      </w:pPr>
    </w:p>
    <w:p>
      <w:pPr>
        <w:ind w:left="160" w:right="2560"/>
        <w:spacing w:after="0" w:line="325" w:lineRule="auto"/>
        <w:rPr>
          <w:rFonts w:ascii="Wingdings" w:cs="Wingdings" w:eastAsia="Wingdings" w:hAnsi="Wingdings"/>
          <w:sz w:val="14"/>
          <w:szCs w:val="14"/>
          <w:b w:val="1"/>
          <w:bCs w:val="1"/>
          <w:color w:val="7397BC"/>
        </w:rPr>
      </w:pPr>
      <w:r>
        <w:rPr>
          <w:rFonts w:ascii="Wingdings" w:cs="Wingdings" w:eastAsia="Wingdings" w:hAnsi="Wingdings"/>
          <w:sz w:val="13"/>
          <w:szCs w:val="13"/>
          <w:b w:val="1"/>
          <w:bCs w:val="1"/>
          <w:color w:val="969696"/>
        </w:rPr>
        <w:t xml:space="preserve">n </w:t>
      </w:r>
      <w:r>
        <w:rPr>
          <w:rFonts w:ascii="Times New Roman" w:cs="Times New Roman" w:eastAsia="Times New Roman" w:hAnsi="Times New Roman"/>
          <w:sz w:val="13"/>
          <w:szCs w:val="13"/>
          <w:b w:val="1"/>
          <w:bCs w:val="1"/>
          <w:color w:val="000000"/>
        </w:rPr>
        <w:t>$33 billion</w:t>
      </w:r>
      <w:r>
        <w:rPr>
          <w:rFonts w:ascii="Wingdings" w:cs="Wingdings" w:eastAsia="Wingdings" w:hAnsi="Wingdings"/>
          <w:sz w:val="13"/>
          <w:szCs w:val="13"/>
          <w:b w:val="1"/>
          <w:bCs w:val="1"/>
          <w:color w:val="969696"/>
        </w:rPr>
        <w:t xml:space="preserve"> </w:t>
      </w:r>
      <w:r>
        <w:rPr>
          <w:rFonts w:ascii="Times New Roman" w:cs="Times New Roman" w:eastAsia="Times New Roman" w:hAnsi="Times New Roman"/>
          <w:sz w:val="13"/>
          <w:szCs w:val="13"/>
          <w:color w:val="000000"/>
        </w:rPr>
        <w:t>of credit for U.S. small businesses</w:t>
      </w:r>
      <w:r>
        <w:rPr>
          <w:rFonts w:ascii="Wingdings" w:cs="Wingdings" w:eastAsia="Wingdings" w:hAnsi="Wingdings"/>
          <w:sz w:val="13"/>
          <w:szCs w:val="13"/>
          <w:b w:val="1"/>
          <w:bCs w:val="1"/>
          <w:color w:val="969696"/>
        </w:rPr>
        <w:t xml:space="preserve"> n </w:t>
      </w:r>
      <w:r>
        <w:rPr>
          <w:rFonts w:ascii="Times New Roman" w:cs="Times New Roman" w:eastAsia="Times New Roman" w:hAnsi="Times New Roman"/>
          <w:sz w:val="13"/>
          <w:szCs w:val="13"/>
          <w:b w:val="1"/>
          <w:bCs w:val="1"/>
          <w:color w:val="000000"/>
        </w:rPr>
        <w:t>$1.1 trillion</w:t>
      </w:r>
      <w:r>
        <w:rPr>
          <w:rFonts w:ascii="Wingdings" w:cs="Wingdings" w:eastAsia="Wingdings" w:hAnsi="Wingdings"/>
          <w:sz w:val="13"/>
          <w:szCs w:val="13"/>
          <w:b w:val="1"/>
          <w:bCs w:val="1"/>
          <w:color w:val="969696"/>
        </w:rPr>
        <w:t xml:space="preserve"> </w:t>
      </w:r>
      <w:r>
        <w:rPr>
          <w:rFonts w:ascii="Times New Roman" w:cs="Times New Roman" w:eastAsia="Times New Roman" w:hAnsi="Times New Roman"/>
          <w:sz w:val="13"/>
          <w:szCs w:val="13"/>
          <w:color w:val="000000"/>
        </w:rPr>
        <w:t>of credit for corporations</w:t>
      </w:r>
    </w:p>
    <w:p>
      <w:pPr>
        <w:ind w:left="400" w:right="820" w:hanging="243"/>
        <w:spacing w:after="0" w:line="291" w:lineRule="auto"/>
        <w:rPr>
          <w:rFonts w:ascii="Wingdings" w:cs="Wingdings" w:eastAsia="Wingdings" w:hAnsi="Wingdings"/>
          <w:sz w:val="14"/>
          <w:szCs w:val="14"/>
          <w:b w:val="1"/>
          <w:bCs w:val="1"/>
          <w:color w:val="7397BC"/>
        </w:rPr>
      </w:pPr>
      <w:r>
        <w:rPr>
          <w:rFonts w:ascii="Wingdings" w:cs="Wingdings" w:eastAsia="Wingdings" w:hAnsi="Wingdings"/>
          <w:sz w:val="14"/>
          <w:szCs w:val="14"/>
          <w:b w:val="1"/>
          <w:bCs w:val="1"/>
          <w:color w:val="969696"/>
        </w:rPr>
        <w:t xml:space="preserve">n </w:t>
      </w:r>
      <w:r>
        <w:rPr>
          <w:rFonts w:ascii="Times New Roman" w:cs="Times New Roman" w:eastAsia="Times New Roman" w:hAnsi="Times New Roman"/>
          <w:sz w:val="14"/>
          <w:szCs w:val="14"/>
          <w:b w:val="1"/>
          <w:bCs w:val="1"/>
          <w:color w:val="000000"/>
        </w:rPr>
        <w:t>$1.0 trillion</w:t>
      </w:r>
      <w:r>
        <w:rPr>
          <w:rFonts w:ascii="Wingdings" w:cs="Wingdings" w:eastAsia="Wingdings" w:hAnsi="Wingdings"/>
          <w:sz w:val="14"/>
          <w:szCs w:val="14"/>
          <w:b w:val="1"/>
          <w:bCs w:val="1"/>
          <w:color w:val="969696"/>
        </w:rPr>
        <w:t xml:space="preserve"> </w:t>
      </w:r>
      <w:r>
        <w:rPr>
          <w:rFonts w:ascii="Times New Roman" w:cs="Times New Roman" w:eastAsia="Times New Roman" w:hAnsi="Times New Roman"/>
          <w:sz w:val="14"/>
          <w:szCs w:val="14"/>
          <w:color w:val="000000"/>
        </w:rPr>
        <w:t>of capital raised for corporate clients and non-U.S. government</w:t>
      </w:r>
      <w:r>
        <w:rPr>
          <w:rFonts w:ascii="Wingdings" w:cs="Wingdings" w:eastAsia="Wingdings" w:hAnsi="Wingdings"/>
          <w:sz w:val="14"/>
          <w:szCs w:val="14"/>
          <w:b w:val="1"/>
          <w:bCs w:val="1"/>
          <w:color w:val="969696"/>
        </w:rPr>
        <w:t xml:space="preserve"> </w:t>
      </w:r>
      <w:r>
        <w:rPr>
          <w:rFonts w:ascii="Times New Roman" w:cs="Times New Roman" w:eastAsia="Times New Roman" w:hAnsi="Times New Roman"/>
          <w:sz w:val="14"/>
          <w:szCs w:val="14"/>
          <w:color w:val="000000"/>
        </w:rPr>
        <w:t>entities</w:t>
      </w:r>
    </w:p>
    <w:p>
      <w:pPr>
        <w:spacing w:after="0" w:line="1" w:lineRule="exact"/>
        <w:rPr>
          <w:rFonts w:ascii="Wingdings" w:cs="Wingdings" w:eastAsia="Wingdings" w:hAnsi="Wingdings"/>
          <w:sz w:val="14"/>
          <w:szCs w:val="14"/>
          <w:b w:val="1"/>
          <w:bCs w:val="1"/>
          <w:color w:val="7397BC"/>
        </w:rPr>
      </w:pPr>
    </w:p>
    <w:p>
      <w:pPr>
        <w:ind w:left="400" w:right="960" w:hanging="243"/>
        <w:spacing w:after="0" w:line="325" w:lineRule="auto"/>
        <w:rPr>
          <w:rFonts w:ascii="Wingdings" w:cs="Wingdings" w:eastAsia="Wingdings" w:hAnsi="Wingdings"/>
          <w:sz w:val="14"/>
          <w:szCs w:val="14"/>
          <w:b w:val="1"/>
          <w:bCs w:val="1"/>
          <w:color w:val="7397BC"/>
        </w:rPr>
      </w:pPr>
      <w:r>
        <w:rPr>
          <w:rFonts w:ascii="Wingdings" w:cs="Wingdings" w:eastAsia="Wingdings" w:hAnsi="Wingdings"/>
          <w:sz w:val="14"/>
          <w:szCs w:val="14"/>
          <w:b w:val="1"/>
          <w:bCs w:val="1"/>
          <w:color w:val="969696"/>
        </w:rPr>
        <w:t xml:space="preserve">n </w:t>
      </w:r>
      <w:r>
        <w:rPr>
          <w:rFonts w:ascii="Times New Roman" w:cs="Times New Roman" w:eastAsia="Times New Roman" w:hAnsi="Times New Roman"/>
          <w:sz w:val="14"/>
          <w:szCs w:val="14"/>
          <w:b w:val="1"/>
          <w:bCs w:val="1"/>
          <w:color w:val="000000"/>
        </w:rPr>
        <w:t>$65 billion</w:t>
      </w:r>
      <w:r>
        <w:rPr>
          <w:rFonts w:ascii="Wingdings" w:cs="Wingdings" w:eastAsia="Wingdings" w:hAnsi="Wingdings"/>
          <w:sz w:val="14"/>
          <w:szCs w:val="14"/>
          <w:b w:val="1"/>
          <w:bCs w:val="1"/>
          <w:color w:val="969696"/>
        </w:rPr>
        <w:t xml:space="preserve"> </w:t>
      </w:r>
      <w:r>
        <w:rPr>
          <w:rFonts w:ascii="Times New Roman" w:cs="Times New Roman" w:eastAsia="Times New Roman" w:hAnsi="Times New Roman"/>
          <w:sz w:val="14"/>
          <w:szCs w:val="14"/>
          <w:color w:val="000000"/>
        </w:rPr>
        <w:t>of credit and capital raised for nonprofit and U.S. government</w:t>
      </w:r>
      <w:r>
        <w:rPr>
          <w:rFonts w:ascii="Wingdings" w:cs="Wingdings" w:eastAsia="Wingdings" w:hAnsi="Wingdings"/>
          <w:sz w:val="14"/>
          <w:szCs w:val="14"/>
          <w:b w:val="1"/>
          <w:bCs w:val="1"/>
          <w:color w:val="969696"/>
        </w:rPr>
        <w:t xml:space="preserve"> </w:t>
      </w:r>
      <w:r>
        <w:rPr>
          <w:rFonts w:ascii="Times New Roman" w:cs="Times New Roman" w:eastAsia="Times New Roman" w:hAnsi="Times New Roman"/>
          <w:sz w:val="14"/>
          <w:szCs w:val="14"/>
          <w:color w:val="000000"/>
        </w:rPr>
        <w:t>entities, including states, municipalities, hospitals and universities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381635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4" w:lineRule="exact"/>
        <w:rPr>
          <w:sz w:val="20"/>
          <w:szCs w:val="20"/>
          <w:color w:val="auto"/>
        </w:rPr>
      </w:pPr>
    </w:p>
    <w:p>
      <w:pPr>
        <w:sectPr>
          <w:pgSz w:w="11900" w:h="16838" w:orient="portrait"/>
          <w:cols w:equalWidth="0" w:num="2">
            <w:col w:w="5580" w:space="40"/>
            <w:col w:w="5620"/>
          </w:cols>
          <w:pgMar w:left="320" w:top="121" w:right="339" w:bottom="1440" w:gutter="0" w:footer="0" w:header="0"/>
          <w:type w:val="continuous"/>
        </w:sectPr>
      </w:pPr>
    </w:p>
    <w:p>
      <w:pPr>
        <w:spacing w:after="0" w:line="260" w:lineRule="exact"/>
        <w:rPr>
          <w:sz w:val="20"/>
          <w:szCs w:val="20"/>
          <w:color w:val="auto"/>
        </w:rPr>
      </w:pPr>
    </w:p>
    <w:p>
      <w:pPr>
        <w:ind w:left="20"/>
        <w:spacing w:after="0"/>
        <w:tabs>
          <w:tab w:leader="none" w:pos="7900" w:val="left"/>
        </w:tabs>
        <w:rPr>
          <w:sz w:val="20"/>
          <w:szCs w:val="20"/>
          <w:color w:val="auto"/>
        </w:rPr>
      </w:pPr>
      <w:r>
        <w:rPr>
          <w:rFonts w:ascii="Times New Roman" w:cs="Times New Roman" w:eastAsia="Times New Roman" w:hAnsi="Times New Roman"/>
          <w:sz w:val="16"/>
          <w:szCs w:val="16"/>
          <w:color w:val="auto"/>
        </w:rPr>
        <w:t>Investor Contact: Mikael Grubb (212) 270-2479</w:t>
      </w:r>
      <w:r>
        <w:rPr>
          <w:sz w:val="20"/>
          <w:szCs w:val="20"/>
          <w:color w:val="auto"/>
        </w:rPr>
        <w:tab/>
      </w:r>
      <w:r>
        <w:rPr>
          <w:rFonts w:ascii="Times New Roman" w:cs="Times New Roman" w:eastAsia="Times New Roman" w:hAnsi="Times New Roman"/>
          <w:sz w:val="16"/>
          <w:szCs w:val="16"/>
          <w:color w:val="auto"/>
        </w:rPr>
        <w:t>Media Contact: Joseph Evangelisti (212) 270-7438</w:t>
      </w:r>
    </w:p>
    <w:p>
      <w:pPr>
        <w:sectPr>
          <w:pgSz w:w="11900" w:h="16838" w:orient="portrait"/>
          <w:cols w:equalWidth="0" w:num="1">
            <w:col w:w="11240"/>
          </w:cols>
          <w:pgMar w:left="320" w:top="121" w:right="339" w:bottom="1440" w:gutter="0" w:footer="0" w:header="0"/>
          <w:type w:val="continuous"/>
        </w:sectPr>
      </w:pP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Note: Totals may not sum due to rounding</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For notes on non-GAAP financial measures, including managed basis reporting, see page 6.</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 additional notes see page 7.</w:t>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3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 the discussion below of Firmwide results of JPMorgan Chase &amp; Co. (“JPMorgan Chase” or the “Firm”), information is presented on a managed basis, which is a non-GAAP financial measure, unless otherwise specified. The discussion below of the Firm’s business segments is also presented on a managed basis. For more information about managed basis, and non-GAAP financial measures used by management to evaluate the performance of each line of business, refer to page 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Comparisons noted in the sections below are for the fourth quarter of 2022 versus the prior-year fourth quarter, unless otherwise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09803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265430"/>
                    </a:xfrm>
                    <a:prstGeom prst="rect">
                      <a:avLst/>
                    </a:prstGeom>
                    <a:noFill/>
                  </pic:spPr>
                </pic:pic>
              </a:graphicData>
            </a:graphic>
          </wp:anchor>
        </w:drawing>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FFFFFF"/>
          <w:shd w:val="clear" w:color="auto" w:fill="7397BC"/>
        </w:rPr>
        <w:t>JPMORGAN CHASE (JPM)</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80" w:type="dxa"/>
            <w:vAlign w:val="bottom"/>
            <w:tcBorders>
              <w:bottom w:val="single" w:sz="8" w:color="EAEAEA"/>
            </w:tcBorders>
            <w:shd w:val="clear" w:color="auto" w:fill="EAEAEA"/>
          </w:tcPr>
          <w:p>
            <w:pPr>
              <w:ind w:left="20"/>
              <w:spacing w:after="0"/>
              <w:rPr>
                <w:sz w:val="20"/>
                <w:szCs w:val="20"/>
                <w:color w:val="auto"/>
              </w:rPr>
            </w:pPr>
            <w:r>
              <w:rPr>
                <w:rFonts w:ascii="Times New Roman" w:cs="Times New Roman" w:eastAsia="Times New Roman" w:hAnsi="Times New Roman"/>
                <w:sz w:val="18"/>
                <w:szCs w:val="18"/>
                <w:color w:val="auto"/>
              </w:rPr>
              <w:t>Results for JPM</w:t>
            </w:r>
          </w:p>
        </w:tc>
        <w:tc>
          <w:tcPr>
            <w:tcW w:w="240" w:type="dxa"/>
            <w:vAlign w:val="bottom"/>
            <w:tcBorders>
              <w:bottom w:val="single" w:sz="8" w:color="auto"/>
            </w:tcBorders>
            <w:shd w:val="clear" w:color="auto" w:fill="EAEAEA"/>
          </w:tcPr>
          <w:p>
            <w:pPr>
              <w:spacing w:after="0"/>
              <w:rPr>
                <w:sz w:val="19"/>
                <w:szCs w:val="19"/>
                <w:color w:val="auto"/>
              </w:rPr>
            </w:pPr>
          </w:p>
        </w:tc>
        <w:tc>
          <w:tcPr>
            <w:tcW w:w="960" w:type="dxa"/>
            <w:vAlign w:val="bottom"/>
            <w:tcBorders>
              <w:bottom w:val="single" w:sz="8" w:color="auto"/>
            </w:tcBorders>
            <w:shd w:val="clear" w:color="auto" w:fill="EAEAEA"/>
          </w:tcPr>
          <w:p>
            <w:pPr>
              <w:spacing w:after="0"/>
              <w:rPr>
                <w:sz w:val="19"/>
                <w:szCs w:val="19"/>
                <w:color w:val="auto"/>
              </w:rPr>
            </w:pPr>
          </w:p>
        </w:tc>
        <w:tc>
          <w:tcPr>
            <w:tcW w:w="100" w:type="dxa"/>
            <w:vAlign w:val="bottom"/>
            <w:tcBorders>
              <w:bottom w:val="single" w:sz="8" w:color="auto"/>
            </w:tcBorders>
            <w:shd w:val="clear" w:color="auto" w:fill="EAEAEA"/>
          </w:tcPr>
          <w:p>
            <w:pPr>
              <w:spacing w:after="0"/>
              <w:rPr>
                <w:sz w:val="19"/>
                <w:szCs w:val="19"/>
                <w:color w:val="auto"/>
              </w:rPr>
            </w:pPr>
          </w:p>
        </w:tc>
        <w:tc>
          <w:tcPr>
            <w:tcW w:w="260" w:type="dxa"/>
            <w:vAlign w:val="bottom"/>
            <w:tcBorders>
              <w:bottom w:val="single" w:sz="8" w:color="auto"/>
            </w:tcBorders>
            <w:shd w:val="clear" w:color="auto" w:fill="EAEAEA"/>
          </w:tcPr>
          <w:p>
            <w:pPr>
              <w:spacing w:after="0"/>
              <w:rPr>
                <w:sz w:val="19"/>
                <w:szCs w:val="19"/>
                <w:color w:val="auto"/>
              </w:rPr>
            </w:pPr>
          </w:p>
        </w:tc>
        <w:tc>
          <w:tcPr>
            <w:tcW w:w="940" w:type="dxa"/>
            <w:vAlign w:val="bottom"/>
            <w:tcBorders>
              <w:bottom w:val="single" w:sz="8" w:color="auto"/>
            </w:tcBorders>
            <w:shd w:val="clear" w:color="auto" w:fill="EAEAEA"/>
          </w:tcPr>
          <w:p>
            <w:pPr>
              <w:spacing w:after="0"/>
              <w:rPr>
                <w:sz w:val="19"/>
                <w:szCs w:val="19"/>
                <w:color w:val="auto"/>
              </w:rPr>
            </w:pPr>
          </w:p>
        </w:tc>
        <w:tc>
          <w:tcPr>
            <w:tcW w:w="120" w:type="dxa"/>
            <w:vAlign w:val="bottom"/>
            <w:tcBorders>
              <w:bottom w:val="single" w:sz="8" w:color="auto"/>
            </w:tcBorders>
            <w:shd w:val="clear" w:color="auto" w:fill="EAEAEA"/>
          </w:tcPr>
          <w:p>
            <w:pPr>
              <w:spacing w:after="0"/>
              <w:rPr>
                <w:sz w:val="19"/>
                <w:szCs w:val="19"/>
                <w:color w:val="auto"/>
              </w:rPr>
            </w:pPr>
          </w:p>
        </w:tc>
        <w:tc>
          <w:tcPr>
            <w:tcW w:w="240" w:type="dxa"/>
            <w:vAlign w:val="bottom"/>
            <w:tcBorders>
              <w:bottom w:val="single" w:sz="8" w:color="auto"/>
            </w:tcBorders>
            <w:shd w:val="clear" w:color="auto" w:fill="EAEAEA"/>
          </w:tcPr>
          <w:p>
            <w:pPr>
              <w:spacing w:after="0"/>
              <w:rPr>
                <w:sz w:val="19"/>
                <w:szCs w:val="19"/>
                <w:color w:val="auto"/>
              </w:rPr>
            </w:pPr>
          </w:p>
        </w:tc>
        <w:tc>
          <w:tcPr>
            <w:tcW w:w="1000" w:type="dxa"/>
            <w:vAlign w:val="bottom"/>
            <w:tcBorders>
              <w:bottom w:val="single" w:sz="8" w:color="auto"/>
            </w:tcBorders>
            <w:shd w:val="clear" w:color="auto" w:fill="EAEAEA"/>
          </w:tcPr>
          <w:p>
            <w:pPr>
              <w:spacing w:after="0"/>
              <w:rPr>
                <w:sz w:val="19"/>
                <w:szCs w:val="19"/>
                <w:color w:val="auto"/>
              </w:rPr>
            </w:pPr>
          </w:p>
        </w:tc>
        <w:tc>
          <w:tcPr>
            <w:tcW w:w="360" w:type="dxa"/>
            <w:vAlign w:val="bottom"/>
            <w:tcBorders>
              <w:bottom w:val="single" w:sz="8" w:color="auto"/>
            </w:tcBorders>
            <w:shd w:val="clear" w:color="auto" w:fill="EAEAEA"/>
          </w:tcPr>
          <w:p>
            <w:pPr>
              <w:spacing w:after="0"/>
              <w:rPr>
                <w:sz w:val="19"/>
                <w:szCs w:val="19"/>
                <w:color w:val="auto"/>
              </w:rPr>
            </w:pPr>
          </w:p>
        </w:tc>
        <w:tc>
          <w:tcPr>
            <w:tcW w:w="1720" w:type="dxa"/>
            <w:vAlign w:val="bottom"/>
            <w:tcBorders>
              <w:bottom w:val="single" w:sz="8" w:color="auto"/>
            </w:tcBorders>
            <w:gridSpan w:val="2"/>
            <w:shd w:val="clear" w:color="auto" w:fill="EAEAEA"/>
          </w:tcPr>
          <w:p>
            <w:pPr>
              <w:jc w:val="right"/>
              <w:ind w:right="710"/>
              <w:spacing w:after="0"/>
              <w:rPr>
                <w:sz w:val="20"/>
                <w:szCs w:val="20"/>
                <w:color w:val="auto"/>
              </w:rPr>
            </w:pPr>
            <w:r>
              <w:rPr>
                <w:rFonts w:ascii="Times New Roman" w:cs="Times New Roman" w:eastAsia="Times New Roman" w:hAnsi="Times New Roman"/>
                <w:sz w:val="18"/>
                <w:szCs w:val="18"/>
                <w:color w:val="auto"/>
              </w:rPr>
              <w:t>3Q22</w:t>
            </w:r>
          </w:p>
        </w:tc>
        <w:tc>
          <w:tcPr>
            <w:tcW w:w="260" w:type="dxa"/>
            <w:vAlign w:val="bottom"/>
            <w:tcBorders>
              <w:bottom w:val="single" w:sz="8" w:color="auto"/>
            </w:tcBorders>
            <w:shd w:val="clear" w:color="auto" w:fill="EAEAEA"/>
          </w:tcPr>
          <w:p>
            <w:pPr>
              <w:spacing w:after="0"/>
              <w:rPr>
                <w:sz w:val="19"/>
                <w:szCs w:val="19"/>
                <w:color w:val="auto"/>
              </w:rPr>
            </w:pPr>
          </w:p>
        </w:tc>
        <w:tc>
          <w:tcPr>
            <w:tcW w:w="1900" w:type="dxa"/>
            <w:vAlign w:val="bottom"/>
            <w:tcBorders>
              <w:bottom w:val="single" w:sz="8" w:color="auto"/>
            </w:tcBorders>
            <w:gridSpan w:val="2"/>
            <w:shd w:val="clear" w:color="auto" w:fill="EAEAEA"/>
          </w:tcPr>
          <w:p>
            <w:pPr>
              <w:jc w:val="right"/>
              <w:ind w:right="730"/>
              <w:spacing w:after="0"/>
              <w:rPr>
                <w:sz w:val="20"/>
                <w:szCs w:val="20"/>
                <w:color w:val="auto"/>
              </w:rPr>
            </w:pPr>
            <w:r>
              <w:rPr>
                <w:rFonts w:ascii="Times New Roman" w:cs="Times New Roman" w:eastAsia="Times New Roman" w:hAnsi="Times New Roman"/>
                <w:sz w:val="18"/>
                <w:szCs w:val="18"/>
                <w:color w:val="auto"/>
              </w:rPr>
              <w:t>4Q21</w:t>
            </w:r>
          </w:p>
        </w:tc>
      </w:tr>
      <w:tr>
        <w:trPr>
          <w:trHeight w:val="223"/>
        </w:trPr>
        <w:tc>
          <w:tcPr>
            <w:tcW w:w="3080" w:type="dxa"/>
            <w:vAlign w:val="bottom"/>
            <w:tcBorders>
              <w:bottom w:val="single" w:sz="8" w:color="auto"/>
            </w:tcBorders>
            <w:shd w:val="clear" w:color="auto" w:fill="EAEAEA"/>
          </w:tcPr>
          <w:p>
            <w:pPr>
              <w:ind w:left="20"/>
              <w:spacing w:after="0"/>
              <w:rPr>
                <w:sz w:val="20"/>
                <w:szCs w:val="20"/>
                <w:color w:val="auto"/>
              </w:rPr>
            </w:pPr>
            <w:r>
              <w:rPr>
                <w:rFonts w:ascii="Times New Roman" w:cs="Times New Roman" w:eastAsia="Times New Roman" w:hAnsi="Times New Roman"/>
                <w:sz w:val="18"/>
                <w:szCs w:val="18"/>
                <w:color w:val="auto"/>
              </w:rPr>
              <w:t>($ millions, except per share data)</w:t>
            </w:r>
          </w:p>
        </w:tc>
        <w:tc>
          <w:tcPr>
            <w:tcW w:w="240" w:type="dxa"/>
            <w:vAlign w:val="bottom"/>
            <w:tcBorders>
              <w:bottom w:val="single" w:sz="8" w:color="auto"/>
            </w:tcBorders>
            <w:shd w:val="clear" w:color="auto" w:fill="EAEAEA"/>
          </w:tcPr>
          <w:p>
            <w:pPr>
              <w:spacing w:after="0"/>
              <w:rPr>
                <w:sz w:val="19"/>
                <w:szCs w:val="19"/>
                <w:color w:val="auto"/>
              </w:rPr>
            </w:pPr>
          </w:p>
        </w:tc>
        <w:tc>
          <w:tcPr>
            <w:tcW w:w="1060" w:type="dxa"/>
            <w:vAlign w:val="bottom"/>
            <w:tcBorders>
              <w:bottom w:val="single" w:sz="8" w:color="auto"/>
            </w:tcBorders>
            <w:gridSpan w:val="2"/>
            <w:shd w:val="clear" w:color="auto" w:fill="EAEAEA"/>
          </w:tcPr>
          <w:p>
            <w:pPr>
              <w:ind w:left="160"/>
              <w:spacing w:after="0"/>
              <w:rPr>
                <w:sz w:val="20"/>
                <w:szCs w:val="20"/>
                <w:color w:val="auto"/>
              </w:rPr>
            </w:pPr>
            <w:r>
              <w:rPr>
                <w:rFonts w:ascii="Times New Roman" w:cs="Times New Roman" w:eastAsia="Times New Roman" w:hAnsi="Times New Roman"/>
                <w:sz w:val="18"/>
                <w:szCs w:val="18"/>
                <w:color w:val="auto"/>
              </w:rPr>
              <w:t>4Q22</w:t>
            </w:r>
          </w:p>
        </w:tc>
        <w:tc>
          <w:tcPr>
            <w:tcW w:w="260" w:type="dxa"/>
            <w:vAlign w:val="bottom"/>
            <w:tcBorders>
              <w:bottom w:val="single" w:sz="8" w:color="auto"/>
            </w:tcBorders>
            <w:shd w:val="clear" w:color="auto" w:fill="EAEAEA"/>
          </w:tcPr>
          <w:p>
            <w:pPr>
              <w:spacing w:after="0"/>
              <w:rPr>
                <w:sz w:val="19"/>
                <w:szCs w:val="19"/>
                <w:color w:val="auto"/>
              </w:rPr>
            </w:pPr>
          </w:p>
        </w:tc>
        <w:tc>
          <w:tcPr>
            <w:tcW w:w="1060" w:type="dxa"/>
            <w:vAlign w:val="bottom"/>
            <w:tcBorders>
              <w:bottom w:val="single" w:sz="8" w:color="auto"/>
            </w:tcBorders>
            <w:gridSpan w:val="2"/>
            <w:shd w:val="clear" w:color="auto" w:fill="EAEAEA"/>
          </w:tcPr>
          <w:p>
            <w:pPr>
              <w:ind w:left="140"/>
              <w:spacing w:after="0"/>
              <w:rPr>
                <w:sz w:val="20"/>
                <w:szCs w:val="20"/>
                <w:color w:val="auto"/>
              </w:rPr>
            </w:pPr>
            <w:r>
              <w:rPr>
                <w:rFonts w:ascii="Times New Roman" w:cs="Times New Roman" w:eastAsia="Times New Roman" w:hAnsi="Times New Roman"/>
                <w:sz w:val="18"/>
                <w:szCs w:val="18"/>
                <w:color w:val="auto"/>
              </w:rPr>
              <w:t>3Q22</w:t>
            </w:r>
          </w:p>
        </w:tc>
        <w:tc>
          <w:tcPr>
            <w:tcW w:w="240" w:type="dxa"/>
            <w:vAlign w:val="bottom"/>
            <w:tcBorders>
              <w:bottom w:val="single" w:sz="8" w:color="auto"/>
            </w:tcBorders>
            <w:shd w:val="clear" w:color="auto" w:fill="EAEAEA"/>
          </w:tcPr>
          <w:p>
            <w:pPr>
              <w:spacing w:after="0"/>
              <w:rPr>
                <w:sz w:val="19"/>
                <w:szCs w:val="19"/>
                <w:color w:val="auto"/>
              </w:rPr>
            </w:pPr>
          </w:p>
        </w:tc>
        <w:tc>
          <w:tcPr>
            <w:tcW w:w="1000" w:type="dxa"/>
            <w:vAlign w:val="bottom"/>
            <w:tcBorders>
              <w:bottom w:val="single" w:sz="8" w:color="auto"/>
            </w:tcBorders>
            <w:shd w:val="clear" w:color="auto" w:fill="EAEAEA"/>
          </w:tcPr>
          <w:p>
            <w:pPr>
              <w:jc w:val="right"/>
              <w:ind w:right="350"/>
              <w:spacing w:after="0"/>
              <w:rPr>
                <w:sz w:val="20"/>
                <w:szCs w:val="20"/>
                <w:color w:val="auto"/>
              </w:rPr>
            </w:pPr>
            <w:r>
              <w:rPr>
                <w:rFonts w:ascii="Times New Roman" w:cs="Times New Roman" w:eastAsia="Times New Roman" w:hAnsi="Times New Roman"/>
                <w:sz w:val="18"/>
                <w:szCs w:val="18"/>
                <w:color w:val="auto"/>
              </w:rPr>
              <w:t>4Q21</w:t>
            </w:r>
          </w:p>
        </w:tc>
        <w:tc>
          <w:tcPr>
            <w:tcW w:w="3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EAEAEA"/>
          </w:tcPr>
          <w:p>
            <w:pPr>
              <w:jc w:val="right"/>
              <w:ind w:right="110"/>
              <w:spacing w:after="0"/>
              <w:rPr>
                <w:sz w:val="20"/>
                <w:szCs w:val="20"/>
                <w:color w:val="auto"/>
              </w:rPr>
            </w:pPr>
            <w:r>
              <w:rPr>
                <w:rFonts w:ascii="Times New Roman" w:cs="Times New Roman" w:eastAsia="Times New Roman" w:hAnsi="Times New Roman"/>
                <w:sz w:val="18"/>
                <w:szCs w:val="18"/>
                <w:color w:val="auto"/>
                <w:w w:val="97"/>
              </w:rPr>
              <w:t>O/(U)</w:t>
            </w:r>
          </w:p>
        </w:tc>
        <w:tc>
          <w:tcPr>
            <w:tcW w:w="1080" w:type="dxa"/>
            <w:vAlign w:val="bottom"/>
            <w:tcBorders>
              <w:bottom w:val="single" w:sz="8" w:color="auto"/>
            </w:tcBorders>
            <w:shd w:val="clear" w:color="auto" w:fill="EAEAEA"/>
          </w:tcPr>
          <w:p>
            <w:pPr>
              <w:jc w:val="right"/>
              <w:ind w:right="130"/>
              <w:spacing w:after="0"/>
              <w:rPr>
                <w:sz w:val="20"/>
                <w:szCs w:val="20"/>
                <w:color w:val="auto"/>
              </w:rPr>
            </w:pPr>
            <w:r>
              <w:rPr>
                <w:rFonts w:ascii="Times New Roman" w:cs="Times New Roman" w:eastAsia="Times New Roman" w:hAnsi="Times New Roman"/>
                <w:sz w:val="18"/>
                <w:szCs w:val="18"/>
                <w:color w:val="auto"/>
              </w:rPr>
              <w:t>O/(U) %</w:t>
            </w:r>
          </w:p>
        </w:tc>
        <w:tc>
          <w:tcPr>
            <w:tcW w:w="260" w:type="dxa"/>
            <w:vAlign w:val="bottom"/>
            <w:tcBorders>
              <w:bottom w:val="single" w:sz="8" w:color="auto"/>
            </w:tcBorders>
            <w:shd w:val="clear" w:color="auto" w:fill="EAEAEA"/>
          </w:tcPr>
          <w:p>
            <w:pPr>
              <w:spacing w:after="0"/>
              <w:rPr>
                <w:sz w:val="19"/>
                <w:szCs w:val="19"/>
                <w:color w:val="auto"/>
              </w:rPr>
            </w:pPr>
          </w:p>
        </w:tc>
        <w:tc>
          <w:tcPr>
            <w:tcW w:w="800" w:type="dxa"/>
            <w:vAlign w:val="bottom"/>
            <w:tcBorders>
              <w:bottom w:val="single" w:sz="8" w:color="auto"/>
            </w:tcBorders>
            <w:shd w:val="clear" w:color="auto" w:fill="EAEAEA"/>
          </w:tcPr>
          <w:p>
            <w:pPr>
              <w:jc w:val="right"/>
              <w:ind w:right="110"/>
              <w:spacing w:after="0"/>
              <w:rPr>
                <w:sz w:val="20"/>
                <w:szCs w:val="20"/>
                <w:color w:val="auto"/>
              </w:rPr>
            </w:pPr>
            <w:r>
              <w:rPr>
                <w:rFonts w:ascii="Times New Roman" w:cs="Times New Roman" w:eastAsia="Times New Roman" w:hAnsi="Times New Roman"/>
                <w:sz w:val="18"/>
                <w:szCs w:val="18"/>
                <w:color w:val="auto"/>
              </w:rPr>
              <w:t>$ O/(U)</w:t>
            </w:r>
          </w:p>
        </w:tc>
        <w:tc>
          <w:tcPr>
            <w:tcW w:w="1100" w:type="dxa"/>
            <w:vAlign w:val="bottom"/>
            <w:tcBorders>
              <w:bottom w:val="single" w:sz="8" w:color="auto"/>
            </w:tcBorders>
            <w:shd w:val="clear" w:color="auto" w:fill="EAEAEA"/>
          </w:tcPr>
          <w:p>
            <w:pPr>
              <w:jc w:val="right"/>
              <w:ind w:right="150"/>
              <w:spacing w:after="0"/>
              <w:rPr>
                <w:sz w:val="20"/>
                <w:szCs w:val="20"/>
                <w:color w:val="auto"/>
              </w:rPr>
            </w:pPr>
            <w:r>
              <w:rPr>
                <w:rFonts w:ascii="Times New Roman" w:cs="Times New Roman" w:eastAsia="Times New Roman" w:hAnsi="Times New Roman"/>
                <w:sz w:val="18"/>
                <w:szCs w:val="18"/>
                <w:color w:val="auto"/>
              </w:rPr>
              <w:t>O/(U) %</w:t>
            </w:r>
          </w:p>
        </w:tc>
      </w:tr>
      <w:tr>
        <w:trPr>
          <w:trHeight w:val="218"/>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 - reported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34,547</w:t>
            </w:r>
          </w:p>
        </w:tc>
        <w:tc>
          <w:tcPr>
            <w:tcW w:w="1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32,716</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29,257</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 - managed</w:t>
            </w:r>
          </w:p>
        </w:tc>
        <w:tc>
          <w:tcPr>
            <w:tcW w:w="24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35,566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33,491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30,349</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4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17,888</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308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Borders>
              <w:bottom w:val="single" w:sz="8" w:color="828282"/>
            </w:tcBorders>
          </w:tcPr>
          <w:p>
            <w:pPr>
              <w:spacing w:after="0"/>
              <w:rPr>
                <w:sz w:val="20"/>
                <w:szCs w:val="20"/>
                <w:color w:val="auto"/>
              </w:rPr>
            </w:pPr>
          </w:p>
        </w:tc>
        <w:tc>
          <w:tcPr>
            <w:tcW w:w="960" w:type="dxa"/>
            <w:vAlign w:val="bottom"/>
            <w:tcBorders>
              <w:bottom w:val="single" w:sz="8" w:color="828282"/>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Borders>
              <w:bottom w:val="single" w:sz="8" w:color="828282"/>
            </w:tcBorders>
          </w:tcPr>
          <w:p>
            <w:pPr>
              <w:spacing w:after="0"/>
              <w:rPr>
                <w:sz w:val="20"/>
                <w:szCs w:val="20"/>
                <w:color w:val="auto"/>
              </w:rPr>
            </w:pPr>
          </w:p>
        </w:tc>
        <w:tc>
          <w:tcPr>
            <w:tcW w:w="260" w:type="dxa"/>
            <w:vAlign w:val="bottom"/>
            <w:tcBorders>
              <w:bottom w:val="single" w:sz="8" w:color="828282"/>
            </w:tcBorders>
          </w:tcPr>
          <w:p>
            <w:pPr>
              <w:spacing w:after="0"/>
              <w:rPr>
                <w:sz w:val="20"/>
                <w:szCs w:val="20"/>
                <w:color w:val="auto"/>
              </w:rPr>
            </w:pPr>
          </w:p>
        </w:tc>
        <w:tc>
          <w:tcPr>
            <w:tcW w:w="940" w:type="dxa"/>
            <w:vAlign w:val="bottom"/>
            <w:tcBorders>
              <w:bottom w:val="single" w:sz="8" w:color="828282"/>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tcBorders>
              <w:bottom w:val="single" w:sz="8" w:color="828282"/>
            </w:tcBorders>
          </w:tcPr>
          <w:p>
            <w:pPr>
              <w:spacing w:after="0"/>
              <w:rPr>
                <w:sz w:val="20"/>
                <w:szCs w:val="20"/>
                <w:color w:val="auto"/>
              </w:rPr>
            </w:pPr>
          </w:p>
        </w:tc>
        <w:tc>
          <w:tcPr>
            <w:tcW w:w="240" w:type="dxa"/>
            <w:vAlign w:val="bottom"/>
            <w:tcBorders>
              <w:bottom w:val="single" w:sz="8" w:color="828282"/>
            </w:tcBorders>
          </w:tcPr>
          <w:p>
            <w:pPr>
              <w:spacing w:after="0"/>
              <w:rPr>
                <w:sz w:val="20"/>
                <w:szCs w:val="20"/>
                <w:color w:val="auto"/>
              </w:rPr>
            </w:pPr>
          </w:p>
        </w:tc>
        <w:tc>
          <w:tcPr>
            <w:tcW w:w="1000" w:type="dxa"/>
            <w:vAlign w:val="bottom"/>
            <w:tcBorders>
              <w:bottom w:val="single" w:sz="8" w:color="828282"/>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(1,288)</w:t>
            </w:r>
          </w:p>
        </w:tc>
        <w:tc>
          <w:tcPr>
            <w:tcW w:w="360" w:type="dxa"/>
            <w:vAlign w:val="bottom"/>
            <w:tcBorders>
              <w:bottom w:val="single" w:sz="8" w:color="828282"/>
            </w:tcBorders>
          </w:tcPr>
          <w:p>
            <w:pPr>
              <w:spacing w:after="0"/>
              <w:rPr>
                <w:sz w:val="20"/>
                <w:szCs w:val="20"/>
                <w:color w:val="auto"/>
              </w:rPr>
            </w:pPr>
          </w:p>
        </w:tc>
        <w:tc>
          <w:tcPr>
            <w:tcW w:w="64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80" w:type="dxa"/>
            <w:vAlign w:val="bottom"/>
            <w:tcBorders>
              <w:bottom w:val="single" w:sz="8" w:color="828282"/>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Borders>
              <w:bottom w:val="single" w:sz="8" w:color="828282"/>
            </w:tcBorders>
          </w:tcPr>
          <w:p>
            <w:pPr>
              <w:spacing w:after="0"/>
              <w:rPr>
                <w:sz w:val="20"/>
                <w:szCs w:val="20"/>
                <w:color w:val="auto"/>
              </w:rPr>
            </w:pPr>
          </w:p>
        </w:tc>
        <w:tc>
          <w:tcPr>
            <w:tcW w:w="80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10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3080" w:type="dxa"/>
            <w:vAlign w:val="bottom"/>
            <w:tcBorders>
              <w:bottom w:val="single" w:sz="8" w:color="828282"/>
            </w:tcBorders>
            <w:shd w:val="clear" w:color="auto" w:fill="D6E0E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828282"/>
            </w:tcBorders>
            <w:shd w:val="clear" w:color="auto" w:fill="D6E0E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828282"/>
            </w:tcBorders>
            <w:shd w:val="clear" w:color="auto" w:fill="D6E0EC"/>
          </w:tcPr>
          <w:p>
            <w:pPr>
              <w:jc w:val="right"/>
              <w:ind w:right="130"/>
              <w:spacing w:after="0"/>
              <w:rPr>
                <w:sz w:val="20"/>
                <w:szCs w:val="20"/>
                <w:color w:val="auto"/>
              </w:rPr>
            </w:pPr>
            <w:r>
              <w:rPr>
                <w:rFonts w:ascii="Times New Roman" w:cs="Times New Roman" w:eastAsia="Times New Roman" w:hAnsi="Times New Roman"/>
                <w:sz w:val="18"/>
                <w:szCs w:val="18"/>
                <w:color w:val="auto"/>
              </w:rPr>
              <w:t>11,008</w:t>
            </w:r>
          </w:p>
        </w:tc>
        <w:tc>
          <w:tcPr>
            <w:tcW w:w="100" w:type="dxa"/>
            <w:vAlign w:val="bottom"/>
            <w:tcBorders>
              <w:bottom w:val="single" w:sz="8" w:color="828282"/>
            </w:tcBorders>
            <w:shd w:val="clear" w:color="auto" w:fill="D6E0EC"/>
          </w:tcPr>
          <w:p>
            <w:pPr>
              <w:spacing w:after="0"/>
              <w:rPr>
                <w:sz w:val="19"/>
                <w:szCs w:val="19"/>
                <w:color w:val="auto"/>
              </w:rPr>
            </w:pPr>
          </w:p>
        </w:tc>
        <w:tc>
          <w:tcPr>
            <w:tcW w:w="260" w:type="dxa"/>
            <w:vAlign w:val="bottom"/>
            <w:tcBorders>
              <w:bottom w:val="single" w:sz="8" w:color="828282"/>
            </w:tcBorders>
            <w:shd w:val="clear" w:color="auto" w:fill="D6E0E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828282"/>
            </w:tcBorders>
            <w:shd w:val="clear" w:color="auto" w:fill="D6E0EC"/>
          </w:tcPr>
          <w:p>
            <w:pPr>
              <w:jc w:val="right"/>
              <w:ind w:right="130"/>
              <w:spacing w:after="0"/>
              <w:rPr>
                <w:sz w:val="20"/>
                <w:szCs w:val="20"/>
                <w:color w:val="auto"/>
              </w:rPr>
            </w:pPr>
            <w:r>
              <w:rPr>
                <w:rFonts w:ascii="Times New Roman" w:cs="Times New Roman" w:eastAsia="Times New Roman" w:hAnsi="Times New Roman"/>
                <w:sz w:val="18"/>
                <w:szCs w:val="18"/>
                <w:color w:val="auto"/>
              </w:rPr>
              <w:t>9,737</w:t>
            </w:r>
          </w:p>
        </w:tc>
        <w:tc>
          <w:tcPr>
            <w:tcW w:w="120" w:type="dxa"/>
            <w:vAlign w:val="bottom"/>
            <w:tcBorders>
              <w:bottom w:val="single" w:sz="8" w:color="828282"/>
            </w:tcBorders>
            <w:shd w:val="clear" w:color="auto" w:fill="D6E0EC"/>
          </w:tcPr>
          <w:p>
            <w:pPr>
              <w:spacing w:after="0"/>
              <w:rPr>
                <w:sz w:val="19"/>
                <w:szCs w:val="19"/>
                <w:color w:val="auto"/>
              </w:rPr>
            </w:pPr>
          </w:p>
        </w:tc>
        <w:tc>
          <w:tcPr>
            <w:tcW w:w="240" w:type="dxa"/>
            <w:vAlign w:val="bottom"/>
            <w:tcBorders>
              <w:bottom w:val="single" w:sz="8" w:color="828282"/>
            </w:tcBorders>
            <w:shd w:val="clear" w:color="auto" w:fill="D6E0E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828282"/>
            </w:tcBorders>
            <w:shd w:val="clear" w:color="auto" w:fill="D6E0EC"/>
          </w:tcPr>
          <w:p>
            <w:pPr>
              <w:jc w:val="right"/>
              <w:ind w:right="170"/>
              <w:spacing w:after="0"/>
              <w:rPr>
                <w:sz w:val="20"/>
                <w:szCs w:val="20"/>
                <w:color w:val="auto"/>
              </w:rPr>
            </w:pPr>
            <w:r>
              <w:rPr>
                <w:rFonts w:ascii="Times New Roman" w:cs="Times New Roman" w:eastAsia="Times New Roman" w:hAnsi="Times New Roman"/>
                <w:sz w:val="18"/>
                <w:szCs w:val="18"/>
                <w:color w:val="auto"/>
              </w:rPr>
              <w:t>10,399</w:t>
            </w:r>
          </w:p>
        </w:tc>
        <w:tc>
          <w:tcPr>
            <w:tcW w:w="360" w:type="dxa"/>
            <w:vAlign w:val="bottom"/>
            <w:tcBorders>
              <w:bottom w:val="single" w:sz="8" w:color="828282"/>
            </w:tcBorders>
            <w:shd w:val="clear" w:color="auto" w:fill="D6E0E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8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10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3"/>
        </w:trPr>
        <w:tc>
          <w:tcPr>
            <w:tcW w:w="308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40" w:type="dxa"/>
            <w:vAlign w:val="bottom"/>
            <w:tcBorders>
              <w:bottom w:val="single" w:sz="8" w:color="828282"/>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828282"/>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7F7F7F"/>
            </w:tcBorders>
          </w:tcPr>
          <w:p>
            <w:pPr>
              <w:spacing w:after="0"/>
              <w:rPr>
                <w:sz w:val="19"/>
                <w:szCs w:val="19"/>
                <w:color w:val="auto"/>
              </w:rPr>
            </w:pPr>
          </w:p>
        </w:tc>
        <w:tc>
          <w:tcPr>
            <w:tcW w:w="260" w:type="dxa"/>
            <w:vAlign w:val="bottom"/>
            <w:tcBorders>
              <w:bottom w:val="single" w:sz="8" w:color="828282"/>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828282"/>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7F7F7F"/>
            </w:tcBorders>
          </w:tcPr>
          <w:p>
            <w:pPr>
              <w:spacing w:after="0"/>
              <w:rPr>
                <w:sz w:val="19"/>
                <w:szCs w:val="19"/>
                <w:color w:val="auto"/>
              </w:rPr>
            </w:pPr>
          </w:p>
        </w:tc>
        <w:tc>
          <w:tcPr>
            <w:tcW w:w="240" w:type="dxa"/>
            <w:vAlign w:val="bottom"/>
            <w:tcBorders>
              <w:bottom w:val="single" w:sz="8" w:color="828282"/>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828282"/>
            </w:tcBorders>
          </w:tcPr>
          <w:p>
            <w:pPr>
              <w:jc w:val="right"/>
              <w:ind w:right="170"/>
              <w:spacing w:after="0"/>
              <w:rPr>
                <w:sz w:val="20"/>
                <w:szCs w:val="20"/>
                <w:color w:val="auto"/>
              </w:rPr>
            </w:pPr>
            <w:r>
              <w:rPr>
                <w:rFonts w:ascii="Times New Roman" w:cs="Times New Roman" w:eastAsia="Times New Roman" w:hAnsi="Times New Roman"/>
                <w:sz w:val="18"/>
                <w:szCs w:val="18"/>
                <w:color w:val="auto"/>
              </w:rPr>
              <w:t>3.33</w:t>
            </w:r>
          </w:p>
        </w:tc>
        <w:tc>
          <w:tcPr>
            <w:tcW w:w="360" w:type="dxa"/>
            <w:vAlign w:val="bottom"/>
            <w:tcBorders>
              <w:bottom w:val="single" w:sz="8" w:color="828282"/>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80" w:type="dxa"/>
            <w:vAlign w:val="bottom"/>
            <w:tcBorders>
              <w:bottom w:val="single" w:sz="8" w:color="7F7F7F"/>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100" w:type="dxa"/>
            <w:vAlign w:val="bottom"/>
            <w:tcBorders>
              <w:bottom w:val="single" w:sz="8" w:color="7F7F7F"/>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3"/>
        </w:trPr>
        <w:tc>
          <w:tcPr>
            <w:tcW w:w="3080" w:type="dxa"/>
            <w:vAlign w:val="bottom"/>
            <w:tcBorders>
              <w:bottom w:val="single" w:sz="8" w:color="7F7F7F"/>
            </w:tcBorders>
          </w:tcPr>
          <w:p>
            <w:pPr>
              <w:ind w:left="20"/>
              <w:spacing w:after="0"/>
              <w:rPr>
                <w:sz w:val="20"/>
                <w:szCs w:val="20"/>
                <w:color w:val="auto"/>
              </w:rPr>
            </w:pPr>
            <w:r>
              <w:rPr>
                <w:rFonts w:ascii="Times New Roman" w:cs="Times New Roman" w:eastAsia="Times New Roman" w:hAnsi="Times New Roman"/>
                <w:sz w:val="18"/>
                <w:szCs w:val="18"/>
                <w:color w:val="auto"/>
              </w:rPr>
              <w:t>Return on common equity</w:t>
            </w:r>
          </w:p>
        </w:tc>
        <w:tc>
          <w:tcPr>
            <w:tcW w:w="240" w:type="dxa"/>
            <w:vAlign w:val="bottom"/>
            <w:tcBorders>
              <w:bottom w:val="single" w:sz="8" w:color="7F7F7F"/>
            </w:tcBorders>
          </w:tcPr>
          <w:p>
            <w:pPr>
              <w:spacing w:after="0"/>
              <w:rPr>
                <w:sz w:val="19"/>
                <w:szCs w:val="19"/>
                <w:color w:val="auto"/>
              </w:rPr>
            </w:pPr>
          </w:p>
        </w:tc>
        <w:tc>
          <w:tcPr>
            <w:tcW w:w="960" w:type="dxa"/>
            <w:vAlign w:val="bottom"/>
            <w:tcBorders>
              <w:bottom w:val="single" w:sz="8" w:color="7F7F7F"/>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bottom w:val="single" w:sz="8" w:color="7F7F7F"/>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Borders>
              <w:bottom w:val="single" w:sz="8" w:color="7F7F7F"/>
            </w:tcBorders>
          </w:tcPr>
          <w:p>
            <w:pPr>
              <w:spacing w:after="0"/>
              <w:rPr>
                <w:sz w:val="19"/>
                <w:szCs w:val="19"/>
                <w:color w:val="auto"/>
              </w:rPr>
            </w:pPr>
          </w:p>
        </w:tc>
        <w:tc>
          <w:tcPr>
            <w:tcW w:w="240" w:type="dxa"/>
            <w:vAlign w:val="bottom"/>
            <w:tcBorders>
              <w:bottom w:val="single" w:sz="8" w:color="7F7F7F"/>
            </w:tcBorders>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360" w:type="dxa"/>
            <w:vAlign w:val="bottom"/>
            <w:tcBorders>
              <w:bottom w:val="single" w:sz="8" w:color="7F7F7F"/>
            </w:tcBorders>
          </w:tcPr>
          <w:p>
            <w:pPr>
              <w:spacing w:after="0"/>
              <w:rPr>
                <w:sz w:val="19"/>
                <w:szCs w:val="19"/>
                <w:color w:val="auto"/>
              </w:rPr>
            </w:pPr>
          </w:p>
        </w:tc>
        <w:tc>
          <w:tcPr>
            <w:tcW w:w="640" w:type="dxa"/>
            <w:vAlign w:val="bottom"/>
            <w:tcBorders>
              <w:bottom w:val="single" w:sz="8" w:color="7F7F7F"/>
            </w:tcBorders>
          </w:tcPr>
          <w:p>
            <w:pPr>
              <w:spacing w:after="0"/>
              <w:rPr>
                <w:sz w:val="19"/>
                <w:szCs w:val="19"/>
                <w:color w:val="auto"/>
              </w:rPr>
            </w:pPr>
          </w:p>
        </w:tc>
        <w:tc>
          <w:tcPr>
            <w:tcW w:w="1080" w:type="dxa"/>
            <w:vAlign w:val="bottom"/>
            <w:tcBorders>
              <w:bottom w:val="single" w:sz="8" w:color="7F7F7F"/>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800" w:type="dxa"/>
            <w:vAlign w:val="bottom"/>
            <w:tcBorders>
              <w:bottom w:val="single" w:sz="8" w:color="7F7F7F"/>
            </w:tcBorders>
          </w:tcPr>
          <w:p>
            <w:pPr>
              <w:spacing w:after="0"/>
              <w:rPr>
                <w:sz w:val="19"/>
                <w:szCs w:val="19"/>
                <w:color w:val="auto"/>
              </w:rPr>
            </w:pPr>
          </w:p>
        </w:tc>
        <w:tc>
          <w:tcPr>
            <w:tcW w:w="1100" w:type="dxa"/>
            <w:vAlign w:val="bottom"/>
            <w:tcBorders>
              <w:bottom w:val="single" w:sz="8" w:color="7F7F7F"/>
            </w:tcBorders>
          </w:tcPr>
          <w:p>
            <w:pPr>
              <w:spacing w:after="0"/>
              <w:rPr>
                <w:sz w:val="19"/>
                <w:szCs w:val="19"/>
                <w:color w:val="auto"/>
              </w:rPr>
            </w:pPr>
          </w:p>
        </w:tc>
      </w:tr>
      <w:tr>
        <w:trPr>
          <w:trHeight w:val="223"/>
        </w:trPr>
        <w:tc>
          <w:tcPr>
            <w:tcW w:w="3080" w:type="dxa"/>
            <w:vAlign w:val="bottom"/>
            <w:tcBorders>
              <w:bottom w:val="single" w:sz="8" w:color="7F7F7F"/>
            </w:tcBorders>
          </w:tcPr>
          <w:p>
            <w:pPr>
              <w:ind w:left="20"/>
              <w:spacing w:after="0"/>
              <w:rPr>
                <w:sz w:val="20"/>
                <w:szCs w:val="20"/>
                <w:color w:val="auto"/>
              </w:rPr>
            </w:pPr>
            <w:r>
              <w:rPr>
                <w:rFonts w:ascii="Times New Roman" w:cs="Times New Roman" w:eastAsia="Times New Roman" w:hAnsi="Times New Roman"/>
                <w:sz w:val="18"/>
                <w:szCs w:val="18"/>
                <w:color w:val="auto"/>
              </w:rPr>
              <w:t>Return on tangible common equity</w:t>
            </w:r>
          </w:p>
        </w:tc>
        <w:tc>
          <w:tcPr>
            <w:tcW w:w="240" w:type="dxa"/>
            <w:vAlign w:val="bottom"/>
            <w:tcBorders>
              <w:bottom w:val="single" w:sz="8" w:color="7F7F7F"/>
            </w:tcBorders>
          </w:tcPr>
          <w:p>
            <w:pPr>
              <w:spacing w:after="0"/>
              <w:rPr>
                <w:sz w:val="19"/>
                <w:szCs w:val="19"/>
                <w:color w:val="auto"/>
              </w:rPr>
            </w:pPr>
          </w:p>
        </w:tc>
        <w:tc>
          <w:tcPr>
            <w:tcW w:w="960" w:type="dxa"/>
            <w:vAlign w:val="bottom"/>
            <w:tcBorders>
              <w:bottom w:val="single" w:sz="8" w:color="7F7F7F"/>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7F7F7F"/>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940" w:type="dxa"/>
            <w:vAlign w:val="bottom"/>
            <w:tcBorders>
              <w:bottom w:val="single" w:sz="8" w:color="7F7F7F"/>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7F7F7F"/>
            </w:tcBorders>
          </w:tcPr>
          <w:p>
            <w:pPr>
              <w:spacing w:after="0"/>
              <w:rPr>
                <w:sz w:val="19"/>
                <w:szCs w:val="19"/>
                <w:color w:val="auto"/>
              </w:rPr>
            </w:pPr>
          </w:p>
        </w:tc>
        <w:tc>
          <w:tcPr>
            <w:tcW w:w="240" w:type="dxa"/>
            <w:vAlign w:val="bottom"/>
            <w:tcBorders>
              <w:bottom w:val="single" w:sz="8" w:color="7F7F7F"/>
            </w:tcBorders>
          </w:tcPr>
          <w:p>
            <w:pPr>
              <w:spacing w:after="0"/>
              <w:rPr>
                <w:sz w:val="19"/>
                <w:szCs w:val="19"/>
                <w:color w:val="auto"/>
              </w:rPr>
            </w:pPr>
          </w:p>
        </w:tc>
        <w:tc>
          <w:tcPr>
            <w:tcW w:w="1000" w:type="dxa"/>
            <w:vAlign w:val="bottom"/>
            <w:tcBorders>
              <w:bottom w:val="single" w:sz="8" w:color="7F7F7F"/>
            </w:tcBorders>
          </w:tcPr>
          <w:p>
            <w:pPr>
              <w:jc w:val="right"/>
              <w:ind w:right="17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Borders>
              <w:bottom w:val="single" w:sz="8" w:color="7F7F7F"/>
            </w:tcBorders>
          </w:tcPr>
          <w:p>
            <w:pPr>
              <w:spacing w:after="0"/>
              <w:rPr>
                <w:sz w:val="19"/>
                <w:szCs w:val="19"/>
                <w:color w:val="auto"/>
              </w:rPr>
            </w:pPr>
          </w:p>
        </w:tc>
        <w:tc>
          <w:tcPr>
            <w:tcW w:w="640" w:type="dxa"/>
            <w:vAlign w:val="bottom"/>
            <w:tcBorders>
              <w:bottom w:val="single" w:sz="8" w:color="7F7F7F"/>
            </w:tcBorders>
          </w:tcPr>
          <w:p>
            <w:pPr>
              <w:spacing w:after="0"/>
              <w:rPr>
                <w:sz w:val="19"/>
                <w:szCs w:val="19"/>
                <w:color w:val="auto"/>
              </w:rPr>
            </w:pPr>
          </w:p>
        </w:tc>
        <w:tc>
          <w:tcPr>
            <w:tcW w:w="1080" w:type="dxa"/>
            <w:vAlign w:val="bottom"/>
            <w:tcBorders>
              <w:bottom w:val="single" w:sz="8" w:color="7F7F7F"/>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800" w:type="dxa"/>
            <w:vAlign w:val="bottom"/>
            <w:tcBorders>
              <w:bottom w:val="single" w:sz="8" w:color="7F7F7F"/>
            </w:tcBorders>
          </w:tcPr>
          <w:p>
            <w:pPr>
              <w:spacing w:after="0"/>
              <w:rPr>
                <w:sz w:val="19"/>
                <w:szCs w:val="19"/>
                <w:color w:val="auto"/>
              </w:rPr>
            </w:pPr>
          </w:p>
        </w:tc>
        <w:tc>
          <w:tcPr>
            <w:tcW w:w="1100" w:type="dxa"/>
            <w:vAlign w:val="bottom"/>
            <w:tcBorders>
              <w:bottom w:val="single" w:sz="8" w:color="7F7F7F"/>
            </w:tcBorders>
          </w:tcPr>
          <w:p>
            <w:pPr>
              <w:spacing w:after="0"/>
              <w:rPr>
                <w:sz w:val="19"/>
                <w:szCs w:val="19"/>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$11.0 billion, up 6%.</w:t>
      </w:r>
    </w:p>
    <w:p>
      <w:pPr>
        <w:spacing w:after="0" w:line="1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Net revenue was $35.6 billion, up 17%. Net interest income (NII) was $20.3 billion, up 48%. NII excluding Markets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$20.0 billion, up 72%, driven by higher rates. Noninterest revenue was $15.3 billion, down 8%, largely driven by lower Investment Banking fees, management and performance fees in AWM, operating lease income in Auto and net production revenue in Home Lending, largely offset by higher CIB Markets revenue.</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expense was $19.0 billion, up 6%, driven by higher structural expense, primarily compensation, and continued investments in the business, including technology and marketing, partially offset by lower legal expense.</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provision for credit losses was $2.3 billion, reflecting a net reserve build of $1.4 billion and net charge-offs of $887 million. The net reserve build in the current quarter included $1.0 billion in Consumer and $343 million in Wholesale, driven by a modest deterioration in the Firm’s macroeconomic outlook, now reflecting a mild recession in the central case, as well as loan growth in Card Services, partially offset by a reduction in uncertainty as the effects of the pandemic gradually recede. Net charge-offs of $887 million were up $337 million, largely driven by Card Services. The prior year net benefit of $1.3 billion reflected a reserve release of $1.8 billion and $550 million of net charge-offs.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331470</wp:posOffset>
            </wp:positionV>
            <wp:extent cx="7098030" cy="266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FFFFFF"/>
          <w:shd w:val="clear" w:color="auto" w:fill="7397BC"/>
        </w:rPr>
        <w:t>CONSUMER &amp; COMMUNITY BANKING (CCB)</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700" w:type="dxa"/>
            <w:vAlign w:val="bottom"/>
            <w:tcBorders>
              <w:bottom w:val="single" w:sz="8" w:color="EAEAEA"/>
            </w:tcBorders>
            <w:shd w:val="clear" w:color="auto" w:fill="EAEAEA"/>
          </w:tcPr>
          <w:p>
            <w:pPr>
              <w:ind w:left="20"/>
              <w:spacing w:after="0"/>
              <w:rPr>
                <w:sz w:val="20"/>
                <w:szCs w:val="20"/>
                <w:color w:val="auto"/>
              </w:rPr>
            </w:pPr>
            <w:r>
              <w:rPr>
                <w:rFonts w:ascii="Times New Roman" w:cs="Times New Roman" w:eastAsia="Times New Roman" w:hAnsi="Times New Roman"/>
                <w:sz w:val="18"/>
                <w:szCs w:val="18"/>
                <w:color w:val="auto"/>
              </w:rPr>
              <w:t>Results for CCB</w:t>
            </w:r>
          </w:p>
        </w:tc>
        <w:tc>
          <w:tcPr>
            <w:tcW w:w="180" w:type="dxa"/>
            <w:vAlign w:val="bottom"/>
            <w:tcBorders>
              <w:bottom w:val="single" w:sz="8" w:color="EAEAEA"/>
            </w:tcBorders>
            <w:shd w:val="clear" w:color="auto" w:fill="EAEAEA"/>
          </w:tcPr>
          <w:p>
            <w:pPr>
              <w:spacing w:after="0"/>
              <w:rPr>
                <w:sz w:val="19"/>
                <w:szCs w:val="19"/>
                <w:color w:val="auto"/>
              </w:rPr>
            </w:pPr>
          </w:p>
        </w:tc>
        <w:tc>
          <w:tcPr>
            <w:tcW w:w="800" w:type="dxa"/>
            <w:vAlign w:val="bottom"/>
            <w:tcBorders>
              <w:bottom w:val="single" w:sz="8" w:color="EAEAEA"/>
            </w:tcBorders>
            <w:shd w:val="clear" w:color="auto" w:fill="EAEAEA"/>
          </w:tcPr>
          <w:p>
            <w:pPr>
              <w:spacing w:after="0"/>
              <w:rPr>
                <w:sz w:val="19"/>
                <w:szCs w:val="19"/>
                <w:color w:val="auto"/>
              </w:rPr>
            </w:pPr>
          </w:p>
        </w:tc>
        <w:tc>
          <w:tcPr>
            <w:tcW w:w="280" w:type="dxa"/>
            <w:vAlign w:val="bottom"/>
            <w:tcBorders>
              <w:bottom w:val="single" w:sz="8" w:color="EAEAEA"/>
            </w:tcBorders>
            <w:shd w:val="clear" w:color="auto" w:fill="EAEAEA"/>
          </w:tcPr>
          <w:p>
            <w:pPr>
              <w:spacing w:after="0"/>
              <w:rPr>
                <w:sz w:val="19"/>
                <w:szCs w:val="19"/>
                <w:color w:val="auto"/>
              </w:rPr>
            </w:pPr>
          </w:p>
        </w:tc>
        <w:tc>
          <w:tcPr>
            <w:tcW w:w="780" w:type="dxa"/>
            <w:vAlign w:val="bottom"/>
            <w:tcBorders>
              <w:bottom w:val="single" w:sz="8" w:color="EAEAEA"/>
            </w:tcBorders>
            <w:shd w:val="clear" w:color="auto" w:fill="EAEAEA"/>
          </w:tcPr>
          <w:p>
            <w:pPr>
              <w:spacing w:after="0"/>
              <w:rPr>
                <w:sz w:val="19"/>
                <w:szCs w:val="19"/>
                <w:color w:val="auto"/>
              </w:rPr>
            </w:pPr>
          </w:p>
        </w:tc>
        <w:tc>
          <w:tcPr>
            <w:tcW w:w="280" w:type="dxa"/>
            <w:vAlign w:val="bottom"/>
            <w:tcBorders>
              <w:bottom w:val="single" w:sz="8" w:color="EAEAEA"/>
            </w:tcBorders>
            <w:shd w:val="clear" w:color="auto" w:fill="EAEAEA"/>
          </w:tcPr>
          <w:p>
            <w:pPr>
              <w:spacing w:after="0"/>
              <w:rPr>
                <w:sz w:val="19"/>
                <w:szCs w:val="19"/>
                <w:color w:val="auto"/>
              </w:rPr>
            </w:pPr>
          </w:p>
        </w:tc>
        <w:tc>
          <w:tcPr>
            <w:tcW w:w="88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auto"/>
            </w:tcBorders>
            <w:shd w:val="clear" w:color="auto" w:fill="EAEAEA"/>
          </w:tcPr>
          <w:p>
            <w:pPr>
              <w:spacing w:after="0"/>
              <w:rPr>
                <w:sz w:val="19"/>
                <w:szCs w:val="19"/>
                <w:color w:val="auto"/>
              </w:rPr>
            </w:pPr>
          </w:p>
        </w:tc>
        <w:tc>
          <w:tcPr>
            <w:tcW w:w="1980" w:type="dxa"/>
            <w:vAlign w:val="bottom"/>
            <w:tcBorders>
              <w:bottom w:val="single" w:sz="8" w:color="auto"/>
            </w:tcBorders>
            <w:gridSpan w:val="2"/>
            <w:shd w:val="clear" w:color="auto" w:fill="EAEAEA"/>
          </w:tcPr>
          <w:p>
            <w:pPr>
              <w:jc w:val="right"/>
              <w:ind w:right="790"/>
              <w:spacing w:after="0"/>
              <w:rPr>
                <w:sz w:val="20"/>
                <w:szCs w:val="20"/>
                <w:color w:val="auto"/>
              </w:rPr>
            </w:pPr>
            <w:r>
              <w:rPr>
                <w:rFonts w:ascii="Times New Roman" w:cs="Times New Roman" w:eastAsia="Times New Roman" w:hAnsi="Times New Roman"/>
                <w:sz w:val="18"/>
                <w:szCs w:val="18"/>
                <w:color w:val="auto"/>
              </w:rPr>
              <w:t>3Q22</w:t>
            </w:r>
          </w:p>
        </w:tc>
        <w:tc>
          <w:tcPr>
            <w:tcW w:w="220" w:type="dxa"/>
            <w:vAlign w:val="bottom"/>
            <w:tcBorders>
              <w:bottom w:val="single" w:sz="8" w:color="auto"/>
            </w:tcBorders>
            <w:shd w:val="clear" w:color="auto" w:fill="EAEAEA"/>
          </w:tcPr>
          <w:p>
            <w:pPr>
              <w:spacing w:after="0"/>
              <w:rPr>
                <w:sz w:val="19"/>
                <w:szCs w:val="19"/>
                <w:color w:val="auto"/>
              </w:rPr>
            </w:pPr>
          </w:p>
        </w:tc>
        <w:tc>
          <w:tcPr>
            <w:tcW w:w="1940" w:type="dxa"/>
            <w:vAlign w:val="bottom"/>
            <w:tcBorders>
              <w:bottom w:val="single" w:sz="8" w:color="auto"/>
            </w:tcBorders>
            <w:gridSpan w:val="2"/>
            <w:shd w:val="clear" w:color="auto" w:fill="EAEAEA"/>
          </w:tcPr>
          <w:p>
            <w:pPr>
              <w:jc w:val="right"/>
              <w:ind w:right="770"/>
              <w:spacing w:after="0"/>
              <w:rPr>
                <w:sz w:val="20"/>
                <w:szCs w:val="20"/>
                <w:color w:val="auto"/>
              </w:rPr>
            </w:pPr>
            <w:r>
              <w:rPr>
                <w:rFonts w:ascii="Times New Roman" w:cs="Times New Roman" w:eastAsia="Times New Roman" w:hAnsi="Times New Roman"/>
                <w:sz w:val="18"/>
                <w:szCs w:val="18"/>
                <w:color w:val="auto"/>
              </w:rPr>
              <w:t>4Q21</w:t>
            </w:r>
          </w:p>
        </w:tc>
      </w:tr>
      <w:tr>
        <w:trPr>
          <w:trHeight w:val="223"/>
        </w:trPr>
        <w:tc>
          <w:tcPr>
            <w:tcW w:w="3700" w:type="dxa"/>
            <w:vAlign w:val="bottom"/>
            <w:tcBorders>
              <w:bottom w:val="single" w:sz="8" w:color="auto"/>
            </w:tcBorders>
            <w:shd w:val="clear" w:color="auto" w:fill="EAEAEA"/>
          </w:tcPr>
          <w:p>
            <w:pPr>
              <w:ind w:left="20"/>
              <w:spacing w:after="0"/>
              <w:rPr>
                <w:sz w:val="20"/>
                <w:szCs w:val="20"/>
                <w:color w:val="auto"/>
              </w:rPr>
            </w:pPr>
            <w:r>
              <w:rPr>
                <w:rFonts w:ascii="Times New Roman" w:cs="Times New Roman" w:eastAsia="Times New Roman" w:hAnsi="Times New Roman"/>
                <w:sz w:val="18"/>
                <w:szCs w:val="18"/>
                <w:color w:val="auto"/>
              </w:rPr>
              <w:t>($ millions)</w:t>
            </w:r>
          </w:p>
        </w:tc>
        <w:tc>
          <w:tcPr>
            <w:tcW w:w="180" w:type="dxa"/>
            <w:vAlign w:val="bottom"/>
            <w:tcBorders>
              <w:bottom w:val="single" w:sz="8" w:color="auto"/>
            </w:tcBorders>
            <w:shd w:val="clear" w:color="auto" w:fill="EAEAEA"/>
          </w:tcPr>
          <w:p>
            <w:pPr>
              <w:spacing w:after="0"/>
              <w:rPr>
                <w:sz w:val="19"/>
                <w:szCs w:val="19"/>
                <w:color w:val="auto"/>
              </w:rPr>
            </w:pPr>
          </w:p>
        </w:tc>
        <w:tc>
          <w:tcPr>
            <w:tcW w:w="80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4Q22</w:t>
            </w:r>
          </w:p>
        </w:tc>
        <w:tc>
          <w:tcPr>
            <w:tcW w:w="280" w:type="dxa"/>
            <w:vAlign w:val="bottom"/>
            <w:tcBorders>
              <w:bottom w:val="single" w:sz="8" w:color="auto"/>
            </w:tcBorders>
            <w:shd w:val="clear" w:color="auto" w:fill="EAEAEA"/>
          </w:tcPr>
          <w:p>
            <w:pPr>
              <w:spacing w:after="0"/>
              <w:rPr>
                <w:sz w:val="19"/>
                <w:szCs w:val="19"/>
                <w:color w:val="auto"/>
              </w:rPr>
            </w:pPr>
          </w:p>
        </w:tc>
        <w:tc>
          <w:tcPr>
            <w:tcW w:w="78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3Q22</w:t>
            </w:r>
          </w:p>
        </w:tc>
        <w:tc>
          <w:tcPr>
            <w:tcW w:w="280" w:type="dxa"/>
            <w:vAlign w:val="bottom"/>
            <w:tcBorders>
              <w:bottom w:val="single" w:sz="8" w:color="auto"/>
            </w:tcBorders>
            <w:shd w:val="clear" w:color="auto" w:fill="EAEAEA"/>
          </w:tcPr>
          <w:p>
            <w:pPr>
              <w:spacing w:after="0"/>
              <w:rPr>
                <w:sz w:val="19"/>
                <w:szCs w:val="19"/>
                <w:color w:val="auto"/>
              </w:rPr>
            </w:pPr>
          </w:p>
        </w:tc>
        <w:tc>
          <w:tcPr>
            <w:tcW w:w="880" w:type="dxa"/>
            <w:vAlign w:val="bottom"/>
            <w:tcBorders>
              <w:bottom w:val="single" w:sz="8" w:color="auto"/>
            </w:tcBorders>
            <w:shd w:val="clear" w:color="auto" w:fill="EAEAEA"/>
          </w:tcPr>
          <w:p>
            <w:pPr>
              <w:jc w:val="right"/>
              <w:ind w:right="310"/>
              <w:spacing w:after="0"/>
              <w:rPr>
                <w:sz w:val="20"/>
                <w:szCs w:val="20"/>
                <w:color w:val="auto"/>
              </w:rPr>
            </w:pPr>
            <w:r>
              <w:rPr>
                <w:rFonts w:ascii="Times New Roman" w:cs="Times New Roman" w:eastAsia="Times New Roman" w:hAnsi="Times New Roman"/>
                <w:sz w:val="18"/>
                <w:szCs w:val="18"/>
                <w:color w:val="auto"/>
              </w:rPr>
              <w:t>4Q21</w:t>
            </w:r>
          </w:p>
        </w:tc>
        <w:tc>
          <w:tcPr>
            <w:tcW w:w="140" w:type="dxa"/>
            <w:vAlign w:val="bottom"/>
            <w:tcBorders>
              <w:bottom w:val="single" w:sz="8" w:color="auto"/>
            </w:tcBorders>
            <w:shd w:val="clear" w:color="auto" w:fill="EAEAEA"/>
          </w:tcPr>
          <w:p>
            <w:pPr>
              <w:spacing w:after="0"/>
              <w:rPr>
                <w:sz w:val="19"/>
                <w:szCs w:val="19"/>
                <w:color w:val="auto"/>
              </w:rPr>
            </w:pPr>
          </w:p>
        </w:tc>
        <w:tc>
          <w:tcPr>
            <w:tcW w:w="92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 O/(U)</w:t>
            </w:r>
          </w:p>
        </w:tc>
        <w:tc>
          <w:tcPr>
            <w:tcW w:w="106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O/(U) %</w:t>
            </w:r>
          </w:p>
        </w:tc>
        <w:tc>
          <w:tcPr>
            <w:tcW w:w="220" w:type="dxa"/>
            <w:vAlign w:val="bottom"/>
            <w:tcBorders>
              <w:bottom w:val="single" w:sz="8" w:color="auto"/>
            </w:tcBorders>
            <w:shd w:val="clear" w:color="auto" w:fill="EAEAEA"/>
          </w:tcPr>
          <w:p>
            <w:pPr>
              <w:spacing w:after="0"/>
              <w:rPr>
                <w:sz w:val="19"/>
                <w:szCs w:val="19"/>
                <w:color w:val="auto"/>
              </w:rPr>
            </w:pPr>
          </w:p>
        </w:tc>
        <w:tc>
          <w:tcPr>
            <w:tcW w:w="920" w:type="dxa"/>
            <w:vAlign w:val="bottom"/>
            <w:tcBorders>
              <w:bottom w:val="single" w:sz="8" w:color="auto"/>
            </w:tcBorders>
            <w:shd w:val="clear" w:color="auto" w:fill="EAEAEA"/>
          </w:tcPr>
          <w:p>
            <w:pPr>
              <w:jc w:val="right"/>
              <w:ind w:right="230"/>
              <w:spacing w:after="0"/>
              <w:rPr>
                <w:sz w:val="20"/>
                <w:szCs w:val="20"/>
                <w:color w:val="auto"/>
              </w:rPr>
            </w:pPr>
            <w:r>
              <w:rPr>
                <w:rFonts w:ascii="Times New Roman" w:cs="Times New Roman" w:eastAsia="Times New Roman" w:hAnsi="Times New Roman"/>
                <w:sz w:val="18"/>
                <w:szCs w:val="18"/>
                <w:color w:val="auto"/>
              </w:rPr>
              <w:t>$ O/(U)</w:t>
            </w:r>
          </w:p>
        </w:tc>
        <w:tc>
          <w:tcPr>
            <w:tcW w:w="1020" w:type="dxa"/>
            <w:vAlign w:val="bottom"/>
            <w:tcBorders>
              <w:bottom w:val="single" w:sz="8" w:color="auto"/>
            </w:tcBorders>
            <w:shd w:val="clear" w:color="auto" w:fill="EAEAEA"/>
          </w:tcPr>
          <w:p>
            <w:pPr>
              <w:jc w:val="right"/>
              <w:ind w:right="170"/>
              <w:spacing w:after="0"/>
              <w:rPr>
                <w:sz w:val="20"/>
                <w:szCs w:val="20"/>
                <w:color w:val="auto"/>
              </w:rPr>
            </w:pPr>
            <w:r>
              <w:rPr>
                <w:rFonts w:ascii="Times New Roman" w:cs="Times New Roman" w:eastAsia="Times New Roman" w:hAnsi="Times New Roman"/>
                <w:sz w:val="18"/>
                <w:szCs w:val="18"/>
                <w:color w:val="auto"/>
              </w:rPr>
              <w:t>O/(U) %</w:t>
            </w:r>
          </w:p>
        </w:tc>
      </w:tr>
      <w:tr>
        <w:trPr>
          <w:trHeight w:val="215"/>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15,843</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14,331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12,275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1,512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3,568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33"/>
        </w:trPr>
        <w:tc>
          <w:tcPr>
            <w:tcW w:w="3700" w:type="dxa"/>
            <w:vAlign w:val="bottom"/>
          </w:tcPr>
          <w:p>
            <w:pPr>
              <w:ind w:left="140"/>
              <w:spacing w:after="0" w:line="233" w:lineRule="exact"/>
              <w:rPr>
                <w:sz w:val="20"/>
                <w:szCs w:val="20"/>
                <w:color w:val="auto"/>
              </w:rPr>
            </w:pPr>
            <w:r>
              <w:rPr>
                <w:rFonts w:ascii="Times New Roman" w:cs="Times New Roman" w:eastAsia="Times New Roman" w:hAnsi="Times New Roman"/>
                <w:sz w:val="18"/>
                <w:szCs w:val="18"/>
                <w:color w:val="auto"/>
              </w:rPr>
              <w:t>Banking &amp; Wealth Management</w:t>
            </w:r>
            <w:r>
              <w:rPr>
                <w:rFonts w:ascii="Times New Roman" w:cs="Times New Roman" w:eastAsia="Times New Roman" w:hAnsi="Times New Roman"/>
                <w:sz w:val="23"/>
                <w:szCs w:val="23"/>
                <w:color w:val="auto"/>
                <w:vertAlign w:val="superscript"/>
              </w:rPr>
              <w:t>10</w:t>
            </w:r>
          </w:p>
        </w:tc>
        <w:tc>
          <w:tcPr>
            <w:tcW w:w="1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9,632</w:t>
            </w:r>
          </w:p>
        </w:tc>
        <w:tc>
          <w:tcPr>
            <w:tcW w:w="2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8,010</w:t>
            </w:r>
          </w:p>
        </w:tc>
        <w:tc>
          <w:tcPr>
            <w:tcW w:w="28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6,172</w:t>
            </w:r>
          </w:p>
        </w:tc>
        <w:tc>
          <w:tcPr>
            <w:tcW w:w="14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1,622</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3,460</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r>
      <w:tr>
        <w:trPr>
          <w:trHeight w:val="226"/>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Lending</w:t>
            </w:r>
          </w:p>
        </w:tc>
        <w:tc>
          <w:tcPr>
            <w:tcW w:w="1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584</w:t>
            </w:r>
          </w:p>
        </w:tc>
        <w:tc>
          <w:tcPr>
            <w:tcW w:w="28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920</w:t>
            </w:r>
          </w:p>
        </w:tc>
        <w:tc>
          <w:tcPr>
            <w:tcW w:w="28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1,084</w:t>
            </w:r>
          </w:p>
        </w:tc>
        <w:tc>
          <w:tcPr>
            <w:tcW w:w="1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(336)</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(500)</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r>
      <w:tr>
        <w:trPr>
          <w:trHeight w:val="233"/>
        </w:trPr>
        <w:tc>
          <w:tcPr>
            <w:tcW w:w="3700" w:type="dxa"/>
            <w:vAlign w:val="bottom"/>
          </w:tcPr>
          <w:p>
            <w:pPr>
              <w:ind w:left="140"/>
              <w:spacing w:after="0" w:line="233" w:lineRule="exact"/>
              <w:rPr>
                <w:sz w:val="20"/>
                <w:szCs w:val="20"/>
                <w:color w:val="auto"/>
              </w:rPr>
            </w:pPr>
            <w:r>
              <w:rPr>
                <w:rFonts w:ascii="Times New Roman" w:cs="Times New Roman" w:eastAsia="Times New Roman" w:hAnsi="Times New Roman"/>
                <w:sz w:val="18"/>
                <w:szCs w:val="18"/>
                <w:color w:val="auto"/>
              </w:rPr>
              <w:t>Card Services &amp; Auto</w:t>
            </w:r>
            <w:r>
              <w:rPr>
                <w:rFonts w:ascii="Times New Roman" w:cs="Times New Roman" w:eastAsia="Times New Roman" w:hAnsi="Times New Roman"/>
                <w:sz w:val="23"/>
                <w:szCs w:val="23"/>
                <w:color w:val="auto"/>
                <w:vertAlign w:val="superscript"/>
              </w:rPr>
              <w:t>11</w:t>
            </w:r>
          </w:p>
        </w:tc>
        <w:tc>
          <w:tcPr>
            <w:tcW w:w="1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5,627</w:t>
            </w:r>
          </w:p>
        </w:tc>
        <w:tc>
          <w:tcPr>
            <w:tcW w:w="2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5,401</w:t>
            </w:r>
          </w:p>
        </w:tc>
        <w:tc>
          <w:tcPr>
            <w:tcW w:w="28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5,019</w:t>
            </w:r>
          </w:p>
        </w:tc>
        <w:tc>
          <w:tcPr>
            <w:tcW w:w="14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226</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608</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1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7,981</w:t>
            </w:r>
          </w:p>
        </w:tc>
        <w:tc>
          <w:tcPr>
            <w:tcW w:w="28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8,047</w:t>
            </w:r>
          </w:p>
        </w:tc>
        <w:tc>
          <w:tcPr>
            <w:tcW w:w="28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7,754</w:t>
            </w:r>
          </w:p>
        </w:tc>
        <w:tc>
          <w:tcPr>
            <w:tcW w:w="1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227</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370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80" w:type="dxa"/>
            <w:vAlign w:val="bottom"/>
            <w:tcBorders>
              <w:bottom w:val="single" w:sz="8" w:color="828282"/>
            </w:tcBorders>
          </w:tcPr>
          <w:p>
            <w:pPr>
              <w:spacing w:after="0"/>
              <w:rPr>
                <w:sz w:val="20"/>
                <w:szCs w:val="20"/>
                <w:color w:val="auto"/>
              </w:rPr>
            </w:pPr>
          </w:p>
        </w:tc>
        <w:tc>
          <w:tcPr>
            <w:tcW w:w="80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1,845</w:t>
            </w:r>
          </w:p>
        </w:tc>
        <w:tc>
          <w:tcPr>
            <w:tcW w:w="280" w:type="dxa"/>
            <w:vAlign w:val="bottom"/>
            <w:tcBorders>
              <w:bottom w:val="single" w:sz="8" w:color="828282"/>
            </w:tcBorders>
          </w:tcPr>
          <w:p>
            <w:pPr>
              <w:spacing w:after="0"/>
              <w:rPr>
                <w:sz w:val="20"/>
                <w:szCs w:val="20"/>
                <w:color w:val="auto"/>
              </w:rPr>
            </w:pPr>
          </w:p>
        </w:tc>
        <w:tc>
          <w:tcPr>
            <w:tcW w:w="78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529</w:t>
            </w:r>
          </w:p>
        </w:tc>
        <w:tc>
          <w:tcPr>
            <w:tcW w:w="280" w:type="dxa"/>
            <w:vAlign w:val="bottom"/>
            <w:tcBorders>
              <w:bottom w:val="single" w:sz="8" w:color="828282"/>
            </w:tcBorders>
          </w:tcPr>
          <w:p>
            <w:pPr>
              <w:spacing w:after="0"/>
              <w:rPr>
                <w:sz w:val="20"/>
                <w:szCs w:val="20"/>
                <w:color w:val="auto"/>
              </w:rPr>
            </w:pPr>
          </w:p>
        </w:tc>
        <w:tc>
          <w:tcPr>
            <w:tcW w:w="880" w:type="dxa"/>
            <w:vAlign w:val="bottom"/>
            <w:tcBorders>
              <w:bottom w:val="single" w:sz="8" w:color="828282"/>
            </w:tcBorders>
          </w:tcPr>
          <w:p>
            <w:pPr>
              <w:jc w:val="right"/>
              <w:ind w:right="50"/>
              <w:spacing w:after="0"/>
              <w:rPr>
                <w:sz w:val="20"/>
                <w:szCs w:val="20"/>
                <w:color w:val="auto"/>
              </w:rPr>
            </w:pPr>
            <w:r>
              <w:rPr>
                <w:rFonts w:ascii="Times New Roman" w:cs="Times New Roman" w:eastAsia="Times New Roman" w:hAnsi="Times New Roman"/>
                <w:sz w:val="18"/>
                <w:szCs w:val="18"/>
                <w:color w:val="auto"/>
              </w:rPr>
              <w:t>(1,060)</w:t>
            </w:r>
          </w:p>
        </w:tc>
        <w:tc>
          <w:tcPr>
            <w:tcW w:w="14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1,316</w:t>
            </w:r>
          </w:p>
        </w:tc>
        <w:tc>
          <w:tcPr>
            <w:tcW w:w="1060" w:type="dxa"/>
            <w:vAlign w:val="bottom"/>
            <w:tcBorders>
              <w:bottom w:val="single" w:sz="8" w:color="828282"/>
            </w:tcBorders>
          </w:tcPr>
          <w:p>
            <w:pPr>
              <w:jc w:val="right"/>
              <w:ind w:right="170"/>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2,905</w:t>
            </w:r>
          </w:p>
        </w:tc>
        <w:tc>
          <w:tcPr>
            <w:tcW w:w="102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3700" w:type="dxa"/>
            <w:vAlign w:val="bottom"/>
            <w:tcBorders>
              <w:bottom w:val="single" w:sz="8" w:color="828282"/>
            </w:tcBorders>
            <w:shd w:val="clear" w:color="auto" w:fill="D6E0E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828282"/>
            </w:tcBorders>
            <w:shd w:val="clear" w:color="auto" w:fill="D6E0EC"/>
          </w:tcPr>
          <w:p>
            <w:pPr>
              <w:jc w:val="right"/>
              <w:ind w:right="10"/>
              <w:spacing w:after="0"/>
              <w:rPr>
                <w:sz w:val="20"/>
                <w:szCs w:val="20"/>
                <w:color w:val="auto"/>
              </w:rPr>
            </w:pPr>
            <w:r>
              <w:rPr>
                <w:rFonts w:ascii="Times New Roman" w:cs="Times New Roman" w:eastAsia="Times New Roman" w:hAnsi="Times New Roman"/>
                <w:sz w:val="18"/>
                <w:szCs w:val="18"/>
                <w:color w:val="auto"/>
              </w:rPr>
              <w:t>4,542</w:t>
            </w:r>
          </w:p>
        </w:tc>
        <w:tc>
          <w:tcPr>
            <w:tcW w:w="280" w:type="dxa"/>
            <w:vAlign w:val="bottom"/>
            <w:tcBorders>
              <w:bottom w:val="single" w:sz="8" w:color="828282"/>
            </w:tcBorders>
            <w:shd w:val="clear" w:color="auto" w:fill="D6E0E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828282"/>
            </w:tcBorders>
            <w:shd w:val="clear" w:color="auto" w:fill="D6E0EC"/>
          </w:tcPr>
          <w:p>
            <w:pPr>
              <w:jc w:val="right"/>
              <w:ind w:right="10"/>
              <w:spacing w:after="0"/>
              <w:rPr>
                <w:sz w:val="20"/>
                <w:szCs w:val="20"/>
                <w:color w:val="auto"/>
              </w:rPr>
            </w:pPr>
            <w:r>
              <w:rPr>
                <w:rFonts w:ascii="Times New Roman" w:cs="Times New Roman" w:eastAsia="Times New Roman" w:hAnsi="Times New Roman"/>
                <w:sz w:val="18"/>
                <w:szCs w:val="18"/>
                <w:color w:val="auto"/>
              </w:rPr>
              <w:t>4,334</w:t>
            </w:r>
          </w:p>
        </w:tc>
        <w:tc>
          <w:tcPr>
            <w:tcW w:w="28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828282"/>
            </w:tcBorders>
            <w:shd w:val="clear" w:color="auto" w:fill="D6E0EC"/>
          </w:tcPr>
          <w:p>
            <w:pPr>
              <w:jc w:val="right"/>
              <w:ind w:right="90"/>
              <w:spacing w:after="0"/>
              <w:rPr>
                <w:sz w:val="20"/>
                <w:szCs w:val="20"/>
                <w:color w:val="auto"/>
              </w:rPr>
            </w:pPr>
            <w:r>
              <w:rPr>
                <w:rFonts w:ascii="Times New Roman" w:cs="Times New Roman" w:eastAsia="Times New Roman" w:hAnsi="Times New Roman"/>
                <w:sz w:val="18"/>
                <w:szCs w:val="18"/>
                <w:color w:val="auto"/>
              </w:rPr>
              <w:t>4,147</w:t>
            </w:r>
          </w:p>
        </w:tc>
        <w:tc>
          <w:tcPr>
            <w:tcW w:w="14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828282"/>
            </w:tcBorders>
            <w:shd w:val="clear" w:color="auto" w:fill="D6E0EC"/>
          </w:tcPr>
          <w:p>
            <w:pPr>
              <w:jc w:val="right"/>
              <w:ind w:right="90"/>
              <w:spacing w:after="0"/>
              <w:rPr>
                <w:sz w:val="20"/>
                <w:szCs w:val="20"/>
                <w:color w:val="auto"/>
              </w:rPr>
            </w:pPr>
            <w:r>
              <w:rPr>
                <w:rFonts w:ascii="Times New Roman" w:cs="Times New Roman" w:eastAsia="Times New Roman" w:hAnsi="Times New Roman"/>
                <w:sz w:val="18"/>
                <w:szCs w:val="18"/>
                <w:color w:val="auto"/>
              </w:rPr>
              <w:t>208</w:t>
            </w:r>
          </w:p>
        </w:tc>
        <w:tc>
          <w:tcPr>
            <w:tcW w:w="10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2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828282"/>
            </w:tcBorders>
            <w:shd w:val="clear" w:color="auto" w:fill="D6E0EC"/>
          </w:tcPr>
          <w:p>
            <w:pPr>
              <w:jc w:val="right"/>
              <w:ind w:right="90"/>
              <w:spacing w:after="0"/>
              <w:rPr>
                <w:sz w:val="20"/>
                <w:szCs w:val="20"/>
                <w:color w:val="auto"/>
              </w:rPr>
            </w:pPr>
            <w:r>
              <w:rPr>
                <w:rFonts w:ascii="Times New Roman" w:cs="Times New Roman" w:eastAsia="Times New Roman" w:hAnsi="Times New Roman"/>
                <w:sz w:val="18"/>
                <w:szCs w:val="18"/>
                <w:color w:val="auto"/>
              </w:rPr>
              <w:t>395</w:t>
            </w:r>
          </w:p>
        </w:tc>
        <w:tc>
          <w:tcPr>
            <w:tcW w:w="102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Results</w:t>
      </w:r>
      <w:r>
        <w:rPr>
          <w:rFonts w:ascii="Times New Roman" w:cs="Times New Roman" w:eastAsia="Times New Roman" w:hAnsi="Times New Roman"/>
          <w:sz w:val="23"/>
          <w:szCs w:val="23"/>
          <w:b w:val="1"/>
          <w:bCs w:val="1"/>
          <w:i w:val="1"/>
          <w:iCs w:val="1"/>
          <w:color w:val="auto"/>
          <w:vertAlign w:val="superscript"/>
        </w:rPr>
        <w:t>12</w:t>
      </w:r>
      <w:r>
        <w:rPr>
          <w:rFonts w:ascii="Times New Roman" w:cs="Times New Roman" w:eastAsia="Times New Roman" w:hAnsi="Times New Roman"/>
          <w:sz w:val="18"/>
          <w:szCs w:val="18"/>
          <w:b w:val="1"/>
          <w:bCs w:val="1"/>
          <w:i w:val="1"/>
          <w:iCs w:val="1"/>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$4.5 billion, up 10%. Net revenue was $15.8 billion, up 29%.</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Banking &amp; Wealth Management net revenue was $9.6 billion, up 56%, driven by higher deposit margins. Home Lending net revenue was $584 million, down 46%, driven by lower production revenue due to lower volume and lower net interest income from tighter loan spreads. Card Services &amp; Auto net revenue was $5.6 billion, up 12%, predominantly driven by higher Card Services net interest income on higher revolving balances, partially offset by lower auto operating lease income.</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Noninterest expense was $8.0 billion, up 3%, driven by higher investments in the business and structural expense, including compensation, technology, travel services and marketing, largely offset by lower volume- and revenue-related expense, primarily auto lease depreciation.</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provision for credit losses was $1.8 billion, reflecting a $1.0 billion reserve build and net charge-offs of $845 million. The reserve build included $800 million in Card Services and $200 million in Home Lending, predominantly driven by a modest deterioration in the Firm’s macroeconomic outlook, now reflecting a mild recession in the central case, as well as loan growth in Card Services, partially offset by a reduction in uncertainty as the effects of the pandemic gradually recede. Net charge-offs of $845 million were up $330 million, largely driven by Card Services. The prior year net benefit was driven by a $1.6 billion reserve release primarily in Card Services.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331470</wp:posOffset>
            </wp:positionV>
            <wp:extent cx="7098030" cy="266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FFFFFF"/>
          <w:shd w:val="clear" w:color="auto" w:fill="7397BC"/>
        </w:rPr>
        <w:t>CORPORATE &amp; INVESTMENT BANK (CIB)</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20" w:type="dxa"/>
            <w:vAlign w:val="bottom"/>
            <w:tcBorders>
              <w:bottom w:val="single" w:sz="8" w:color="EAEAEA"/>
            </w:tcBorders>
            <w:shd w:val="clear" w:color="auto" w:fill="EAEAEA"/>
          </w:tcPr>
          <w:p>
            <w:pPr>
              <w:ind w:left="20"/>
              <w:spacing w:after="0"/>
              <w:rPr>
                <w:sz w:val="20"/>
                <w:szCs w:val="20"/>
                <w:color w:val="auto"/>
              </w:rPr>
            </w:pPr>
            <w:r>
              <w:rPr>
                <w:rFonts w:ascii="Times New Roman" w:cs="Times New Roman" w:eastAsia="Times New Roman" w:hAnsi="Times New Roman"/>
                <w:sz w:val="18"/>
                <w:szCs w:val="18"/>
                <w:color w:val="auto"/>
              </w:rPr>
              <w:t>Results for CIB</w:t>
            </w:r>
          </w:p>
        </w:tc>
        <w:tc>
          <w:tcPr>
            <w:tcW w:w="200" w:type="dxa"/>
            <w:vAlign w:val="bottom"/>
            <w:tcBorders>
              <w:bottom w:val="single" w:sz="8" w:color="EAEAEA"/>
            </w:tcBorders>
            <w:shd w:val="clear" w:color="auto" w:fill="EAEAEA"/>
          </w:tcPr>
          <w:p>
            <w:pPr>
              <w:spacing w:after="0"/>
              <w:rPr>
                <w:sz w:val="19"/>
                <w:szCs w:val="19"/>
                <w:color w:val="auto"/>
              </w:rPr>
            </w:pPr>
          </w:p>
        </w:tc>
        <w:tc>
          <w:tcPr>
            <w:tcW w:w="780" w:type="dxa"/>
            <w:vAlign w:val="bottom"/>
            <w:tcBorders>
              <w:bottom w:val="single" w:sz="8" w:color="EAEAEA"/>
            </w:tcBorders>
            <w:shd w:val="clear" w:color="auto" w:fill="EAEAEA"/>
          </w:tcPr>
          <w:p>
            <w:pPr>
              <w:spacing w:after="0"/>
              <w:rPr>
                <w:sz w:val="19"/>
                <w:szCs w:val="19"/>
                <w:color w:val="auto"/>
              </w:rPr>
            </w:pPr>
          </w:p>
        </w:tc>
        <w:tc>
          <w:tcPr>
            <w:tcW w:w="280" w:type="dxa"/>
            <w:vAlign w:val="bottom"/>
            <w:tcBorders>
              <w:bottom w:val="single" w:sz="8" w:color="EAEAEA"/>
            </w:tcBorders>
            <w:shd w:val="clear" w:color="auto" w:fill="EAEAEA"/>
          </w:tcPr>
          <w:p>
            <w:pPr>
              <w:spacing w:after="0"/>
              <w:rPr>
                <w:sz w:val="19"/>
                <w:szCs w:val="19"/>
                <w:color w:val="auto"/>
              </w:rPr>
            </w:pPr>
          </w:p>
        </w:tc>
        <w:tc>
          <w:tcPr>
            <w:tcW w:w="800" w:type="dxa"/>
            <w:vAlign w:val="bottom"/>
            <w:tcBorders>
              <w:bottom w:val="single" w:sz="8" w:color="EAEAEA"/>
            </w:tcBorders>
            <w:shd w:val="clear" w:color="auto" w:fill="EAEAEA"/>
          </w:tcPr>
          <w:p>
            <w:pPr>
              <w:spacing w:after="0"/>
              <w:rPr>
                <w:sz w:val="19"/>
                <w:szCs w:val="19"/>
                <w:color w:val="auto"/>
              </w:rPr>
            </w:pPr>
          </w:p>
        </w:tc>
        <w:tc>
          <w:tcPr>
            <w:tcW w:w="260" w:type="dxa"/>
            <w:vAlign w:val="bottom"/>
            <w:tcBorders>
              <w:bottom w:val="single" w:sz="8" w:color="EAEAEA"/>
            </w:tcBorders>
            <w:shd w:val="clear" w:color="auto" w:fill="EAEAEA"/>
          </w:tcPr>
          <w:p>
            <w:pPr>
              <w:spacing w:after="0"/>
              <w:rPr>
                <w:sz w:val="19"/>
                <w:szCs w:val="19"/>
                <w:color w:val="auto"/>
              </w:rPr>
            </w:pPr>
          </w:p>
        </w:tc>
        <w:tc>
          <w:tcPr>
            <w:tcW w:w="88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spacing w:after="0"/>
              <w:rPr>
                <w:sz w:val="19"/>
                <w:szCs w:val="19"/>
                <w:color w:val="auto"/>
              </w:rPr>
            </w:pPr>
          </w:p>
        </w:tc>
        <w:tc>
          <w:tcPr>
            <w:tcW w:w="1960" w:type="dxa"/>
            <w:vAlign w:val="bottom"/>
            <w:tcBorders>
              <w:bottom w:val="single" w:sz="8" w:color="auto"/>
            </w:tcBorders>
            <w:gridSpan w:val="2"/>
            <w:shd w:val="clear" w:color="auto" w:fill="EAEAEA"/>
          </w:tcPr>
          <w:p>
            <w:pPr>
              <w:jc w:val="right"/>
              <w:ind w:right="790"/>
              <w:spacing w:after="0"/>
              <w:rPr>
                <w:sz w:val="20"/>
                <w:szCs w:val="20"/>
                <w:color w:val="auto"/>
              </w:rPr>
            </w:pPr>
            <w:r>
              <w:rPr>
                <w:rFonts w:ascii="Times New Roman" w:cs="Times New Roman" w:eastAsia="Times New Roman" w:hAnsi="Times New Roman"/>
                <w:sz w:val="18"/>
                <w:szCs w:val="18"/>
                <w:color w:val="auto"/>
              </w:rPr>
              <w:t>3Q22</w:t>
            </w:r>
          </w:p>
        </w:tc>
        <w:tc>
          <w:tcPr>
            <w:tcW w:w="200" w:type="dxa"/>
            <w:vAlign w:val="bottom"/>
            <w:tcBorders>
              <w:bottom w:val="single" w:sz="8" w:color="auto"/>
            </w:tcBorders>
            <w:shd w:val="clear" w:color="auto" w:fill="EAEAEA"/>
          </w:tcPr>
          <w:p>
            <w:pPr>
              <w:spacing w:after="0"/>
              <w:rPr>
                <w:sz w:val="19"/>
                <w:szCs w:val="19"/>
                <w:color w:val="auto"/>
              </w:rPr>
            </w:pPr>
          </w:p>
        </w:tc>
        <w:tc>
          <w:tcPr>
            <w:tcW w:w="1940" w:type="dxa"/>
            <w:vAlign w:val="bottom"/>
            <w:tcBorders>
              <w:bottom w:val="single" w:sz="8" w:color="auto"/>
            </w:tcBorders>
            <w:gridSpan w:val="2"/>
            <w:shd w:val="clear" w:color="auto" w:fill="EAEAEA"/>
          </w:tcPr>
          <w:p>
            <w:pPr>
              <w:jc w:val="right"/>
              <w:ind w:right="750"/>
              <w:spacing w:after="0"/>
              <w:rPr>
                <w:sz w:val="20"/>
                <w:szCs w:val="20"/>
                <w:color w:val="auto"/>
              </w:rPr>
            </w:pPr>
            <w:r>
              <w:rPr>
                <w:rFonts w:ascii="Times New Roman" w:cs="Times New Roman" w:eastAsia="Times New Roman" w:hAnsi="Times New Roman"/>
                <w:sz w:val="18"/>
                <w:szCs w:val="18"/>
                <w:color w:val="auto"/>
              </w:rPr>
              <w:t>4Q21</w:t>
            </w:r>
          </w:p>
        </w:tc>
      </w:tr>
      <w:tr>
        <w:trPr>
          <w:trHeight w:val="223"/>
        </w:trPr>
        <w:tc>
          <w:tcPr>
            <w:tcW w:w="3720" w:type="dxa"/>
            <w:vAlign w:val="bottom"/>
            <w:tcBorders>
              <w:bottom w:val="single" w:sz="8" w:color="auto"/>
            </w:tcBorders>
            <w:shd w:val="clear" w:color="auto" w:fill="EAEAEA"/>
          </w:tcPr>
          <w:p>
            <w:pPr>
              <w:ind w:left="20"/>
              <w:spacing w:after="0"/>
              <w:rPr>
                <w:sz w:val="20"/>
                <w:szCs w:val="20"/>
                <w:color w:val="auto"/>
              </w:rPr>
            </w:pPr>
            <w:r>
              <w:rPr>
                <w:rFonts w:ascii="Times New Roman" w:cs="Times New Roman" w:eastAsia="Times New Roman" w:hAnsi="Times New Roman"/>
                <w:sz w:val="18"/>
                <w:szCs w:val="18"/>
                <w:color w:val="auto"/>
              </w:rPr>
              <w:t>($ millions)</w:t>
            </w:r>
          </w:p>
        </w:tc>
        <w:tc>
          <w:tcPr>
            <w:tcW w:w="200" w:type="dxa"/>
            <w:vAlign w:val="bottom"/>
            <w:tcBorders>
              <w:bottom w:val="single" w:sz="8" w:color="auto"/>
            </w:tcBorders>
            <w:shd w:val="clear" w:color="auto" w:fill="EAEAEA"/>
          </w:tcPr>
          <w:p>
            <w:pPr>
              <w:spacing w:after="0"/>
              <w:rPr>
                <w:sz w:val="19"/>
                <w:szCs w:val="19"/>
                <w:color w:val="auto"/>
              </w:rPr>
            </w:pPr>
          </w:p>
        </w:tc>
        <w:tc>
          <w:tcPr>
            <w:tcW w:w="78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4Q22</w:t>
            </w:r>
          </w:p>
        </w:tc>
        <w:tc>
          <w:tcPr>
            <w:tcW w:w="280" w:type="dxa"/>
            <w:vAlign w:val="bottom"/>
            <w:tcBorders>
              <w:bottom w:val="single" w:sz="8" w:color="auto"/>
            </w:tcBorders>
            <w:shd w:val="clear" w:color="auto" w:fill="EAEAEA"/>
          </w:tcPr>
          <w:p>
            <w:pPr>
              <w:spacing w:after="0"/>
              <w:rPr>
                <w:sz w:val="19"/>
                <w:szCs w:val="19"/>
                <w:color w:val="auto"/>
              </w:rPr>
            </w:pPr>
          </w:p>
        </w:tc>
        <w:tc>
          <w:tcPr>
            <w:tcW w:w="800" w:type="dxa"/>
            <w:vAlign w:val="bottom"/>
            <w:tcBorders>
              <w:bottom w:val="single" w:sz="8" w:color="auto"/>
            </w:tcBorders>
            <w:shd w:val="clear" w:color="auto" w:fill="EAEAEA"/>
          </w:tcPr>
          <w:p>
            <w:pPr>
              <w:jc w:val="right"/>
              <w:ind w:right="230"/>
              <w:spacing w:after="0"/>
              <w:rPr>
                <w:sz w:val="20"/>
                <w:szCs w:val="20"/>
                <w:color w:val="auto"/>
              </w:rPr>
            </w:pPr>
            <w:r>
              <w:rPr>
                <w:rFonts w:ascii="Times New Roman" w:cs="Times New Roman" w:eastAsia="Times New Roman" w:hAnsi="Times New Roman"/>
                <w:sz w:val="18"/>
                <w:szCs w:val="18"/>
                <w:color w:val="auto"/>
              </w:rPr>
              <w:t>3Q22</w:t>
            </w:r>
          </w:p>
        </w:tc>
        <w:tc>
          <w:tcPr>
            <w:tcW w:w="260" w:type="dxa"/>
            <w:vAlign w:val="bottom"/>
            <w:tcBorders>
              <w:bottom w:val="single" w:sz="8" w:color="auto"/>
            </w:tcBorders>
            <w:shd w:val="clear" w:color="auto" w:fill="EAEAEA"/>
          </w:tcPr>
          <w:p>
            <w:pPr>
              <w:spacing w:after="0"/>
              <w:rPr>
                <w:sz w:val="19"/>
                <w:szCs w:val="19"/>
                <w:color w:val="auto"/>
              </w:rPr>
            </w:pPr>
          </w:p>
        </w:tc>
        <w:tc>
          <w:tcPr>
            <w:tcW w:w="880" w:type="dxa"/>
            <w:vAlign w:val="bottom"/>
            <w:tcBorders>
              <w:bottom w:val="single" w:sz="8" w:color="auto"/>
            </w:tcBorders>
            <w:shd w:val="clear" w:color="auto" w:fill="EAEAEA"/>
          </w:tcPr>
          <w:p>
            <w:pPr>
              <w:jc w:val="right"/>
              <w:ind w:right="290"/>
              <w:spacing w:after="0"/>
              <w:rPr>
                <w:sz w:val="20"/>
                <w:szCs w:val="20"/>
                <w:color w:val="auto"/>
              </w:rPr>
            </w:pPr>
            <w:r>
              <w:rPr>
                <w:rFonts w:ascii="Times New Roman" w:cs="Times New Roman" w:eastAsia="Times New Roman" w:hAnsi="Times New Roman"/>
                <w:sz w:val="18"/>
                <w:szCs w:val="18"/>
                <w:color w:val="auto"/>
              </w:rPr>
              <w:t>4Q21</w:t>
            </w:r>
          </w:p>
        </w:tc>
        <w:tc>
          <w:tcPr>
            <w:tcW w:w="160" w:type="dxa"/>
            <w:vAlign w:val="bottom"/>
            <w:tcBorders>
              <w:bottom w:val="single" w:sz="8" w:color="auto"/>
            </w:tcBorders>
            <w:shd w:val="clear" w:color="auto" w:fill="EAEAEA"/>
          </w:tcPr>
          <w:p>
            <w:pPr>
              <w:spacing w:after="0"/>
              <w:rPr>
                <w:sz w:val="19"/>
                <w:szCs w:val="19"/>
                <w:color w:val="auto"/>
              </w:rPr>
            </w:pPr>
          </w:p>
        </w:tc>
        <w:tc>
          <w:tcPr>
            <w:tcW w:w="90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 O/(U)</w:t>
            </w:r>
          </w:p>
        </w:tc>
        <w:tc>
          <w:tcPr>
            <w:tcW w:w="106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O/(U) %</w:t>
            </w:r>
          </w:p>
        </w:tc>
        <w:tc>
          <w:tcPr>
            <w:tcW w:w="200" w:type="dxa"/>
            <w:vAlign w:val="bottom"/>
            <w:tcBorders>
              <w:bottom w:val="single" w:sz="8" w:color="auto"/>
            </w:tcBorders>
            <w:shd w:val="clear" w:color="auto" w:fill="EAEAEA"/>
          </w:tcPr>
          <w:p>
            <w:pPr>
              <w:spacing w:after="0"/>
              <w:rPr>
                <w:sz w:val="19"/>
                <w:szCs w:val="19"/>
                <w:color w:val="auto"/>
              </w:rPr>
            </w:pPr>
          </w:p>
        </w:tc>
        <w:tc>
          <w:tcPr>
            <w:tcW w:w="92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 O/(U)</w:t>
            </w:r>
          </w:p>
        </w:tc>
        <w:tc>
          <w:tcPr>
            <w:tcW w:w="1020" w:type="dxa"/>
            <w:vAlign w:val="bottom"/>
            <w:tcBorders>
              <w:bottom w:val="single" w:sz="8" w:color="auto"/>
            </w:tcBorders>
            <w:shd w:val="clear" w:color="auto" w:fill="EAEAEA"/>
          </w:tcPr>
          <w:p>
            <w:pPr>
              <w:jc w:val="right"/>
              <w:ind w:right="170"/>
              <w:spacing w:after="0"/>
              <w:rPr>
                <w:sz w:val="20"/>
                <w:szCs w:val="20"/>
                <w:color w:val="auto"/>
              </w:rPr>
            </w:pPr>
            <w:r>
              <w:rPr>
                <w:rFonts w:ascii="Times New Roman" w:cs="Times New Roman" w:eastAsia="Times New Roman" w:hAnsi="Times New Roman"/>
                <w:sz w:val="18"/>
                <w:szCs w:val="18"/>
                <w:color w:val="auto"/>
              </w:rPr>
              <w:t>O/(U) %</w:t>
            </w:r>
          </w:p>
        </w:tc>
      </w:tr>
      <w:tr>
        <w:trPr>
          <w:trHeight w:val="21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10,548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11,875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11,534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Banking</w:t>
            </w: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3,782</w:t>
            </w: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4,025</w:t>
            </w:r>
          </w:p>
        </w:tc>
        <w:tc>
          <w:tcPr>
            <w:tcW w:w="2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5,270</w:t>
            </w: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(1,488)</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Markets &amp; Securities Services</w:t>
            </w: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6,766</w:t>
            </w: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7,850</w:t>
            </w:r>
          </w:p>
        </w:tc>
        <w:tc>
          <w:tcPr>
            <w:tcW w:w="2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6,264</w:t>
            </w: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(1,084)</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502</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6,426</w:t>
            </w: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6,618</w:t>
            </w:r>
          </w:p>
        </w:tc>
        <w:tc>
          <w:tcPr>
            <w:tcW w:w="2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5,827</w:t>
            </w: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599</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372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Borders>
              <w:bottom w:val="single" w:sz="8" w:color="828282"/>
            </w:tcBorders>
          </w:tcPr>
          <w:p>
            <w:pPr>
              <w:spacing w:after="0"/>
              <w:rPr>
                <w:sz w:val="20"/>
                <w:szCs w:val="20"/>
                <w:color w:val="auto"/>
              </w:rPr>
            </w:pPr>
          </w:p>
        </w:tc>
        <w:tc>
          <w:tcPr>
            <w:tcW w:w="78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tcBorders>
              <w:bottom w:val="single" w:sz="8" w:color="828282"/>
            </w:tcBorders>
          </w:tcPr>
          <w:p>
            <w:pPr>
              <w:spacing w:after="0"/>
              <w:rPr>
                <w:sz w:val="20"/>
                <w:szCs w:val="20"/>
                <w:color w:val="auto"/>
              </w:rPr>
            </w:pPr>
          </w:p>
        </w:tc>
        <w:tc>
          <w:tcPr>
            <w:tcW w:w="80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513</w:t>
            </w:r>
          </w:p>
        </w:tc>
        <w:tc>
          <w:tcPr>
            <w:tcW w:w="260" w:type="dxa"/>
            <w:vAlign w:val="bottom"/>
            <w:tcBorders>
              <w:bottom w:val="single" w:sz="8" w:color="828282"/>
            </w:tcBorders>
          </w:tcPr>
          <w:p>
            <w:pPr>
              <w:spacing w:after="0"/>
              <w:rPr>
                <w:sz w:val="20"/>
                <w:szCs w:val="20"/>
                <w:color w:val="auto"/>
              </w:rPr>
            </w:pPr>
          </w:p>
        </w:tc>
        <w:tc>
          <w:tcPr>
            <w:tcW w:w="880" w:type="dxa"/>
            <w:vAlign w:val="bottom"/>
            <w:tcBorders>
              <w:bottom w:val="single" w:sz="8" w:color="828282"/>
            </w:tcBorders>
          </w:tcPr>
          <w:p>
            <w:pPr>
              <w:jc w:val="right"/>
              <w:ind w:right="50"/>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Borders>
              <w:bottom w:val="single" w:sz="8" w:color="828282"/>
            </w:tcBorders>
          </w:tcPr>
          <w:p>
            <w:pPr>
              <w:spacing w:after="0"/>
              <w:rPr>
                <w:sz w:val="20"/>
                <w:szCs w:val="20"/>
                <w:color w:val="auto"/>
              </w:rPr>
            </w:pPr>
          </w:p>
        </w:tc>
        <w:tc>
          <w:tcPr>
            <w:tcW w:w="900" w:type="dxa"/>
            <w:vAlign w:val="bottom"/>
            <w:tcBorders>
              <w:bottom w:val="single" w:sz="8" w:color="828282"/>
            </w:tcBorders>
          </w:tcPr>
          <w:p>
            <w:pPr>
              <w:jc w:val="right"/>
              <w:ind w:right="30"/>
              <w:spacing w:after="0"/>
              <w:rPr>
                <w:sz w:val="20"/>
                <w:szCs w:val="20"/>
                <w:color w:val="auto"/>
              </w:rPr>
            </w:pPr>
            <w:r>
              <w:rPr>
                <w:rFonts w:ascii="Times New Roman" w:cs="Times New Roman" w:eastAsia="Times New Roman" w:hAnsi="Times New Roman"/>
                <w:sz w:val="18"/>
                <w:szCs w:val="18"/>
                <w:color w:val="auto"/>
              </w:rPr>
              <w:t>(372)</w:t>
            </w:r>
          </w:p>
        </w:tc>
        <w:tc>
          <w:tcPr>
            <w:tcW w:w="1060" w:type="dxa"/>
            <w:vAlign w:val="bottom"/>
            <w:tcBorders>
              <w:bottom w:val="single" w:sz="8" w:color="828282"/>
            </w:tcBorders>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267</w:t>
            </w:r>
          </w:p>
        </w:tc>
        <w:tc>
          <w:tcPr>
            <w:tcW w:w="102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3720" w:type="dxa"/>
            <w:vAlign w:val="bottom"/>
            <w:tcBorders>
              <w:bottom w:val="single" w:sz="8" w:color="828282"/>
            </w:tcBorders>
            <w:shd w:val="clear" w:color="auto" w:fill="D6E0E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828282"/>
            </w:tcBorders>
            <w:shd w:val="clear" w:color="auto" w:fill="D6E0E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828282"/>
            </w:tcBorders>
            <w:shd w:val="clear" w:color="auto" w:fill="D6E0EC"/>
          </w:tcPr>
          <w:p>
            <w:pPr>
              <w:jc w:val="right"/>
              <w:ind w:right="10"/>
              <w:spacing w:after="0"/>
              <w:rPr>
                <w:sz w:val="20"/>
                <w:szCs w:val="20"/>
                <w:color w:val="auto"/>
              </w:rPr>
            </w:pPr>
            <w:r>
              <w:rPr>
                <w:rFonts w:ascii="Times New Roman" w:cs="Times New Roman" w:eastAsia="Times New Roman" w:hAnsi="Times New Roman"/>
                <w:sz w:val="18"/>
                <w:szCs w:val="18"/>
                <w:color w:val="auto"/>
              </w:rPr>
              <w:t>3,328</w:t>
            </w:r>
          </w:p>
        </w:tc>
        <w:tc>
          <w:tcPr>
            <w:tcW w:w="28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828282"/>
            </w:tcBorders>
            <w:shd w:val="clear" w:color="auto" w:fill="D6E0EC"/>
          </w:tcPr>
          <w:p>
            <w:pPr>
              <w:jc w:val="right"/>
              <w:ind w:right="10"/>
              <w:spacing w:after="0"/>
              <w:rPr>
                <w:sz w:val="20"/>
                <w:szCs w:val="20"/>
                <w:color w:val="auto"/>
              </w:rPr>
            </w:pPr>
            <w:r>
              <w:rPr>
                <w:rFonts w:ascii="Times New Roman" w:cs="Times New Roman" w:eastAsia="Times New Roman" w:hAnsi="Times New Roman"/>
                <w:sz w:val="18"/>
                <w:szCs w:val="18"/>
                <w:color w:val="auto"/>
              </w:rPr>
              <w:t>3,532</w:t>
            </w:r>
          </w:p>
        </w:tc>
        <w:tc>
          <w:tcPr>
            <w:tcW w:w="2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828282"/>
            </w:tcBorders>
            <w:shd w:val="clear" w:color="auto" w:fill="D6E0EC"/>
          </w:tcPr>
          <w:p>
            <w:pPr>
              <w:jc w:val="right"/>
              <w:ind w:right="90"/>
              <w:spacing w:after="0"/>
              <w:rPr>
                <w:sz w:val="20"/>
                <w:szCs w:val="20"/>
                <w:color w:val="auto"/>
              </w:rPr>
            </w:pPr>
            <w:r>
              <w:rPr>
                <w:rFonts w:ascii="Times New Roman" w:cs="Times New Roman" w:eastAsia="Times New Roman" w:hAnsi="Times New Roman"/>
                <w:sz w:val="18"/>
                <w:szCs w:val="18"/>
                <w:color w:val="auto"/>
              </w:rPr>
              <w:t>4,543</w:t>
            </w:r>
          </w:p>
        </w:tc>
        <w:tc>
          <w:tcPr>
            <w:tcW w:w="1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828282"/>
            </w:tcBorders>
            <w:shd w:val="clear" w:color="auto" w:fill="D6E0EC"/>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10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828282"/>
            </w:tcBorders>
            <w:shd w:val="clear" w:color="auto" w:fill="D6E0EC"/>
          </w:tcPr>
          <w:p>
            <w:pPr>
              <w:jc w:val="right"/>
              <w:ind w:right="50"/>
              <w:spacing w:after="0"/>
              <w:rPr>
                <w:sz w:val="20"/>
                <w:szCs w:val="20"/>
                <w:color w:val="auto"/>
              </w:rPr>
            </w:pPr>
            <w:r>
              <w:rPr>
                <w:rFonts w:ascii="Times New Roman" w:cs="Times New Roman" w:eastAsia="Times New Roman" w:hAnsi="Times New Roman"/>
                <w:sz w:val="18"/>
                <w:szCs w:val="18"/>
                <w:color w:val="auto"/>
              </w:rPr>
              <w:t>(1,215)</w:t>
            </w:r>
          </w:p>
        </w:tc>
        <w:tc>
          <w:tcPr>
            <w:tcW w:w="102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Results</w:t>
      </w:r>
      <w:r>
        <w:rPr>
          <w:rFonts w:ascii="Times New Roman" w:cs="Times New Roman" w:eastAsia="Times New Roman" w:hAnsi="Times New Roman"/>
          <w:sz w:val="23"/>
          <w:szCs w:val="23"/>
          <w:b w:val="1"/>
          <w:bCs w:val="1"/>
          <w:i w:val="1"/>
          <w:iCs w:val="1"/>
          <w:color w:val="auto"/>
          <w:vertAlign w:val="superscript"/>
        </w:rPr>
        <w:t>12</w:t>
      </w:r>
      <w:r>
        <w:rPr>
          <w:rFonts w:ascii="Times New Roman" w:cs="Times New Roman" w:eastAsia="Times New Roman" w:hAnsi="Times New Roman"/>
          <w:sz w:val="18"/>
          <w:szCs w:val="18"/>
          <w:b w:val="1"/>
          <w:bCs w:val="1"/>
          <w:i w:val="1"/>
          <w:iCs w:val="1"/>
          <w:color w:val="auto"/>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$3.3 billion, down 27%, with net revenue of $10.5 billion, down 9%.</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Banking revenue was $3.8 billion, down 28%. Investment Banking revenue was $1.4 billion, down 57%, driven by lower Investment Banking fees, down 58%, reflecting lower fees across products. Payments revenue was $2.1 billion, up 15%, and included the net impact of equity investments. Excluding this net impact, Payments revenue was up 56%, predominantly driven by higher rates, partially offset by lower deposit balances. Lending revenue was $323 million, up 23%, largely driven by higher net interest income on higher loan balances, partially offset by mark-to-market losses on hedges of accrual loans.</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Markets &amp; Securities Services revenue was $6.8 billion, up 8%. Markets revenue was $5.7 billion, up 7%. Fixed Income Markets revenue was $3.7 billion, up 12%, predominantly driven by higher revenue in Rates and Currencies &amp; Emerging Markets, partially offset by lower revenue in Securitized Products. Equity Markets revenue was $1.9 billion, relatively flat against a strong fourth quarter in the prior year. Securities Services revenue was $1.2 billion, up 9%, predominantly driven by higher rates, largely offset by lower deposit balances and market levels.</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Noninterest expense was $6.4 billion, up 10%, predominantly driven by higher revenue-related compensation, including timing impacts, and structural expense, partially offset by lower legal expense.</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provision for credit losses was $141 million, reflecting a net reserve build, driven by a modest deterioration in the Firm’s macroeconomic outlook, partially offset by net portfolio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62865</wp:posOffset>
            </wp:positionV>
            <wp:extent cx="7098030" cy="266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266065"/>
                    </a:xfrm>
                    <a:prstGeom prst="rect">
                      <a:avLst/>
                    </a:prstGeom>
                    <a:noFill/>
                  </pic:spPr>
                </pic:pic>
              </a:graphicData>
            </a:graphic>
          </wp:anchor>
        </w:drawing>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FFFFFF"/>
        </w:rPr>
        <w:t>COMMERCIAL BANKING (CB)</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80" w:type="dxa"/>
            <w:vAlign w:val="bottom"/>
            <w:tcBorders>
              <w:bottom w:val="single" w:sz="8" w:color="EAEAEA"/>
            </w:tcBorders>
            <w:shd w:val="clear" w:color="auto" w:fill="EAEAEA"/>
          </w:tcPr>
          <w:p>
            <w:pPr>
              <w:ind w:left="20"/>
              <w:spacing w:after="0"/>
              <w:rPr>
                <w:sz w:val="20"/>
                <w:szCs w:val="20"/>
                <w:color w:val="auto"/>
              </w:rPr>
            </w:pPr>
            <w:r>
              <w:rPr>
                <w:rFonts w:ascii="Times New Roman" w:cs="Times New Roman" w:eastAsia="Times New Roman" w:hAnsi="Times New Roman"/>
                <w:sz w:val="18"/>
                <w:szCs w:val="18"/>
                <w:color w:val="auto"/>
              </w:rPr>
              <w:t>Results for CB</w:t>
            </w:r>
          </w:p>
        </w:tc>
        <w:tc>
          <w:tcPr>
            <w:tcW w:w="200" w:type="dxa"/>
            <w:vAlign w:val="bottom"/>
            <w:tcBorders>
              <w:bottom w:val="single" w:sz="8" w:color="EAEAEA"/>
            </w:tcBorders>
            <w:shd w:val="clear" w:color="auto" w:fill="EAEAEA"/>
          </w:tcPr>
          <w:p>
            <w:pPr>
              <w:spacing w:after="0"/>
              <w:rPr>
                <w:sz w:val="19"/>
                <w:szCs w:val="19"/>
                <w:color w:val="auto"/>
              </w:rPr>
            </w:pPr>
          </w:p>
        </w:tc>
        <w:tc>
          <w:tcPr>
            <w:tcW w:w="780" w:type="dxa"/>
            <w:vAlign w:val="bottom"/>
            <w:tcBorders>
              <w:bottom w:val="single" w:sz="8" w:color="EAEAEA"/>
            </w:tcBorders>
            <w:shd w:val="clear" w:color="auto" w:fill="EAEAEA"/>
          </w:tcPr>
          <w:p>
            <w:pPr>
              <w:spacing w:after="0"/>
              <w:rPr>
                <w:sz w:val="19"/>
                <w:szCs w:val="19"/>
                <w:color w:val="auto"/>
              </w:rPr>
            </w:pPr>
          </w:p>
        </w:tc>
        <w:tc>
          <w:tcPr>
            <w:tcW w:w="280" w:type="dxa"/>
            <w:vAlign w:val="bottom"/>
            <w:tcBorders>
              <w:bottom w:val="single" w:sz="8" w:color="EAEAEA"/>
            </w:tcBorders>
            <w:shd w:val="clear" w:color="auto" w:fill="EAEAEA"/>
          </w:tcPr>
          <w:p>
            <w:pPr>
              <w:spacing w:after="0"/>
              <w:rPr>
                <w:sz w:val="19"/>
                <w:szCs w:val="19"/>
                <w:color w:val="auto"/>
              </w:rPr>
            </w:pPr>
          </w:p>
        </w:tc>
        <w:tc>
          <w:tcPr>
            <w:tcW w:w="800" w:type="dxa"/>
            <w:vAlign w:val="bottom"/>
            <w:tcBorders>
              <w:bottom w:val="single" w:sz="8" w:color="EAEAEA"/>
            </w:tcBorders>
            <w:shd w:val="clear" w:color="auto" w:fill="EAEAEA"/>
          </w:tcPr>
          <w:p>
            <w:pPr>
              <w:spacing w:after="0"/>
              <w:rPr>
                <w:sz w:val="19"/>
                <w:szCs w:val="19"/>
                <w:color w:val="auto"/>
              </w:rPr>
            </w:pPr>
          </w:p>
        </w:tc>
        <w:tc>
          <w:tcPr>
            <w:tcW w:w="260" w:type="dxa"/>
            <w:vAlign w:val="bottom"/>
            <w:tcBorders>
              <w:bottom w:val="single" w:sz="8" w:color="EAEAEA"/>
            </w:tcBorders>
            <w:shd w:val="clear" w:color="auto" w:fill="EAEAEA"/>
          </w:tcPr>
          <w:p>
            <w:pPr>
              <w:spacing w:after="0"/>
              <w:rPr>
                <w:sz w:val="19"/>
                <w:szCs w:val="19"/>
                <w:color w:val="auto"/>
              </w:rPr>
            </w:pPr>
          </w:p>
        </w:tc>
        <w:tc>
          <w:tcPr>
            <w:tcW w:w="88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spacing w:after="0"/>
              <w:rPr>
                <w:sz w:val="19"/>
                <w:szCs w:val="19"/>
                <w:color w:val="auto"/>
              </w:rPr>
            </w:pPr>
          </w:p>
        </w:tc>
        <w:tc>
          <w:tcPr>
            <w:tcW w:w="1980" w:type="dxa"/>
            <w:vAlign w:val="bottom"/>
            <w:tcBorders>
              <w:bottom w:val="single" w:sz="8" w:color="auto"/>
            </w:tcBorders>
            <w:gridSpan w:val="2"/>
            <w:shd w:val="clear" w:color="auto" w:fill="EAEAEA"/>
          </w:tcPr>
          <w:p>
            <w:pPr>
              <w:jc w:val="right"/>
              <w:ind w:right="810"/>
              <w:spacing w:after="0"/>
              <w:rPr>
                <w:sz w:val="20"/>
                <w:szCs w:val="20"/>
                <w:color w:val="auto"/>
              </w:rPr>
            </w:pPr>
            <w:r>
              <w:rPr>
                <w:rFonts w:ascii="Times New Roman" w:cs="Times New Roman" w:eastAsia="Times New Roman" w:hAnsi="Times New Roman"/>
                <w:sz w:val="18"/>
                <w:szCs w:val="18"/>
                <w:color w:val="auto"/>
              </w:rPr>
              <w:t>3Q22</w:t>
            </w:r>
          </w:p>
        </w:tc>
        <w:tc>
          <w:tcPr>
            <w:tcW w:w="220" w:type="dxa"/>
            <w:vAlign w:val="bottom"/>
            <w:tcBorders>
              <w:bottom w:val="single" w:sz="8" w:color="auto"/>
            </w:tcBorders>
            <w:shd w:val="clear" w:color="auto" w:fill="EAEAEA"/>
          </w:tcPr>
          <w:p>
            <w:pPr>
              <w:spacing w:after="0"/>
              <w:rPr>
                <w:sz w:val="19"/>
                <w:szCs w:val="19"/>
                <w:color w:val="auto"/>
              </w:rPr>
            </w:pPr>
          </w:p>
        </w:tc>
        <w:tc>
          <w:tcPr>
            <w:tcW w:w="1940" w:type="dxa"/>
            <w:vAlign w:val="bottom"/>
            <w:tcBorders>
              <w:bottom w:val="single" w:sz="8" w:color="auto"/>
            </w:tcBorders>
            <w:gridSpan w:val="2"/>
            <w:shd w:val="clear" w:color="auto" w:fill="EAEAEA"/>
          </w:tcPr>
          <w:p>
            <w:pPr>
              <w:ind w:left="680"/>
              <w:spacing w:after="0"/>
              <w:rPr>
                <w:sz w:val="20"/>
                <w:szCs w:val="20"/>
                <w:color w:val="auto"/>
              </w:rPr>
            </w:pPr>
            <w:r>
              <w:rPr>
                <w:rFonts w:ascii="Times New Roman" w:cs="Times New Roman" w:eastAsia="Times New Roman" w:hAnsi="Times New Roman"/>
                <w:sz w:val="18"/>
                <w:szCs w:val="18"/>
                <w:color w:val="auto"/>
              </w:rPr>
              <w:t>4Q21</w:t>
            </w:r>
          </w:p>
        </w:tc>
      </w:tr>
      <w:tr>
        <w:trPr>
          <w:trHeight w:val="223"/>
        </w:trPr>
        <w:tc>
          <w:tcPr>
            <w:tcW w:w="3680" w:type="dxa"/>
            <w:vAlign w:val="bottom"/>
            <w:tcBorders>
              <w:bottom w:val="single" w:sz="8" w:color="auto"/>
            </w:tcBorders>
            <w:shd w:val="clear" w:color="auto" w:fill="EAEAEA"/>
          </w:tcPr>
          <w:p>
            <w:pPr>
              <w:ind w:left="20"/>
              <w:spacing w:after="0"/>
              <w:rPr>
                <w:sz w:val="20"/>
                <w:szCs w:val="20"/>
                <w:color w:val="auto"/>
              </w:rPr>
            </w:pPr>
            <w:r>
              <w:rPr>
                <w:rFonts w:ascii="Times New Roman" w:cs="Times New Roman" w:eastAsia="Times New Roman" w:hAnsi="Times New Roman"/>
                <w:sz w:val="18"/>
                <w:szCs w:val="18"/>
                <w:color w:val="auto"/>
              </w:rPr>
              <w:t>($ millions)</w:t>
            </w:r>
          </w:p>
        </w:tc>
        <w:tc>
          <w:tcPr>
            <w:tcW w:w="200" w:type="dxa"/>
            <w:vAlign w:val="bottom"/>
            <w:tcBorders>
              <w:bottom w:val="single" w:sz="8" w:color="auto"/>
            </w:tcBorders>
            <w:shd w:val="clear" w:color="auto" w:fill="EAEAEA"/>
          </w:tcPr>
          <w:p>
            <w:pPr>
              <w:spacing w:after="0"/>
              <w:rPr>
                <w:sz w:val="19"/>
                <w:szCs w:val="19"/>
                <w:color w:val="auto"/>
              </w:rPr>
            </w:pPr>
          </w:p>
        </w:tc>
        <w:tc>
          <w:tcPr>
            <w:tcW w:w="78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4Q22</w:t>
            </w:r>
          </w:p>
        </w:tc>
        <w:tc>
          <w:tcPr>
            <w:tcW w:w="280" w:type="dxa"/>
            <w:vAlign w:val="bottom"/>
            <w:tcBorders>
              <w:bottom w:val="single" w:sz="8" w:color="auto"/>
            </w:tcBorders>
            <w:shd w:val="clear" w:color="auto" w:fill="EAEAEA"/>
          </w:tcPr>
          <w:p>
            <w:pPr>
              <w:spacing w:after="0"/>
              <w:rPr>
                <w:sz w:val="19"/>
                <w:szCs w:val="19"/>
                <w:color w:val="auto"/>
              </w:rPr>
            </w:pPr>
          </w:p>
        </w:tc>
        <w:tc>
          <w:tcPr>
            <w:tcW w:w="800" w:type="dxa"/>
            <w:vAlign w:val="bottom"/>
            <w:tcBorders>
              <w:bottom w:val="single" w:sz="8" w:color="auto"/>
            </w:tcBorders>
            <w:shd w:val="clear" w:color="auto" w:fill="EAEAEA"/>
          </w:tcPr>
          <w:p>
            <w:pPr>
              <w:jc w:val="right"/>
              <w:ind w:right="230"/>
              <w:spacing w:after="0"/>
              <w:rPr>
                <w:sz w:val="20"/>
                <w:szCs w:val="20"/>
                <w:color w:val="auto"/>
              </w:rPr>
            </w:pPr>
            <w:r>
              <w:rPr>
                <w:rFonts w:ascii="Times New Roman" w:cs="Times New Roman" w:eastAsia="Times New Roman" w:hAnsi="Times New Roman"/>
                <w:sz w:val="18"/>
                <w:szCs w:val="18"/>
                <w:color w:val="auto"/>
              </w:rPr>
              <w:t>3Q22</w:t>
            </w:r>
          </w:p>
        </w:tc>
        <w:tc>
          <w:tcPr>
            <w:tcW w:w="260" w:type="dxa"/>
            <w:vAlign w:val="bottom"/>
            <w:tcBorders>
              <w:bottom w:val="single" w:sz="8" w:color="auto"/>
            </w:tcBorders>
            <w:shd w:val="clear" w:color="auto" w:fill="EAEAEA"/>
          </w:tcPr>
          <w:p>
            <w:pPr>
              <w:spacing w:after="0"/>
              <w:rPr>
                <w:sz w:val="19"/>
                <w:szCs w:val="19"/>
                <w:color w:val="auto"/>
              </w:rPr>
            </w:pPr>
          </w:p>
        </w:tc>
        <w:tc>
          <w:tcPr>
            <w:tcW w:w="880" w:type="dxa"/>
            <w:vAlign w:val="bottom"/>
            <w:tcBorders>
              <w:bottom w:val="single" w:sz="8" w:color="auto"/>
            </w:tcBorders>
            <w:shd w:val="clear" w:color="auto" w:fill="EAEAEA"/>
          </w:tcPr>
          <w:p>
            <w:pPr>
              <w:jc w:val="right"/>
              <w:ind w:right="290"/>
              <w:spacing w:after="0"/>
              <w:rPr>
                <w:sz w:val="20"/>
                <w:szCs w:val="20"/>
                <w:color w:val="auto"/>
              </w:rPr>
            </w:pPr>
            <w:r>
              <w:rPr>
                <w:rFonts w:ascii="Times New Roman" w:cs="Times New Roman" w:eastAsia="Times New Roman" w:hAnsi="Times New Roman"/>
                <w:sz w:val="18"/>
                <w:szCs w:val="18"/>
                <w:color w:val="auto"/>
              </w:rPr>
              <w:t>4Q21</w:t>
            </w:r>
          </w:p>
        </w:tc>
        <w:tc>
          <w:tcPr>
            <w:tcW w:w="160" w:type="dxa"/>
            <w:vAlign w:val="bottom"/>
            <w:tcBorders>
              <w:bottom w:val="single" w:sz="8" w:color="auto"/>
            </w:tcBorders>
            <w:shd w:val="clear" w:color="auto" w:fill="EAEAEA"/>
          </w:tcPr>
          <w:p>
            <w:pPr>
              <w:spacing w:after="0"/>
              <w:rPr>
                <w:sz w:val="19"/>
                <w:szCs w:val="19"/>
                <w:color w:val="auto"/>
              </w:rPr>
            </w:pPr>
          </w:p>
        </w:tc>
        <w:tc>
          <w:tcPr>
            <w:tcW w:w="920" w:type="dxa"/>
            <w:vAlign w:val="bottom"/>
            <w:tcBorders>
              <w:bottom w:val="single" w:sz="8" w:color="auto"/>
            </w:tcBorders>
            <w:shd w:val="clear" w:color="auto" w:fill="EAEAEA"/>
          </w:tcPr>
          <w:p>
            <w:pPr>
              <w:jc w:val="right"/>
              <w:ind w:right="230"/>
              <w:spacing w:after="0"/>
              <w:rPr>
                <w:sz w:val="20"/>
                <w:szCs w:val="20"/>
                <w:color w:val="auto"/>
              </w:rPr>
            </w:pPr>
            <w:r>
              <w:rPr>
                <w:rFonts w:ascii="Times New Roman" w:cs="Times New Roman" w:eastAsia="Times New Roman" w:hAnsi="Times New Roman"/>
                <w:sz w:val="18"/>
                <w:szCs w:val="18"/>
                <w:color w:val="auto"/>
              </w:rPr>
              <w:t>$ O/(U)</w:t>
            </w:r>
          </w:p>
        </w:tc>
        <w:tc>
          <w:tcPr>
            <w:tcW w:w="106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O/(U) %</w:t>
            </w:r>
          </w:p>
        </w:tc>
        <w:tc>
          <w:tcPr>
            <w:tcW w:w="220" w:type="dxa"/>
            <w:vAlign w:val="bottom"/>
            <w:tcBorders>
              <w:bottom w:val="single" w:sz="8" w:color="auto"/>
            </w:tcBorders>
            <w:shd w:val="clear" w:color="auto" w:fill="EAEAEA"/>
          </w:tcPr>
          <w:p>
            <w:pPr>
              <w:spacing w:after="0"/>
              <w:rPr>
                <w:sz w:val="19"/>
                <w:szCs w:val="19"/>
                <w:color w:val="auto"/>
              </w:rPr>
            </w:pPr>
          </w:p>
        </w:tc>
        <w:tc>
          <w:tcPr>
            <w:tcW w:w="90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 O/(U)</w:t>
            </w:r>
          </w:p>
        </w:tc>
        <w:tc>
          <w:tcPr>
            <w:tcW w:w="1040" w:type="dxa"/>
            <w:vAlign w:val="bottom"/>
            <w:tcBorders>
              <w:bottom w:val="single" w:sz="8" w:color="auto"/>
            </w:tcBorders>
            <w:shd w:val="clear" w:color="auto" w:fill="EAEAEA"/>
          </w:tcPr>
          <w:p>
            <w:pPr>
              <w:ind w:left="160"/>
              <w:spacing w:after="0"/>
              <w:rPr>
                <w:sz w:val="20"/>
                <w:szCs w:val="20"/>
                <w:color w:val="auto"/>
              </w:rPr>
            </w:pPr>
            <w:r>
              <w:rPr>
                <w:rFonts w:ascii="Times New Roman" w:cs="Times New Roman" w:eastAsia="Times New Roman" w:hAnsi="Times New Roman"/>
                <w:sz w:val="18"/>
                <w:szCs w:val="18"/>
                <w:color w:val="auto"/>
              </w:rPr>
              <w:t>O/(U) %</w:t>
            </w:r>
          </w:p>
        </w:tc>
      </w:tr>
      <w:tr>
        <w:trPr>
          <w:trHeight w:val="21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2,612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792</w:t>
            </w: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30 %</w:t>
            </w: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1,254</w:t>
            </w: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1,180</w:t>
            </w:r>
          </w:p>
        </w:tc>
        <w:tc>
          <w:tcPr>
            <w:tcW w:w="2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1,059</w:t>
            </w:r>
          </w:p>
        </w:tc>
        <w:tc>
          <w:tcPr>
            <w:tcW w:w="16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195</w:t>
            </w: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368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Borders>
              <w:bottom w:val="single" w:sz="8" w:color="828282"/>
            </w:tcBorders>
          </w:tcPr>
          <w:p>
            <w:pPr>
              <w:spacing w:after="0"/>
              <w:rPr>
                <w:sz w:val="20"/>
                <w:szCs w:val="20"/>
                <w:color w:val="auto"/>
              </w:rPr>
            </w:pPr>
          </w:p>
        </w:tc>
        <w:tc>
          <w:tcPr>
            <w:tcW w:w="78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280" w:type="dxa"/>
            <w:vAlign w:val="bottom"/>
            <w:tcBorders>
              <w:bottom w:val="single" w:sz="8" w:color="828282"/>
            </w:tcBorders>
          </w:tcPr>
          <w:p>
            <w:pPr>
              <w:spacing w:after="0"/>
              <w:rPr>
                <w:sz w:val="20"/>
                <w:szCs w:val="20"/>
                <w:color w:val="auto"/>
              </w:rPr>
            </w:pPr>
          </w:p>
        </w:tc>
        <w:tc>
          <w:tcPr>
            <w:tcW w:w="80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618</w:t>
            </w:r>
          </w:p>
        </w:tc>
        <w:tc>
          <w:tcPr>
            <w:tcW w:w="260" w:type="dxa"/>
            <w:vAlign w:val="bottom"/>
            <w:tcBorders>
              <w:bottom w:val="single" w:sz="8" w:color="828282"/>
            </w:tcBorders>
          </w:tcPr>
          <w:p>
            <w:pPr>
              <w:spacing w:after="0"/>
              <w:rPr>
                <w:sz w:val="20"/>
                <w:szCs w:val="20"/>
                <w:color w:val="auto"/>
              </w:rPr>
            </w:pPr>
          </w:p>
        </w:tc>
        <w:tc>
          <w:tcPr>
            <w:tcW w:w="880" w:type="dxa"/>
            <w:vAlign w:val="bottom"/>
            <w:tcBorders>
              <w:bottom w:val="single" w:sz="8" w:color="828282"/>
            </w:tcBorders>
          </w:tcPr>
          <w:p>
            <w:pPr>
              <w:jc w:val="right"/>
              <w:ind w:right="50"/>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right"/>
              <w:ind w:right="50"/>
              <w:spacing w:after="0"/>
              <w:rPr>
                <w:sz w:val="20"/>
                <w:szCs w:val="20"/>
                <w:color w:val="auto"/>
              </w:rPr>
            </w:pPr>
            <w:r>
              <w:rPr>
                <w:rFonts w:ascii="Times New Roman" w:cs="Times New Roman" w:eastAsia="Times New Roman" w:hAnsi="Times New Roman"/>
                <w:sz w:val="18"/>
                <w:szCs w:val="18"/>
                <w:color w:val="auto"/>
              </w:rPr>
              <w:t>(334)</w:t>
            </w:r>
          </w:p>
        </w:tc>
        <w:tc>
          <w:tcPr>
            <w:tcW w:w="1060" w:type="dxa"/>
            <w:vAlign w:val="bottom"/>
            <w:tcBorders>
              <w:bottom w:val="single" w:sz="8" w:color="828282"/>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bottom w:val="single" w:sz="8" w:color="828282"/>
            </w:tcBorders>
          </w:tcPr>
          <w:p>
            <w:pPr>
              <w:spacing w:after="0"/>
              <w:rPr>
                <w:sz w:val="20"/>
                <w:szCs w:val="20"/>
                <w:color w:val="auto"/>
              </w:rPr>
            </w:pPr>
          </w:p>
        </w:tc>
        <w:tc>
          <w:tcPr>
            <w:tcW w:w="900" w:type="dxa"/>
            <w:vAlign w:val="bottom"/>
            <w:tcBorders>
              <w:bottom w:val="single" w:sz="8" w:color="828282"/>
            </w:tcBorders>
          </w:tcPr>
          <w:p>
            <w:pPr>
              <w:jc w:val="right"/>
              <w:ind w:right="70"/>
              <w:spacing w:after="0"/>
              <w:rPr>
                <w:sz w:val="20"/>
                <w:szCs w:val="20"/>
                <w:color w:val="auto"/>
              </w:rPr>
            </w:pPr>
            <w:r>
              <w:rPr>
                <w:rFonts w:ascii="Times New Roman" w:cs="Times New Roman" w:eastAsia="Times New Roman" w:hAnsi="Times New Roman"/>
                <w:sz w:val="18"/>
                <w:szCs w:val="18"/>
                <w:color w:val="auto"/>
              </w:rPr>
              <w:t>373</w:t>
            </w:r>
          </w:p>
        </w:tc>
        <w:tc>
          <w:tcPr>
            <w:tcW w:w="1040" w:type="dxa"/>
            <w:vAlign w:val="bottom"/>
            <w:tcBorders>
              <w:bottom w:val="single" w:sz="8" w:color="828282"/>
            </w:tcBorders>
          </w:tcPr>
          <w:p>
            <w:pPr>
              <w:ind w:left="72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3680" w:type="dxa"/>
            <w:vAlign w:val="bottom"/>
            <w:tcBorders>
              <w:bottom w:val="single" w:sz="8" w:color="828282"/>
            </w:tcBorders>
            <w:shd w:val="clear" w:color="auto" w:fill="D6E0E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828282"/>
            </w:tcBorders>
            <w:shd w:val="clear" w:color="auto" w:fill="D6E0E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828282"/>
            </w:tcBorders>
            <w:shd w:val="clear" w:color="auto" w:fill="D6E0EC"/>
          </w:tcPr>
          <w:p>
            <w:pPr>
              <w:jc w:val="right"/>
              <w:ind w:right="10"/>
              <w:spacing w:after="0"/>
              <w:rPr>
                <w:sz w:val="20"/>
                <w:szCs w:val="20"/>
                <w:color w:val="auto"/>
              </w:rPr>
            </w:pPr>
            <w:r>
              <w:rPr>
                <w:rFonts w:ascii="Times New Roman" w:cs="Times New Roman" w:eastAsia="Times New Roman" w:hAnsi="Times New Roman"/>
                <w:sz w:val="18"/>
                <w:szCs w:val="18"/>
                <w:color w:val="auto"/>
              </w:rPr>
              <w:t>1,423</w:t>
            </w:r>
          </w:p>
        </w:tc>
        <w:tc>
          <w:tcPr>
            <w:tcW w:w="28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828282"/>
            </w:tcBorders>
            <w:shd w:val="clear" w:color="auto" w:fill="D6E0EC"/>
          </w:tcPr>
          <w:p>
            <w:pPr>
              <w:jc w:val="right"/>
              <w:ind w:right="10"/>
              <w:spacing w:after="0"/>
              <w:rPr>
                <w:sz w:val="20"/>
                <w:szCs w:val="20"/>
                <w:color w:val="auto"/>
              </w:rPr>
            </w:pPr>
            <w:r>
              <w:rPr>
                <w:rFonts w:ascii="Times New Roman" w:cs="Times New Roman" w:eastAsia="Times New Roman" w:hAnsi="Times New Roman"/>
                <w:sz w:val="18"/>
                <w:szCs w:val="18"/>
                <w:color w:val="auto"/>
              </w:rPr>
              <w:t>946</w:t>
            </w:r>
          </w:p>
        </w:tc>
        <w:tc>
          <w:tcPr>
            <w:tcW w:w="2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828282"/>
            </w:tcBorders>
            <w:shd w:val="clear" w:color="auto" w:fill="D6E0EC"/>
          </w:tcPr>
          <w:p>
            <w:pPr>
              <w:jc w:val="right"/>
              <w:ind w:right="90"/>
              <w:spacing w:after="0"/>
              <w:rPr>
                <w:sz w:val="20"/>
                <w:szCs w:val="20"/>
                <w:color w:val="auto"/>
              </w:rPr>
            </w:pPr>
            <w:r>
              <w:rPr>
                <w:rFonts w:ascii="Times New Roman" w:cs="Times New Roman" w:eastAsia="Times New Roman" w:hAnsi="Times New Roman"/>
                <w:sz w:val="18"/>
                <w:szCs w:val="18"/>
                <w:color w:val="auto"/>
              </w:rPr>
              <w:t>1,234</w:t>
            </w:r>
          </w:p>
        </w:tc>
        <w:tc>
          <w:tcPr>
            <w:tcW w:w="1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828282"/>
            </w:tcBorders>
            <w:shd w:val="clear" w:color="auto" w:fill="D6E0EC"/>
          </w:tcPr>
          <w:p>
            <w:pPr>
              <w:jc w:val="right"/>
              <w:ind w:right="90"/>
              <w:spacing w:after="0"/>
              <w:rPr>
                <w:sz w:val="20"/>
                <w:szCs w:val="20"/>
                <w:color w:val="auto"/>
              </w:rPr>
            </w:pPr>
            <w:r>
              <w:rPr>
                <w:rFonts w:ascii="Times New Roman" w:cs="Times New Roman" w:eastAsia="Times New Roman" w:hAnsi="Times New Roman"/>
                <w:sz w:val="18"/>
                <w:szCs w:val="18"/>
                <w:color w:val="auto"/>
              </w:rPr>
              <w:t>477</w:t>
            </w:r>
          </w:p>
        </w:tc>
        <w:tc>
          <w:tcPr>
            <w:tcW w:w="10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2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828282"/>
            </w:tcBorders>
            <w:shd w:val="clear" w:color="auto" w:fill="D6E0EC"/>
          </w:tcPr>
          <w:p>
            <w:pPr>
              <w:jc w:val="right"/>
              <w:ind w:right="70"/>
              <w:spacing w:after="0"/>
              <w:rPr>
                <w:sz w:val="20"/>
                <w:szCs w:val="20"/>
                <w:color w:val="auto"/>
              </w:rPr>
            </w:pPr>
            <w:r>
              <w:rPr>
                <w:rFonts w:ascii="Times New Roman" w:cs="Times New Roman" w:eastAsia="Times New Roman" w:hAnsi="Times New Roman"/>
                <w:sz w:val="18"/>
                <w:szCs w:val="18"/>
                <w:color w:val="auto"/>
              </w:rPr>
              <w:t>189</w:t>
            </w:r>
          </w:p>
        </w:tc>
        <w:tc>
          <w:tcPr>
            <w:tcW w:w="1040" w:type="dxa"/>
            <w:vAlign w:val="bottom"/>
            <w:tcBorders>
              <w:bottom w:val="single" w:sz="8" w:color="828282"/>
            </w:tcBorders>
            <w:shd w:val="clear" w:color="auto" w:fill="D6E0EC"/>
          </w:tcPr>
          <w:p>
            <w:pPr>
              <w:ind w:left="640"/>
              <w:spacing w:after="0"/>
              <w:rPr>
                <w:sz w:val="20"/>
                <w:szCs w:val="20"/>
                <w:color w:val="auto"/>
              </w:rPr>
            </w:pPr>
            <w:r>
              <w:rPr>
                <w:rFonts w:ascii="Times New Roman" w:cs="Times New Roman" w:eastAsia="Times New Roman" w:hAnsi="Times New Roman"/>
                <w:sz w:val="18"/>
                <w:szCs w:val="18"/>
                <w:color w:val="auto"/>
              </w:rPr>
              <w:t>15 %</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Results</w:t>
      </w:r>
      <w:r>
        <w:rPr>
          <w:rFonts w:ascii="Times New Roman" w:cs="Times New Roman" w:eastAsia="Times New Roman" w:hAnsi="Times New Roman"/>
          <w:sz w:val="23"/>
          <w:szCs w:val="23"/>
          <w:b w:val="1"/>
          <w:bCs w:val="1"/>
          <w:i w:val="1"/>
          <w:iCs w:val="1"/>
          <w:color w:val="auto"/>
          <w:vertAlign w:val="superscript"/>
        </w:rPr>
        <w:t>12</w:t>
      </w:r>
      <w:r>
        <w:rPr>
          <w:rFonts w:ascii="Times New Roman" w:cs="Times New Roman" w:eastAsia="Times New Roman" w:hAnsi="Times New Roman"/>
          <w:sz w:val="18"/>
          <w:szCs w:val="18"/>
          <w:b w:val="1"/>
          <w:bCs w:val="1"/>
          <w:i w:val="1"/>
          <w:iCs w:val="1"/>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$1.4 billion, up 15%.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 was $3.4 billion, up 30%, driven by higher deposit margins, partially offset by lower investment banking revenue and deposit-related fees.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Noninterest expense was $1.3 billion, up 18%, predominantly driven by higher volume- and revenue-related expense and structural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credit losses was $284 million, reflecting a net reserve build, driven by a modest deterioration in the Firm’s macroeconomic outlook.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331470</wp:posOffset>
            </wp:positionV>
            <wp:extent cx="7098030" cy="266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803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FFFFFF"/>
          <w:shd w:val="clear" w:color="auto" w:fill="7397BC"/>
        </w:rPr>
        <w:t>ASSET &amp; WEALTH MANAGEMENT (AWM)</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80" w:type="dxa"/>
            <w:vAlign w:val="bottom"/>
            <w:tcBorders>
              <w:bottom w:val="single" w:sz="8" w:color="EAEAEA"/>
            </w:tcBorders>
            <w:shd w:val="clear" w:color="auto" w:fill="EAEAEA"/>
          </w:tcPr>
          <w:p>
            <w:pPr>
              <w:ind w:left="20"/>
              <w:spacing w:after="0"/>
              <w:rPr>
                <w:sz w:val="20"/>
                <w:szCs w:val="20"/>
                <w:color w:val="auto"/>
              </w:rPr>
            </w:pPr>
            <w:r>
              <w:rPr>
                <w:rFonts w:ascii="Times New Roman" w:cs="Times New Roman" w:eastAsia="Times New Roman" w:hAnsi="Times New Roman"/>
                <w:sz w:val="18"/>
                <w:szCs w:val="18"/>
                <w:color w:val="auto"/>
              </w:rPr>
              <w:t>Results for AWM</w:t>
            </w:r>
          </w:p>
        </w:tc>
        <w:tc>
          <w:tcPr>
            <w:tcW w:w="200" w:type="dxa"/>
            <w:vAlign w:val="bottom"/>
            <w:tcBorders>
              <w:bottom w:val="single" w:sz="8" w:color="EAEAEA"/>
            </w:tcBorders>
            <w:shd w:val="clear" w:color="auto" w:fill="EAEAEA"/>
          </w:tcPr>
          <w:p>
            <w:pPr>
              <w:spacing w:after="0"/>
              <w:rPr>
                <w:sz w:val="19"/>
                <w:szCs w:val="19"/>
                <w:color w:val="auto"/>
              </w:rPr>
            </w:pPr>
          </w:p>
        </w:tc>
        <w:tc>
          <w:tcPr>
            <w:tcW w:w="780" w:type="dxa"/>
            <w:vAlign w:val="bottom"/>
            <w:tcBorders>
              <w:bottom w:val="single" w:sz="8" w:color="EAEAEA"/>
            </w:tcBorders>
            <w:shd w:val="clear" w:color="auto" w:fill="EAEAEA"/>
          </w:tcPr>
          <w:p>
            <w:pPr>
              <w:spacing w:after="0"/>
              <w:rPr>
                <w:sz w:val="19"/>
                <w:szCs w:val="19"/>
                <w:color w:val="auto"/>
              </w:rPr>
            </w:pPr>
          </w:p>
        </w:tc>
        <w:tc>
          <w:tcPr>
            <w:tcW w:w="280" w:type="dxa"/>
            <w:vAlign w:val="bottom"/>
            <w:tcBorders>
              <w:bottom w:val="single" w:sz="8" w:color="EAEAEA"/>
            </w:tcBorders>
            <w:shd w:val="clear" w:color="auto" w:fill="EAEAEA"/>
          </w:tcPr>
          <w:p>
            <w:pPr>
              <w:spacing w:after="0"/>
              <w:rPr>
                <w:sz w:val="19"/>
                <w:szCs w:val="19"/>
                <w:color w:val="auto"/>
              </w:rPr>
            </w:pPr>
          </w:p>
        </w:tc>
        <w:tc>
          <w:tcPr>
            <w:tcW w:w="820" w:type="dxa"/>
            <w:vAlign w:val="bottom"/>
            <w:tcBorders>
              <w:bottom w:val="single" w:sz="8" w:color="EAEAEA"/>
            </w:tcBorders>
            <w:shd w:val="clear" w:color="auto" w:fill="EAEAEA"/>
          </w:tcPr>
          <w:p>
            <w:pPr>
              <w:spacing w:after="0"/>
              <w:rPr>
                <w:sz w:val="19"/>
                <w:szCs w:val="19"/>
                <w:color w:val="auto"/>
              </w:rPr>
            </w:pPr>
          </w:p>
        </w:tc>
        <w:tc>
          <w:tcPr>
            <w:tcW w:w="240" w:type="dxa"/>
            <w:vAlign w:val="bottom"/>
            <w:tcBorders>
              <w:bottom w:val="single" w:sz="8" w:color="EAEAEA"/>
            </w:tcBorders>
            <w:shd w:val="clear" w:color="auto" w:fill="EAEAEA"/>
          </w:tcPr>
          <w:p>
            <w:pPr>
              <w:spacing w:after="0"/>
              <w:rPr>
                <w:sz w:val="19"/>
                <w:szCs w:val="19"/>
                <w:color w:val="auto"/>
              </w:rPr>
            </w:pPr>
          </w:p>
        </w:tc>
        <w:tc>
          <w:tcPr>
            <w:tcW w:w="88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spacing w:after="0"/>
              <w:rPr>
                <w:sz w:val="19"/>
                <w:szCs w:val="19"/>
                <w:color w:val="auto"/>
              </w:rPr>
            </w:pPr>
          </w:p>
        </w:tc>
        <w:tc>
          <w:tcPr>
            <w:tcW w:w="1980" w:type="dxa"/>
            <w:vAlign w:val="bottom"/>
            <w:tcBorders>
              <w:bottom w:val="single" w:sz="8" w:color="auto"/>
            </w:tcBorders>
            <w:gridSpan w:val="2"/>
            <w:shd w:val="clear" w:color="auto" w:fill="EAEAEA"/>
          </w:tcPr>
          <w:p>
            <w:pPr>
              <w:jc w:val="right"/>
              <w:ind w:right="810"/>
              <w:spacing w:after="0"/>
              <w:rPr>
                <w:sz w:val="20"/>
                <w:szCs w:val="20"/>
                <w:color w:val="auto"/>
              </w:rPr>
            </w:pPr>
            <w:r>
              <w:rPr>
                <w:rFonts w:ascii="Times New Roman" w:cs="Times New Roman" w:eastAsia="Times New Roman" w:hAnsi="Times New Roman"/>
                <w:sz w:val="18"/>
                <w:szCs w:val="18"/>
                <w:color w:val="auto"/>
              </w:rPr>
              <w:t>3Q22</w:t>
            </w:r>
          </w:p>
        </w:tc>
        <w:tc>
          <w:tcPr>
            <w:tcW w:w="220" w:type="dxa"/>
            <w:vAlign w:val="bottom"/>
            <w:tcBorders>
              <w:bottom w:val="single" w:sz="8" w:color="auto"/>
            </w:tcBorders>
            <w:shd w:val="clear" w:color="auto" w:fill="EAEAEA"/>
          </w:tcPr>
          <w:p>
            <w:pPr>
              <w:spacing w:after="0"/>
              <w:rPr>
                <w:sz w:val="19"/>
                <w:szCs w:val="19"/>
                <w:color w:val="auto"/>
              </w:rPr>
            </w:pPr>
          </w:p>
        </w:tc>
        <w:tc>
          <w:tcPr>
            <w:tcW w:w="1940" w:type="dxa"/>
            <w:vAlign w:val="bottom"/>
            <w:tcBorders>
              <w:bottom w:val="single" w:sz="8" w:color="auto"/>
            </w:tcBorders>
            <w:gridSpan w:val="2"/>
            <w:shd w:val="clear" w:color="auto" w:fill="EAEAEA"/>
          </w:tcPr>
          <w:p>
            <w:pPr>
              <w:ind w:left="680"/>
              <w:spacing w:after="0"/>
              <w:rPr>
                <w:sz w:val="20"/>
                <w:szCs w:val="20"/>
                <w:color w:val="auto"/>
              </w:rPr>
            </w:pPr>
            <w:r>
              <w:rPr>
                <w:rFonts w:ascii="Times New Roman" w:cs="Times New Roman" w:eastAsia="Times New Roman" w:hAnsi="Times New Roman"/>
                <w:sz w:val="18"/>
                <w:szCs w:val="18"/>
                <w:color w:val="auto"/>
              </w:rPr>
              <w:t>4Q21</w:t>
            </w:r>
          </w:p>
        </w:tc>
      </w:tr>
      <w:tr>
        <w:trPr>
          <w:trHeight w:val="223"/>
        </w:trPr>
        <w:tc>
          <w:tcPr>
            <w:tcW w:w="3680" w:type="dxa"/>
            <w:vAlign w:val="bottom"/>
            <w:tcBorders>
              <w:bottom w:val="single" w:sz="8" w:color="auto"/>
            </w:tcBorders>
            <w:shd w:val="clear" w:color="auto" w:fill="EAEAEA"/>
          </w:tcPr>
          <w:p>
            <w:pPr>
              <w:ind w:left="20"/>
              <w:spacing w:after="0"/>
              <w:rPr>
                <w:sz w:val="20"/>
                <w:szCs w:val="20"/>
                <w:color w:val="auto"/>
              </w:rPr>
            </w:pPr>
            <w:r>
              <w:rPr>
                <w:rFonts w:ascii="Times New Roman" w:cs="Times New Roman" w:eastAsia="Times New Roman" w:hAnsi="Times New Roman"/>
                <w:sz w:val="18"/>
                <w:szCs w:val="18"/>
                <w:color w:val="auto"/>
              </w:rPr>
              <w:t>($ millions)</w:t>
            </w:r>
          </w:p>
        </w:tc>
        <w:tc>
          <w:tcPr>
            <w:tcW w:w="200" w:type="dxa"/>
            <w:vAlign w:val="bottom"/>
            <w:tcBorders>
              <w:bottom w:val="single" w:sz="8" w:color="auto"/>
            </w:tcBorders>
            <w:shd w:val="clear" w:color="auto" w:fill="EAEAEA"/>
          </w:tcPr>
          <w:p>
            <w:pPr>
              <w:spacing w:after="0"/>
              <w:rPr>
                <w:sz w:val="19"/>
                <w:szCs w:val="19"/>
                <w:color w:val="auto"/>
              </w:rPr>
            </w:pPr>
          </w:p>
        </w:tc>
        <w:tc>
          <w:tcPr>
            <w:tcW w:w="78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4Q22</w:t>
            </w:r>
          </w:p>
        </w:tc>
        <w:tc>
          <w:tcPr>
            <w:tcW w:w="280" w:type="dxa"/>
            <w:vAlign w:val="bottom"/>
            <w:tcBorders>
              <w:bottom w:val="single" w:sz="8" w:color="auto"/>
            </w:tcBorders>
            <w:shd w:val="clear" w:color="auto" w:fill="EAEAEA"/>
          </w:tcPr>
          <w:p>
            <w:pPr>
              <w:spacing w:after="0"/>
              <w:rPr>
                <w:sz w:val="19"/>
                <w:szCs w:val="19"/>
                <w:color w:val="auto"/>
              </w:rPr>
            </w:pPr>
          </w:p>
        </w:tc>
        <w:tc>
          <w:tcPr>
            <w:tcW w:w="820" w:type="dxa"/>
            <w:vAlign w:val="bottom"/>
            <w:tcBorders>
              <w:bottom w:val="single" w:sz="8" w:color="auto"/>
            </w:tcBorders>
            <w:shd w:val="clear" w:color="auto" w:fill="EAEAEA"/>
          </w:tcPr>
          <w:p>
            <w:pPr>
              <w:jc w:val="right"/>
              <w:ind w:right="250"/>
              <w:spacing w:after="0"/>
              <w:rPr>
                <w:sz w:val="20"/>
                <w:szCs w:val="20"/>
                <w:color w:val="auto"/>
              </w:rPr>
            </w:pPr>
            <w:r>
              <w:rPr>
                <w:rFonts w:ascii="Times New Roman" w:cs="Times New Roman" w:eastAsia="Times New Roman" w:hAnsi="Times New Roman"/>
                <w:sz w:val="18"/>
                <w:szCs w:val="18"/>
                <w:color w:val="auto"/>
              </w:rPr>
              <w:t>3Q22</w:t>
            </w:r>
          </w:p>
        </w:tc>
        <w:tc>
          <w:tcPr>
            <w:tcW w:w="240" w:type="dxa"/>
            <w:vAlign w:val="bottom"/>
            <w:tcBorders>
              <w:bottom w:val="single" w:sz="8" w:color="auto"/>
            </w:tcBorders>
            <w:shd w:val="clear" w:color="auto" w:fill="EAEAEA"/>
          </w:tcPr>
          <w:p>
            <w:pPr>
              <w:spacing w:after="0"/>
              <w:rPr>
                <w:sz w:val="19"/>
                <w:szCs w:val="19"/>
                <w:color w:val="auto"/>
              </w:rPr>
            </w:pPr>
          </w:p>
        </w:tc>
        <w:tc>
          <w:tcPr>
            <w:tcW w:w="880" w:type="dxa"/>
            <w:vAlign w:val="bottom"/>
            <w:tcBorders>
              <w:bottom w:val="single" w:sz="8" w:color="auto"/>
            </w:tcBorders>
            <w:shd w:val="clear" w:color="auto" w:fill="EAEAEA"/>
          </w:tcPr>
          <w:p>
            <w:pPr>
              <w:jc w:val="right"/>
              <w:ind w:right="290"/>
              <w:spacing w:after="0"/>
              <w:rPr>
                <w:sz w:val="20"/>
                <w:szCs w:val="20"/>
                <w:color w:val="auto"/>
              </w:rPr>
            </w:pPr>
            <w:r>
              <w:rPr>
                <w:rFonts w:ascii="Times New Roman" w:cs="Times New Roman" w:eastAsia="Times New Roman" w:hAnsi="Times New Roman"/>
                <w:sz w:val="18"/>
                <w:szCs w:val="18"/>
                <w:color w:val="auto"/>
              </w:rPr>
              <w:t>4Q21</w:t>
            </w:r>
          </w:p>
        </w:tc>
        <w:tc>
          <w:tcPr>
            <w:tcW w:w="160" w:type="dxa"/>
            <w:vAlign w:val="bottom"/>
            <w:tcBorders>
              <w:bottom w:val="single" w:sz="8" w:color="auto"/>
            </w:tcBorders>
            <w:shd w:val="clear" w:color="auto" w:fill="EAEAEA"/>
          </w:tcPr>
          <w:p>
            <w:pPr>
              <w:spacing w:after="0"/>
              <w:rPr>
                <w:sz w:val="19"/>
                <w:szCs w:val="19"/>
                <w:color w:val="auto"/>
              </w:rPr>
            </w:pPr>
          </w:p>
        </w:tc>
        <w:tc>
          <w:tcPr>
            <w:tcW w:w="920" w:type="dxa"/>
            <w:vAlign w:val="bottom"/>
            <w:tcBorders>
              <w:bottom w:val="single" w:sz="8" w:color="auto"/>
            </w:tcBorders>
            <w:shd w:val="clear" w:color="auto" w:fill="EAEAEA"/>
          </w:tcPr>
          <w:p>
            <w:pPr>
              <w:jc w:val="right"/>
              <w:ind w:right="230"/>
              <w:spacing w:after="0"/>
              <w:rPr>
                <w:sz w:val="20"/>
                <w:szCs w:val="20"/>
                <w:color w:val="auto"/>
              </w:rPr>
            </w:pPr>
            <w:r>
              <w:rPr>
                <w:rFonts w:ascii="Times New Roman" w:cs="Times New Roman" w:eastAsia="Times New Roman" w:hAnsi="Times New Roman"/>
                <w:sz w:val="18"/>
                <w:szCs w:val="18"/>
                <w:color w:val="auto"/>
              </w:rPr>
              <w:t>$ O/(U)</w:t>
            </w:r>
          </w:p>
        </w:tc>
        <w:tc>
          <w:tcPr>
            <w:tcW w:w="106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O/(U) %</w:t>
            </w:r>
          </w:p>
        </w:tc>
        <w:tc>
          <w:tcPr>
            <w:tcW w:w="220" w:type="dxa"/>
            <w:vAlign w:val="bottom"/>
            <w:tcBorders>
              <w:bottom w:val="single" w:sz="8" w:color="auto"/>
            </w:tcBorders>
            <w:shd w:val="clear" w:color="auto" w:fill="EAEAEA"/>
          </w:tcPr>
          <w:p>
            <w:pPr>
              <w:spacing w:after="0"/>
              <w:rPr>
                <w:sz w:val="19"/>
                <w:szCs w:val="19"/>
                <w:color w:val="auto"/>
              </w:rPr>
            </w:pPr>
          </w:p>
        </w:tc>
        <w:tc>
          <w:tcPr>
            <w:tcW w:w="90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 O/(U)</w:t>
            </w:r>
          </w:p>
        </w:tc>
        <w:tc>
          <w:tcPr>
            <w:tcW w:w="1040" w:type="dxa"/>
            <w:vAlign w:val="bottom"/>
            <w:tcBorders>
              <w:bottom w:val="single" w:sz="8" w:color="auto"/>
            </w:tcBorders>
            <w:shd w:val="clear" w:color="auto" w:fill="EAEAEA"/>
          </w:tcPr>
          <w:p>
            <w:pPr>
              <w:ind w:left="160"/>
              <w:spacing w:after="0"/>
              <w:rPr>
                <w:sz w:val="20"/>
                <w:szCs w:val="20"/>
                <w:color w:val="auto"/>
              </w:rPr>
            </w:pPr>
            <w:r>
              <w:rPr>
                <w:rFonts w:ascii="Times New Roman" w:cs="Times New Roman" w:eastAsia="Times New Roman" w:hAnsi="Times New Roman"/>
                <w:sz w:val="18"/>
                <w:szCs w:val="18"/>
                <w:color w:val="auto"/>
              </w:rPr>
              <w:t>O/(U) %</w:t>
            </w:r>
          </w:p>
        </w:tc>
      </w:tr>
      <w:tr>
        <w:trPr>
          <w:trHeight w:val="21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4,588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4,539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4,473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115</w:t>
            </w:r>
          </w:p>
        </w:tc>
        <w:tc>
          <w:tcPr>
            <w:tcW w:w="1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3,022</w:t>
            </w:r>
          </w:p>
        </w:tc>
        <w:tc>
          <w:tcPr>
            <w:tcW w:w="2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3,028</w:t>
            </w:r>
          </w:p>
        </w:tc>
        <w:tc>
          <w:tcPr>
            <w:tcW w:w="24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2,997</w:t>
            </w:r>
          </w:p>
        </w:tc>
        <w:tc>
          <w:tcPr>
            <w:tcW w:w="16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1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368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Borders>
              <w:bottom w:val="single" w:sz="8" w:color="828282"/>
            </w:tcBorders>
          </w:tcPr>
          <w:p>
            <w:pPr>
              <w:spacing w:after="0"/>
              <w:rPr>
                <w:sz w:val="20"/>
                <w:szCs w:val="20"/>
                <w:color w:val="auto"/>
              </w:rPr>
            </w:pPr>
          </w:p>
        </w:tc>
        <w:tc>
          <w:tcPr>
            <w:tcW w:w="78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Borders>
              <w:bottom w:val="single" w:sz="8" w:color="828282"/>
            </w:tcBorders>
          </w:tcPr>
          <w:p>
            <w:pPr>
              <w:spacing w:after="0"/>
              <w:rPr>
                <w:sz w:val="20"/>
                <w:szCs w:val="20"/>
                <w:color w:val="auto"/>
              </w:rPr>
            </w:pPr>
          </w:p>
        </w:tc>
        <w:tc>
          <w:tcPr>
            <w:tcW w:w="82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Borders>
              <w:bottom w:val="single" w:sz="8" w:color="828282"/>
            </w:tcBorders>
          </w:tcPr>
          <w:p>
            <w:pPr>
              <w:spacing w:after="0"/>
              <w:rPr>
                <w:sz w:val="20"/>
                <w:szCs w:val="20"/>
                <w:color w:val="auto"/>
              </w:rPr>
            </w:pPr>
          </w:p>
        </w:tc>
        <w:tc>
          <w:tcPr>
            <w:tcW w:w="880" w:type="dxa"/>
            <w:vAlign w:val="bottom"/>
            <w:tcBorders>
              <w:bottom w:val="single" w:sz="8" w:color="828282"/>
            </w:tcBorders>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134</w:t>
            </w:r>
          </w:p>
        </w:tc>
        <w:tc>
          <w:tcPr>
            <w:tcW w:w="10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828282"/>
            </w:tcBorders>
          </w:tcPr>
          <w:p>
            <w:pPr>
              <w:spacing w:after="0"/>
              <w:rPr>
                <w:sz w:val="20"/>
                <w:szCs w:val="20"/>
                <w:color w:val="auto"/>
              </w:rPr>
            </w:pPr>
          </w:p>
        </w:tc>
        <w:tc>
          <w:tcPr>
            <w:tcW w:w="900" w:type="dxa"/>
            <w:vAlign w:val="bottom"/>
            <w:tcBorders>
              <w:bottom w:val="single" w:sz="8" w:color="828282"/>
            </w:tcBorders>
          </w:tcPr>
          <w:p>
            <w:pPr>
              <w:jc w:val="right"/>
              <w:ind w:right="70"/>
              <w:spacing w:after="0"/>
              <w:rPr>
                <w:sz w:val="20"/>
                <w:szCs w:val="20"/>
                <w:color w:val="auto"/>
              </w:rPr>
            </w:pPr>
            <w:r>
              <w:rPr>
                <w:rFonts w:ascii="Times New Roman" w:cs="Times New Roman" w:eastAsia="Times New Roman" w:hAnsi="Times New Roman"/>
                <w:sz w:val="18"/>
                <w:szCs w:val="18"/>
                <w:color w:val="auto"/>
              </w:rPr>
              <w:t>68</w:t>
            </w:r>
          </w:p>
        </w:tc>
        <w:tc>
          <w:tcPr>
            <w:tcW w:w="1040" w:type="dxa"/>
            <w:vAlign w:val="bottom"/>
            <w:tcBorders>
              <w:bottom w:val="single" w:sz="8" w:color="828282"/>
            </w:tcBorders>
          </w:tcPr>
          <w:p>
            <w:pPr>
              <w:ind w:left="72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3680" w:type="dxa"/>
            <w:vAlign w:val="bottom"/>
            <w:tcBorders>
              <w:bottom w:val="single" w:sz="8" w:color="828282"/>
            </w:tcBorders>
            <w:shd w:val="clear" w:color="auto" w:fill="D6E0E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828282"/>
            </w:tcBorders>
            <w:shd w:val="clear" w:color="auto" w:fill="D6E0E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828282"/>
            </w:tcBorders>
            <w:shd w:val="clear" w:color="auto" w:fill="D6E0EC"/>
          </w:tcPr>
          <w:p>
            <w:pPr>
              <w:jc w:val="right"/>
              <w:ind w:right="10"/>
              <w:spacing w:after="0"/>
              <w:rPr>
                <w:sz w:val="20"/>
                <w:szCs w:val="20"/>
                <w:color w:val="auto"/>
              </w:rPr>
            </w:pPr>
            <w:r>
              <w:rPr>
                <w:rFonts w:ascii="Times New Roman" w:cs="Times New Roman" w:eastAsia="Times New Roman" w:hAnsi="Times New Roman"/>
                <w:sz w:val="18"/>
                <w:szCs w:val="18"/>
                <w:color w:val="auto"/>
              </w:rPr>
              <w:t>1,134</w:t>
            </w:r>
          </w:p>
        </w:tc>
        <w:tc>
          <w:tcPr>
            <w:tcW w:w="28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828282"/>
            </w:tcBorders>
            <w:shd w:val="clear" w:color="auto" w:fill="D6E0EC"/>
          </w:tcPr>
          <w:p>
            <w:pPr>
              <w:jc w:val="right"/>
              <w:ind w:right="30"/>
              <w:spacing w:after="0"/>
              <w:rPr>
                <w:sz w:val="20"/>
                <w:szCs w:val="20"/>
                <w:color w:val="auto"/>
              </w:rPr>
            </w:pPr>
            <w:r>
              <w:rPr>
                <w:rFonts w:ascii="Times New Roman" w:cs="Times New Roman" w:eastAsia="Times New Roman" w:hAnsi="Times New Roman"/>
                <w:sz w:val="18"/>
                <w:szCs w:val="18"/>
                <w:color w:val="auto"/>
              </w:rPr>
              <w:t>1,219</w:t>
            </w:r>
          </w:p>
        </w:tc>
        <w:tc>
          <w:tcPr>
            <w:tcW w:w="24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828282"/>
            </w:tcBorders>
            <w:shd w:val="clear" w:color="auto" w:fill="D6E0EC"/>
          </w:tcPr>
          <w:p>
            <w:pPr>
              <w:jc w:val="right"/>
              <w:ind w:right="90"/>
              <w:spacing w:after="0"/>
              <w:rPr>
                <w:sz w:val="20"/>
                <w:szCs w:val="20"/>
                <w:color w:val="auto"/>
              </w:rPr>
            </w:pPr>
            <w:r>
              <w:rPr>
                <w:rFonts w:ascii="Times New Roman" w:cs="Times New Roman" w:eastAsia="Times New Roman" w:hAnsi="Times New Roman"/>
                <w:sz w:val="18"/>
                <w:szCs w:val="18"/>
                <w:color w:val="auto"/>
              </w:rPr>
              <w:t>1,125</w:t>
            </w:r>
          </w:p>
        </w:tc>
        <w:tc>
          <w:tcPr>
            <w:tcW w:w="1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828282"/>
            </w:tcBorders>
            <w:shd w:val="clear" w:color="auto" w:fill="D6E0EC"/>
          </w:tcPr>
          <w:p>
            <w:pPr>
              <w:jc w:val="right"/>
              <w:ind w:right="50"/>
              <w:spacing w:after="0"/>
              <w:rPr>
                <w:sz w:val="20"/>
                <w:szCs w:val="20"/>
                <w:color w:val="auto"/>
              </w:rPr>
            </w:pPr>
            <w:r>
              <w:rPr>
                <w:rFonts w:ascii="Times New Roman" w:cs="Times New Roman" w:eastAsia="Times New Roman" w:hAnsi="Times New Roman"/>
                <w:sz w:val="18"/>
                <w:szCs w:val="18"/>
                <w:color w:val="auto"/>
              </w:rPr>
              <w:t>(85)</w:t>
            </w:r>
          </w:p>
        </w:tc>
        <w:tc>
          <w:tcPr>
            <w:tcW w:w="10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828282"/>
            </w:tcBorders>
            <w:shd w:val="clear" w:color="auto" w:fill="D6E0EC"/>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tcBorders>
              <w:bottom w:val="single" w:sz="8" w:color="828282"/>
            </w:tcBorders>
            <w:shd w:val="clear" w:color="auto" w:fill="D6E0EC"/>
          </w:tcPr>
          <w:p>
            <w:pPr>
              <w:ind w:left="720"/>
              <w:spacing w:after="0"/>
              <w:rPr>
                <w:sz w:val="20"/>
                <w:szCs w:val="20"/>
                <w:color w:val="auto"/>
              </w:rPr>
            </w:pPr>
            <w:r>
              <w:rPr>
                <w:rFonts w:ascii="Times New Roman" w:cs="Times New Roman" w:eastAsia="Times New Roman" w:hAnsi="Times New Roman"/>
                <w:sz w:val="18"/>
                <w:szCs w:val="18"/>
                <w:color w:val="auto"/>
              </w:rPr>
              <w:t>1 %</w:t>
            </w: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Results</w:t>
      </w:r>
      <w:r>
        <w:rPr>
          <w:rFonts w:ascii="Times New Roman" w:cs="Times New Roman" w:eastAsia="Times New Roman" w:hAnsi="Times New Roman"/>
          <w:sz w:val="23"/>
          <w:szCs w:val="23"/>
          <w:b w:val="1"/>
          <w:bCs w:val="1"/>
          <w:i w:val="1"/>
          <w:iCs w:val="1"/>
          <w:color w:val="auto"/>
          <w:vertAlign w:val="superscript"/>
        </w:rPr>
        <w:t>12</w:t>
      </w:r>
      <w:r>
        <w:rPr>
          <w:rFonts w:ascii="Times New Roman" w:cs="Times New Roman" w:eastAsia="Times New Roman" w:hAnsi="Times New Roman"/>
          <w:sz w:val="18"/>
          <w:szCs w:val="18"/>
          <w:b w:val="1"/>
          <w:bCs w:val="1"/>
          <w:i w:val="1"/>
          <w:iCs w:val="1"/>
          <w:color w:val="auto"/>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$1.1 billion, up 1%.</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revenue was $4.6 billion, up 3%, driven by higher deposit margins on lower balances, predominantly offset by lower management, performance and placement fees linked to this year’s market declines, and lower investment valuation gains compared to the prior year.</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expense was $3.0 billion, up 1%, reflecting higher investments in the business and structural expense, predominantly offset by lower volume-and revenue-related expense.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credit losses was $32 million, driven by a net reserve build.</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Assets under management were $2.8 trillion, down 11%, driven by lower market levels and net outflows from liquidity products, partially offset by continued net inflows into long term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62865</wp:posOffset>
            </wp:positionV>
            <wp:extent cx="709803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8030" cy="265430"/>
                    </a:xfrm>
                    <a:prstGeom prst="rect">
                      <a:avLst/>
                    </a:prstGeom>
                    <a:noFill/>
                  </pic:spPr>
                </pic:pic>
              </a:graphicData>
            </a:graphic>
          </wp:anchor>
        </w:drawing>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FFFFFF"/>
        </w:rPr>
        <w:t>CORPORATE</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40" w:type="dxa"/>
            <w:vAlign w:val="bottom"/>
            <w:tcBorders>
              <w:bottom w:val="single" w:sz="8" w:color="EAEAEA"/>
            </w:tcBorders>
            <w:shd w:val="clear" w:color="auto" w:fill="EAEAEA"/>
          </w:tcPr>
          <w:p>
            <w:pPr>
              <w:ind w:left="20"/>
              <w:spacing w:after="0"/>
              <w:rPr>
                <w:sz w:val="20"/>
                <w:szCs w:val="20"/>
                <w:color w:val="auto"/>
              </w:rPr>
            </w:pPr>
            <w:r>
              <w:rPr>
                <w:rFonts w:ascii="Times New Roman" w:cs="Times New Roman" w:eastAsia="Times New Roman" w:hAnsi="Times New Roman"/>
                <w:sz w:val="18"/>
                <w:szCs w:val="18"/>
                <w:color w:val="auto"/>
              </w:rPr>
              <w:t>Results for Corporate</w:t>
            </w:r>
          </w:p>
        </w:tc>
        <w:tc>
          <w:tcPr>
            <w:tcW w:w="200" w:type="dxa"/>
            <w:vAlign w:val="bottom"/>
            <w:tcBorders>
              <w:bottom w:val="single" w:sz="8" w:color="EAEAEA"/>
            </w:tcBorders>
            <w:shd w:val="clear" w:color="auto" w:fill="EAEAEA"/>
          </w:tcPr>
          <w:p>
            <w:pPr>
              <w:spacing w:after="0"/>
              <w:rPr>
                <w:sz w:val="19"/>
                <w:szCs w:val="19"/>
                <w:color w:val="auto"/>
              </w:rPr>
            </w:pPr>
          </w:p>
        </w:tc>
        <w:tc>
          <w:tcPr>
            <w:tcW w:w="840" w:type="dxa"/>
            <w:vAlign w:val="bottom"/>
            <w:tcBorders>
              <w:bottom w:val="single" w:sz="8" w:color="EAEAEA"/>
            </w:tcBorders>
            <w:shd w:val="clear" w:color="auto" w:fill="EAEAEA"/>
          </w:tcPr>
          <w:p>
            <w:pPr>
              <w:spacing w:after="0"/>
              <w:rPr>
                <w:sz w:val="19"/>
                <w:szCs w:val="19"/>
                <w:color w:val="auto"/>
              </w:rPr>
            </w:pPr>
          </w:p>
        </w:tc>
        <w:tc>
          <w:tcPr>
            <w:tcW w:w="260" w:type="dxa"/>
            <w:vAlign w:val="bottom"/>
            <w:tcBorders>
              <w:bottom w:val="single" w:sz="8" w:color="EAEAEA"/>
            </w:tcBorders>
            <w:shd w:val="clear" w:color="auto" w:fill="EAEAEA"/>
          </w:tcPr>
          <w:p>
            <w:pPr>
              <w:spacing w:after="0"/>
              <w:rPr>
                <w:sz w:val="19"/>
                <w:szCs w:val="19"/>
                <w:color w:val="auto"/>
              </w:rPr>
            </w:pPr>
          </w:p>
        </w:tc>
        <w:tc>
          <w:tcPr>
            <w:tcW w:w="840" w:type="dxa"/>
            <w:vAlign w:val="bottom"/>
            <w:tcBorders>
              <w:bottom w:val="single" w:sz="8" w:color="EAEAEA"/>
            </w:tcBorders>
            <w:shd w:val="clear" w:color="auto" w:fill="EAEAEA"/>
          </w:tcPr>
          <w:p>
            <w:pPr>
              <w:spacing w:after="0"/>
              <w:rPr>
                <w:sz w:val="19"/>
                <w:szCs w:val="19"/>
                <w:color w:val="auto"/>
              </w:rPr>
            </w:pPr>
          </w:p>
        </w:tc>
        <w:tc>
          <w:tcPr>
            <w:tcW w:w="240" w:type="dxa"/>
            <w:vAlign w:val="bottom"/>
            <w:tcBorders>
              <w:bottom w:val="single" w:sz="8" w:color="EAEAEA"/>
            </w:tcBorders>
            <w:shd w:val="clear" w:color="auto" w:fill="EAEAEA"/>
          </w:tcPr>
          <w:p>
            <w:pPr>
              <w:spacing w:after="0"/>
              <w:rPr>
                <w:sz w:val="19"/>
                <w:szCs w:val="19"/>
                <w:color w:val="auto"/>
              </w:rPr>
            </w:pPr>
          </w:p>
        </w:tc>
        <w:tc>
          <w:tcPr>
            <w:tcW w:w="90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spacing w:after="0"/>
              <w:rPr>
                <w:sz w:val="19"/>
                <w:szCs w:val="19"/>
                <w:color w:val="auto"/>
              </w:rPr>
            </w:pPr>
          </w:p>
        </w:tc>
        <w:tc>
          <w:tcPr>
            <w:tcW w:w="1860" w:type="dxa"/>
            <w:vAlign w:val="bottom"/>
            <w:tcBorders>
              <w:bottom w:val="single" w:sz="8" w:color="auto"/>
            </w:tcBorders>
            <w:gridSpan w:val="2"/>
            <w:shd w:val="clear" w:color="auto" w:fill="EAEAEA"/>
          </w:tcPr>
          <w:p>
            <w:pPr>
              <w:ind w:left="620"/>
              <w:spacing w:after="0"/>
              <w:rPr>
                <w:sz w:val="20"/>
                <w:szCs w:val="20"/>
                <w:color w:val="auto"/>
              </w:rPr>
            </w:pPr>
            <w:r>
              <w:rPr>
                <w:rFonts w:ascii="Times New Roman" w:cs="Times New Roman" w:eastAsia="Times New Roman" w:hAnsi="Times New Roman"/>
                <w:sz w:val="18"/>
                <w:szCs w:val="18"/>
                <w:color w:val="auto"/>
              </w:rPr>
              <w:t>3Q22</w:t>
            </w:r>
          </w:p>
        </w:tc>
        <w:tc>
          <w:tcPr>
            <w:tcW w:w="220" w:type="dxa"/>
            <w:vAlign w:val="bottom"/>
            <w:tcBorders>
              <w:bottom w:val="single" w:sz="8" w:color="auto"/>
            </w:tcBorders>
            <w:shd w:val="clear" w:color="auto" w:fill="EAEAEA"/>
          </w:tcPr>
          <w:p>
            <w:pPr>
              <w:spacing w:after="0"/>
              <w:rPr>
                <w:sz w:val="19"/>
                <w:szCs w:val="19"/>
                <w:color w:val="auto"/>
              </w:rPr>
            </w:pPr>
          </w:p>
        </w:tc>
        <w:tc>
          <w:tcPr>
            <w:tcW w:w="1820" w:type="dxa"/>
            <w:vAlign w:val="bottom"/>
            <w:tcBorders>
              <w:bottom w:val="single" w:sz="8" w:color="auto"/>
            </w:tcBorders>
            <w:gridSpan w:val="2"/>
            <w:shd w:val="clear" w:color="auto" w:fill="EAEAEA"/>
          </w:tcPr>
          <w:p>
            <w:pPr>
              <w:ind w:left="620"/>
              <w:spacing w:after="0"/>
              <w:rPr>
                <w:sz w:val="20"/>
                <w:szCs w:val="20"/>
                <w:color w:val="auto"/>
              </w:rPr>
            </w:pPr>
            <w:r>
              <w:rPr>
                <w:rFonts w:ascii="Times New Roman" w:cs="Times New Roman" w:eastAsia="Times New Roman" w:hAnsi="Times New Roman"/>
                <w:sz w:val="18"/>
                <w:szCs w:val="18"/>
                <w:color w:val="auto"/>
              </w:rPr>
              <w:t>4Q21</w:t>
            </w:r>
          </w:p>
        </w:tc>
      </w:tr>
      <w:tr>
        <w:trPr>
          <w:trHeight w:val="223"/>
        </w:trPr>
        <w:tc>
          <w:tcPr>
            <w:tcW w:w="3840" w:type="dxa"/>
            <w:vAlign w:val="bottom"/>
            <w:tcBorders>
              <w:bottom w:val="single" w:sz="8" w:color="auto"/>
            </w:tcBorders>
            <w:shd w:val="clear" w:color="auto" w:fill="EAEAEA"/>
          </w:tcPr>
          <w:p>
            <w:pPr>
              <w:ind w:left="20"/>
              <w:spacing w:after="0"/>
              <w:rPr>
                <w:sz w:val="20"/>
                <w:szCs w:val="20"/>
                <w:color w:val="auto"/>
              </w:rPr>
            </w:pPr>
            <w:r>
              <w:rPr>
                <w:rFonts w:ascii="Times New Roman" w:cs="Times New Roman" w:eastAsia="Times New Roman" w:hAnsi="Times New Roman"/>
                <w:sz w:val="18"/>
                <w:szCs w:val="18"/>
                <w:color w:val="auto"/>
              </w:rPr>
              <w:t>($ millions)</w:t>
            </w:r>
          </w:p>
        </w:tc>
        <w:tc>
          <w:tcPr>
            <w:tcW w:w="200" w:type="dxa"/>
            <w:vAlign w:val="bottom"/>
            <w:tcBorders>
              <w:bottom w:val="single" w:sz="8" w:color="auto"/>
            </w:tcBorders>
            <w:shd w:val="clear" w:color="auto" w:fill="EAEAEA"/>
          </w:tcPr>
          <w:p>
            <w:pPr>
              <w:spacing w:after="0"/>
              <w:rPr>
                <w:sz w:val="19"/>
                <w:szCs w:val="19"/>
                <w:color w:val="auto"/>
              </w:rPr>
            </w:pPr>
          </w:p>
        </w:tc>
        <w:tc>
          <w:tcPr>
            <w:tcW w:w="840" w:type="dxa"/>
            <w:vAlign w:val="bottom"/>
            <w:tcBorders>
              <w:bottom w:val="single" w:sz="8" w:color="auto"/>
            </w:tcBorders>
            <w:shd w:val="clear" w:color="auto" w:fill="EAEAEA"/>
          </w:tcPr>
          <w:p>
            <w:pPr>
              <w:jc w:val="right"/>
              <w:ind w:right="250"/>
              <w:spacing w:after="0"/>
              <w:rPr>
                <w:sz w:val="20"/>
                <w:szCs w:val="20"/>
                <w:color w:val="auto"/>
              </w:rPr>
            </w:pPr>
            <w:r>
              <w:rPr>
                <w:rFonts w:ascii="Times New Roman" w:cs="Times New Roman" w:eastAsia="Times New Roman" w:hAnsi="Times New Roman"/>
                <w:sz w:val="18"/>
                <w:szCs w:val="18"/>
                <w:color w:val="auto"/>
              </w:rPr>
              <w:t>4Q22</w:t>
            </w:r>
          </w:p>
        </w:tc>
        <w:tc>
          <w:tcPr>
            <w:tcW w:w="260" w:type="dxa"/>
            <w:vAlign w:val="bottom"/>
            <w:tcBorders>
              <w:bottom w:val="single" w:sz="8" w:color="auto"/>
            </w:tcBorders>
            <w:shd w:val="clear" w:color="auto" w:fill="EAEAEA"/>
          </w:tcPr>
          <w:p>
            <w:pPr>
              <w:spacing w:after="0"/>
              <w:rPr>
                <w:sz w:val="19"/>
                <w:szCs w:val="19"/>
                <w:color w:val="auto"/>
              </w:rPr>
            </w:pPr>
          </w:p>
        </w:tc>
        <w:tc>
          <w:tcPr>
            <w:tcW w:w="840" w:type="dxa"/>
            <w:vAlign w:val="bottom"/>
            <w:tcBorders>
              <w:bottom w:val="single" w:sz="8" w:color="auto"/>
            </w:tcBorders>
            <w:shd w:val="clear" w:color="auto" w:fill="EAEAEA"/>
          </w:tcPr>
          <w:p>
            <w:pPr>
              <w:jc w:val="right"/>
              <w:ind w:right="270"/>
              <w:spacing w:after="0"/>
              <w:rPr>
                <w:sz w:val="20"/>
                <w:szCs w:val="20"/>
                <w:color w:val="auto"/>
              </w:rPr>
            </w:pPr>
            <w:r>
              <w:rPr>
                <w:rFonts w:ascii="Times New Roman" w:cs="Times New Roman" w:eastAsia="Times New Roman" w:hAnsi="Times New Roman"/>
                <w:sz w:val="18"/>
                <w:szCs w:val="18"/>
                <w:color w:val="auto"/>
              </w:rPr>
              <w:t>3Q22</w:t>
            </w:r>
          </w:p>
        </w:tc>
        <w:tc>
          <w:tcPr>
            <w:tcW w:w="240" w:type="dxa"/>
            <w:vAlign w:val="bottom"/>
            <w:tcBorders>
              <w:bottom w:val="single" w:sz="8" w:color="auto"/>
            </w:tcBorders>
            <w:shd w:val="clear" w:color="auto" w:fill="EAEAEA"/>
          </w:tcPr>
          <w:p>
            <w:pPr>
              <w:spacing w:after="0"/>
              <w:rPr>
                <w:sz w:val="19"/>
                <w:szCs w:val="19"/>
                <w:color w:val="auto"/>
              </w:rPr>
            </w:pPr>
          </w:p>
        </w:tc>
        <w:tc>
          <w:tcPr>
            <w:tcW w:w="900" w:type="dxa"/>
            <w:vAlign w:val="bottom"/>
            <w:tcBorders>
              <w:bottom w:val="single" w:sz="8" w:color="auto"/>
            </w:tcBorders>
            <w:shd w:val="clear" w:color="auto" w:fill="EAEAEA"/>
          </w:tcPr>
          <w:p>
            <w:pPr>
              <w:jc w:val="right"/>
              <w:ind w:right="310"/>
              <w:spacing w:after="0"/>
              <w:rPr>
                <w:sz w:val="20"/>
                <w:szCs w:val="20"/>
                <w:color w:val="auto"/>
              </w:rPr>
            </w:pPr>
            <w:r>
              <w:rPr>
                <w:rFonts w:ascii="Times New Roman" w:cs="Times New Roman" w:eastAsia="Times New Roman" w:hAnsi="Times New Roman"/>
                <w:sz w:val="18"/>
                <w:szCs w:val="18"/>
                <w:color w:val="auto"/>
              </w:rPr>
              <w:t>4Q21</w:t>
            </w:r>
          </w:p>
        </w:tc>
        <w:tc>
          <w:tcPr>
            <w:tcW w:w="160" w:type="dxa"/>
            <w:vAlign w:val="bottom"/>
            <w:tcBorders>
              <w:bottom w:val="single" w:sz="8" w:color="auto"/>
            </w:tcBorders>
            <w:shd w:val="clear" w:color="auto" w:fill="EAEAEA"/>
          </w:tcPr>
          <w:p>
            <w:pPr>
              <w:spacing w:after="0"/>
              <w:rPr>
                <w:sz w:val="19"/>
                <w:szCs w:val="19"/>
                <w:color w:val="auto"/>
              </w:rPr>
            </w:pPr>
          </w:p>
        </w:tc>
        <w:tc>
          <w:tcPr>
            <w:tcW w:w="880" w:type="dxa"/>
            <w:vAlign w:val="bottom"/>
            <w:tcBorders>
              <w:bottom w:val="single" w:sz="8" w:color="auto"/>
            </w:tcBorders>
            <w:shd w:val="clear" w:color="auto" w:fill="EAEAEA"/>
          </w:tcPr>
          <w:p>
            <w:pPr>
              <w:jc w:val="right"/>
              <w:ind w:right="170"/>
              <w:spacing w:after="0"/>
              <w:rPr>
                <w:sz w:val="20"/>
                <w:szCs w:val="20"/>
                <w:color w:val="auto"/>
              </w:rPr>
            </w:pPr>
            <w:r>
              <w:rPr>
                <w:rFonts w:ascii="Times New Roman" w:cs="Times New Roman" w:eastAsia="Times New Roman" w:hAnsi="Times New Roman"/>
                <w:sz w:val="18"/>
                <w:szCs w:val="18"/>
                <w:color w:val="auto"/>
              </w:rPr>
              <w:t>$ O/(U)</w:t>
            </w:r>
          </w:p>
        </w:tc>
        <w:tc>
          <w:tcPr>
            <w:tcW w:w="980" w:type="dxa"/>
            <w:vAlign w:val="bottom"/>
            <w:tcBorders>
              <w:bottom w:val="single" w:sz="8" w:color="auto"/>
            </w:tcBorders>
            <w:shd w:val="clear" w:color="auto" w:fill="EAEAEA"/>
          </w:tcPr>
          <w:p>
            <w:pPr>
              <w:ind w:left="120"/>
              <w:spacing w:after="0"/>
              <w:rPr>
                <w:sz w:val="20"/>
                <w:szCs w:val="20"/>
                <w:color w:val="auto"/>
              </w:rPr>
            </w:pPr>
            <w:r>
              <w:rPr>
                <w:rFonts w:ascii="Times New Roman" w:cs="Times New Roman" w:eastAsia="Times New Roman" w:hAnsi="Times New Roman"/>
                <w:sz w:val="18"/>
                <w:szCs w:val="18"/>
                <w:color w:val="auto"/>
              </w:rPr>
              <w:t>O/(U) %</w:t>
            </w:r>
          </w:p>
        </w:tc>
        <w:tc>
          <w:tcPr>
            <w:tcW w:w="220" w:type="dxa"/>
            <w:vAlign w:val="bottom"/>
            <w:tcBorders>
              <w:bottom w:val="single" w:sz="8" w:color="auto"/>
            </w:tcBorders>
            <w:shd w:val="clear" w:color="auto" w:fill="EAEAEA"/>
          </w:tcPr>
          <w:p>
            <w:pPr>
              <w:spacing w:after="0"/>
              <w:rPr>
                <w:sz w:val="19"/>
                <w:szCs w:val="19"/>
                <w:color w:val="auto"/>
              </w:rPr>
            </w:pPr>
          </w:p>
        </w:tc>
        <w:tc>
          <w:tcPr>
            <w:tcW w:w="900" w:type="dxa"/>
            <w:vAlign w:val="bottom"/>
            <w:tcBorders>
              <w:bottom w:val="single" w:sz="8" w:color="auto"/>
            </w:tcBorders>
            <w:shd w:val="clear" w:color="auto" w:fill="EAEAEA"/>
          </w:tcPr>
          <w:p>
            <w:pPr>
              <w:jc w:val="right"/>
              <w:ind w:right="190"/>
              <w:spacing w:after="0"/>
              <w:rPr>
                <w:sz w:val="20"/>
                <w:szCs w:val="20"/>
                <w:color w:val="auto"/>
              </w:rPr>
            </w:pPr>
            <w:r>
              <w:rPr>
                <w:rFonts w:ascii="Times New Roman" w:cs="Times New Roman" w:eastAsia="Times New Roman" w:hAnsi="Times New Roman"/>
                <w:sz w:val="18"/>
                <w:szCs w:val="18"/>
                <w:color w:val="auto"/>
              </w:rPr>
              <w:t>$ O/(U)</w:t>
            </w:r>
          </w:p>
        </w:tc>
        <w:tc>
          <w:tcPr>
            <w:tcW w:w="920" w:type="dxa"/>
            <w:vAlign w:val="bottom"/>
            <w:tcBorders>
              <w:bottom w:val="single" w:sz="8" w:color="auto"/>
            </w:tcBorders>
            <w:shd w:val="clear" w:color="auto" w:fill="EAEAEA"/>
          </w:tcPr>
          <w:p>
            <w:pPr>
              <w:ind w:left="100"/>
              <w:spacing w:after="0"/>
              <w:rPr>
                <w:sz w:val="20"/>
                <w:szCs w:val="20"/>
                <w:color w:val="auto"/>
              </w:rPr>
            </w:pPr>
            <w:r>
              <w:rPr>
                <w:rFonts w:ascii="Times New Roman" w:cs="Times New Roman" w:eastAsia="Times New Roman" w:hAnsi="Times New Roman"/>
                <w:sz w:val="18"/>
                <w:szCs w:val="18"/>
                <w:color w:val="auto"/>
              </w:rPr>
              <w:t>O/(U) %</w:t>
            </w:r>
          </w:p>
        </w:tc>
      </w:tr>
      <w:tr>
        <w:trPr>
          <w:trHeight w:val="21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1,183</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1,485</w:t>
            </w:r>
          </w:p>
        </w:tc>
        <w:tc>
          <w:tcPr>
            <w:tcW w:w="9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1,728</w:t>
            </w:r>
          </w:p>
        </w:tc>
        <w:tc>
          <w:tcPr>
            <w:tcW w:w="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339</w:t>
            </w:r>
          </w:p>
        </w:tc>
        <w:tc>
          <w:tcPr>
            <w:tcW w:w="26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9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11</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w:t>
            </w:r>
          </w:p>
        </w:tc>
        <w:tc>
          <w:tcPr>
            <w:tcW w:w="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35</w:t>
            </w:r>
          </w:p>
        </w:tc>
      </w:tr>
      <w:tr>
        <w:trPr>
          <w:trHeight w:val="234"/>
        </w:trPr>
        <w:tc>
          <w:tcPr>
            <w:tcW w:w="384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Borders>
              <w:bottom w:val="single" w:sz="8" w:color="828282"/>
            </w:tcBorders>
          </w:tcPr>
          <w:p>
            <w:pPr>
              <w:spacing w:after="0"/>
              <w:rPr>
                <w:sz w:val="20"/>
                <w:szCs w:val="20"/>
                <w:color w:val="auto"/>
              </w:rPr>
            </w:pPr>
          </w:p>
        </w:tc>
        <w:tc>
          <w:tcPr>
            <w:tcW w:w="84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bottom w:val="single" w:sz="8" w:color="828282"/>
            </w:tcBorders>
          </w:tcPr>
          <w:p>
            <w:pPr>
              <w:spacing w:after="0"/>
              <w:rPr>
                <w:sz w:val="20"/>
                <w:szCs w:val="20"/>
                <w:color w:val="auto"/>
              </w:rPr>
            </w:pPr>
          </w:p>
        </w:tc>
        <w:tc>
          <w:tcPr>
            <w:tcW w:w="84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828282"/>
            </w:tcBorders>
          </w:tcPr>
          <w:p>
            <w:pPr>
              <w:spacing w:after="0"/>
              <w:rPr>
                <w:sz w:val="20"/>
                <w:szCs w:val="20"/>
                <w:color w:val="auto"/>
              </w:rPr>
            </w:pPr>
          </w:p>
        </w:tc>
        <w:tc>
          <w:tcPr>
            <w:tcW w:w="90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828282"/>
            </w:tcBorders>
          </w:tcPr>
          <w:p>
            <w:pPr>
              <w:spacing w:after="0"/>
              <w:rPr>
                <w:sz w:val="20"/>
                <w:szCs w:val="20"/>
                <w:color w:val="auto"/>
              </w:rPr>
            </w:pPr>
          </w:p>
        </w:tc>
        <w:tc>
          <w:tcPr>
            <w:tcW w:w="880" w:type="dxa"/>
            <w:vAlign w:val="bottom"/>
            <w:tcBorders>
              <w:bottom w:val="single" w:sz="8" w:color="828282"/>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tcBorders>
              <w:bottom w:val="single" w:sz="8" w:color="828282"/>
            </w:tcBorders>
          </w:tcPr>
          <w:p>
            <w:pPr>
              <w:jc w:val="center"/>
              <w:ind w:left="470"/>
              <w:spacing w:after="0"/>
              <w:rPr>
                <w:sz w:val="20"/>
                <w:szCs w:val="20"/>
                <w:color w:val="auto"/>
              </w:rPr>
            </w:pPr>
            <w:r>
              <w:rPr>
                <w:rFonts w:ascii="Times New Roman" w:cs="Times New Roman" w:eastAsia="Times New Roman" w:hAnsi="Times New Roman"/>
                <w:sz w:val="18"/>
                <w:szCs w:val="18"/>
                <w:color w:val="auto"/>
                <w:w w:val="99"/>
              </w:rPr>
              <w:t>33</w:t>
            </w:r>
          </w:p>
        </w:tc>
        <w:tc>
          <w:tcPr>
            <w:tcW w:w="220" w:type="dxa"/>
            <w:vAlign w:val="bottom"/>
            <w:tcBorders>
              <w:bottom w:val="single" w:sz="8" w:color="828282"/>
            </w:tcBorders>
          </w:tcPr>
          <w:p>
            <w:pPr>
              <w:spacing w:after="0"/>
              <w:rPr>
                <w:sz w:val="20"/>
                <w:szCs w:val="20"/>
                <w:color w:val="auto"/>
              </w:rPr>
            </w:pPr>
          </w:p>
        </w:tc>
        <w:tc>
          <w:tcPr>
            <w:tcW w:w="90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920" w:type="dxa"/>
            <w:vAlign w:val="bottom"/>
            <w:tcBorders>
              <w:bottom w:val="single" w:sz="8" w:color="828282"/>
            </w:tcBorders>
          </w:tcPr>
          <w:p>
            <w:pPr>
              <w:jc w:val="center"/>
              <w:ind w:left="49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3840" w:type="dxa"/>
            <w:vAlign w:val="bottom"/>
            <w:tcBorders>
              <w:bottom w:val="single" w:sz="8" w:color="828282"/>
            </w:tcBorders>
            <w:shd w:val="clear" w:color="auto" w:fill="D6E0EC"/>
          </w:tcPr>
          <w:p>
            <w:pPr>
              <w:ind w:left="20"/>
              <w:spacing w:after="0"/>
              <w:rPr>
                <w:sz w:val="20"/>
                <w:szCs w:val="20"/>
                <w:color w:val="auto"/>
              </w:rPr>
            </w:pPr>
            <w:r>
              <w:rPr>
                <w:rFonts w:ascii="Times New Roman" w:cs="Times New Roman" w:eastAsia="Times New Roman" w:hAnsi="Times New Roman"/>
                <w:sz w:val="18"/>
                <w:szCs w:val="18"/>
                <w:color w:val="auto"/>
              </w:rPr>
              <w:t>Net income/(loss)</w:t>
            </w:r>
          </w:p>
        </w:tc>
        <w:tc>
          <w:tcPr>
            <w:tcW w:w="20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828282"/>
            </w:tcBorders>
            <w:shd w:val="clear" w:color="auto" w:fill="D6E0EC"/>
          </w:tcPr>
          <w:p>
            <w:pPr>
              <w:jc w:val="right"/>
              <w:ind w:right="30"/>
              <w:spacing w:after="0"/>
              <w:rPr>
                <w:sz w:val="20"/>
                <w:szCs w:val="20"/>
                <w:color w:val="auto"/>
              </w:rPr>
            </w:pPr>
            <w:r>
              <w:rPr>
                <w:rFonts w:ascii="Times New Roman" w:cs="Times New Roman" w:eastAsia="Times New Roman" w:hAnsi="Times New Roman"/>
                <w:sz w:val="18"/>
                <w:szCs w:val="18"/>
                <w:color w:val="auto"/>
              </w:rPr>
              <w:t>581</w:t>
            </w:r>
          </w:p>
        </w:tc>
        <w:tc>
          <w:tcPr>
            <w:tcW w:w="260" w:type="dxa"/>
            <w:vAlign w:val="bottom"/>
            <w:tcBorders>
              <w:bottom w:val="single" w:sz="8" w:color="828282"/>
            </w:tcBorders>
            <w:shd w:val="clear" w:color="auto" w:fill="D6E0E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828282"/>
            </w:tcBorders>
            <w:shd w:val="clear" w:color="auto" w:fill="D6E0EC"/>
          </w:tcPr>
          <w:p>
            <w:pPr>
              <w:jc w:val="right"/>
              <w:ind w:right="50"/>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828282"/>
            </w:tcBorders>
            <w:shd w:val="clear" w:color="auto" w:fill="D6E0EC"/>
          </w:tcPr>
          <w:p>
            <w:pPr>
              <w:jc w:val="right"/>
              <w:ind w:right="30"/>
              <w:spacing w:after="0"/>
              <w:rPr>
                <w:sz w:val="20"/>
                <w:szCs w:val="20"/>
                <w:color w:val="auto"/>
              </w:rPr>
            </w:pPr>
            <w:r>
              <w:rPr>
                <w:rFonts w:ascii="Times New Roman" w:cs="Times New Roman" w:eastAsia="Times New Roman" w:hAnsi="Times New Roman"/>
                <w:sz w:val="18"/>
                <w:szCs w:val="18"/>
                <w:color w:val="auto"/>
              </w:rPr>
              <w:t>875</w:t>
            </w:r>
          </w:p>
        </w:tc>
        <w:tc>
          <w:tcPr>
            <w:tcW w:w="980" w:type="dxa"/>
            <w:vAlign w:val="bottom"/>
            <w:tcBorders>
              <w:bottom w:val="single" w:sz="8" w:color="828282"/>
            </w:tcBorders>
            <w:shd w:val="clear" w:color="auto" w:fill="D6E0EC"/>
          </w:tcPr>
          <w:p>
            <w:pPr>
              <w:jc w:val="center"/>
              <w:ind w:left="47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828282"/>
            </w:tcBorders>
            <w:shd w:val="clear" w:color="auto" w:fill="D6E0EC"/>
          </w:tcPr>
          <w:p>
            <w:pPr>
              <w:jc w:val="right"/>
              <w:ind w:right="50"/>
              <w:spacing w:after="0"/>
              <w:rPr>
                <w:sz w:val="20"/>
                <w:szCs w:val="20"/>
                <w:color w:val="auto"/>
              </w:rPr>
            </w:pPr>
            <w:r>
              <w:rPr>
                <w:rFonts w:ascii="Times New Roman" w:cs="Times New Roman" w:eastAsia="Times New Roman" w:hAnsi="Times New Roman"/>
                <w:sz w:val="18"/>
                <w:szCs w:val="18"/>
                <w:color w:val="auto"/>
              </w:rPr>
              <w:t>1,231</w:t>
            </w:r>
          </w:p>
        </w:tc>
        <w:tc>
          <w:tcPr>
            <w:tcW w:w="920" w:type="dxa"/>
            <w:vAlign w:val="bottom"/>
            <w:tcBorders>
              <w:bottom w:val="single" w:sz="8" w:color="828282"/>
            </w:tcBorders>
            <w:shd w:val="clear" w:color="auto" w:fill="D6E0EC"/>
          </w:tcPr>
          <w:p>
            <w:pPr>
              <w:jc w:val="center"/>
              <w:ind w:left="490"/>
              <w:spacing w:after="0"/>
              <w:rPr>
                <w:sz w:val="20"/>
                <w:szCs w:val="20"/>
                <w:color w:val="auto"/>
              </w:rPr>
            </w:pPr>
            <w:r>
              <w:rPr>
                <w:rFonts w:ascii="Times New Roman" w:cs="Times New Roman" w:eastAsia="Times New Roman" w:hAnsi="Times New Roman"/>
                <w:sz w:val="18"/>
                <w:szCs w:val="18"/>
                <w:color w:val="auto"/>
              </w:rPr>
              <w:t>NM</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Results</w:t>
      </w:r>
      <w:r>
        <w:rPr>
          <w:rFonts w:ascii="Times New Roman" w:cs="Times New Roman" w:eastAsia="Times New Roman" w:hAnsi="Times New Roman"/>
          <w:sz w:val="23"/>
          <w:szCs w:val="23"/>
          <w:b w:val="1"/>
          <w:bCs w:val="1"/>
          <w:i w:val="1"/>
          <w:iCs w:val="1"/>
          <w:color w:val="auto"/>
          <w:vertAlign w:val="superscript"/>
        </w:rPr>
        <w:t>12</w:t>
      </w:r>
      <w:r>
        <w:rPr>
          <w:rFonts w:ascii="Times New Roman" w:cs="Times New Roman" w:eastAsia="Times New Roman" w:hAnsi="Times New Roman"/>
          <w:sz w:val="18"/>
          <w:szCs w:val="18"/>
          <w:b w:val="1"/>
          <w:bCs w:val="1"/>
          <w:i w:val="1"/>
          <w:iCs w:val="1"/>
          <w:color w:val="auto"/>
        </w:rPr>
        <w: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$581 million, compared with a net loss of $650 million in the prior year.</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revenue was $1.2 billion compared with a net loss of $545 million in the prior year. Net interest income was $1.3 billion compared with a loss of $681 million in the prior year, due to the impact of higher rates. The current quarter included a $914 million gain on the sale of 3 million of the Firm’s 40 million Visa Class B common shares. Visa Class B common shares are subject to certain transfer restrictions and are convertible into Visa Class A common shares at a specified conversion rate upon resolution of pending interchange litigation. In conjunction with the sale, the Firm entered into a derivative instrument with the purchaser of the shares, under which the Firm retained the litigation risk associated with the shares sold. The current quarter also included $874 million of net investment securities losses, compared with $52 million of net investment securities gains in the prior year. Investment securities losses reflected net losses on sales of U.S. Treasuries and mortgage-backed securities.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Noninterest expense was $339 million, up $88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Notes on non-GAAP financial measures:</w:t>
      </w:r>
    </w:p>
    <w:p>
      <w:pPr>
        <w:spacing w:after="0" w:line="364" w:lineRule="exact"/>
        <w:rPr>
          <w:sz w:val="20"/>
          <w:szCs w:val="20"/>
          <w:color w:val="auto"/>
        </w:rPr>
      </w:pPr>
    </w:p>
    <w:p>
      <w:pPr>
        <w:jc w:val="both"/>
        <w:ind w:left="340" w:hanging="332"/>
        <w:spacing w:after="0" w:line="253" w:lineRule="auto"/>
        <w:tabs>
          <w:tab w:leader="none" w:pos="33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 prepares its Consolidated Financial Statements in accordance with accounting principles generally accepted in the U.S. (“U.S. GAAP”). That presentation, which is referred to as “reported” basis, provides the reader with an understanding of the Firm’s results that can be tracked consistently from year-to-year and enables a comparison of the Firm’s performance with the U.S. GAAP financial statements of other companies. In addition to analyzing the Firm’s results on a reported basis, management reviews Firmwide results, including the overhead ratio, on a “managed” basis; these Firmwide managed basis results are non-GAAP financial measures. The Firm also reviews the results of the lines of business on a managed basis. The Firm’s definition of managed basis starts, in each case, with the reported U.S. GAAP results and includes certain reclassifications to present total net revenue for the Firm and each of the reportable business segments on a fully taxable-equivalent basis. Accordingly, revenue from investments that receive tax credits and tax-exempt securities is presented in the managed results on a basis comparable to taxable investments and securities. These financial measures allow management to assess the comparability of revenue from year-to-year arising from both taxable and tax-exempt sources. The corresponding income tax impact related to tax-exempt items is recorded within income tax expense. These adjustments have no impact on net income as reported by the Firm as a whole or by the lines of business. For a reconciliation of the Firm’s results from a reported to managed basis, refer to page 7 of the Earnings Release Financial Supplement.</w:t>
      </w:r>
    </w:p>
    <w:p>
      <w:pPr>
        <w:spacing w:after="0" w:line="216"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Tangible common equity (“TCE”), return on tangible common equity (“ROTCE”) and tangible book value per share (“TBVPS”) are each non-GAAP financial measures. TCE represents the Firm’s common stockholders’ equity (i.e., total stockholders’ equity less preferred stock) less goodwill and identifiable intangible assets (other than mortgage servicing rights), net of related deferred tax liabilities. For a reconciliation from common stockholders’ equity to TCE, refer to page 10 of the Earnings Release Financial Supplement. ROTCE measures the Firm’s net income applicable to common equity as a percentage of average TCE. TBVPS represents the Firm’s TCE at period-end divided by common shares at period-end. Book value per share was $90.29, $87.00 and $88.07 at December 31, 2022, September 30, 2022, and December 31, 2021, respectively. TCE, ROTCE, and TBVPS are utilized by the Firm, as well as investors and analysts, in assessing the Firm’s use of equity.</w:t>
      </w:r>
    </w:p>
    <w:p>
      <w:pPr>
        <w:spacing w:after="0" w:line="21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3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reviewing net interest income (“NII”) and noninterest revenue (“NIR”) on a managed basis, management also reviews these metrics excluding CIB Markets (“Markets”, which is composed of Fixed Income Markets and Equity Markets). Markets revenue consists of principal transactions, fees, commissions and other income, as well as net interest income. These metrics, which exclude Markets, are non-GAAP financial measures. Management reviews these metrics to assess the performance of the Firm’s lending, investing (including asset-liability management) and deposit-raising activities, apart from any volatility associated with Markets activities. In addition, management also assesses Markets business performance on a total revenue basis as offsets may occur across revenue lines. For example, securities that generate net interest income may be risk-managed by derivatives that are reflected at fair value in principal transactions revenue. Management believes these measures provide investors and analysts with alternative measures to analyze the revenue trends of the Firm. For a reconciliation of NII and NIR from reported to excluding Markets, refer to page 29 of the Earnings Release Financial Supplement. For additional information on Markets revenue, refer to page 70 of the Firm’s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notes:</w:t>
      </w:r>
    </w:p>
    <w:p>
      <w:pPr>
        <w:spacing w:after="0" w:line="351" w:lineRule="exact"/>
        <w:rPr>
          <w:sz w:val="20"/>
          <w:szCs w:val="20"/>
          <w:color w:val="auto"/>
        </w:rPr>
      </w:pPr>
    </w:p>
    <w:p>
      <w:pPr>
        <w:jc w:val="both"/>
        <w:ind w:left="340" w:hanging="332"/>
        <w:spacing w:after="0" w:line="24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Reflects the Current Expected Credit Losses (“CECL”) capital transition provisions. Beginning January 1, 2022, the $2.9 billion CECL capital benefit recognized as of December 31, 2021, is being phased out at 25% per year over a three-year period. As of December 31, 2022, CET1 capital and Total Loss-Absorbing Capacity reflected the remaining $2.2 billion CECL benefit. Refer to Capital Risk Management on pages 45-50 of the Firm’s Quarterly Report on Form 10-Q for the quarterly period ended September 30, 2022 and on pages 86-96 of the Firm’s 2021 Form 10-K for additional information.</w:t>
      </w:r>
    </w:p>
    <w:p>
      <w:pPr>
        <w:spacing w:after="0" w:line="76" w:lineRule="exact"/>
        <w:rPr>
          <w:rFonts w:ascii="Times New Roman" w:cs="Times New Roman" w:eastAsia="Times New Roman" w:hAnsi="Times New Roman"/>
          <w:sz w:val="18"/>
          <w:szCs w:val="18"/>
          <w:color w:val="auto"/>
        </w:rPr>
      </w:pPr>
    </w:p>
    <w:p>
      <w:pPr>
        <w:jc w:val="both"/>
        <w:ind w:left="340" w:hanging="332"/>
        <w:spacing w:after="0" w:line="238"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Cash and marketable securities, includes the Firm’s average eligible high-quality liquid assets (“HQLA”), other end-of-period HQLA-eligible securities which are included as part of the excess liquidity at JPMorgan Chase Bank, N.A. that are not transferable to non-bank affiliates and thus excluded from the Firm’s liquidity coverage ratio (“LCR”) under the LCR rule, and other end-of-period unencumbered marketable securities, such as equity and debt securities. Does not include borrowing capacity at Federal Home Loan Banks and the discount window at the Federal Reserve Bank. Refer to Liquidity Risk Management on pages 51-56 of the Firm’s Quarterly Report on Form 10-Q for the quarterly period ended September 30, 2022 and on pages 97-104 of the Firm’s 2021 Form 10-K for additional information.</w:t>
      </w:r>
    </w:p>
    <w:p>
      <w:pPr>
        <w:spacing w:after="0" w:line="7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comparisons noted in the bullet points are for the fourth quarter of 2022 versus the prior-year fourth quarter, unless otherwise specified.</w:t>
      </w:r>
    </w:p>
    <w:p>
      <w:pPr>
        <w:spacing w:after="0" w:line="1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Commercial Card.</w:t>
      </w:r>
    </w:p>
    <w:p>
      <w:pPr>
        <w:spacing w:after="0" w:line="11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Users of all mobile platforms who have logged in within the past 90 days.</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 twelve months (“LTM”).</w:t>
      </w:r>
    </w:p>
    <w:p>
      <w:pPr>
        <w:spacing w:after="0" w:line="1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net impact of employee issuances.</w:t>
      </w:r>
    </w:p>
    <w:p>
      <w:pPr>
        <w:spacing w:after="0" w:line="11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provided to clients represents new and renewed credit, including loans and lending-related commitments.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2022, Consumer &amp; Business Banking was renamed Banking &amp; Wealth Management.</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2022, Card &amp; Auto was renamed Card Services &amp; Auto.</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2022, the Firm changed its methodology for allocating income taxes to the LOBs, with no impact to Firmwide net income. Prior period amounts have been revised to conform with the current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&amp; Co. (NYSE: JPM) is a leading financial services firm based in the United States of America (“U.S.”), with operations worldwide.</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JPMorgan Chase had $3.7 trillion in assets and $292.3 billion in stockholders’ equity as of December 31, 2022. The Firm is a leader in investment banking, financial services for consumers and small businesses, commercial banking, financial transaction processing and asset management. Under the J.P. Morgan and Chase brands, the Firm serves millions of customers predominantly in the U.S., and many of the world’s most prominent corporate, institutional and government clients globally. Information about JPMorgan Chase &amp; Co. is available at </w:t>
      </w:r>
      <w:r>
        <w:rPr>
          <w:rFonts w:ascii="Times New Roman" w:cs="Times New Roman" w:eastAsia="Times New Roman" w:hAnsi="Times New Roman"/>
          <w:sz w:val="18"/>
          <w:szCs w:val="18"/>
          <w:color w:val="4F81BD"/>
        </w:rPr>
        <w:t>www.jpmorganchase.com</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JPMorgan Chase &amp; Co. will host a conference call today, January 13, 2023, at 8:30 a.m. (EST) to present fourth-quarter and full-year 2022 financial results. The general public can access the call by dialing (888) 324-3618 in the U.S. and Canada, or (312) 470-7119 for international callers; use passcode 1364784#. Please dial in 15 minutes prior to the start of the call. The live audio webcast and presentation slides will be available on the Firm’s website, </w:t>
      </w:r>
      <w:r>
        <w:rPr>
          <w:rFonts w:ascii="Times New Roman" w:cs="Times New Roman" w:eastAsia="Times New Roman" w:hAnsi="Times New Roman"/>
          <w:sz w:val="18"/>
          <w:szCs w:val="18"/>
          <w:color w:val="4F81BD"/>
        </w:rPr>
        <w:t>www.jpmorganchase.com</w:t>
      </w:r>
      <w:r>
        <w:rPr>
          <w:rFonts w:ascii="Times New Roman" w:cs="Times New Roman" w:eastAsia="Times New Roman" w:hAnsi="Times New Roman"/>
          <w:sz w:val="18"/>
          <w:szCs w:val="18"/>
          <w:color w:val="000000"/>
        </w:rPr>
        <w:t>, under Investor Relations, Events &amp; Presentations.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 replay of the conference call will be available beginning at approximately 11:00 a.m. (EST) on January 13, 2023 through 11:59 p.m. (EST) on January 27, 2023 by telephone at (866) 405-7294 (U.S. and Canada) or (203) 369-0606 (international); use passcode 12876#. The replay will also be available via webcast on </w:t>
      </w:r>
      <w:r>
        <w:rPr>
          <w:rFonts w:ascii="Times New Roman" w:cs="Times New Roman" w:eastAsia="Times New Roman" w:hAnsi="Times New Roman"/>
          <w:sz w:val="18"/>
          <w:szCs w:val="18"/>
          <w:color w:val="4F81BD"/>
        </w:rPr>
        <w:t>www.jpmorganchase.com</w:t>
      </w:r>
      <w:r>
        <w:rPr>
          <w:rFonts w:ascii="Times New Roman" w:cs="Times New Roman" w:eastAsia="Times New Roman" w:hAnsi="Times New Roman"/>
          <w:sz w:val="18"/>
          <w:szCs w:val="18"/>
          <w:color w:val="auto"/>
        </w:rPr>
        <w:t xml:space="preserve"> under Investor Relations, Events &amp; Presentations. Additional detailed financial, statistical and business-related information is included in a financial supplement. The earnings release and the financial supplement are available at </w:t>
      </w:r>
      <w:r>
        <w:rPr>
          <w:rFonts w:ascii="Times New Roman" w:cs="Times New Roman" w:eastAsia="Times New Roman" w:hAnsi="Times New Roman"/>
          <w:sz w:val="18"/>
          <w:szCs w:val="18"/>
          <w:color w:val="4F81BD"/>
        </w:rPr>
        <w:t>www.jpmorganchase.com</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i w:val="1"/>
          <w:iCs w:val="1"/>
          <w:color w:val="auto"/>
        </w:rPr>
        <w:t>This earnings release contains forward-looking statements within the meaning of the Private Securities Litigation Reform Act of 1995. These statements are based on the current beliefs and expectations of JPMorgan Chase &amp; Co.’s management and are subject to significant risks and uncertainties. Actual results may differ from those set forth in the forward-looking statements. Factors that could cause JPMorgan Chase &amp; Co.’s actual results to differ materially from those described in the forward-looking statements can be found in JPMorgan Chase &amp; Co.’s Annual Report on Form 10-K for the year ended December 31, 2021 and Quarterly Report on Form 10-Q for the quarterly period ended September 30, 2022, which have been filed with the Securities and Exchange Commission and are available on JPMorgan Chase &amp; Co.’s website (</w:t>
      </w:r>
      <w:r>
        <w:rPr>
          <w:rFonts w:ascii="Times New Roman" w:cs="Times New Roman" w:eastAsia="Times New Roman" w:hAnsi="Times New Roman"/>
          <w:sz w:val="17"/>
          <w:szCs w:val="17"/>
          <w:i w:val="1"/>
          <w:iCs w:val="1"/>
          <w:color w:val="006EBF"/>
        </w:rPr>
        <w:t>https://jpmorganchaseco.gcs-web.com/financial-information/sec-filings</w:t>
      </w:r>
      <w:r>
        <w:rPr>
          <w:rFonts w:ascii="Times New Roman" w:cs="Times New Roman" w:eastAsia="Times New Roman" w:hAnsi="Times New Roman"/>
          <w:sz w:val="17"/>
          <w:szCs w:val="17"/>
          <w:i w:val="1"/>
          <w:iCs w:val="1"/>
          <w:color w:val="auto"/>
        </w:rPr>
        <w:t>), and on the Securities and Exchange Commission’s website (</w:t>
      </w:r>
      <w:r>
        <w:rPr>
          <w:rFonts w:ascii="Times New Roman" w:cs="Times New Roman" w:eastAsia="Times New Roman" w:hAnsi="Times New Roman"/>
          <w:sz w:val="17"/>
          <w:szCs w:val="17"/>
          <w:i w:val="1"/>
          <w:iCs w:val="1"/>
          <w:color w:val="006EBF"/>
        </w:rPr>
        <w:t>www.sec.gov</w:t>
      </w:r>
      <w:r>
        <w:rPr>
          <w:rFonts w:ascii="Times New Roman" w:cs="Times New Roman" w:eastAsia="Times New Roman" w:hAnsi="Times New Roman"/>
          <w:sz w:val="17"/>
          <w:szCs w:val="17"/>
          <w:i w:val="1"/>
          <w:iCs w:val="1"/>
          <w:color w:val="auto"/>
        </w:rPr>
        <w:t>). JPMorgan Chase &amp; Co. does not undertake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21"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20"/>
          <w:szCs w:val="20"/>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776605</wp:posOffset>
            </wp:positionV>
            <wp:extent cx="5734685" cy="420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3468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20"/>
        <w:spacing w:after="0" w:line="406" w:lineRule="auto"/>
        <w:rPr>
          <w:sz w:val="20"/>
          <w:szCs w:val="20"/>
          <w:color w:val="auto"/>
        </w:rPr>
      </w:pPr>
      <w:r>
        <w:rPr>
          <w:rFonts w:ascii="Arial" w:cs="Arial" w:eastAsia="Arial" w:hAnsi="Arial"/>
          <w:sz w:val="47"/>
          <w:szCs w:val="47"/>
          <w:b w:val="1"/>
          <w:bCs w:val="1"/>
          <w:color w:val="auto"/>
        </w:rPr>
        <w:t>EARNINGS RELEASE FINANCIAL SUPPLEMENT FOURTH QUARTER 2022</w:t>
      </w:r>
    </w:p>
    <w:p>
      <w:pPr>
        <w:sectPr>
          <w:pgSz w:w="11900" w:h="16838" w:orient="portrait"/>
          <w:cols w:equalWidth="0" w:num="1">
            <w:col w:w="11000"/>
          </w:cols>
          <w:pgMar w:left="560" w:top="995" w:right="339" w:bottom="1440" w:gutter="0" w:footer="0" w:header="0"/>
        </w:sectPr>
      </w:pPr>
    </w:p>
    <w:bookmarkStart w:id="12" w:name="page13"/>
    <w:bookmarkEnd w:id="12"/>
    <w:p>
      <w:pPr>
        <w:ind w:left="1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4631690</wp:posOffset>
            </wp:positionH>
            <wp:positionV relativeFrom="page">
              <wp:posOffset>363220</wp:posOffset>
            </wp:positionV>
            <wp:extent cx="237426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374265" cy="171450"/>
                    </a:xfrm>
                    <a:prstGeom prst="rect">
                      <a:avLst/>
                    </a:prstGeom>
                    <a:noFill/>
                  </pic:spPr>
                </pic:pic>
              </a:graphicData>
            </a:graphic>
          </wp:anchor>
        </w:drawing>
        <w:t>JPMORGAN CHASE &amp; CO.</w:t>
      </w:r>
    </w:p>
    <w:p>
      <w:pPr>
        <w:spacing w:after="0" w:line="43" w:lineRule="exact"/>
        <w:rPr>
          <w:sz w:val="20"/>
          <w:szCs w:val="20"/>
          <w:color w:val="auto"/>
        </w:rPr>
      </w:pPr>
    </w:p>
    <w:p>
      <w:pPr>
        <w:ind w:left="12"/>
        <w:spacing w:after="0"/>
        <w:rPr>
          <w:sz w:val="20"/>
          <w:szCs w:val="20"/>
          <w:color w:val="auto"/>
        </w:rPr>
      </w:pPr>
      <w:r>
        <w:rPr>
          <w:rFonts w:ascii="Arial" w:cs="Arial" w:eastAsia="Arial" w:hAnsi="Arial"/>
          <w:sz w:val="20"/>
          <w:szCs w:val="20"/>
          <w:b w:val="1"/>
          <w:bCs w:val="1"/>
          <w:color w:val="auto"/>
        </w:rPr>
        <w:t>TABLE OF CONTENTS</w:t>
      </w:r>
    </w:p>
    <w:p>
      <w:pPr>
        <w:spacing w:after="0" w:line="226" w:lineRule="exact"/>
        <w:rPr>
          <w:sz w:val="20"/>
          <w:szCs w:val="20"/>
          <w:color w:val="auto"/>
        </w:rPr>
      </w:pPr>
    </w:p>
    <w:tbl>
      <w:tblPr>
        <w:tblLayout w:type="fixed"/>
        <w:tblInd w:w="12" w:type="dxa"/>
        <w:tblCellMar>
          <w:top w:w="0" w:type="dxa"/>
          <w:left w:w="0" w:type="dxa"/>
          <w:bottom w:w="0" w:type="dxa"/>
          <w:right w:w="0" w:type="dxa"/>
        </w:tblCellMar>
      </w:tblPr>
      <w:tr>
        <w:trPr>
          <w:trHeight w:val="273"/>
        </w:trPr>
        <w:tc>
          <w:tcPr>
            <w:tcW w:w="7600" w:type="dxa"/>
            <w:vAlign w:val="bottom"/>
            <w:vMerge w:val="restart"/>
          </w:tcPr>
          <w:p>
            <w:pPr>
              <w:spacing w:after="0"/>
              <w:rPr>
                <w:sz w:val="20"/>
                <w:szCs w:val="20"/>
                <w:color w:val="auto"/>
              </w:rPr>
            </w:pPr>
            <w:r>
              <w:rPr>
                <w:rFonts w:ascii="Arial" w:cs="Arial" w:eastAsia="Arial" w:hAnsi="Arial"/>
                <w:sz w:val="20"/>
                <w:szCs w:val="20"/>
                <w:b w:val="1"/>
                <w:bCs w:val="1"/>
                <w:color w:val="auto"/>
              </w:rPr>
              <w:t>Consolidated Results</w:t>
            </w:r>
          </w:p>
        </w:tc>
        <w:tc>
          <w:tcPr>
            <w:tcW w:w="3040" w:type="dxa"/>
            <w:vAlign w:val="bottom"/>
          </w:tcPr>
          <w:p>
            <w:pPr>
              <w:ind w:left="2340"/>
              <w:spacing w:after="0"/>
              <w:rPr>
                <w:sz w:val="20"/>
                <w:szCs w:val="20"/>
                <w:color w:val="auto"/>
              </w:rPr>
            </w:pPr>
            <w:r>
              <w:rPr>
                <w:rFonts w:ascii="Arial" w:cs="Arial" w:eastAsia="Arial" w:hAnsi="Arial"/>
                <w:sz w:val="20"/>
                <w:szCs w:val="20"/>
                <w:b w:val="1"/>
                <w:bCs w:val="1"/>
                <w:color w:val="auto"/>
                <w:w w:val="94"/>
              </w:rPr>
              <w:t>Page(s)</w:t>
            </w:r>
          </w:p>
        </w:tc>
        <w:tc>
          <w:tcPr>
            <w:tcW w:w="0" w:type="dxa"/>
            <w:vAlign w:val="bottom"/>
          </w:tcPr>
          <w:p>
            <w:pPr>
              <w:spacing w:after="0"/>
              <w:rPr>
                <w:sz w:val="1"/>
                <w:szCs w:val="1"/>
                <w:color w:val="auto"/>
              </w:rPr>
            </w:pPr>
          </w:p>
        </w:tc>
      </w:tr>
      <w:tr>
        <w:trPr>
          <w:trHeight w:val="242"/>
        </w:trPr>
        <w:tc>
          <w:tcPr>
            <w:tcW w:w="7600" w:type="dxa"/>
            <w:vAlign w:val="bottom"/>
            <w:vMerge w:val="continue"/>
          </w:tcPr>
          <w:p>
            <w:pPr>
              <w:spacing w:after="0"/>
              <w:rPr>
                <w:sz w:val="21"/>
                <w:szCs w:val="21"/>
                <w:color w:val="auto"/>
              </w:rPr>
            </w:pPr>
          </w:p>
        </w:tc>
        <w:tc>
          <w:tcPr>
            <w:tcW w:w="3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20"/>
                <w:szCs w:val="20"/>
                <w:color w:val="auto"/>
              </w:rPr>
              <w:t>Consolidated Financial Highlights</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56"/>
        </w:trPr>
        <w:tc>
          <w:tcPr>
            <w:tcW w:w="7600" w:type="dxa"/>
            <w:vAlign w:val="bottom"/>
          </w:tcPr>
          <w:p>
            <w:pPr>
              <w:spacing w:after="0"/>
              <w:rPr>
                <w:sz w:val="20"/>
                <w:szCs w:val="20"/>
                <w:color w:val="auto"/>
              </w:rPr>
            </w:pPr>
            <w:r>
              <w:rPr>
                <w:rFonts w:ascii="Arial" w:cs="Arial" w:eastAsia="Arial" w:hAnsi="Arial"/>
                <w:sz w:val="20"/>
                <w:szCs w:val="20"/>
                <w:color w:val="auto"/>
              </w:rPr>
              <w:t>Consolidated Statements of Income</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89"/>
              </w:rPr>
              <w:t>4</w:t>
            </w: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20"/>
                <w:szCs w:val="20"/>
                <w:color w:val="auto"/>
              </w:rPr>
              <w:t>Consolidated Balance Sheets</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89"/>
              </w:rPr>
              <w:t>5</w:t>
            </w: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20"/>
                <w:szCs w:val="20"/>
                <w:color w:val="auto"/>
              </w:rPr>
              <w:t>Condensed Average Balance Sheets and Annualized Yields</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89"/>
              </w:rPr>
              <w:t>6</w:t>
            </w: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20"/>
                <w:szCs w:val="20"/>
                <w:color w:val="auto"/>
              </w:rPr>
              <w:t>Reconciliation from Reported to Managed Basis</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89"/>
              </w:rPr>
              <w:t>7</w:t>
            </w:r>
          </w:p>
        </w:tc>
        <w:tc>
          <w:tcPr>
            <w:tcW w:w="0" w:type="dxa"/>
            <w:vAlign w:val="bottom"/>
          </w:tcPr>
          <w:p>
            <w:pPr>
              <w:spacing w:after="0"/>
              <w:rPr>
                <w:sz w:val="1"/>
                <w:szCs w:val="1"/>
                <w:color w:val="auto"/>
              </w:rPr>
            </w:pPr>
          </w:p>
        </w:tc>
      </w:tr>
      <w:tr>
        <w:trPr>
          <w:trHeight w:val="256"/>
        </w:trPr>
        <w:tc>
          <w:tcPr>
            <w:tcW w:w="7600" w:type="dxa"/>
            <w:vAlign w:val="bottom"/>
          </w:tcPr>
          <w:p>
            <w:pPr>
              <w:spacing w:after="0"/>
              <w:rPr>
                <w:sz w:val="20"/>
                <w:szCs w:val="20"/>
                <w:color w:val="auto"/>
              </w:rPr>
            </w:pPr>
            <w:r>
              <w:rPr>
                <w:rFonts w:ascii="Arial" w:cs="Arial" w:eastAsia="Arial" w:hAnsi="Arial"/>
                <w:sz w:val="20"/>
                <w:szCs w:val="20"/>
                <w:color w:val="auto"/>
              </w:rPr>
              <w:t>Segment Results - Managed Basis</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89"/>
              </w:rPr>
              <w:t>8</w:t>
            </w: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20"/>
                <w:szCs w:val="20"/>
                <w:color w:val="auto"/>
              </w:rPr>
              <w:t>Capital and Other Selected Balance Sheet Items</w:t>
            </w:r>
          </w:p>
        </w:tc>
        <w:tc>
          <w:tcPr>
            <w:tcW w:w="3040" w:type="dxa"/>
            <w:vAlign w:val="bottom"/>
          </w:tcPr>
          <w:p>
            <w:pPr>
              <w:jc w:val="center"/>
              <w:ind w:left="2221"/>
              <w:spacing w:after="0"/>
              <w:rPr>
                <w:sz w:val="20"/>
                <w:szCs w:val="20"/>
                <w:color w:val="auto"/>
              </w:rPr>
            </w:pPr>
            <w:r>
              <w:rPr>
                <w:rFonts w:ascii="Arial" w:cs="Arial" w:eastAsia="Arial" w:hAnsi="Arial"/>
                <w:sz w:val="20"/>
                <w:szCs w:val="20"/>
                <w:color w:val="auto"/>
                <w:w w:val="98"/>
              </w:rPr>
              <w:t>9–10</w:t>
            </w:r>
          </w:p>
        </w:tc>
        <w:tc>
          <w:tcPr>
            <w:tcW w:w="0" w:type="dxa"/>
            <w:vAlign w:val="bottom"/>
          </w:tcPr>
          <w:p>
            <w:pPr>
              <w:spacing w:after="0"/>
              <w:rPr>
                <w:sz w:val="1"/>
                <w:szCs w:val="1"/>
                <w:color w:val="auto"/>
              </w:rPr>
            </w:pPr>
          </w:p>
        </w:tc>
      </w:tr>
      <w:tr>
        <w:trPr>
          <w:trHeight w:val="261"/>
        </w:trPr>
        <w:tc>
          <w:tcPr>
            <w:tcW w:w="7600" w:type="dxa"/>
            <w:vAlign w:val="bottom"/>
          </w:tcPr>
          <w:p>
            <w:pPr>
              <w:spacing w:after="0"/>
              <w:rPr>
                <w:sz w:val="20"/>
                <w:szCs w:val="20"/>
                <w:color w:val="auto"/>
              </w:rPr>
            </w:pPr>
            <w:r>
              <w:rPr>
                <w:rFonts w:ascii="Arial" w:cs="Arial" w:eastAsia="Arial" w:hAnsi="Arial"/>
                <w:sz w:val="20"/>
                <w:szCs w:val="20"/>
                <w:color w:val="auto"/>
              </w:rPr>
              <w:t>Earnings Per Share and Related Information</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98"/>
              </w:rPr>
              <w:t>11</w:t>
            </w:r>
          </w:p>
        </w:tc>
        <w:tc>
          <w:tcPr>
            <w:tcW w:w="0" w:type="dxa"/>
            <w:vAlign w:val="bottom"/>
          </w:tcPr>
          <w:p>
            <w:pPr>
              <w:spacing w:after="0"/>
              <w:rPr>
                <w:sz w:val="1"/>
                <w:szCs w:val="1"/>
                <w:color w:val="auto"/>
              </w:rPr>
            </w:pPr>
          </w:p>
        </w:tc>
      </w:tr>
      <w:tr>
        <w:trPr>
          <w:trHeight w:val="468"/>
        </w:trPr>
        <w:tc>
          <w:tcPr>
            <w:tcW w:w="7600" w:type="dxa"/>
            <w:vAlign w:val="bottom"/>
          </w:tcPr>
          <w:p>
            <w:pPr>
              <w:spacing w:after="0"/>
              <w:rPr>
                <w:sz w:val="20"/>
                <w:szCs w:val="20"/>
                <w:color w:val="auto"/>
              </w:rPr>
            </w:pPr>
            <w:r>
              <w:rPr>
                <w:rFonts w:ascii="Arial" w:cs="Arial" w:eastAsia="Arial" w:hAnsi="Arial"/>
                <w:sz w:val="20"/>
                <w:szCs w:val="20"/>
                <w:b w:val="1"/>
                <w:bCs w:val="1"/>
                <w:color w:val="auto"/>
              </w:rPr>
              <w:t>Business Segment Results</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20"/>
                <w:szCs w:val="20"/>
                <w:color w:val="auto"/>
              </w:rPr>
              <w:t>Consumer &amp; Community Banking (“CCB”)</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97"/>
              </w:rPr>
              <w:t>12–15</w:t>
            </w:r>
          </w:p>
        </w:tc>
        <w:tc>
          <w:tcPr>
            <w:tcW w:w="0" w:type="dxa"/>
            <w:vAlign w:val="bottom"/>
          </w:tcPr>
          <w:p>
            <w:pPr>
              <w:spacing w:after="0"/>
              <w:rPr>
                <w:sz w:val="1"/>
                <w:szCs w:val="1"/>
                <w:color w:val="auto"/>
              </w:rPr>
            </w:pPr>
          </w:p>
        </w:tc>
      </w:tr>
      <w:tr>
        <w:trPr>
          <w:trHeight w:val="256"/>
        </w:trPr>
        <w:tc>
          <w:tcPr>
            <w:tcW w:w="7600" w:type="dxa"/>
            <w:vAlign w:val="bottom"/>
          </w:tcPr>
          <w:p>
            <w:pPr>
              <w:spacing w:after="0"/>
              <w:rPr>
                <w:sz w:val="20"/>
                <w:szCs w:val="20"/>
                <w:color w:val="auto"/>
              </w:rPr>
            </w:pPr>
            <w:r>
              <w:rPr>
                <w:rFonts w:ascii="Arial" w:cs="Arial" w:eastAsia="Arial" w:hAnsi="Arial"/>
                <w:sz w:val="20"/>
                <w:szCs w:val="20"/>
                <w:color w:val="auto"/>
              </w:rPr>
              <w:t>Corporate &amp; Investment Bank (“CIB”)</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97"/>
              </w:rPr>
              <w:t>16–18</w:t>
            </w: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20"/>
                <w:szCs w:val="20"/>
                <w:color w:val="auto"/>
              </w:rPr>
              <w:t>Commercial Banking (“CB”)</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97"/>
              </w:rPr>
              <w:t>19–20</w:t>
            </w: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20"/>
                <w:szCs w:val="20"/>
                <w:color w:val="auto"/>
              </w:rPr>
              <w:t>Asset &amp; Wealth Management (“AWM”)</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97"/>
              </w:rPr>
              <w:t>21–23</w:t>
            </w:r>
          </w:p>
        </w:tc>
        <w:tc>
          <w:tcPr>
            <w:tcW w:w="0" w:type="dxa"/>
            <w:vAlign w:val="bottom"/>
          </w:tcPr>
          <w:p>
            <w:pPr>
              <w:spacing w:after="0"/>
              <w:rPr>
                <w:sz w:val="1"/>
                <w:szCs w:val="1"/>
                <w:color w:val="auto"/>
              </w:rPr>
            </w:pPr>
          </w:p>
        </w:tc>
      </w:tr>
      <w:tr>
        <w:trPr>
          <w:trHeight w:val="261"/>
        </w:trPr>
        <w:tc>
          <w:tcPr>
            <w:tcW w:w="7600" w:type="dxa"/>
            <w:vAlign w:val="bottom"/>
          </w:tcPr>
          <w:p>
            <w:pPr>
              <w:spacing w:after="0"/>
              <w:rPr>
                <w:sz w:val="20"/>
                <w:szCs w:val="20"/>
                <w:color w:val="auto"/>
              </w:rPr>
            </w:pPr>
            <w:r>
              <w:rPr>
                <w:rFonts w:ascii="Arial" w:cs="Arial" w:eastAsia="Arial" w:hAnsi="Arial"/>
                <w:sz w:val="20"/>
                <w:szCs w:val="20"/>
                <w:color w:val="auto"/>
              </w:rPr>
              <w:t>Corporate</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98"/>
              </w:rPr>
              <w:t>24</w:t>
            </w:r>
          </w:p>
        </w:tc>
        <w:tc>
          <w:tcPr>
            <w:tcW w:w="0" w:type="dxa"/>
            <w:vAlign w:val="bottom"/>
          </w:tcPr>
          <w:p>
            <w:pPr>
              <w:spacing w:after="0"/>
              <w:rPr>
                <w:sz w:val="1"/>
                <w:szCs w:val="1"/>
                <w:color w:val="auto"/>
              </w:rPr>
            </w:pPr>
          </w:p>
        </w:tc>
      </w:tr>
      <w:tr>
        <w:trPr>
          <w:trHeight w:val="473"/>
        </w:trPr>
        <w:tc>
          <w:tcPr>
            <w:tcW w:w="7600" w:type="dxa"/>
            <w:vAlign w:val="bottom"/>
          </w:tcPr>
          <w:p>
            <w:pPr>
              <w:spacing w:after="0"/>
              <w:rPr>
                <w:sz w:val="20"/>
                <w:szCs w:val="20"/>
                <w:color w:val="auto"/>
              </w:rPr>
            </w:pPr>
            <w:r>
              <w:rPr>
                <w:rFonts w:ascii="Arial" w:cs="Arial" w:eastAsia="Arial" w:hAnsi="Arial"/>
                <w:sz w:val="20"/>
                <w:szCs w:val="20"/>
                <w:color w:val="auto"/>
              </w:rPr>
              <w:t>Credit-Related Information</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97"/>
              </w:rPr>
              <w:t>25–28</w:t>
            </w:r>
          </w:p>
        </w:tc>
        <w:tc>
          <w:tcPr>
            <w:tcW w:w="0" w:type="dxa"/>
            <w:vAlign w:val="bottom"/>
          </w:tcPr>
          <w:p>
            <w:pPr>
              <w:spacing w:after="0"/>
              <w:rPr>
                <w:sz w:val="1"/>
                <w:szCs w:val="1"/>
                <w:color w:val="auto"/>
              </w:rPr>
            </w:pPr>
          </w:p>
        </w:tc>
      </w:tr>
      <w:tr>
        <w:trPr>
          <w:trHeight w:val="468"/>
        </w:trPr>
        <w:tc>
          <w:tcPr>
            <w:tcW w:w="7600" w:type="dxa"/>
            <w:vAlign w:val="bottom"/>
          </w:tcPr>
          <w:p>
            <w:pPr>
              <w:spacing w:after="0"/>
              <w:rPr>
                <w:sz w:val="20"/>
                <w:szCs w:val="20"/>
                <w:color w:val="auto"/>
              </w:rPr>
            </w:pPr>
            <w:r>
              <w:rPr>
                <w:rFonts w:ascii="Arial" w:cs="Arial" w:eastAsia="Arial" w:hAnsi="Arial"/>
                <w:sz w:val="20"/>
                <w:szCs w:val="20"/>
                <w:color w:val="auto"/>
              </w:rPr>
              <w:t>Non-GAAP Financial Measures</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98"/>
              </w:rPr>
              <w:t>29</w:t>
            </w:r>
          </w:p>
        </w:tc>
        <w:tc>
          <w:tcPr>
            <w:tcW w:w="0" w:type="dxa"/>
            <w:vAlign w:val="bottom"/>
          </w:tcPr>
          <w:p>
            <w:pPr>
              <w:spacing w:after="0"/>
              <w:rPr>
                <w:sz w:val="1"/>
                <w:szCs w:val="1"/>
                <w:color w:val="auto"/>
              </w:rPr>
            </w:pPr>
          </w:p>
        </w:tc>
      </w:tr>
      <w:tr>
        <w:trPr>
          <w:trHeight w:val="261"/>
        </w:trPr>
        <w:tc>
          <w:tcPr>
            <w:tcW w:w="7600" w:type="dxa"/>
            <w:vAlign w:val="bottom"/>
          </w:tcPr>
          <w:p>
            <w:pPr>
              <w:spacing w:after="0"/>
              <w:rPr>
                <w:sz w:val="20"/>
                <w:szCs w:val="20"/>
                <w:color w:val="auto"/>
              </w:rPr>
            </w:pPr>
            <w:r>
              <w:rPr>
                <w:rFonts w:ascii="Arial" w:cs="Arial" w:eastAsia="Arial" w:hAnsi="Arial"/>
                <w:sz w:val="20"/>
                <w:szCs w:val="20"/>
                <w:color w:val="auto"/>
              </w:rPr>
              <w:t>Glossary of Terms and Acronyms (a)</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32" w:hanging="332"/>
        <w:spacing w:after="0" w:line="261" w:lineRule="auto"/>
        <w:tabs>
          <w:tab w:leader="none" w:pos="344"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Refer to the Glossary of Terms and Acronyms on pages 305–311 of JPMorgan Chase &amp; Co.’s (the “Firm’s”) Annual Report on Form 10-K for the year ended December 31, 2021 (the “2021 Form 10-K”) and the Glossary of Terms and Acronyms and Line of Business Metrics on pages 184-189 and pages 190-192 respectively, of the Firm’s Quarterly Report on Form 10-Q for the quarterly period ended September 30,</w:t>
      </w:r>
    </w:p>
    <w:p>
      <w:pPr>
        <w:spacing w:after="0" w:line="1" w:lineRule="exact"/>
        <w:rPr>
          <w:rFonts w:ascii="Arial" w:cs="Arial" w:eastAsia="Arial" w:hAnsi="Arial"/>
          <w:sz w:val="14"/>
          <w:szCs w:val="14"/>
          <w:color w:val="auto"/>
        </w:rPr>
      </w:pPr>
    </w:p>
    <w:p>
      <w:pPr>
        <w:ind w:left="332"/>
        <w:spacing w:after="0"/>
        <w:rPr>
          <w:rFonts w:ascii="Arial" w:cs="Arial" w:eastAsia="Arial" w:hAnsi="Arial"/>
          <w:sz w:val="14"/>
          <w:szCs w:val="14"/>
          <w:color w:val="auto"/>
        </w:rPr>
      </w:pPr>
      <w:r>
        <w:rPr>
          <w:rFonts w:ascii="Arial" w:cs="Arial" w:eastAsia="Arial" w:hAnsi="Arial"/>
          <w:sz w:val="14"/>
          <w:szCs w:val="14"/>
          <w:color w:val="auto"/>
        </w:rPr>
        <w:t>2022.</w:t>
      </w:r>
    </w:p>
    <w:p>
      <w:pPr>
        <w:sectPr>
          <w:pgSz w:w="11900" w:h="16838" w:orient="portrait"/>
          <w:cols w:equalWidth="0" w:num="1">
            <w:col w:w="11172"/>
          </w:cols>
          <w:pgMar w:left="328" w:top="669" w:right="399" w:bottom="1440" w:gutter="0" w:footer="0" w:header="0"/>
        </w:sectPr>
      </w:pPr>
    </w:p>
    <w:bookmarkStart w:id="13" w:name="page14"/>
    <w:bookmarkEnd w:id="13"/>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22225</wp:posOffset>
            </wp:positionV>
            <wp:extent cx="229743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9743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FINANCIAL</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HIGHLIGHTS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per share and ratio data)</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5"/>
          </w:tcPr>
          <w:p>
            <w:pPr>
              <w:ind w:left="340"/>
              <w:spacing w:after="0"/>
              <w:rPr>
                <w:sz w:val="20"/>
                <w:szCs w:val="20"/>
                <w:color w:val="auto"/>
              </w:rPr>
            </w:pPr>
            <w:r>
              <w:rPr>
                <w:rFonts w:ascii="Arial" w:cs="Arial" w:eastAsia="Arial" w:hAnsi="Arial"/>
                <w:sz w:val="11"/>
                <w:szCs w:val="11"/>
                <w:b w:val="1"/>
                <w:bCs w:val="1"/>
                <w:color w:val="auto"/>
              </w:rPr>
              <w:t>QUARTERLY TRENDS</w:t>
            </w: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FULL YEAR</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3"/>
            <w:vMerge w:val="restart"/>
          </w:tcPr>
          <w:p>
            <w:pPr>
              <w:jc w:val="right"/>
              <w:ind w:right="206"/>
              <w:spacing w:after="0"/>
              <w:rPr>
                <w:sz w:val="20"/>
                <w:szCs w:val="20"/>
                <w:color w:val="auto"/>
              </w:rPr>
            </w:pPr>
            <w:r>
              <w:rPr>
                <w:rFonts w:ascii="Arial" w:cs="Arial" w:eastAsia="Arial" w:hAnsi="Arial"/>
                <w:sz w:val="11"/>
                <w:szCs w:val="11"/>
                <w:b w:val="1"/>
                <w:bCs w:val="1"/>
                <w:color w:val="auto"/>
              </w:rPr>
              <w:t>4Q22 Change</w:t>
            </w:r>
          </w:p>
        </w:tc>
        <w:tc>
          <w:tcPr>
            <w:tcW w:w="38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jc w:val="right"/>
              <w:ind w:right="166"/>
              <w:spacing w:after="0" w:line="109" w:lineRule="exact"/>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Borders>
              <w:bottom w:val="single" w:sz="8" w:color="auto"/>
            </w:tcBorders>
            <w:gridSpan w:val="3"/>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08"/>
        </w:trPr>
        <w:tc>
          <w:tcPr>
            <w:tcW w:w="1980" w:type="dxa"/>
            <w:vAlign w:val="bottom"/>
            <w:gridSpan w:val="7"/>
          </w:tcPr>
          <w:p>
            <w:pPr>
              <w:spacing w:after="0" w:line="108" w:lineRule="exact"/>
              <w:rPr>
                <w:sz w:val="20"/>
                <w:szCs w:val="20"/>
                <w:color w:val="auto"/>
              </w:rPr>
            </w:pPr>
            <w:r>
              <w:rPr>
                <w:rFonts w:ascii="Arial" w:cs="Arial" w:eastAsia="Arial" w:hAnsi="Arial"/>
                <w:sz w:val="11"/>
                <w:szCs w:val="11"/>
                <w:b w:val="1"/>
                <w:bCs w:val="1"/>
                <w:color w:val="auto"/>
              </w:rPr>
              <w:t>SELECTED INCOME STATEMENT</w:t>
            </w:r>
          </w:p>
        </w:tc>
        <w:tc>
          <w:tcPr>
            <w:tcW w:w="120" w:type="dxa"/>
            <w:vAlign w:val="bottom"/>
          </w:tcPr>
          <w:p>
            <w:pPr>
              <w:spacing w:after="0"/>
              <w:rPr>
                <w:sz w:val="9"/>
                <w:szCs w:val="9"/>
                <w:color w:val="auto"/>
              </w:rPr>
            </w:pPr>
          </w:p>
        </w:tc>
        <w:tc>
          <w:tcPr>
            <w:tcW w:w="56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rPr>
              <w:t>4Q22</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3Q22</w:t>
            </w:r>
          </w:p>
        </w:tc>
        <w:tc>
          <w:tcPr>
            <w:tcW w:w="100" w:type="dxa"/>
            <w:vAlign w:val="bottom"/>
          </w:tcPr>
          <w:p>
            <w:pPr>
              <w:spacing w:after="0"/>
              <w:rPr>
                <w:sz w:val="9"/>
                <w:szCs w:val="9"/>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2Q22</w:t>
            </w:r>
          </w:p>
        </w:tc>
        <w:tc>
          <w:tcPr>
            <w:tcW w:w="100" w:type="dxa"/>
            <w:vAlign w:val="bottom"/>
          </w:tcPr>
          <w:p>
            <w:pPr>
              <w:spacing w:after="0"/>
              <w:rPr>
                <w:sz w:val="9"/>
                <w:szCs w:val="9"/>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1Q22</w:t>
            </w:r>
          </w:p>
        </w:tc>
        <w:tc>
          <w:tcPr>
            <w:tcW w:w="100" w:type="dxa"/>
            <w:vAlign w:val="bottom"/>
          </w:tcPr>
          <w:p>
            <w:pPr>
              <w:spacing w:after="0"/>
              <w:rPr>
                <w:sz w:val="9"/>
                <w:szCs w:val="9"/>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4Q21</w:t>
            </w:r>
          </w:p>
        </w:tc>
        <w:tc>
          <w:tcPr>
            <w:tcW w:w="7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3Q22</w:t>
            </w:r>
          </w:p>
        </w:tc>
        <w:tc>
          <w:tcPr>
            <w:tcW w:w="8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4Q21</w:t>
            </w:r>
          </w:p>
        </w:tc>
        <w:tc>
          <w:tcPr>
            <w:tcW w:w="100" w:type="dxa"/>
            <w:vAlign w:val="bottom"/>
          </w:tcPr>
          <w:p>
            <w:pPr>
              <w:spacing w:after="0"/>
              <w:rPr>
                <w:sz w:val="9"/>
                <w:szCs w:val="9"/>
                <w:color w:val="auto"/>
              </w:rPr>
            </w:pPr>
          </w:p>
        </w:tc>
        <w:tc>
          <w:tcPr>
            <w:tcW w:w="56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2022</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2021</w:t>
            </w:r>
          </w:p>
        </w:tc>
        <w:tc>
          <w:tcPr>
            <w:tcW w:w="180" w:type="dxa"/>
            <w:vAlign w:val="bottom"/>
          </w:tcPr>
          <w:p>
            <w:pPr>
              <w:spacing w:after="0"/>
              <w:rPr>
                <w:sz w:val="9"/>
                <w:szCs w:val="9"/>
                <w:color w:val="auto"/>
              </w:rPr>
            </w:pPr>
          </w:p>
        </w:tc>
        <w:tc>
          <w:tcPr>
            <w:tcW w:w="68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88"/>
        </w:trPr>
        <w:tc>
          <w:tcPr>
            <w:tcW w:w="1720" w:type="dxa"/>
            <w:vAlign w:val="bottom"/>
            <w:tcBorders>
              <w:top w:val="single" w:sz="8" w:color="auto"/>
            </w:tcBorders>
            <w:gridSpan w:val="5"/>
          </w:tcPr>
          <w:p>
            <w:pPr>
              <w:spacing w:after="0" w:line="88" w:lineRule="exact"/>
              <w:rPr>
                <w:sz w:val="20"/>
                <w:szCs w:val="20"/>
                <w:color w:val="auto"/>
              </w:rPr>
            </w:pPr>
            <w:r>
              <w:rPr>
                <w:rFonts w:ascii="Arial" w:cs="Arial" w:eastAsia="Arial" w:hAnsi="Arial"/>
                <w:sz w:val="10"/>
                <w:szCs w:val="10"/>
                <w:b w:val="1"/>
                <w:bCs w:val="1"/>
                <w:color w:val="auto"/>
              </w:rPr>
              <w:t>DATA</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980" w:type="dxa"/>
            <w:vAlign w:val="bottom"/>
            <w:gridSpan w:val="7"/>
            <w:vMerge w:val="restart"/>
          </w:tcPr>
          <w:p>
            <w:pPr>
              <w:spacing w:after="0"/>
              <w:rPr>
                <w:sz w:val="20"/>
                <w:szCs w:val="20"/>
                <w:color w:val="auto"/>
              </w:rPr>
            </w:pPr>
            <w:r>
              <w:rPr>
                <w:rFonts w:ascii="Arial" w:cs="Arial" w:eastAsia="Arial" w:hAnsi="Arial"/>
                <w:sz w:val="11"/>
                <w:szCs w:val="11"/>
                <w:b w:val="1"/>
                <w:bCs w:val="1"/>
                <w:color w:val="auto"/>
              </w:rPr>
              <w:t>Reported Basis</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980" w:type="dxa"/>
            <w:vAlign w:val="bottom"/>
            <w:gridSpan w:val="7"/>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980" w:type="dxa"/>
            <w:vAlign w:val="bottom"/>
            <w:gridSpan w:val="7"/>
          </w:tcPr>
          <w:p>
            <w:pPr>
              <w:spacing w:after="0"/>
              <w:rPr>
                <w:sz w:val="20"/>
                <w:szCs w:val="20"/>
                <w:color w:val="auto"/>
              </w:rPr>
            </w:pPr>
            <w:r>
              <w:rPr>
                <w:rFonts w:ascii="Arial" w:cs="Arial" w:eastAsia="Arial" w:hAnsi="Arial"/>
                <w:sz w:val="11"/>
                <w:szCs w:val="11"/>
                <w:color w:val="auto"/>
              </w:rPr>
              <w:t>Total net revenue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34,547</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32,716</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30,715</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30,717</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29,257</w:t>
            </w: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6 %</w:t>
            </w: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18 %</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128,695</w:t>
            </w:r>
          </w:p>
        </w:tc>
        <w:tc>
          <w:tcPr>
            <w:tcW w:w="24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121,649</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6 %</w:t>
            </w:r>
          </w:p>
        </w:tc>
        <w:tc>
          <w:tcPr>
            <w:tcW w:w="0" w:type="dxa"/>
            <w:vAlign w:val="bottom"/>
          </w:tcPr>
          <w:p>
            <w:pPr>
              <w:spacing w:after="0"/>
              <w:rPr>
                <w:sz w:val="1"/>
                <w:szCs w:val="1"/>
                <w:color w:val="auto"/>
              </w:rPr>
            </w:pPr>
          </w:p>
        </w:tc>
      </w:tr>
      <w:tr>
        <w:trPr>
          <w:trHeight w:val="162"/>
        </w:trPr>
        <w:tc>
          <w:tcPr>
            <w:tcW w:w="1980" w:type="dxa"/>
            <w:vAlign w:val="bottom"/>
            <w:gridSpan w:val="7"/>
          </w:tcPr>
          <w:p>
            <w:pPr>
              <w:spacing w:after="0"/>
              <w:rPr>
                <w:sz w:val="20"/>
                <w:szCs w:val="20"/>
                <w:color w:val="auto"/>
              </w:rPr>
            </w:pPr>
            <w:r>
              <w:rPr>
                <w:rFonts w:ascii="Arial" w:cs="Arial" w:eastAsia="Arial" w:hAnsi="Arial"/>
                <w:sz w:val="11"/>
                <w:szCs w:val="11"/>
                <w:color w:val="auto"/>
              </w:rPr>
              <w:t>Total noninterest expense</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19,022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19,178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18,749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19,191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17,888</w:t>
            </w:r>
          </w:p>
        </w:tc>
        <w:tc>
          <w:tcPr>
            <w:tcW w:w="180" w:type="dxa"/>
            <w:vAlign w:val="bottom"/>
          </w:tcPr>
          <w:p>
            <w:pPr>
              <w:spacing w:after="0"/>
              <w:rPr>
                <w:sz w:val="14"/>
                <w:szCs w:val="14"/>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76,140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71,343</w:t>
            </w:r>
          </w:p>
        </w:tc>
        <w:tc>
          <w:tcPr>
            <w:tcW w:w="18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2"/>
        </w:trPr>
        <w:tc>
          <w:tcPr>
            <w:tcW w:w="1980" w:type="dxa"/>
            <w:vAlign w:val="bottom"/>
            <w:gridSpan w:val="7"/>
          </w:tcPr>
          <w:p>
            <w:pPr>
              <w:spacing w:after="0"/>
              <w:rPr>
                <w:sz w:val="20"/>
                <w:szCs w:val="20"/>
                <w:color w:val="auto"/>
              </w:rPr>
            </w:pPr>
            <w:r>
              <w:rPr>
                <w:rFonts w:ascii="Arial" w:cs="Arial" w:eastAsia="Arial" w:hAnsi="Arial"/>
                <w:sz w:val="11"/>
                <w:szCs w:val="11"/>
                <w:color w:val="auto"/>
              </w:rPr>
              <w:t>Pre-provision profit (a)</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15,525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13,538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11,966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11,526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11,369</w:t>
            </w:r>
          </w:p>
        </w:tc>
        <w:tc>
          <w:tcPr>
            <w:tcW w:w="18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15</w:t>
            </w:r>
          </w:p>
        </w:tc>
        <w:tc>
          <w:tcPr>
            <w:tcW w:w="18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37</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52,555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50,306</w:t>
            </w:r>
          </w:p>
        </w:tc>
        <w:tc>
          <w:tcPr>
            <w:tcW w:w="18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1980" w:type="dxa"/>
            <w:vAlign w:val="bottom"/>
            <w:gridSpan w:val="7"/>
          </w:tcPr>
          <w:p>
            <w:pPr>
              <w:spacing w:after="0"/>
              <w:rPr>
                <w:sz w:val="20"/>
                <w:szCs w:val="20"/>
                <w:color w:val="auto"/>
              </w:rPr>
            </w:pPr>
            <w:r>
              <w:rPr>
                <w:rFonts w:ascii="Arial" w:cs="Arial" w:eastAsia="Arial" w:hAnsi="Arial"/>
                <w:sz w:val="11"/>
                <w:szCs w:val="11"/>
                <w:color w:val="auto"/>
              </w:rPr>
              <w:t>Provision for credit losses</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2,288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1,537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1,101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1,463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(1,288)</w:t>
            </w:r>
          </w:p>
        </w:tc>
        <w:tc>
          <w:tcPr>
            <w:tcW w:w="18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49</w:t>
            </w:r>
          </w:p>
        </w:tc>
        <w:tc>
          <w:tcPr>
            <w:tcW w:w="180" w:type="dxa"/>
            <w:vAlign w:val="bottom"/>
          </w:tcPr>
          <w:p>
            <w:pPr>
              <w:spacing w:after="0"/>
              <w:rPr>
                <w:sz w:val="14"/>
                <w:szCs w:val="14"/>
                <w:color w:val="auto"/>
              </w:rPr>
            </w:pPr>
          </w:p>
        </w:tc>
        <w:tc>
          <w:tcPr>
            <w:tcW w:w="880" w:type="dxa"/>
            <w:vAlign w:val="bottom"/>
            <w:gridSpan w:val="2"/>
          </w:tcPr>
          <w:p>
            <w:pPr>
              <w:ind w:left="300"/>
              <w:spacing w:after="0"/>
              <w:rPr>
                <w:sz w:val="20"/>
                <w:szCs w:val="20"/>
                <w:color w:val="auto"/>
              </w:rPr>
            </w:pPr>
            <w:r>
              <w:rPr>
                <w:rFonts w:ascii="Arial" w:cs="Arial" w:eastAsia="Arial" w:hAnsi="Arial"/>
                <w:sz w:val="11"/>
                <w:szCs w:val="11"/>
                <w:color w:val="auto"/>
              </w:rPr>
              <w:t>NM</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6,389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(9,256)</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8"/>
        </w:trPr>
        <w:tc>
          <w:tcPr>
            <w:tcW w:w="1980" w:type="dxa"/>
            <w:vAlign w:val="bottom"/>
            <w:gridSpan w:val="7"/>
          </w:tcPr>
          <w:p>
            <w:pPr>
              <w:ind w:left="120"/>
              <w:spacing w:after="0"/>
              <w:rPr>
                <w:sz w:val="20"/>
                <w:szCs w:val="20"/>
                <w:color w:val="auto"/>
              </w:rPr>
            </w:pPr>
            <w:r>
              <w:rPr>
                <w:rFonts w:ascii="Arial" w:cs="Arial" w:eastAsia="Arial" w:hAnsi="Arial"/>
                <w:sz w:val="11"/>
                <w:szCs w:val="11"/>
                <w:b w:val="1"/>
                <w:bCs w:val="1"/>
                <w:color w:val="auto"/>
              </w:rPr>
              <w:t>NET INCOME</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11,008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9,737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8,649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8,282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10,399</w:t>
            </w:r>
          </w:p>
        </w:tc>
        <w:tc>
          <w:tcPr>
            <w:tcW w:w="18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18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37,676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48,334</w:t>
            </w:r>
          </w:p>
        </w:tc>
        <w:tc>
          <w:tcPr>
            <w:tcW w:w="18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324"/>
        </w:trPr>
        <w:tc>
          <w:tcPr>
            <w:tcW w:w="1980" w:type="dxa"/>
            <w:vAlign w:val="bottom"/>
            <w:gridSpan w:val="7"/>
          </w:tcPr>
          <w:p>
            <w:pPr>
              <w:spacing w:after="0"/>
              <w:rPr>
                <w:sz w:val="20"/>
                <w:szCs w:val="20"/>
                <w:color w:val="auto"/>
              </w:rPr>
            </w:pPr>
            <w:r>
              <w:rPr>
                <w:rFonts w:ascii="Arial" w:cs="Arial" w:eastAsia="Arial" w:hAnsi="Arial"/>
                <w:sz w:val="11"/>
                <w:szCs w:val="11"/>
                <w:b w:val="1"/>
                <w:bCs w:val="1"/>
                <w:color w:val="auto"/>
              </w:rPr>
              <w:t>Managed Basis (b)</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980" w:type="dxa"/>
            <w:vAlign w:val="bottom"/>
            <w:gridSpan w:val="7"/>
          </w:tcPr>
          <w:p>
            <w:pPr>
              <w:spacing w:after="0"/>
              <w:rPr>
                <w:sz w:val="20"/>
                <w:szCs w:val="20"/>
                <w:color w:val="auto"/>
              </w:rPr>
            </w:pPr>
            <w:r>
              <w:rPr>
                <w:rFonts w:ascii="Arial" w:cs="Arial" w:eastAsia="Arial" w:hAnsi="Arial"/>
                <w:sz w:val="11"/>
                <w:szCs w:val="11"/>
                <w:color w:val="auto"/>
              </w:rPr>
              <w:t>Total net revenue</w:t>
            </w:r>
          </w:p>
        </w:tc>
        <w:tc>
          <w:tcPr>
            <w:tcW w:w="12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35,566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33,491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31,630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31,590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30,349</w:t>
            </w:r>
          </w:p>
        </w:tc>
        <w:tc>
          <w:tcPr>
            <w:tcW w:w="180" w:type="dxa"/>
            <w:vAlign w:val="bottom"/>
          </w:tcPr>
          <w:p>
            <w:pPr>
              <w:spacing w:after="0"/>
              <w:rPr>
                <w:sz w:val="13"/>
                <w:szCs w:val="13"/>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18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132,277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125,304</w:t>
            </w:r>
          </w:p>
        </w:tc>
        <w:tc>
          <w:tcPr>
            <w:tcW w:w="180" w:type="dxa"/>
            <w:vAlign w:val="bottom"/>
          </w:tcPr>
          <w:p>
            <w:pPr>
              <w:spacing w:after="0"/>
              <w:rPr>
                <w:sz w:val="13"/>
                <w:szCs w:val="13"/>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2"/>
        </w:trPr>
        <w:tc>
          <w:tcPr>
            <w:tcW w:w="1980" w:type="dxa"/>
            <w:vAlign w:val="bottom"/>
            <w:gridSpan w:val="7"/>
          </w:tcPr>
          <w:p>
            <w:pPr>
              <w:spacing w:after="0"/>
              <w:rPr>
                <w:sz w:val="20"/>
                <w:szCs w:val="20"/>
                <w:color w:val="auto"/>
              </w:rPr>
            </w:pPr>
            <w:r>
              <w:rPr>
                <w:rFonts w:ascii="Arial" w:cs="Arial" w:eastAsia="Arial" w:hAnsi="Arial"/>
                <w:sz w:val="11"/>
                <w:szCs w:val="11"/>
                <w:color w:val="auto"/>
              </w:rPr>
              <w:t>Total noninterest expense</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19,022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19,178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18,749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19,191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17,888</w:t>
            </w:r>
          </w:p>
        </w:tc>
        <w:tc>
          <w:tcPr>
            <w:tcW w:w="180" w:type="dxa"/>
            <w:vAlign w:val="bottom"/>
          </w:tcPr>
          <w:p>
            <w:pPr>
              <w:spacing w:after="0"/>
              <w:rPr>
                <w:sz w:val="14"/>
                <w:szCs w:val="14"/>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76,140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71,343</w:t>
            </w:r>
          </w:p>
        </w:tc>
        <w:tc>
          <w:tcPr>
            <w:tcW w:w="18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2"/>
        </w:trPr>
        <w:tc>
          <w:tcPr>
            <w:tcW w:w="1980" w:type="dxa"/>
            <w:vAlign w:val="bottom"/>
            <w:gridSpan w:val="7"/>
          </w:tcPr>
          <w:p>
            <w:pPr>
              <w:spacing w:after="0"/>
              <w:rPr>
                <w:sz w:val="20"/>
                <w:szCs w:val="20"/>
                <w:color w:val="auto"/>
              </w:rPr>
            </w:pPr>
            <w:r>
              <w:rPr>
                <w:rFonts w:ascii="Arial" w:cs="Arial" w:eastAsia="Arial" w:hAnsi="Arial"/>
                <w:sz w:val="11"/>
                <w:szCs w:val="11"/>
                <w:color w:val="auto"/>
              </w:rPr>
              <w:t>Pre-provision profit (a)</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16,544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14,313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12,881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12,399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12,461</w:t>
            </w:r>
          </w:p>
        </w:tc>
        <w:tc>
          <w:tcPr>
            <w:tcW w:w="18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16</w:t>
            </w:r>
          </w:p>
        </w:tc>
        <w:tc>
          <w:tcPr>
            <w:tcW w:w="18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33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56,137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53,961</w:t>
            </w:r>
          </w:p>
        </w:tc>
        <w:tc>
          <w:tcPr>
            <w:tcW w:w="18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1980" w:type="dxa"/>
            <w:vAlign w:val="bottom"/>
            <w:gridSpan w:val="7"/>
          </w:tcPr>
          <w:p>
            <w:pPr>
              <w:spacing w:after="0"/>
              <w:rPr>
                <w:sz w:val="20"/>
                <w:szCs w:val="20"/>
                <w:color w:val="auto"/>
              </w:rPr>
            </w:pPr>
            <w:r>
              <w:rPr>
                <w:rFonts w:ascii="Arial" w:cs="Arial" w:eastAsia="Arial" w:hAnsi="Arial"/>
                <w:sz w:val="11"/>
                <w:szCs w:val="11"/>
                <w:color w:val="auto"/>
              </w:rPr>
              <w:t>Provision for credit losses</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2,288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1,537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1,101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1,463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(1,288)</w:t>
            </w:r>
          </w:p>
        </w:tc>
        <w:tc>
          <w:tcPr>
            <w:tcW w:w="18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49</w:t>
            </w:r>
          </w:p>
        </w:tc>
        <w:tc>
          <w:tcPr>
            <w:tcW w:w="180" w:type="dxa"/>
            <w:vAlign w:val="bottom"/>
          </w:tcPr>
          <w:p>
            <w:pPr>
              <w:spacing w:after="0"/>
              <w:rPr>
                <w:sz w:val="14"/>
                <w:szCs w:val="14"/>
                <w:color w:val="auto"/>
              </w:rPr>
            </w:pPr>
          </w:p>
        </w:tc>
        <w:tc>
          <w:tcPr>
            <w:tcW w:w="880" w:type="dxa"/>
            <w:vAlign w:val="bottom"/>
            <w:gridSpan w:val="2"/>
          </w:tcPr>
          <w:p>
            <w:pPr>
              <w:ind w:left="300"/>
              <w:spacing w:after="0"/>
              <w:rPr>
                <w:sz w:val="20"/>
                <w:szCs w:val="20"/>
                <w:color w:val="auto"/>
              </w:rPr>
            </w:pPr>
            <w:r>
              <w:rPr>
                <w:rFonts w:ascii="Arial" w:cs="Arial" w:eastAsia="Arial" w:hAnsi="Arial"/>
                <w:sz w:val="11"/>
                <w:szCs w:val="11"/>
                <w:color w:val="auto"/>
              </w:rPr>
              <w:t>NM</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6,389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(9,256)</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8"/>
        </w:trPr>
        <w:tc>
          <w:tcPr>
            <w:tcW w:w="1980" w:type="dxa"/>
            <w:vAlign w:val="bottom"/>
            <w:gridSpan w:val="7"/>
          </w:tcPr>
          <w:p>
            <w:pPr>
              <w:ind w:left="120"/>
              <w:spacing w:after="0"/>
              <w:rPr>
                <w:sz w:val="20"/>
                <w:szCs w:val="20"/>
                <w:color w:val="auto"/>
              </w:rPr>
            </w:pPr>
            <w:r>
              <w:rPr>
                <w:rFonts w:ascii="Arial" w:cs="Arial" w:eastAsia="Arial" w:hAnsi="Arial"/>
                <w:sz w:val="11"/>
                <w:szCs w:val="11"/>
                <w:b w:val="1"/>
                <w:bCs w:val="1"/>
                <w:color w:val="auto"/>
              </w:rPr>
              <w:t>NET INCOME</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11,008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9,737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8,649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8,282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10,399</w:t>
            </w:r>
          </w:p>
        </w:tc>
        <w:tc>
          <w:tcPr>
            <w:tcW w:w="18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18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37,676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48,334</w:t>
            </w:r>
          </w:p>
        </w:tc>
        <w:tc>
          <w:tcPr>
            <w:tcW w:w="18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298"/>
        </w:trPr>
        <w:tc>
          <w:tcPr>
            <w:tcW w:w="1980" w:type="dxa"/>
            <w:vAlign w:val="bottom"/>
            <w:gridSpan w:val="7"/>
          </w:tcPr>
          <w:p>
            <w:pPr>
              <w:spacing w:after="0"/>
              <w:rPr>
                <w:sz w:val="20"/>
                <w:szCs w:val="20"/>
                <w:color w:val="auto"/>
              </w:rPr>
            </w:pPr>
            <w:r>
              <w:rPr>
                <w:rFonts w:ascii="Arial" w:cs="Arial" w:eastAsia="Arial" w:hAnsi="Arial"/>
                <w:sz w:val="11"/>
                <w:szCs w:val="11"/>
                <w:b w:val="1"/>
                <w:bCs w:val="1"/>
                <w:color w:val="auto"/>
              </w:rPr>
              <w:t>EARNINGS PER SHARE DATA</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540" w:type="dxa"/>
            <w:vAlign w:val="bottom"/>
            <w:tcBorders>
              <w:top w:val="single" w:sz="8" w:color="auto"/>
            </w:tcBorders>
            <w:gridSpan w:val="4"/>
          </w:tcPr>
          <w:p>
            <w:pPr>
              <w:spacing w:after="0"/>
              <w:rPr>
                <w:sz w:val="20"/>
                <w:szCs w:val="20"/>
                <w:color w:val="auto"/>
              </w:rPr>
            </w:pPr>
            <w:r>
              <w:rPr>
                <w:rFonts w:ascii="Arial" w:cs="Arial" w:eastAsia="Arial" w:hAnsi="Arial"/>
                <w:sz w:val="11"/>
                <w:szCs w:val="11"/>
                <w:color w:val="auto"/>
              </w:rPr>
              <w:t>Net income: Basic</w:t>
            </w:r>
          </w:p>
        </w:tc>
        <w:tc>
          <w:tcPr>
            <w:tcW w:w="440" w:type="dxa"/>
            <w:vAlign w:val="bottom"/>
            <w:gridSpan w:val="3"/>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3.58</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3.13</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2.77</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2.64</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3.33</w:t>
            </w:r>
          </w:p>
        </w:tc>
        <w:tc>
          <w:tcPr>
            <w:tcW w:w="18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18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12.10</w:t>
            </w:r>
          </w:p>
        </w:tc>
        <w:tc>
          <w:tcPr>
            <w:tcW w:w="24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15.39</w:t>
            </w:r>
          </w:p>
        </w:tc>
        <w:tc>
          <w:tcPr>
            <w:tcW w:w="18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1700" w:type="dxa"/>
            <w:vAlign w:val="bottom"/>
            <w:gridSpan w:val="6"/>
          </w:tcPr>
          <w:p>
            <w:pPr>
              <w:ind w:left="580"/>
              <w:spacing w:after="0"/>
              <w:rPr>
                <w:sz w:val="20"/>
                <w:szCs w:val="20"/>
                <w:color w:val="auto"/>
              </w:rPr>
            </w:pPr>
            <w:r>
              <w:rPr>
                <w:rFonts w:ascii="Arial" w:cs="Arial" w:eastAsia="Arial" w:hAnsi="Arial"/>
                <w:sz w:val="11"/>
                <w:szCs w:val="11"/>
                <w:color w:val="auto"/>
              </w:rPr>
              <w:t>Diluted</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3.57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3.12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2.76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2.63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3.33</w:t>
            </w:r>
          </w:p>
        </w:tc>
        <w:tc>
          <w:tcPr>
            <w:tcW w:w="18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18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12.09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15.36</w:t>
            </w:r>
          </w:p>
        </w:tc>
        <w:tc>
          <w:tcPr>
            <w:tcW w:w="18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62"/>
        </w:trPr>
        <w:tc>
          <w:tcPr>
            <w:tcW w:w="1980" w:type="dxa"/>
            <w:vAlign w:val="bottom"/>
            <w:gridSpan w:val="7"/>
          </w:tcPr>
          <w:p>
            <w:pPr>
              <w:spacing w:after="0"/>
              <w:rPr>
                <w:sz w:val="20"/>
                <w:szCs w:val="20"/>
                <w:color w:val="auto"/>
              </w:rPr>
            </w:pPr>
            <w:r>
              <w:rPr>
                <w:rFonts w:ascii="Arial" w:cs="Arial" w:eastAsia="Arial" w:hAnsi="Arial"/>
                <w:sz w:val="11"/>
                <w:szCs w:val="11"/>
                <w:color w:val="auto"/>
              </w:rPr>
              <w:t>Average shares: Basic</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2,962.9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2,961.2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2,962.2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2,977.0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2,977.3</w:t>
            </w:r>
          </w:p>
        </w:tc>
        <w:tc>
          <w:tcPr>
            <w:tcW w:w="18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5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2,965.8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3,021.5</w:t>
            </w:r>
          </w:p>
        </w:tc>
        <w:tc>
          <w:tcPr>
            <w:tcW w:w="18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1700" w:type="dxa"/>
            <w:vAlign w:val="bottom"/>
            <w:gridSpan w:val="6"/>
          </w:tcPr>
          <w:p>
            <w:pPr>
              <w:ind w:left="580"/>
              <w:spacing w:after="0"/>
              <w:rPr>
                <w:sz w:val="20"/>
                <w:szCs w:val="20"/>
                <w:color w:val="auto"/>
              </w:rPr>
            </w:pPr>
            <w:r>
              <w:rPr>
                <w:rFonts w:ascii="Arial" w:cs="Arial" w:eastAsia="Arial" w:hAnsi="Arial"/>
                <w:sz w:val="11"/>
                <w:szCs w:val="11"/>
                <w:color w:val="auto"/>
              </w:rPr>
              <w:t>Diluted</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2,967.1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2,965.4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2,966.3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2,981.0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2,981.8</w:t>
            </w:r>
          </w:p>
        </w:tc>
        <w:tc>
          <w:tcPr>
            <w:tcW w:w="18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5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2,970.0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3,026.6</w:t>
            </w:r>
          </w:p>
        </w:tc>
        <w:tc>
          <w:tcPr>
            <w:tcW w:w="18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303"/>
        </w:trPr>
        <w:tc>
          <w:tcPr>
            <w:tcW w:w="1980" w:type="dxa"/>
            <w:vAlign w:val="bottom"/>
            <w:gridSpan w:val="7"/>
          </w:tcPr>
          <w:p>
            <w:pPr>
              <w:spacing w:after="0"/>
              <w:rPr>
                <w:sz w:val="20"/>
                <w:szCs w:val="20"/>
                <w:color w:val="auto"/>
              </w:rPr>
            </w:pPr>
            <w:r>
              <w:rPr>
                <w:rFonts w:ascii="Arial" w:cs="Arial" w:eastAsia="Arial" w:hAnsi="Arial"/>
                <w:sz w:val="11"/>
                <w:szCs w:val="11"/>
                <w:b w:val="1"/>
                <w:bCs w:val="1"/>
                <w:color w:val="auto"/>
              </w:rPr>
              <w:t>MARKET AND PER COMMON SHARE</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920" w:type="dxa"/>
            <w:vAlign w:val="bottom"/>
            <w:tcBorders>
              <w:top w:val="single" w:sz="8" w:color="auto"/>
            </w:tcBorders>
            <w:gridSpan w:val="6"/>
          </w:tcPr>
          <w:p>
            <w:pPr>
              <w:spacing w:after="0" w:line="88" w:lineRule="exact"/>
              <w:rPr>
                <w:sz w:val="20"/>
                <w:szCs w:val="20"/>
                <w:color w:val="auto"/>
              </w:rPr>
            </w:pPr>
            <w:r>
              <w:rPr>
                <w:rFonts w:ascii="Arial" w:cs="Arial" w:eastAsia="Arial" w:hAnsi="Arial"/>
                <w:sz w:val="10"/>
                <w:szCs w:val="10"/>
                <w:b w:val="1"/>
                <w:bCs w:val="1"/>
                <w:color w:val="auto"/>
              </w:rPr>
              <w:t>DATA</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80" w:type="dxa"/>
            <w:vAlign w:val="bottom"/>
            <w:gridSpan w:val="7"/>
          </w:tcPr>
          <w:p>
            <w:pPr>
              <w:spacing w:after="0"/>
              <w:rPr>
                <w:sz w:val="20"/>
                <w:szCs w:val="20"/>
                <w:color w:val="auto"/>
              </w:rPr>
            </w:pPr>
            <w:r>
              <w:rPr>
                <w:rFonts w:ascii="Arial" w:cs="Arial" w:eastAsia="Arial" w:hAnsi="Arial"/>
                <w:sz w:val="11"/>
                <w:szCs w:val="11"/>
                <w:color w:val="auto"/>
              </w:rPr>
              <w:t>Market capitalization</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w w:val="95"/>
              </w:rPr>
              <w:t>393,484</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306,520</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330,237</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400,379</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466,206</w:t>
            </w:r>
          </w:p>
        </w:tc>
        <w:tc>
          <w:tcPr>
            <w:tcW w:w="18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28</w:t>
            </w:r>
          </w:p>
        </w:tc>
        <w:tc>
          <w:tcPr>
            <w:tcW w:w="18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393,484</w:t>
            </w:r>
          </w:p>
        </w:tc>
        <w:tc>
          <w:tcPr>
            <w:tcW w:w="24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466,206</w:t>
            </w:r>
          </w:p>
        </w:tc>
        <w:tc>
          <w:tcPr>
            <w:tcW w:w="18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62"/>
        </w:trPr>
        <w:tc>
          <w:tcPr>
            <w:tcW w:w="1980" w:type="dxa"/>
            <w:vAlign w:val="bottom"/>
            <w:gridSpan w:val="7"/>
          </w:tcPr>
          <w:p>
            <w:pPr>
              <w:spacing w:after="0"/>
              <w:rPr>
                <w:sz w:val="20"/>
                <w:szCs w:val="20"/>
                <w:color w:val="auto"/>
              </w:rPr>
            </w:pPr>
            <w:r>
              <w:rPr>
                <w:rFonts w:ascii="Arial" w:cs="Arial" w:eastAsia="Arial" w:hAnsi="Arial"/>
                <w:sz w:val="11"/>
                <w:szCs w:val="11"/>
                <w:color w:val="auto"/>
              </w:rPr>
              <w:t>Common shares at period-end</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2,934.3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2,933.2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2,932.6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2,937.1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2,944.1</w:t>
            </w:r>
          </w:p>
        </w:tc>
        <w:tc>
          <w:tcPr>
            <w:tcW w:w="18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5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2,934.3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2,944.1</w:t>
            </w:r>
          </w:p>
        </w:tc>
        <w:tc>
          <w:tcPr>
            <w:tcW w:w="18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980" w:type="dxa"/>
            <w:vAlign w:val="bottom"/>
            <w:gridSpan w:val="7"/>
          </w:tcPr>
          <w:p>
            <w:pPr>
              <w:spacing w:after="0"/>
              <w:rPr>
                <w:sz w:val="20"/>
                <w:szCs w:val="20"/>
                <w:color w:val="auto"/>
              </w:rPr>
            </w:pPr>
            <w:r>
              <w:rPr>
                <w:rFonts w:ascii="Arial" w:cs="Arial" w:eastAsia="Arial" w:hAnsi="Arial"/>
                <w:sz w:val="11"/>
                <w:szCs w:val="11"/>
                <w:color w:val="auto"/>
              </w:rPr>
              <w:t>Book value per share</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90.29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87.00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86.38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86.16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88.07</w:t>
            </w:r>
          </w:p>
        </w:tc>
        <w:tc>
          <w:tcPr>
            <w:tcW w:w="18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90.29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88.07</w:t>
            </w:r>
          </w:p>
        </w:tc>
        <w:tc>
          <w:tcPr>
            <w:tcW w:w="18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28"/>
        </w:trPr>
        <w:tc>
          <w:tcPr>
            <w:tcW w:w="1980" w:type="dxa"/>
            <w:vAlign w:val="bottom"/>
            <w:gridSpan w:val="7"/>
          </w:tcPr>
          <w:p>
            <w:pPr>
              <w:spacing w:after="0"/>
              <w:rPr>
                <w:sz w:val="20"/>
                <w:szCs w:val="20"/>
                <w:color w:val="auto"/>
              </w:rPr>
            </w:pPr>
            <w:r>
              <w:rPr>
                <w:rFonts w:ascii="Arial" w:cs="Arial" w:eastAsia="Arial" w:hAnsi="Arial"/>
                <w:sz w:val="11"/>
                <w:szCs w:val="11"/>
                <w:color w:val="auto"/>
              </w:rPr>
              <w:t>Tangible book value per share</w:t>
            </w: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73.12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69.90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69.53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69.58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71.53</w:t>
            </w:r>
          </w:p>
        </w:tc>
        <w:tc>
          <w:tcPr>
            <w:tcW w:w="180" w:type="dxa"/>
            <w:vAlign w:val="bottom"/>
          </w:tcPr>
          <w:p>
            <w:pPr>
              <w:spacing w:after="0"/>
              <w:rPr>
                <w:sz w:val="11"/>
                <w:szCs w:val="11"/>
                <w:color w:val="auto"/>
              </w:rPr>
            </w:pP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11"/>
                <w:szCs w:val="11"/>
                <w:color w:val="auto"/>
              </w:rPr>
            </w:pPr>
          </w:p>
        </w:tc>
        <w:tc>
          <w:tcPr>
            <w:tcW w:w="500" w:type="dxa"/>
            <w:vAlign w:val="bottom"/>
            <w:vMerge w:val="restart"/>
          </w:tcPr>
          <w:p>
            <w:pPr>
              <w:jc w:val="right"/>
              <w:ind w:right="106"/>
              <w:spacing w:after="0"/>
              <w:rPr>
                <w:sz w:val="20"/>
                <w:szCs w:val="20"/>
                <w:color w:val="auto"/>
              </w:rPr>
            </w:pPr>
            <w:r>
              <w:rPr>
                <w:rFonts w:ascii="Arial" w:cs="Arial" w:eastAsia="Arial" w:hAnsi="Arial"/>
                <w:sz w:val="11"/>
                <w:szCs w:val="11"/>
                <w:color w:val="auto"/>
              </w:rPr>
              <w:t>2</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73.12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71.53</w:t>
            </w:r>
          </w:p>
        </w:tc>
        <w:tc>
          <w:tcPr>
            <w:tcW w:w="180" w:type="dxa"/>
            <w:vAlign w:val="bottom"/>
          </w:tcPr>
          <w:p>
            <w:pPr>
              <w:spacing w:after="0"/>
              <w:rPr>
                <w:sz w:val="11"/>
                <w:szCs w:val="11"/>
                <w:color w:val="auto"/>
              </w:rPr>
            </w:pPr>
          </w:p>
        </w:tc>
        <w:tc>
          <w:tcPr>
            <w:tcW w:w="680" w:type="dxa"/>
            <w:vAlign w:val="bottom"/>
            <w:vMerge w:val="restart"/>
          </w:tcPr>
          <w:p>
            <w:pPr>
              <w:jc w:val="right"/>
              <w:ind w:right="8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2"/>
        </w:trPr>
        <w:tc>
          <w:tcPr>
            <w:tcW w:w="1980" w:type="dxa"/>
            <w:vAlign w:val="bottom"/>
            <w:gridSpan w:val="7"/>
          </w:tcPr>
          <w:p>
            <w:pPr>
              <w:spacing w:after="0"/>
              <w:rPr>
                <w:sz w:val="20"/>
                <w:szCs w:val="20"/>
                <w:color w:val="auto"/>
              </w:rPr>
            </w:pPr>
            <w:r>
              <w:rPr>
                <w:rFonts w:ascii="Arial" w:cs="Arial" w:eastAsia="Arial" w:hAnsi="Arial"/>
                <w:sz w:val="11"/>
                <w:szCs w:val="11"/>
                <w:color w:val="auto"/>
              </w:rPr>
              <w:t>(“TBVPS”) (a)</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80" w:type="dxa"/>
            <w:vAlign w:val="bottom"/>
            <w:gridSpan w:val="7"/>
          </w:tcPr>
          <w:p>
            <w:pPr>
              <w:spacing w:after="0"/>
              <w:rPr>
                <w:sz w:val="20"/>
                <w:szCs w:val="20"/>
                <w:color w:val="auto"/>
              </w:rPr>
            </w:pPr>
            <w:r>
              <w:rPr>
                <w:rFonts w:ascii="Arial" w:cs="Arial" w:eastAsia="Arial" w:hAnsi="Arial"/>
                <w:sz w:val="11"/>
                <w:szCs w:val="11"/>
                <w:color w:val="auto"/>
              </w:rPr>
              <w:t>Cash dividends declared per share</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1.00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1.00</w:t>
            </w:r>
          </w:p>
        </w:tc>
        <w:tc>
          <w:tcPr>
            <w:tcW w:w="18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5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4.00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3.80</w:t>
            </w:r>
          </w:p>
        </w:tc>
        <w:tc>
          <w:tcPr>
            <w:tcW w:w="18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303"/>
        </w:trPr>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6"/>
              </w:rPr>
              <w:t>FINANCIAL RATIOS (c)</w:t>
            </w:r>
          </w:p>
        </w:tc>
        <w:tc>
          <w:tcPr>
            <w:tcW w:w="8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980" w:type="dxa"/>
            <w:vAlign w:val="bottom"/>
            <w:gridSpan w:val="7"/>
          </w:tcPr>
          <w:p>
            <w:pPr>
              <w:spacing w:after="0"/>
              <w:rPr>
                <w:sz w:val="20"/>
                <w:szCs w:val="20"/>
                <w:color w:val="auto"/>
              </w:rPr>
            </w:pPr>
            <w:r>
              <w:rPr>
                <w:rFonts w:ascii="Arial" w:cs="Arial" w:eastAsia="Arial" w:hAnsi="Arial"/>
                <w:sz w:val="11"/>
                <w:szCs w:val="11"/>
                <w:color w:val="auto"/>
              </w:rPr>
              <w:t>Return on common equity (“ROE”)</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16 %</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15 %</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13 %</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13 %</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16 %</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14 %</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19 %</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80" w:type="dxa"/>
            <w:vAlign w:val="bottom"/>
            <w:gridSpan w:val="7"/>
          </w:tcPr>
          <w:p>
            <w:pPr>
              <w:spacing w:after="0"/>
              <w:rPr>
                <w:sz w:val="20"/>
                <w:szCs w:val="20"/>
                <w:color w:val="auto"/>
              </w:rPr>
            </w:pPr>
            <w:r>
              <w:rPr>
                <w:rFonts w:ascii="Arial" w:cs="Arial" w:eastAsia="Arial" w:hAnsi="Arial"/>
                <w:sz w:val="11"/>
                <w:szCs w:val="11"/>
                <w:color w:val="auto"/>
              </w:rPr>
              <w:t>Return on tangible common equity</w:t>
            </w: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18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17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16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19</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18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23</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80" w:type="dxa"/>
            <w:vAlign w:val="bottom"/>
            <w:gridSpan w:val="7"/>
          </w:tcPr>
          <w:p>
            <w:pPr>
              <w:spacing w:after="0"/>
              <w:rPr>
                <w:sz w:val="20"/>
                <w:szCs w:val="20"/>
                <w:color w:val="auto"/>
              </w:rPr>
            </w:pPr>
            <w:r>
              <w:rPr>
                <w:rFonts w:ascii="Arial" w:cs="Arial" w:eastAsia="Arial" w:hAnsi="Arial"/>
                <w:sz w:val="11"/>
                <w:szCs w:val="11"/>
                <w:color w:val="auto"/>
              </w:rPr>
              <w:t>(“ROTCE”) (a)</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80" w:type="dxa"/>
            <w:vAlign w:val="bottom"/>
            <w:gridSpan w:val="7"/>
          </w:tcPr>
          <w:p>
            <w:pPr>
              <w:spacing w:after="0"/>
              <w:rPr>
                <w:sz w:val="20"/>
                <w:szCs w:val="20"/>
                <w:color w:val="auto"/>
              </w:rPr>
            </w:pPr>
            <w:r>
              <w:rPr>
                <w:rFonts w:ascii="Arial" w:cs="Arial" w:eastAsia="Arial" w:hAnsi="Arial"/>
                <w:sz w:val="11"/>
                <w:szCs w:val="11"/>
                <w:color w:val="auto"/>
              </w:rPr>
              <w:t>Return on assets</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1.16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1.01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0.89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0.86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1.08</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0.98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1.30</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1980" w:type="dxa"/>
            <w:vAlign w:val="bottom"/>
            <w:gridSpan w:val="7"/>
          </w:tcPr>
          <w:p>
            <w:pPr>
              <w:spacing w:after="0"/>
              <w:rPr>
                <w:sz w:val="20"/>
                <w:szCs w:val="20"/>
                <w:color w:val="auto"/>
              </w:rPr>
            </w:pPr>
            <w:r>
              <w:rPr>
                <w:rFonts w:ascii="Arial" w:cs="Arial" w:eastAsia="Arial" w:hAnsi="Arial"/>
                <w:sz w:val="11"/>
                <w:szCs w:val="11"/>
                <w:b w:val="1"/>
                <w:bCs w:val="1"/>
                <w:color w:val="auto"/>
              </w:rPr>
              <w:t>CAPITAL RATIOS (d)</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00000"/>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80" w:type="dxa"/>
            <w:vAlign w:val="bottom"/>
            <w:gridSpan w:val="7"/>
          </w:tcPr>
          <w:p>
            <w:pPr>
              <w:spacing w:after="0"/>
              <w:rPr>
                <w:sz w:val="20"/>
                <w:szCs w:val="20"/>
                <w:color w:val="auto"/>
              </w:rPr>
            </w:pPr>
            <w:r>
              <w:rPr>
                <w:rFonts w:ascii="Arial" w:cs="Arial" w:eastAsia="Arial" w:hAnsi="Arial"/>
                <w:sz w:val="11"/>
                <w:szCs w:val="11"/>
                <w:color w:val="auto"/>
              </w:rPr>
              <w:t>Common equity Tier 1 (“CET1”) capital</w:t>
            </w:r>
          </w:p>
        </w:tc>
        <w:tc>
          <w:tcPr>
            <w:tcW w:w="120" w:type="dxa"/>
            <w:vAlign w:val="bottom"/>
          </w:tcPr>
          <w:p>
            <w:pPr>
              <w:spacing w:after="0"/>
              <w:rPr>
                <w:sz w:val="11"/>
                <w:szCs w:val="11"/>
                <w:color w:val="auto"/>
              </w:rPr>
            </w:pPr>
          </w:p>
        </w:tc>
        <w:tc>
          <w:tcPr>
            <w:tcW w:w="800" w:type="dxa"/>
            <w:vAlign w:val="bottom"/>
            <w:gridSpan w:val="2"/>
            <w:vMerge w:val="restart"/>
          </w:tcPr>
          <w:p>
            <w:pPr>
              <w:jc w:val="right"/>
              <w:ind w:right="26"/>
              <w:spacing w:after="0"/>
              <w:rPr>
                <w:sz w:val="20"/>
                <w:szCs w:val="20"/>
                <w:color w:val="auto"/>
              </w:rPr>
            </w:pPr>
            <w:r>
              <w:rPr>
                <w:rFonts w:ascii="Arial" w:cs="Arial" w:eastAsia="Arial" w:hAnsi="Arial"/>
                <w:sz w:val="11"/>
                <w:szCs w:val="11"/>
                <w:color w:val="auto"/>
              </w:rPr>
              <w:t>13.2 % (e)</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12.5 %</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12.2 %</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11.9 %</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13.1 %</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26"/>
              <w:spacing w:after="0"/>
              <w:rPr>
                <w:sz w:val="20"/>
                <w:szCs w:val="20"/>
                <w:color w:val="auto"/>
              </w:rPr>
            </w:pPr>
            <w:r>
              <w:rPr>
                <w:rFonts w:ascii="Arial" w:cs="Arial" w:eastAsia="Arial" w:hAnsi="Arial"/>
                <w:sz w:val="11"/>
                <w:szCs w:val="11"/>
                <w:color w:val="auto"/>
              </w:rPr>
              <w:t>13.2 % (e)</w:t>
            </w: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13.1 %</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80" w:type="dxa"/>
            <w:vAlign w:val="bottom"/>
            <w:gridSpan w:val="7"/>
          </w:tcPr>
          <w:p>
            <w:pPr>
              <w:spacing w:after="0"/>
              <w:rPr>
                <w:sz w:val="20"/>
                <w:szCs w:val="20"/>
                <w:color w:val="auto"/>
              </w:rPr>
            </w:pPr>
            <w:r>
              <w:rPr>
                <w:rFonts w:ascii="Arial" w:cs="Arial" w:eastAsia="Arial" w:hAnsi="Arial"/>
                <w:sz w:val="11"/>
                <w:szCs w:val="11"/>
                <w:color w:val="auto"/>
              </w:rPr>
              <w:t>ratio</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80" w:type="dxa"/>
            <w:vAlign w:val="bottom"/>
            <w:gridSpan w:val="7"/>
          </w:tcPr>
          <w:p>
            <w:pPr>
              <w:spacing w:after="0"/>
              <w:rPr>
                <w:sz w:val="20"/>
                <w:szCs w:val="20"/>
                <w:color w:val="auto"/>
              </w:rPr>
            </w:pPr>
            <w:r>
              <w:rPr>
                <w:rFonts w:ascii="Arial" w:cs="Arial" w:eastAsia="Arial" w:hAnsi="Arial"/>
                <w:sz w:val="11"/>
                <w:szCs w:val="11"/>
                <w:color w:val="auto"/>
              </w:rPr>
              <w:t>Tier 1 capital ratio</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14.8</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(e)</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14.1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14.1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13.7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15.0</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14.8</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(e)</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15.0</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gridSpan w:val="7"/>
          </w:tcPr>
          <w:p>
            <w:pPr>
              <w:spacing w:after="0"/>
              <w:rPr>
                <w:sz w:val="20"/>
                <w:szCs w:val="20"/>
                <w:color w:val="auto"/>
              </w:rPr>
            </w:pPr>
            <w:r>
              <w:rPr>
                <w:rFonts w:ascii="Arial" w:cs="Arial" w:eastAsia="Arial" w:hAnsi="Arial"/>
                <w:sz w:val="11"/>
                <w:szCs w:val="11"/>
                <w:color w:val="auto"/>
              </w:rPr>
              <w:t>Total capital ratio</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16.8</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(e)</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16.0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15.7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15.4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16.8</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16.8</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(e)</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16.8</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gridSpan w:val="7"/>
          </w:tcPr>
          <w:p>
            <w:pPr>
              <w:spacing w:after="0"/>
              <w:rPr>
                <w:sz w:val="20"/>
                <w:szCs w:val="20"/>
                <w:color w:val="auto"/>
              </w:rPr>
            </w:pPr>
            <w:r>
              <w:rPr>
                <w:rFonts w:ascii="Arial" w:cs="Arial" w:eastAsia="Arial" w:hAnsi="Arial"/>
                <w:sz w:val="11"/>
                <w:szCs w:val="11"/>
                <w:color w:val="auto"/>
              </w:rPr>
              <w:t>Tier 1 leverage ratio</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6.6</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(e)</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6.2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6.2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6.5</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6.6</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(e)</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6.5</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gridSpan w:val="7"/>
          </w:tcPr>
          <w:p>
            <w:pPr>
              <w:spacing w:after="0"/>
              <w:rPr>
                <w:sz w:val="20"/>
                <w:szCs w:val="20"/>
                <w:color w:val="auto"/>
              </w:rPr>
            </w:pPr>
            <w:r>
              <w:rPr>
                <w:rFonts w:ascii="Arial" w:cs="Arial" w:eastAsia="Arial" w:hAnsi="Arial"/>
                <w:sz w:val="11"/>
                <w:szCs w:val="11"/>
                <w:color w:val="auto"/>
              </w:rPr>
              <w:t>Supplementary leverage ratio (“SLR”)</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5.6</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(e)</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5.3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5.2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5.4</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5.6</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(e)</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5.4</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2687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257" w:lineRule="exact"/>
        <w:rPr>
          <w:sz w:val="20"/>
          <w:szCs w:val="20"/>
          <w:color w:val="auto"/>
        </w:rPr>
      </w:pPr>
    </w:p>
    <w:p>
      <w:pPr>
        <w:ind w:left="180" w:right="240" w:hanging="172"/>
        <w:spacing w:after="0" w:line="249" w:lineRule="auto"/>
        <w:tabs>
          <w:tab w:leader="none" w:pos="177" w:val="left"/>
        </w:tabs>
        <w:numPr>
          <w:ilvl w:val="0"/>
          <w:numId w:val="15"/>
        </w:numPr>
        <w:rPr>
          <w:rFonts w:ascii="Arial" w:cs="Arial" w:eastAsia="Arial" w:hAnsi="Arial"/>
          <w:sz w:val="11"/>
          <w:szCs w:val="11"/>
          <w:color w:val="auto"/>
        </w:rPr>
      </w:pPr>
      <w:r>
        <w:rPr>
          <w:rFonts w:ascii="Arial" w:cs="Arial" w:eastAsia="Arial" w:hAnsi="Arial"/>
          <w:sz w:val="11"/>
          <w:szCs w:val="11"/>
          <w:color w:val="auto"/>
        </w:rPr>
        <w:t>Pre-provision profit, TBVPS and ROTCE are each non-GAAP financial measures. Tangible common equity (“TCE”) is also a non-GAAP financial measure; refer to page 9–10 for a reconciliation of common stockholders’ equity to TCE. Refer to page 29 for a further discussion of these measures.</w:t>
      </w:r>
    </w:p>
    <w:p>
      <w:pPr>
        <w:ind w:left="160" w:hanging="152"/>
        <w:spacing w:after="0" w:line="236" w:lineRule="auto"/>
        <w:tabs>
          <w:tab w:leader="none" w:pos="1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Refer to Reconciliation from Reported to Managed Basis on page 7 for a further discussion of managed basis.</w:t>
      </w:r>
    </w:p>
    <w:p>
      <w:pPr>
        <w:ind w:left="160" w:hanging="152"/>
        <w:spacing w:after="0"/>
        <w:tabs>
          <w:tab w:leader="none" w:pos="1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Quarterly ratios are based upon annualized amounts.</w:t>
      </w:r>
    </w:p>
    <w:p>
      <w:pPr>
        <w:spacing w:after="0" w:line="5" w:lineRule="exact"/>
        <w:rPr>
          <w:rFonts w:ascii="Arial" w:cs="Arial" w:eastAsia="Arial" w:hAnsi="Arial"/>
          <w:sz w:val="11"/>
          <w:szCs w:val="11"/>
          <w:color w:val="auto"/>
        </w:rPr>
      </w:pPr>
    </w:p>
    <w:p>
      <w:pPr>
        <w:ind w:left="180" w:right="20" w:hanging="172"/>
        <w:spacing w:after="0" w:line="244" w:lineRule="auto"/>
        <w:tabs>
          <w:tab w:leader="none" w:pos="177"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capital metrics reflect the Current Expected Credit Losses ("CECL") capital transition provisions. Beginning January 1, 2022, the $2.9 billion CECL capital benefit recognized as of December 31, 2021, is being phased out at 25% per year over a three-year period. As of December 31, 2022, September 30, 2022, June 30, 2022 and March 31, 2022, CET1 capital reflected the remaining $2.2 billion CECL benefit. For the period ended December 31, 2021, the impact of the CECL capital transition provisions resulted in an increase to CET1 capital of $2.9 billion. Refer to Capital Risk Management on pages 45-50 of the Firm’s Quarterly Report on Form 10-Q for the quarterly period ended September 30, 2022, and pages 86-96 of the Firm’s 2021 Form 10-K for additional information.</w:t>
      </w:r>
    </w:p>
    <w:p>
      <w:pPr>
        <w:spacing w:after="0" w:line="1" w:lineRule="exact"/>
        <w:rPr>
          <w:rFonts w:ascii="Arial" w:cs="Arial" w:eastAsia="Arial" w:hAnsi="Arial"/>
          <w:sz w:val="11"/>
          <w:szCs w:val="11"/>
          <w:color w:val="auto"/>
        </w:rPr>
      </w:pPr>
    </w:p>
    <w:p>
      <w:pPr>
        <w:ind w:left="160" w:hanging="152"/>
        <w:spacing w:after="0"/>
        <w:tabs>
          <w:tab w:leader="none" w:pos="1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Estimated.</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w:t>
      </w:r>
    </w:p>
    <w:p>
      <w:pPr>
        <w:sectPr>
          <w:pgSz w:w="11900" w:h="16838" w:orient="portrait"/>
          <w:cols w:equalWidth="0" w:num="1">
            <w:col w:w="11240"/>
          </w:cols>
          <w:pgMar w:left="320" w:top="815"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-86995</wp:posOffset>
            </wp:positionV>
            <wp:extent cx="229743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9743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HIGHLIGHTS, CONTINUED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ratios, headcount and where</w:t>
      </w:r>
    </w:p>
    <w:p>
      <w:pPr>
        <w:ind w:left="20"/>
        <w:spacing w:after="0"/>
        <w:rPr>
          <w:sz w:val="20"/>
          <w:szCs w:val="20"/>
          <w:color w:val="auto"/>
        </w:rPr>
      </w:pPr>
      <w:r>
        <w:rPr>
          <w:rFonts w:ascii="Arial" w:cs="Arial" w:eastAsia="Arial" w:hAnsi="Arial"/>
          <w:sz w:val="11"/>
          <w:szCs w:val="11"/>
          <w:b w:val="1"/>
          <w:bCs w:val="1"/>
          <w:color w:val="auto"/>
        </w:rPr>
        <w:t>otherwise noted)</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5"/>
          </w:tcPr>
          <w:p>
            <w:pPr>
              <w:ind w:left="400"/>
              <w:spacing w:after="0"/>
              <w:rPr>
                <w:sz w:val="20"/>
                <w:szCs w:val="20"/>
                <w:color w:val="auto"/>
              </w:rPr>
            </w:pPr>
            <w:r>
              <w:rPr>
                <w:rFonts w:ascii="Arial" w:cs="Arial" w:eastAsia="Arial" w:hAnsi="Arial"/>
                <w:sz w:val="11"/>
                <w:szCs w:val="11"/>
                <w:b w:val="1"/>
                <w:bCs w:val="1"/>
                <w:color w:val="auto"/>
              </w:rPr>
              <w:t>QUARTERLY TRENDS</w:t>
            </w: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1"/>
                <w:szCs w:val="11"/>
                <w:b w:val="1"/>
                <w:bCs w:val="1"/>
                <w:color w:val="auto"/>
              </w:rPr>
              <w:t>FULL YEAR</w:t>
            </w: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3"/>
            <w:vMerge w:val="restart"/>
          </w:tcPr>
          <w:p>
            <w:pPr>
              <w:jc w:val="right"/>
              <w:ind w:right="166"/>
              <w:spacing w:after="0"/>
              <w:rPr>
                <w:sz w:val="20"/>
                <w:szCs w:val="20"/>
                <w:color w:val="auto"/>
              </w:rPr>
            </w:pPr>
            <w:r>
              <w:rPr>
                <w:rFonts w:ascii="Arial" w:cs="Arial" w:eastAsia="Arial" w:hAnsi="Arial"/>
                <w:sz w:val="11"/>
                <w:szCs w:val="11"/>
                <w:b w:val="1"/>
                <w:bCs w:val="1"/>
                <w:color w:val="auto"/>
              </w:rPr>
              <w:t>4Q22 Change</w:t>
            </w:r>
          </w:p>
        </w:tc>
        <w:tc>
          <w:tcPr>
            <w:tcW w:w="38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jc w:val="right"/>
              <w:ind w:right="166"/>
              <w:spacing w:after="0" w:line="109" w:lineRule="exact"/>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Borders>
              <w:bottom w:val="single" w:sz="8" w:color="auto"/>
            </w:tcBorders>
            <w:gridSpan w:val="3"/>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4Q22</w:t>
            </w:r>
          </w:p>
        </w:tc>
        <w:tc>
          <w:tcPr>
            <w:tcW w:w="10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3Q22</w:t>
            </w:r>
          </w:p>
        </w:tc>
        <w:tc>
          <w:tcPr>
            <w:tcW w:w="80" w:type="dxa"/>
            <w:vAlign w:val="bottom"/>
          </w:tcPr>
          <w:p>
            <w:pPr>
              <w:spacing w:after="0"/>
              <w:rPr>
                <w:sz w:val="13"/>
                <w:szCs w:val="13"/>
                <w:color w:val="auto"/>
              </w:rPr>
            </w:pPr>
          </w:p>
        </w:tc>
        <w:tc>
          <w:tcPr>
            <w:tcW w:w="840" w:type="dxa"/>
            <w:vAlign w:val="bottom"/>
            <w:gridSpan w:val="2"/>
          </w:tcPr>
          <w:p>
            <w:pPr>
              <w:ind w:left="160"/>
              <w:spacing w:after="0"/>
              <w:rPr>
                <w:sz w:val="20"/>
                <w:szCs w:val="20"/>
                <w:color w:val="auto"/>
              </w:rPr>
            </w:pPr>
            <w:r>
              <w:rPr>
                <w:rFonts w:ascii="Arial" w:cs="Arial" w:eastAsia="Arial" w:hAnsi="Arial"/>
                <w:sz w:val="11"/>
                <w:szCs w:val="11"/>
                <w:b w:val="1"/>
                <w:bCs w:val="1"/>
                <w:color w:val="auto"/>
              </w:rPr>
              <w:t>2Q22</w:t>
            </w:r>
          </w:p>
        </w:tc>
        <w:tc>
          <w:tcPr>
            <w:tcW w:w="80" w:type="dxa"/>
            <w:vAlign w:val="bottom"/>
          </w:tcPr>
          <w:p>
            <w:pPr>
              <w:spacing w:after="0"/>
              <w:rPr>
                <w:sz w:val="13"/>
                <w:szCs w:val="13"/>
                <w:color w:val="auto"/>
              </w:rPr>
            </w:pPr>
          </w:p>
        </w:tc>
        <w:tc>
          <w:tcPr>
            <w:tcW w:w="820" w:type="dxa"/>
            <w:vAlign w:val="bottom"/>
            <w:gridSpan w:val="2"/>
          </w:tcPr>
          <w:p>
            <w:pPr>
              <w:ind w:left="160"/>
              <w:spacing w:after="0"/>
              <w:rPr>
                <w:sz w:val="20"/>
                <w:szCs w:val="20"/>
                <w:color w:val="auto"/>
              </w:rPr>
            </w:pPr>
            <w:r>
              <w:rPr>
                <w:rFonts w:ascii="Arial" w:cs="Arial" w:eastAsia="Arial" w:hAnsi="Arial"/>
                <w:sz w:val="11"/>
                <w:szCs w:val="11"/>
                <w:b w:val="1"/>
                <w:bCs w:val="1"/>
                <w:color w:val="auto"/>
              </w:rPr>
              <w:t>1Q22</w:t>
            </w:r>
          </w:p>
        </w:tc>
        <w:tc>
          <w:tcPr>
            <w:tcW w:w="100" w:type="dxa"/>
            <w:vAlign w:val="bottom"/>
          </w:tcPr>
          <w:p>
            <w:pPr>
              <w:spacing w:after="0"/>
              <w:rPr>
                <w:sz w:val="13"/>
                <w:szCs w:val="13"/>
                <w:color w:val="auto"/>
              </w:rPr>
            </w:pPr>
          </w:p>
        </w:tc>
        <w:tc>
          <w:tcPr>
            <w:tcW w:w="660" w:type="dxa"/>
            <w:vAlign w:val="bottom"/>
          </w:tcPr>
          <w:p>
            <w:pPr>
              <w:jc w:val="right"/>
              <w:ind w:right="186"/>
              <w:spacing w:after="0"/>
              <w:rPr>
                <w:sz w:val="20"/>
                <w:szCs w:val="20"/>
                <w:color w:val="auto"/>
              </w:rPr>
            </w:pPr>
            <w:r>
              <w:rPr>
                <w:rFonts w:ascii="Arial" w:cs="Arial" w:eastAsia="Arial" w:hAnsi="Arial"/>
                <w:sz w:val="11"/>
                <w:szCs w:val="11"/>
                <w:b w:val="1"/>
                <w:bCs w:val="1"/>
                <w:color w:val="auto"/>
              </w:rPr>
              <w:t>4Q21</w:t>
            </w:r>
          </w:p>
        </w:tc>
        <w:tc>
          <w:tcPr>
            <w:tcW w:w="200" w:type="dxa"/>
            <w:vAlign w:val="bottom"/>
          </w:tcPr>
          <w:p>
            <w:pPr>
              <w:spacing w:after="0"/>
              <w:rPr>
                <w:sz w:val="13"/>
                <w:szCs w:val="13"/>
                <w:color w:val="auto"/>
              </w:rPr>
            </w:pP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3Q22</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4Q21</w:t>
            </w:r>
          </w:p>
        </w:tc>
        <w:tc>
          <w:tcPr>
            <w:tcW w:w="10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2022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2021</w:t>
            </w:r>
          </w:p>
        </w:tc>
        <w:tc>
          <w:tcPr>
            <w:tcW w:w="240" w:type="dxa"/>
            <w:vAlign w:val="bottom"/>
          </w:tcPr>
          <w:p>
            <w:pPr>
              <w:spacing w:after="0"/>
              <w:rPr>
                <w:sz w:val="13"/>
                <w:szCs w:val="13"/>
                <w:color w:val="auto"/>
              </w:rPr>
            </w:pPr>
          </w:p>
        </w:tc>
        <w:tc>
          <w:tcPr>
            <w:tcW w:w="680" w:type="dxa"/>
            <w:vAlign w:val="bottom"/>
          </w:tcPr>
          <w:p>
            <w:pPr>
              <w:jc w:val="right"/>
              <w:ind w:right="166"/>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08"/>
        </w:trPr>
        <w:tc>
          <w:tcPr>
            <w:tcW w:w="1880" w:type="dxa"/>
            <w:vAlign w:val="bottom"/>
            <w:gridSpan w:val="9"/>
          </w:tcPr>
          <w:p>
            <w:pPr>
              <w:spacing w:after="0" w:line="108" w:lineRule="exact"/>
              <w:rPr>
                <w:sz w:val="20"/>
                <w:szCs w:val="20"/>
                <w:color w:val="auto"/>
              </w:rPr>
            </w:pPr>
            <w:r>
              <w:rPr>
                <w:rFonts w:ascii="Arial" w:cs="Arial" w:eastAsia="Arial" w:hAnsi="Arial"/>
                <w:sz w:val="11"/>
                <w:szCs w:val="11"/>
                <w:b w:val="1"/>
                <w:bCs w:val="1"/>
                <w:color w:val="auto"/>
                <w:w w:val="98"/>
              </w:rPr>
              <w:t>SELECTED BALANCE SHEET DATA</w:t>
            </w: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40" w:type="dxa"/>
            <w:vAlign w:val="bottom"/>
            <w:tcBorders>
              <w:top w:val="single" w:sz="8" w:color="auto"/>
              <w:bottom w:val="single" w:sz="8" w:color="auto"/>
            </w:tcBorders>
            <w:gridSpan w:val="3"/>
          </w:tcPr>
          <w:p>
            <w:pPr>
              <w:spacing w:after="0" w:line="88" w:lineRule="exact"/>
              <w:rPr>
                <w:sz w:val="20"/>
                <w:szCs w:val="20"/>
                <w:color w:val="auto"/>
              </w:rPr>
            </w:pPr>
            <w:r>
              <w:rPr>
                <w:rFonts w:ascii="Arial" w:cs="Arial" w:eastAsia="Arial" w:hAnsi="Arial"/>
                <w:sz w:val="10"/>
                <w:szCs w:val="10"/>
                <w:b w:val="1"/>
                <w:bCs w:val="1"/>
                <w:color w:val="auto"/>
              </w:rPr>
              <w:t>(period-end)</w:t>
            </w:r>
          </w:p>
        </w:tc>
        <w:tc>
          <w:tcPr>
            <w:tcW w:w="1200" w:type="dxa"/>
            <w:vAlign w:val="bottom"/>
            <w:tcBorders>
              <w:top w:val="single" w:sz="8" w:color="auto"/>
            </w:tcBorders>
            <w:gridSpan w:val="5"/>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1880" w:type="dxa"/>
            <w:vAlign w:val="bottom"/>
            <w:gridSpan w:val="9"/>
          </w:tcPr>
          <w:p>
            <w:pPr>
              <w:spacing w:after="0"/>
              <w:rPr>
                <w:sz w:val="20"/>
                <w:szCs w:val="20"/>
                <w:color w:val="auto"/>
              </w:rPr>
            </w:pPr>
            <w:r>
              <w:rPr>
                <w:rFonts w:ascii="Arial" w:cs="Arial" w:eastAsia="Arial" w:hAnsi="Arial"/>
                <w:sz w:val="11"/>
                <w:szCs w:val="11"/>
                <w:color w:val="auto"/>
              </w:rPr>
              <w:t>Total assets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3,665,743</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3,773,884</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3,841,314</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3,954,687</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3,743,567</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3,665,743</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3,743,567</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1880" w:type="dxa"/>
            <w:vAlign w:val="bottom"/>
            <w:gridSpan w:val="9"/>
          </w:tcPr>
          <w:p>
            <w:pPr>
              <w:spacing w:after="0"/>
              <w:rPr>
                <w:sz w:val="20"/>
                <w:szCs w:val="20"/>
                <w:color w:val="auto"/>
              </w:rPr>
            </w:pPr>
            <w:r>
              <w:rPr>
                <w:rFonts w:ascii="Arial" w:cs="Arial" w:eastAsia="Arial" w:hAnsi="Arial"/>
                <w:sz w:val="11"/>
                <w:szCs w:val="11"/>
                <w:color w:val="auto"/>
              </w:rPr>
              <w:t>Loans: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880" w:type="dxa"/>
            <w:vAlign w:val="bottom"/>
            <w:gridSpan w:val="9"/>
          </w:tcPr>
          <w:p>
            <w:pPr>
              <w:ind w:left="120"/>
              <w:spacing w:after="0"/>
              <w:rPr>
                <w:sz w:val="20"/>
                <w:szCs w:val="20"/>
                <w:color w:val="auto"/>
              </w:rPr>
            </w:pPr>
            <w:r>
              <w:rPr>
                <w:rFonts w:ascii="Arial" w:cs="Arial" w:eastAsia="Arial" w:hAnsi="Arial"/>
                <w:sz w:val="11"/>
                <w:szCs w:val="11"/>
                <w:color w:val="auto"/>
              </w:rPr>
              <w:t>Consumer, excluding credit card</w:t>
            </w: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311,375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313,796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317,212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312,489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323,306</w:t>
            </w:r>
          </w:p>
        </w:tc>
        <w:tc>
          <w:tcPr>
            <w:tcW w:w="200" w:type="dxa"/>
            <w:vAlign w:val="bottom"/>
          </w:tcPr>
          <w:p>
            <w:pPr>
              <w:spacing w:after="0"/>
              <w:rPr>
                <w:sz w:val="11"/>
                <w:szCs w:val="11"/>
                <w:color w:val="auto"/>
              </w:rPr>
            </w:pPr>
          </w:p>
        </w:tc>
        <w:tc>
          <w:tcPr>
            <w:tcW w:w="500" w:type="dxa"/>
            <w:vAlign w:val="bottom"/>
            <w:vMerge w:val="restart"/>
          </w:tcPr>
          <w:p>
            <w:pPr>
              <w:jc w:val="right"/>
              <w:ind w:right="6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1"/>
                <w:szCs w:val="11"/>
                <w:color w:val="auto"/>
              </w:rPr>
            </w:pPr>
          </w:p>
        </w:tc>
        <w:tc>
          <w:tcPr>
            <w:tcW w:w="480" w:type="dxa"/>
            <w:vAlign w:val="bottom"/>
            <w:vMerge w:val="restart"/>
          </w:tcPr>
          <w:p>
            <w:pPr>
              <w:jc w:val="right"/>
              <w:ind w:right="66"/>
              <w:spacing w:after="0"/>
              <w:rPr>
                <w:sz w:val="20"/>
                <w:szCs w:val="20"/>
                <w:color w:val="auto"/>
              </w:rPr>
            </w:pPr>
            <w:r>
              <w:rPr>
                <w:rFonts w:ascii="Arial" w:cs="Arial" w:eastAsia="Arial" w:hAnsi="Arial"/>
                <w:sz w:val="11"/>
                <w:szCs w:val="11"/>
                <w:color w:val="auto"/>
              </w:rPr>
              <w:t>(4)</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311,375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323,306</w:t>
            </w:r>
          </w:p>
        </w:tc>
        <w:tc>
          <w:tcPr>
            <w:tcW w:w="240" w:type="dxa"/>
            <w:vAlign w:val="bottom"/>
          </w:tcPr>
          <w:p>
            <w:pPr>
              <w:spacing w:after="0"/>
              <w:rPr>
                <w:sz w:val="11"/>
                <w:szCs w:val="11"/>
                <w:color w:val="auto"/>
              </w:rPr>
            </w:pP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2"/>
        </w:trPr>
        <w:tc>
          <w:tcPr>
            <w:tcW w:w="1880" w:type="dxa"/>
            <w:vAlign w:val="bottom"/>
            <w:gridSpan w:val="9"/>
          </w:tcPr>
          <w:p>
            <w:pPr>
              <w:ind w:left="120"/>
              <w:spacing w:after="0"/>
              <w:rPr>
                <w:sz w:val="20"/>
                <w:szCs w:val="20"/>
                <w:color w:val="auto"/>
              </w:rPr>
            </w:pPr>
            <w:r>
              <w:rPr>
                <w:rFonts w:ascii="Arial" w:cs="Arial" w:eastAsia="Arial" w:hAnsi="Arial"/>
                <w:sz w:val="11"/>
                <w:szCs w:val="11"/>
                <w:color w:val="auto"/>
              </w:rPr>
              <w:t>loans</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80" w:type="dxa"/>
            <w:vAlign w:val="bottom"/>
            <w:gridSpan w:val="9"/>
          </w:tcPr>
          <w:p>
            <w:pPr>
              <w:ind w:left="120"/>
              <w:spacing w:after="0"/>
              <w:rPr>
                <w:sz w:val="20"/>
                <w:szCs w:val="20"/>
                <w:color w:val="auto"/>
              </w:rPr>
            </w:pPr>
            <w:r>
              <w:rPr>
                <w:rFonts w:ascii="Arial" w:cs="Arial" w:eastAsia="Arial" w:hAnsi="Arial"/>
                <w:sz w:val="11"/>
                <w:szCs w:val="11"/>
                <w:color w:val="auto"/>
              </w:rPr>
              <w:t>Credit card loans</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185,175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170,462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165,494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152,283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154,296</w:t>
            </w:r>
          </w:p>
        </w:tc>
        <w:tc>
          <w:tcPr>
            <w:tcW w:w="2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180" w:type="dxa"/>
            <w:vAlign w:val="bottom"/>
          </w:tcPr>
          <w:p>
            <w:pPr>
              <w:spacing w:after="0"/>
              <w:rPr>
                <w:sz w:val="14"/>
                <w:szCs w:val="14"/>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20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185,175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154,296</w:t>
            </w:r>
          </w:p>
        </w:tc>
        <w:tc>
          <w:tcPr>
            <w:tcW w:w="24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75"/>
        </w:trPr>
        <w:tc>
          <w:tcPr>
            <w:tcW w:w="1880" w:type="dxa"/>
            <w:vAlign w:val="bottom"/>
            <w:gridSpan w:val="9"/>
          </w:tcPr>
          <w:p>
            <w:pPr>
              <w:ind w:left="120"/>
              <w:spacing w:after="0"/>
              <w:rPr>
                <w:sz w:val="20"/>
                <w:szCs w:val="20"/>
                <w:color w:val="auto"/>
              </w:rPr>
            </w:pPr>
            <w:r>
              <w:rPr>
                <w:rFonts w:ascii="Arial" w:cs="Arial" w:eastAsia="Arial" w:hAnsi="Arial"/>
                <w:sz w:val="11"/>
                <w:szCs w:val="11"/>
                <w:color w:val="auto"/>
              </w:rPr>
              <w:t>Wholesale loans</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639,097</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628,375</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621,449</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608,513</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600,112</w:t>
            </w:r>
          </w:p>
        </w:tc>
        <w:tc>
          <w:tcPr>
            <w:tcW w:w="200" w:type="dxa"/>
            <w:vAlign w:val="bottom"/>
          </w:tcPr>
          <w:p>
            <w:pPr>
              <w:spacing w:after="0"/>
              <w:rPr>
                <w:sz w:val="15"/>
                <w:szCs w:val="15"/>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5"/>
                <w:szCs w:val="15"/>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639,097</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600,112</w:t>
            </w:r>
          </w:p>
        </w:tc>
        <w:tc>
          <w:tcPr>
            <w:tcW w:w="240" w:type="dxa"/>
            <w:vAlign w:val="bottom"/>
          </w:tcPr>
          <w:p>
            <w:pPr>
              <w:spacing w:after="0"/>
              <w:rPr>
                <w:sz w:val="15"/>
                <w:szCs w:val="15"/>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740" w:type="dxa"/>
            <w:vAlign w:val="bottom"/>
            <w:gridSpan w:val="8"/>
          </w:tcPr>
          <w:p>
            <w:pPr>
              <w:ind w:left="60"/>
              <w:spacing w:after="0"/>
              <w:rPr>
                <w:sz w:val="20"/>
                <w:szCs w:val="20"/>
                <w:color w:val="auto"/>
              </w:rPr>
            </w:pPr>
            <w:r>
              <w:rPr>
                <w:rFonts w:ascii="Arial" w:cs="Arial" w:eastAsia="Arial" w:hAnsi="Arial"/>
                <w:sz w:val="11"/>
                <w:szCs w:val="11"/>
                <w:b w:val="1"/>
                <w:bCs w:val="1"/>
                <w:color w:val="auto"/>
              </w:rPr>
              <w:t>Total Loans</w:t>
            </w:r>
          </w:p>
        </w:tc>
        <w:tc>
          <w:tcPr>
            <w:tcW w:w="10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w w:val="93"/>
              </w:rPr>
              <w:t>1,135,647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w w:val="93"/>
              </w:rPr>
              <w:t>1,112,633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1,104,155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1,073,285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1,077,714</w:t>
            </w:r>
          </w:p>
        </w:tc>
        <w:tc>
          <w:tcPr>
            <w:tcW w:w="200" w:type="dxa"/>
            <w:vAlign w:val="bottom"/>
          </w:tcPr>
          <w:p>
            <w:pPr>
              <w:spacing w:after="0"/>
              <w:rPr>
                <w:sz w:val="12"/>
                <w:szCs w:val="12"/>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2"/>
                <w:szCs w:val="12"/>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1,135,647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1,077,714</w:t>
            </w:r>
          </w:p>
        </w:tc>
        <w:tc>
          <w:tcPr>
            <w:tcW w:w="240" w:type="dxa"/>
            <w:vAlign w:val="bottom"/>
          </w:tcPr>
          <w:p>
            <w:pPr>
              <w:spacing w:after="0"/>
              <w:rPr>
                <w:sz w:val="12"/>
                <w:szCs w:val="12"/>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51"/>
        </w:trPr>
        <w:tc>
          <w:tcPr>
            <w:tcW w:w="1880" w:type="dxa"/>
            <w:vAlign w:val="bottom"/>
            <w:gridSpan w:val="9"/>
          </w:tcPr>
          <w:p>
            <w:pPr>
              <w:spacing w:after="0"/>
              <w:rPr>
                <w:sz w:val="20"/>
                <w:szCs w:val="20"/>
                <w:color w:val="auto"/>
              </w:rPr>
            </w:pPr>
            <w:r>
              <w:rPr>
                <w:rFonts w:ascii="Arial" w:cs="Arial" w:eastAsia="Arial" w:hAnsi="Arial"/>
                <w:sz w:val="11"/>
                <w:szCs w:val="11"/>
                <w:color w:val="auto"/>
              </w:rPr>
              <w:t>Deposits:</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880" w:type="dxa"/>
            <w:vAlign w:val="bottom"/>
            <w:gridSpan w:val="9"/>
          </w:tcPr>
          <w:p>
            <w:pPr>
              <w:ind w:left="120"/>
              <w:spacing w:after="0"/>
              <w:rPr>
                <w:sz w:val="20"/>
                <w:szCs w:val="20"/>
                <w:color w:val="auto"/>
              </w:rPr>
            </w:pPr>
            <w:r>
              <w:rPr>
                <w:rFonts w:ascii="Arial" w:cs="Arial" w:eastAsia="Arial" w:hAnsi="Arial"/>
                <w:sz w:val="11"/>
                <w:szCs w:val="11"/>
                <w:color w:val="auto"/>
              </w:rPr>
              <w:t>U.S. offices: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1740" w:type="dxa"/>
            <w:vAlign w:val="bottom"/>
            <w:gridSpan w:val="8"/>
          </w:tcPr>
          <w:p>
            <w:pPr>
              <w:ind w:left="60"/>
              <w:spacing w:after="0"/>
              <w:rPr>
                <w:sz w:val="20"/>
                <w:szCs w:val="20"/>
                <w:color w:val="auto"/>
              </w:rPr>
            </w:pPr>
            <w:r>
              <w:rPr>
                <w:rFonts w:ascii="Arial" w:cs="Arial" w:eastAsia="Arial" w:hAnsi="Arial"/>
                <w:sz w:val="11"/>
                <w:szCs w:val="11"/>
                <w:color w:val="auto"/>
              </w:rPr>
              <w:t>Noninterest-bearing</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644,902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688,292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714,478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721,401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711,525</w:t>
            </w:r>
          </w:p>
        </w:tc>
        <w:tc>
          <w:tcPr>
            <w:tcW w:w="200" w:type="dxa"/>
            <w:vAlign w:val="bottom"/>
          </w:tcPr>
          <w:p>
            <w:pPr>
              <w:ind w:left="20"/>
              <w:spacing w:after="0"/>
              <w:rPr>
                <w:sz w:val="20"/>
                <w:szCs w:val="20"/>
                <w:color w:val="auto"/>
              </w:rPr>
            </w:pPr>
            <w:r>
              <w:rPr>
                <w:rFonts w:ascii="Arial" w:cs="Arial" w:eastAsia="Arial" w:hAnsi="Arial"/>
                <w:sz w:val="11"/>
                <w:szCs w:val="11"/>
                <w:color w:val="auto"/>
              </w:rPr>
              <w:t>(f)</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80" w:type="dxa"/>
            <w:vAlign w:val="bottom"/>
          </w:tcPr>
          <w:p>
            <w:pPr>
              <w:spacing w:after="0"/>
              <w:rPr>
                <w:sz w:val="14"/>
                <w:szCs w:val="14"/>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644,902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711,525</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1740" w:type="dxa"/>
            <w:vAlign w:val="bottom"/>
            <w:gridSpan w:val="8"/>
          </w:tcPr>
          <w:p>
            <w:pPr>
              <w:ind w:left="60"/>
              <w:spacing w:after="0"/>
              <w:rPr>
                <w:sz w:val="20"/>
                <w:szCs w:val="20"/>
                <w:color w:val="auto"/>
              </w:rPr>
            </w:pPr>
            <w:r>
              <w:rPr>
                <w:rFonts w:ascii="Arial" w:cs="Arial" w:eastAsia="Arial" w:hAnsi="Arial"/>
                <w:sz w:val="11"/>
                <w:szCs w:val="11"/>
                <w:color w:val="auto"/>
              </w:rPr>
              <w:t>Interest-bearing</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1,276,346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1,304,012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1,343,802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1,412,589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1,359,932</w:t>
            </w:r>
          </w:p>
        </w:tc>
        <w:tc>
          <w:tcPr>
            <w:tcW w:w="200" w:type="dxa"/>
            <w:vAlign w:val="bottom"/>
          </w:tcPr>
          <w:p>
            <w:pPr>
              <w:ind w:left="20"/>
              <w:spacing w:after="0"/>
              <w:rPr>
                <w:sz w:val="20"/>
                <w:szCs w:val="20"/>
                <w:color w:val="auto"/>
              </w:rPr>
            </w:pPr>
            <w:r>
              <w:rPr>
                <w:rFonts w:ascii="Arial" w:cs="Arial" w:eastAsia="Arial" w:hAnsi="Arial"/>
                <w:sz w:val="11"/>
                <w:szCs w:val="11"/>
                <w:color w:val="auto"/>
              </w:rPr>
              <w:t>(f)</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4"/>
                <w:szCs w:val="14"/>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1,276,346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1,359,932</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2"/>
        </w:trPr>
        <w:tc>
          <w:tcPr>
            <w:tcW w:w="1880" w:type="dxa"/>
            <w:vAlign w:val="bottom"/>
            <w:gridSpan w:val="9"/>
          </w:tcPr>
          <w:p>
            <w:pPr>
              <w:ind w:left="120"/>
              <w:spacing w:after="0"/>
              <w:rPr>
                <w:sz w:val="20"/>
                <w:szCs w:val="20"/>
                <w:color w:val="auto"/>
              </w:rPr>
            </w:pPr>
            <w:r>
              <w:rPr>
                <w:rFonts w:ascii="Arial" w:cs="Arial" w:eastAsia="Arial" w:hAnsi="Arial"/>
                <w:sz w:val="11"/>
                <w:szCs w:val="11"/>
                <w:color w:val="auto"/>
              </w:rPr>
              <w:t>Non-U.S. offices: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1740" w:type="dxa"/>
            <w:vAlign w:val="bottom"/>
            <w:gridSpan w:val="8"/>
          </w:tcPr>
          <w:p>
            <w:pPr>
              <w:ind w:left="60"/>
              <w:spacing w:after="0"/>
              <w:rPr>
                <w:sz w:val="20"/>
                <w:szCs w:val="20"/>
                <w:color w:val="auto"/>
              </w:rPr>
            </w:pPr>
            <w:r>
              <w:rPr>
                <w:rFonts w:ascii="Arial" w:cs="Arial" w:eastAsia="Arial" w:hAnsi="Arial"/>
                <w:sz w:val="11"/>
                <w:szCs w:val="11"/>
                <w:color w:val="auto"/>
              </w:rPr>
              <w:t>Noninterest-bearing</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27,005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26,629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26,983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27,542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26,229</w:t>
            </w:r>
          </w:p>
        </w:tc>
        <w:tc>
          <w:tcPr>
            <w:tcW w:w="2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27,005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26,229</w:t>
            </w:r>
          </w:p>
        </w:tc>
        <w:tc>
          <w:tcPr>
            <w:tcW w:w="24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1740" w:type="dxa"/>
            <w:vAlign w:val="bottom"/>
            <w:gridSpan w:val="8"/>
          </w:tcPr>
          <w:p>
            <w:pPr>
              <w:ind w:left="60"/>
              <w:spacing w:after="0"/>
              <w:rPr>
                <w:sz w:val="20"/>
                <w:szCs w:val="20"/>
                <w:color w:val="auto"/>
              </w:rPr>
            </w:pPr>
            <w:r>
              <w:rPr>
                <w:rFonts w:ascii="Arial" w:cs="Arial" w:eastAsia="Arial" w:hAnsi="Arial"/>
                <w:sz w:val="11"/>
                <w:szCs w:val="11"/>
                <w:color w:val="auto"/>
              </w:rPr>
              <w:t>Interest-bearing</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391,926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389,682</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386,281</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399,675</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364,617</w:t>
            </w:r>
          </w:p>
        </w:tc>
        <w:tc>
          <w:tcPr>
            <w:tcW w:w="200" w:type="dxa"/>
            <w:vAlign w:val="bottom"/>
          </w:tcPr>
          <w:p>
            <w:pPr>
              <w:spacing w:after="0"/>
              <w:rPr>
                <w:sz w:val="15"/>
                <w:szCs w:val="15"/>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5"/>
                <w:szCs w:val="15"/>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391,926</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364,617</w:t>
            </w:r>
          </w:p>
        </w:tc>
        <w:tc>
          <w:tcPr>
            <w:tcW w:w="240" w:type="dxa"/>
            <w:vAlign w:val="bottom"/>
          </w:tcPr>
          <w:p>
            <w:pPr>
              <w:spacing w:after="0"/>
              <w:rPr>
                <w:sz w:val="15"/>
                <w:szCs w:val="15"/>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7"/>
          </w:tcPr>
          <w:p>
            <w:pPr>
              <w:ind w:left="120"/>
              <w:spacing w:after="0"/>
              <w:rPr>
                <w:sz w:val="20"/>
                <w:szCs w:val="20"/>
                <w:color w:val="auto"/>
              </w:rPr>
            </w:pPr>
            <w:r>
              <w:rPr>
                <w:rFonts w:ascii="Arial" w:cs="Arial" w:eastAsia="Arial" w:hAnsi="Arial"/>
                <w:sz w:val="11"/>
                <w:szCs w:val="11"/>
                <w:b w:val="1"/>
                <w:bCs w:val="1"/>
                <w:color w:val="auto"/>
              </w:rPr>
              <w:t>Total deposits</w:t>
            </w:r>
          </w:p>
        </w:tc>
        <w:tc>
          <w:tcPr>
            <w:tcW w:w="10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w w:val="93"/>
              </w:rPr>
              <w:t>2,340,179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w w:val="93"/>
              </w:rPr>
              <w:t>2,408,615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2,471,544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2,561,207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2,462,303</w:t>
            </w:r>
          </w:p>
        </w:tc>
        <w:tc>
          <w:tcPr>
            <w:tcW w:w="20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2"/>
                <w:szCs w:val="12"/>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2,340,179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2,462,303</w:t>
            </w:r>
          </w:p>
        </w:tc>
        <w:tc>
          <w:tcPr>
            <w:tcW w:w="240" w:type="dxa"/>
            <w:vAlign w:val="bottom"/>
          </w:tcPr>
          <w:p>
            <w:pPr>
              <w:spacing w:after="0"/>
              <w:rPr>
                <w:sz w:val="12"/>
                <w:szCs w:val="12"/>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50"/>
        </w:trPr>
        <w:tc>
          <w:tcPr>
            <w:tcW w:w="1880" w:type="dxa"/>
            <w:vAlign w:val="bottom"/>
            <w:gridSpan w:val="9"/>
          </w:tcPr>
          <w:p>
            <w:pPr>
              <w:spacing w:after="0"/>
              <w:rPr>
                <w:sz w:val="20"/>
                <w:szCs w:val="20"/>
                <w:color w:val="auto"/>
              </w:rPr>
            </w:pPr>
            <w:r>
              <w:rPr>
                <w:rFonts w:ascii="Arial" w:cs="Arial" w:eastAsia="Arial" w:hAnsi="Arial"/>
                <w:sz w:val="11"/>
                <w:szCs w:val="11"/>
                <w:color w:val="auto"/>
              </w:rPr>
              <w:t>Long-term debt</w:t>
            </w:r>
          </w:p>
        </w:tc>
        <w:tc>
          <w:tcPr>
            <w:tcW w:w="1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295,865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287,473</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288,212</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293,239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301,005</w:t>
            </w:r>
          </w:p>
        </w:tc>
        <w:tc>
          <w:tcPr>
            <w:tcW w:w="200" w:type="dxa"/>
            <w:vAlign w:val="bottom"/>
          </w:tcPr>
          <w:p>
            <w:pPr>
              <w:spacing w:after="0"/>
              <w:rPr>
                <w:sz w:val="21"/>
                <w:szCs w:val="21"/>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295,865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301,005</w:t>
            </w:r>
          </w:p>
        </w:tc>
        <w:tc>
          <w:tcPr>
            <w:tcW w:w="24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1880" w:type="dxa"/>
            <w:vAlign w:val="bottom"/>
            <w:gridSpan w:val="9"/>
          </w:tcPr>
          <w:p>
            <w:pPr>
              <w:spacing w:after="0"/>
              <w:rPr>
                <w:sz w:val="20"/>
                <w:szCs w:val="20"/>
                <w:color w:val="auto"/>
              </w:rPr>
            </w:pPr>
            <w:r>
              <w:rPr>
                <w:rFonts w:ascii="Arial" w:cs="Arial" w:eastAsia="Arial" w:hAnsi="Arial"/>
                <w:sz w:val="11"/>
                <w:szCs w:val="11"/>
                <w:color w:val="auto"/>
              </w:rPr>
              <w:t>Common stockholders’ equity</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264,928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255,180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253,305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253,061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259,289</w:t>
            </w:r>
          </w:p>
        </w:tc>
        <w:tc>
          <w:tcPr>
            <w:tcW w:w="2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4"/>
                <w:szCs w:val="14"/>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264,928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259,289</w:t>
            </w:r>
          </w:p>
        </w:tc>
        <w:tc>
          <w:tcPr>
            <w:tcW w:w="24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1880" w:type="dxa"/>
            <w:vAlign w:val="bottom"/>
            <w:gridSpan w:val="9"/>
          </w:tcPr>
          <w:p>
            <w:pPr>
              <w:spacing w:after="0"/>
              <w:rPr>
                <w:sz w:val="20"/>
                <w:szCs w:val="20"/>
                <w:color w:val="auto"/>
              </w:rPr>
            </w:pPr>
            <w:r>
              <w:rPr>
                <w:rFonts w:ascii="Arial" w:cs="Arial" w:eastAsia="Arial" w:hAnsi="Arial"/>
                <w:sz w:val="11"/>
                <w:szCs w:val="11"/>
                <w:color w:val="auto"/>
              </w:rPr>
              <w:t>Total stockholders’ equity</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292,332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288,018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286,143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285,899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294,127</w:t>
            </w:r>
          </w:p>
        </w:tc>
        <w:tc>
          <w:tcPr>
            <w:tcW w:w="2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292,332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294,127</w:t>
            </w:r>
          </w:p>
        </w:tc>
        <w:tc>
          <w:tcPr>
            <w:tcW w:w="24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57"/>
        </w:trPr>
        <w:tc>
          <w:tcPr>
            <w:tcW w:w="1880" w:type="dxa"/>
            <w:vAlign w:val="bottom"/>
            <w:gridSpan w:val="9"/>
          </w:tcPr>
          <w:p>
            <w:pPr>
              <w:spacing w:after="0"/>
              <w:rPr>
                <w:sz w:val="20"/>
                <w:szCs w:val="20"/>
                <w:color w:val="auto"/>
              </w:rPr>
            </w:pPr>
            <w:r>
              <w:rPr>
                <w:rFonts w:ascii="Arial" w:cs="Arial" w:eastAsia="Arial" w:hAnsi="Arial"/>
                <w:sz w:val="11"/>
                <w:szCs w:val="11"/>
                <w:color w:val="auto"/>
              </w:rPr>
              <w:t>Loans-to-deposits ratio</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49 %</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46 %</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45 %</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42 %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44 %</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49 %</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44 %</w:t>
            </w: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880" w:type="dxa"/>
            <w:vAlign w:val="bottom"/>
            <w:gridSpan w:val="9"/>
          </w:tcPr>
          <w:p>
            <w:pPr>
              <w:spacing w:after="0"/>
              <w:rPr>
                <w:sz w:val="20"/>
                <w:szCs w:val="20"/>
                <w:color w:val="auto"/>
              </w:rPr>
            </w:pPr>
            <w:r>
              <w:rPr>
                <w:rFonts w:ascii="Arial" w:cs="Arial" w:eastAsia="Arial" w:hAnsi="Arial"/>
                <w:sz w:val="11"/>
                <w:szCs w:val="11"/>
                <w:b w:val="1"/>
                <w:bCs w:val="1"/>
                <w:color w:val="auto"/>
              </w:rPr>
              <w:t>Headcount</w:t>
            </w:r>
          </w:p>
        </w:tc>
        <w:tc>
          <w:tcPr>
            <w:tcW w:w="100" w:type="dxa"/>
            <w:vAlign w:val="bottom"/>
          </w:tcPr>
          <w:p>
            <w:pPr>
              <w:spacing w:after="0"/>
              <w:rPr>
                <w:sz w:val="22"/>
                <w:szCs w:val="2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293,723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288,474</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278,494</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273,948</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271,025</w:t>
            </w:r>
          </w:p>
        </w:tc>
        <w:tc>
          <w:tcPr>
            <w:tcW w:w="200" w:type="dxa"/>
            <w:vAlign w:val="bottom"/>
          </w:tcPr>
          <w:p>
            <w:pPr>
              <w:spacing w:after="0"/>
              <w:rPr>
                <w:sz w:val="22"/>
                <w:szCs w:val="22"/>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22"/>
                <w:szCs w:val="22"/>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293,723</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271,025</w:t>
            </w:r>
          </w:p>
        </w:tc>
        <w:tc>
          <w:tcPr>
            <w:tcW w:w="240" w:type="dxa"/>
            <w:vAlign w:val="bottom"/>
          </w:tcPr>
          <w:p>
            <w:pPr>
              <w:spacing w:after="0"/>
              <w:rPr>
                <w:sz w:val="22"/>
                <w:szCs w:val="22"/>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30"/>
        </w:trPr>
        <w:tc>
          <w:tcPr>
            <w:tcW w:w="1880" w:type="dxa"/>
            <w:vAlign w:val="bottom"/>
            <w:gridSpan w:val="9"/>
          </w:tcPr>
          <w:p>
            <w:pPr>
              <w:spacing w:after="0"/>
              <w:rPr>
                <w:sz w:val="20"/>
                <w:szCs w:val="20"/>
                <w:color w:val="auto"/>
              </w:rPr>
            </w:pPr>
            <w:r>
              <w:rPr>
                <w:rFonts w:ascii="Arial" w:cs="Arial" w:eastAsia="Arial" w:hAnsi="Arial"/>
                <w:sz w:val="11"/>
                <w:szCs w:val="11"/>
                <w:b w:val="1"/>
                <w:bCs w:val="1"/>
                <w:color w:val="auto"/>
              </w:rPr>
              <w:t>95% CONFIDENCE LEVEL - TOTAL</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220" w:type="dxa"/>
            <w:vAlign w:val="bottom"/>
            <w:tcBorders>
              <w:top w:val="single" w:sz="8" w:color="auto"/>
              <w:bottom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VaR</w:t>
            </w:r>
          </w:p>
        </w:tc>
        <w:tc>
          <w:tcPr>
            <w:tcW w:w="1580" w:type="dxa"/>
            <w:vAlign w:val="bottom"/>
            <w:tcBorders>
              <w:top w:val="single" w:sz="8" w:color="auto"/>
            </w:tcBorders>
            <w:gridSpan w:val="4"/>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1880" w:type="dxa"/>
            <w:vAlign w:val="bottom"/>
            <w:gridSpan w:val="9"/>
          </w:tcPr>
          <w:p>
            <w:pPr>
              <w:spacing w:after="0"/>
              <w:rPr>
                <w:sz w:val="20"/>
                <w:szCs w:val="20"/>
                <w:color w:val="auto"/>
              </w:rPr>
            </w:pPr>
            <w:r>
              <w:rPr>
                <w:rFonts w:ascii="Arial" w:cs="Arial" w:eastAsia="Arial" w:hAnsi="Arial"/>
                <w:sz w:val="11"/>
                <w:szCs w:val="11"/>
                <w:color w:val="auto"/>
              </w:rPr>
              <w:t>Average VaR (a)</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61</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54</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54</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63</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37</w:t>
            </w:r>
          </w:p>
        </w:tc>
        <w:tc>
          <w:tcPr>
            <w:tcW w:w="2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180" w:type="dxa"/>
            <w:vAlign w:val="bottom"/>
          </w:tcPr>
          <w:p>
            <w:pPr>
              <w:spacing w:after="0"/>
              <w:rPr>
                <w:sz w:val="14"/>
                <w:szCs w:val="14"/>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65</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880" w:type="dxa"/>
            <w:vAlign w:val="bottom"/>
            <w:gridSpan w:val="9"/>
          </w:tcPr>
          <w:p>
            <w:pPr>
              <w:spacing w:after="0"/>
              <w:rPr>
                <w:sz w:val="20"/>
                <w:szCs w:val="20"/>
                <w:color w:val="auto"/>
              </w:rPr>
            </w:pPr>
            <w:r>
              <w:rPr>
                <w:rFonts w:ascii="Arial" w:cs="Arial" w:eastAsia="Arial" w:hAnsi="Arial"/>
                <w:sz w:val="11"/>
                <w:szCs w:val="11"/>
                <w:b w:val="1"/>
                <w:bCs w:val="1"/>
                <w:color w:val="auto"/>
              </w:rPr>
              <w:t>LINE OF BUSINESS NET REVENUE</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1820" w:type="dxa"/>
            <w:vAlign w:val="bottom"/>
            <w:tcBorders>
              <w:top w:val="single" w:sz="8" w:color="auto"/>
            </w:tcBorders>
            <w:gridSpan w:val="7"/>
          </w:tcPr>
          <w:p>
            <w:pPr>
              <w:spacing w:after="0" w:line="88" w:lineRule="exact"/>
              <w:rPr>
                <w:sz w:val="20"/>
                <w:szCs w:val="20"/>
                <w:color w:val="auto"/>
              </w:rPr>
            </w:pPr>
            <w:r>
              <w:rPr>
                <w:rFonts w:ascii="Arial" w:cs="Arial" w:eastAsia="Arial" w:hAnsi="Arial"/>
                <w:sz w:val="10"/>
                <w:szCs w:val="10"/>
                <w:b w:val="1"/>
                <w:bCs w:val="1"/>
                <w:color w:val="auto"/>
              </w:rPr>
              <w:t>(b)</w:t>
            </w:r>
          </w:p>
        </w:tc>
        <w:tc>
          <w:tcPr>
            <w:tcW w:w="6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880" w:type="dxa"/>
            <w:vAlign w:val="bottom"/>
            <w:gridSpan w:val="9"/>
          </w:tcPr>
          <w:p>
            <w:pPr>
              <w:spacing w:after="0"/>
              <w:rPr>
                <w:sz w:val="20"/>
                <w:szCs w:val="20"/>
                <w:color w:val="auto"/>
              </w:rPr>
            </w:pPr>
            <w:r>
              <w:rPr>
                <w:rFonts w:ascii="Arial" w:cs="Arial" w:eastAsia="Arial" w:hAnsi="Arial"/>
                <w:sz w:val="11"/>
                <w:szCs w:val="11"/>
                <w:color w:val="auto"/>
              </w:rPr>
              <w:t>Consumer &amp; Community Banking</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15,843</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14,331</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12,614</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12,229</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12,275</w:t>
            </w:r>
          </w:p>
        </w:tc>
        <w:tc>
          <w:tcPr>
            <w:tcW w:w="2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180" w:type="dxa"/>
            <w:vAlign w:val="bottom"/>
          </w:tcPr>
          <w:p>
            <w:pPr>
              <w:spacing w:after="0"/>
              <w:rPr>
                <w:sz w:val="14"/>
                <w:szCs w:val="14"/>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29</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55,017</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50,073</w:t>
            </w:r>
          </w:p>
        </w:tc>
        <w:tc>
          <w:tcPr>
            <w:tcW w:w="24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1880" w:type="dxa"/>
            <w:vAlign w:val="bottom"/>
            <w:gridSpan w:val="9"/>
          </w:tcPr>
          <w:p>
            <w:pPr>
              <w:spacing w:after="0"/>
              <w:rPr>
                <w:sz w:val="20"/>
                <w:szCs w:val="20"/>
                <w:color w:val="auto"/>
              </w:rPr>
            </w:pPr>
            <w:r>
              <w:rPr>
                <w:rFonts w:ascii="Arial" w:cs="Arial" w:eastAsia="Arial" w:hAnsi="Arial"/>
                <w:sz w:val="11"/>
                <w:szCs w:val="11"/>
                <w:color w:val="auto"/>
              </w:rPr>
              <w:t>Corporate &amp; Investment Bank</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10,548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11,875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11,947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13,529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11,534</w:t>
            </w:r>
          </w:p>
        </w:tc>
        <w:tc>
          <w:tcPr>
            <w:tcW w:w="2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180" w:type="dxa"/>
            <w:vAlign w:val="bottom"/>
          </w:tcPr>
          <w:p>
            <w:pPr>
              <w:spacing w:after="0"/>
              <w:rPr>
                <w:sz w:val="14"/>
                <w:szCs w:val="14"/>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47,899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51,749</w:t>
            </w:r>
          </w:p>
        </w:tc>
        <w:tc>
          <w:tcPr>
            <w:tcW w:w="24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2"/>
        </w:trPr>
        <w:tc>
          <w:tcPr>
            <w:tcW w:w="1880" w:type="dxa"/>
            <w:vAlign w:val="bottom"/>
            <w:gridSpan w:val="9"/>
          </w:tcPr>
          <w:p>
            <w:pPr>
              <w:spacing w:after="0"/>
              <w:rPr>
                <w:sz w:val="20"/>
                <w:szCs w:val="20"/>
                <w:color w:val="auto"/>
              </w:rPr>
            </w:pPr>
            <w:r>
              <w:rPr>
                <w:rFonts w:ascii="Arial" w:cs="Arial" w:eastAsia="Arial" w:hAnsi="Arial"/>
                <w:sz w:val="11"/>
                <w:szCs w:val="11"/>
                <w:color w:val="auto"/>
              </w:rPr>
              <w:t>Commercial Banking</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3,404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3,048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2,683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2,398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2,612</w:t>
            </w:r>
          </w:p>
        </w:tc>
        <w:tc>
          <w:tcPr>
            <w:tcW w:w="2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180" w:type="dxa"/>
            <w:vAlign w:val="bottom"/>
          </w:tcPr>
          <w:p>
            <w:pPr>
              <w:spacing w:after="0"/>
              <w:rPr>
                <w:sz w:val="14"/>
                <w:szCs w:val="14"/>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30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11,533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10,008</w:t>
            </w:r>
          </w:p>
        </w:tc>
        <w:tc>
          <w:tcPr>
            <w:tcW w:w="24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62"/>
        </w:trPr>
        <w:tc>
          <w:tcPr>
            <w:tcW w:w="1880" w:type="dxa"/>
            <w:vAlign w:val="bottom"/>
            <w:gridSpan w:val="9"/>
          </w:tcPr>
          <w:p>
            <w:pPr>
              <w:spacing w:after="0"/>
              <w:rPr>
                <w:sz w:val="20"/>
                <w:szCs w:val="20"/>
                <w:color w:val="auto"/>
              </w:rPr>
            </w:pPr>
            <w:r>
              <w:rPr>
                <w:rFonts w:ascii="Arial" w:cs="Arial" w:eastAsia="Arial" w:hAnsi="Arial"/>
                <w:sz w:val="11"/>
                <w:szCs w:val="11"/>
                <w:color w:val="auto"/>
              </w:rPr>
              <w:t>Asset &amp; Wealth Management</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4,588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4,539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4,306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4,315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4,473</w:t>
            </w:r>
          </w:p>
        </w:tc>
        <w:tc>
          <w:tcPr>
            <w:tcW w:w="2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17,748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16,957</w:t>
            </w:r>
          </w:p>
        </w:tc>
        <w:tc>
          <w:tcPr>
            <w:tcW w:w="24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75"/>
        </w:trPr>
        <w:tc>
          <w:tcPr>
            <w:tcW w:w="1880" w:type="dxa"/>
            <w:vAlign w:val="bottom"/>
            <w:gridSpan w:val="9"/>
          </w:tcPr>
          <w:p>
            <w:pPr>
              <w:spacing w:after="0"/>
              <w:rPr>
                <w:sz w:val="20"/>
                <w:szCs w:val="20"/>
                <w:color w:val="auto"/>
              </w:rPr>
            </w:pPr>
            <w:r>
              <w:rPr>
                <w:rFonts w:ascii="Arial" w:cs="Arial" w:eastAsia="Arial" w:hAnsi="Arial"/>
                <w:sz w:val="11"/>
                <w:szCs w:val="11"/>
                <w:color w:val="auto"/>
              </w:rPr>
              <w:t>Corporate</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1,183</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(302)</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80</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(881)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(545)</w:t>
            </w:r>
          </w:p>
        </w:tc>
        <w:tc>
          <w:tcPr>
            <w:tcW w:w="200" w:type="dxa"/>
            <w:vAlign w:val="bottom"/>
          </w:tcPr>
          <w:p>
            <w:pPr>
              <w:spacing w:after="0"/>
              <w:rPr>
                <w:sz w:val="15"/>
                <w:szCs w:val="15"/>
                <w:color w:val="auto"/>
              </w:rPr>
            </w:pPr>
          </w:p>
        </w:tc>
        <w:tc>
          <w:tcPr>
            <w:tcW w:w="680" w:type="dxa"/>
            <w:vAlign w:val="bottom"/>
            <w:gridSpan w:val="2"/>
          </w:tcPr>
          <w:p>
            <w:pPr>
              <w:ind w:left="300"/>
              <w:spacing w:after="0"/>
              <w:rPr>
                <w:sz w:val="20"/>
                <w:szCs w:val="20"/>
                <w:color w:val="auto"/>
              </w:rPr>
            </w:pPr>
            <w:r>
              <w:rPr>
                <w:rFonts w:ascii="Arial" w:cs="Arial" w:eastAsia="Arial" w:hAnsi="Arial"/>
                <w:sz w:val="11"/>
                <w:szCs w:val="11"/>
                <w:color w:val="auto"/>
              </w:rPr>
              <w:t>NM</w:t>
            </w:r>
          </w:p>
        </w:tc>
        <w:tc>
          <w:tcPr>
            <w:tcW w:w="860" w:type="dxa"/>
            <w:vAlign w:val="bottom"/>
            <w:gridSpan w:val="2"/>
          </w:tcPr>
          <w:p>
            <w:pPr>
              <w:ind w:left="300"/>
              <w:spacing w:after="0"/>
              <w:rPr>
                <w:sz w:val="20"/>
                <w:szCs w:val="20"/>
                <w:color w:val="auto"/>
              </w:rPr>
            </w:pPr>
            <w:r>
              <w:rPr>
                <w:rFonts w:ascii="Arial" w:cs="Arial" w:eastAsia="Arial" w:hAnsi="Arial"/>
                <w:sz w:val="11"/>
                <w:szCs w:val="11"/>
                <w:color w:val="auto"/>
              </w:rPr>
              <w:t>NM</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80</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(3,483)</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9"/>
        </w:trPr>
        <w:tc>
          <w:tcPr>
            <w:tcW w:w="1880" w:type="dxa"/>
            <w:vAlign w:val="bottom"/>
            <w:gridSpan w:val="9"/>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35,566</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33,491</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31,630</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31,590</w:t>
            </w:r>
          </w:p>
        </w:tc>
        <w:tc>
          <w:tcPr>
            <w:tcW w:w="1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30,349</w:t>
            </w:r>
          </w:p>
        </w:tc>
        <w:tc>
          <w:tcPr>
            <w:tcW w:w="2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180" w:type="dxa"/>
            <w:vAlign w:val="bottom"/>
          </w:tcPr>
          <w:p>
            <w:pPr>
              <w:spacing w:after="0"/>
              <w:rPr>
                <w:sz w:val="14"/>
                <w:szCs w:val="14"/>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17</w:t>
            </w:r>
          </w:p>
        </w:tc>
        <w:tc>
          <w:tcPr>
            <w:tcW w:w="3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132,277</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125,304</w:t>
            </w:r>
          </w:p>
        </w:tc>
        <w:tc>
          <w:tcPr>
            <w:tcW w:w="24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03"/>
        </w:trPr>
        <w:tc>
          <w:tcPr>
            <w:tcW w:w="1880" w:type="dxa"/>
            <w:vAlign w:val="bottom"/>
            <w:gridSpan w:val="9"/>
          </w:tcPr>
          <w:p>
            <w:pPr>
              <w:spacing w:after="0"/>
              <w:rPr>
                <w:sz w:val="20"/>
                <w:szCs w:val="20"/>
                <w:color w:val="auto"/>
              </w:rPr>
            </w:pPr>
            <w:r>
              <w:rPr>
                <w:rFonts w:ascii="Arial" w:cs="Arial" w:eastAsia="Arial" w:hAnsi="Arial"/>
                <w:sz w:val="11"/>
                <w:szCs w:val="11"/>
                <w:b w:val="1"/>
                <w:bCs w:val="1"/>
                <w:color w:val="auto"/>
              </w:rPr>
              <w:t>LINE OF BUSINESS NET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840" w:type="dxa"/>
            <w:vAlign w:val="bottom"/>
            <w:tcBorders>
              <w:top w:val="single" w:sz="8" w:color="auto"/>
              <w:bottom w:val="single" w:sz="8" w:color="auto"/>
            </w:tcBorders>
            <w:gridSpan w:val="4"/>
          </w:tcPr>
          <w:p>
            <w:pPr>
              <w:spacing w:after="0" w:line="88" w:lineRule="exact"/>
              <w:rPr>
                <w:sz w:val="20"/>
                <w:szCs w:val="20"/>
                <w:color w:val="auto"/>
              </w:rPr>
            </w:pPr>
            <w:r>
              <w:rPr>
                <w:rFonts w:ascii="Arial" w:cs="Arial" w:eastAsia="Arial" w:hAnsi="Arial"/>
                <w:sz w:val="10"/>
                <w:szCs w:val="10"/>
                <w:b w:val="1"/>
                <w:bCs w:val="1"/>
                <w:color w:val="auto"/>
              </w:rPr>
              <w:t>INCOME/(LOSS)</w:t>
            </w:r>
          </w:p>
        </w:tc>
        <w:tc>
          <w:tcPr>
            <w:tcW w:w="420" w:type="dxa"/>
            <w:vAlign w:val="bottom"/>
            <w:tcBorders>
              <w:top w:val="single" w:sz="8" w:color="auto"/>
            </w:tcBorders>
          </w:tcPr>
          <w:p>
            <w:pPr>
              <w:spacing w:after="0"/>
              <w:rPr>
                <w:sz w:val="7"/>
                <w:szCs w:val="7"/>
                <w:color w:val="auto"/>
              </w:rPr>
            </w:pPr>
          </w:p>
        </w:tc>
        <w:tc>
          <w:tcPr>
            <w:tcW w:w="620" w:type="dxa"/>
            <w:vAlign w:val="bottom"/>
            <w:gridSpan w:val="4"/>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1880" w:type="dxa"/>
            <w:vAlign w:val="bottom"/>
            <w:gridSpan w:val="9"/>
          </w:tcPr>
          <w:p>
            <w:pPr>
              <w:spacing w:after="0"/>
              <w:rPr>
                <w:sz w:val="20"/>
                <w:szCs w:val="20"/>
                <w:color w:val="auto"/>
              </w:rPr>
            </w:pPr>
            <w:r>
              <w:rPr>
                <w:rFonts w:ascii="Arial" w:cs="Arial" w:eastAsia="Arial" w:hAnsi="Arial"/>
                <w:sz w:val="11"/>
                <w:szCs w:val="11"/>
                <w:color w:val="auto"/>
              </w:rPr>
              <w:t>Consumer &amp; Community Banking (c)</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4,542</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4,334</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3,100</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2,895</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4,147</w:t>
            </w:r>
          </w:p>
        </w:tc>
        <w:tc>
          <w:tcPr>
            <w:tcW w:w="2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14"/>
                <w:szCs w:val="14"/>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10</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14,871</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20,930</w:t>
            </w:r>
          </w:p>
        </w:tc>
        <w:tc>
          <w:tcPr>
            <w:tcW w:w="24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62"/>
        </w:trPr>
        <w:tc>
          <w:tcPr>
            <w:tcW w:w="1880" w:type="dxa"/>
            <w:vAlign w:val="bottom"/>
            <w:gridSpan w:val="9"/>
          </w:tcPr>
          <w:p>
            <w:pPr>
              <w:spacing w:after="0"/>
              <w:rPr>
                <w:sz w:val="20"/>
                <w:szCs w:val="20"/>
                <w:color w:val="auto"/>
              </w:rPr>
            </w:pPr>
            <w:r>
              <w:rPr>
                <w:rFonts w:ascii="Arial" w:cs="Arial" w:eastAsia="Arial" w:hAnsi="Arial"/>
                <w:sz w:val="11"/>
                <w:szCs w:val="11"/>
                <w:color w:val="auto"/>
              </w:rPr>
              <w:t>Corporate &amp; Investment Bank (c)</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3,328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3,532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3,725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4,385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4,543</w:t>
            </w:r>
          </w:p>
        </w:tc>
        <w:tc>
          <w:tcPr>
            <w:tcW w:w="2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80" w:type="dxa"/>
            <w:vAlign w:val="bottom"/>
          </w:tcPr>
          <w:p>
            <w:pPr>
              <w:spacing w:after="0"/>
              <w:rPr>
                <w:sz w:val="14"/>
                <w:szCs w:val="14"/>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(27)</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14,970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21,134</w:t>
            </w:r>
          </w:p>
        </w:tc>
        <w:tc>
          <w:tcPr>
            <w:tcW w:w="24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62"/>
        </w:trPr>
        <w:tc>
          <w:tcPr>
            <w:tcW w:w="1880" w:type="dxa"/>
            <w:vAlign w:val="bottom"/>
            <w:gridSpan w:val="9"/>
          </w:tcPr>
          <w:p>
            <w:pPr>
              <w:spacing w:after="0"/>
              <w:rPr>
                <w:sz w:val="20"/>
                <w:szCs w:val="20"/>
                <w:color w:val="auto"/>
              </w:rPr>
            </w:pPr>
            <w:r>
              <w:rPr>
                <w:rFonts w:ascii="Arial" w:cs="Arial" w:eastAsia="Arial" w:hAnsi="Arial"/>
                <w:sz w:val="11"/>
                <w:szCs w:val="11"/>
                <w:color w:val="auto"/>
              </w:rPr>
              <w:t>Commercial Banking (c)</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1,423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946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994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850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1,234</w:t>
            </w:r>
          </w:p>
        </w:tc>
        <w:tc>
          <w:tcPr>
            <w:tcW w:w="2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50</w:t>
            </w:r>
          </w:p>
        </w:tc>
        <w:tc>
          <w:tcPr>
            <w:tcW w:w="180" w:type="dxa"/>
            <w:vAlign w:val="bottom"/>
          </w:tcPr>
          <w:p>
            <w:pPr>
              <w:spacing w:after="0"/>
              <w:rPr>
                <w:sz w:val="14"/>
                <w:szCs w:val="14"/>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15</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4,213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5,246</w:t>
            </w:r>
          </w:p>
        </w:tc>
        <w:tc>
          <w:tcPr>
            <w:tcW w:w="24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62"/>
        </w:trPr>
        <w:tc>
          <w:tcPr>
            <w:tcW w:w="1880" w:type="dxa"/>
            <w:vAlign w:val="bottom"/>
            <w:gridSpan w:val="9"/>
          </w:tcPr>
          <w:p>
            <w:pPr>
              <w:spacing w:after="0"/>
              <w:rPr>
                <w:sz w:val="20"/>
                <w:szCs w:val="20"/>
                <w:color w:val="auto"/>
              </w:rPr>
            </w:pPr>
            <w:r>
              <w:rPr>
                <w:rFonts w:ascii="Arial" w:cs="Arial" w:eastAsia="Arial" w:hAnsi="Arial"/>
                <w:sz w:val="11"/>
                <w:szCs w:val="11"/>
                <w:color w:val="auto"/>
              </w:rPr>
              <w:t>Asset &amp; Wealth Management (c)</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1,134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1,219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1,004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1,008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1,125</w:t>
            </w:r>
          </w:p>
        </w:tc>
        <w:tc>
          <w:tcPr>
            <w:tcW w:w="2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80" w:type="dxa"/>
            <w:vAlign w:val="bottom"/>
          </w:tcPr>
          <w:p>
            <w:pPr>
              <w:spacing w:after="0"/>
              <w:rPr>
                <w:sz w:val="14"/>
                <w:szCs w:val="14"/>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4,365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4,737</w:t>
            </w:r>
          </w:p>
        </w:tc>
        <w:tc>
          <w:tcPr>
            <w:tcW w:w="24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75"/>
        </w:trPr>
        <w:tc>
          <w:tcPr>
            <w:tcW w:w="1880" w:type="dxa"/>
            <w:vAlign w:val="bottom"/>
            <w:gridSpan w:val="9"/>
          </w:tcPr>
          <w:p>
            <w:pPr>
              <w:spacing w:after="0"/>
              <w:rPr>
                <w:sz w:val="20"/>
                <w:szCs w:val="20"/>
                <w:color w:val="auto"/>
              </w:rPr>
            </w:pPr>
            <w:r>
              <w:rPr>
                <w:rFonts w:ascii="Arial" w:cs="Arial" w:eastAsia="Arial" w:hAnsi="Arial"/>
                <w:sz w:val="11"/>
                <w:szCs w:val="11"/>
                <w:color w:val="auto"/>
              </w:rPr>
              <w:t>Corporate (c)</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581</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(294)</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(174)</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(856)</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(650)</w:t>
            </w:r>
          </w:p>
        </w:tc>
        <w:tc>
          <w:tcPr>
            <w:tcW w:w="200" w:type="dxa"/>
            <w:vAlign w:val="bottom"/>
          </w:tcPr>
          <w:p>
            <w:pPr>
              <w:spacing w:after="0"/>
              <w:rPr>
                <w:sz w:val="15"/>
                <w:szCs w:val="15"/>
                <w:color w:val="auto"/>
              </w:rPr>
            </w:pPr>
          </w:p>
        </w:tc>
        <w:tc>
          <w:tcPr>
            <w:tcW w:w="680" w:type="dxa"/>
            <w:vAlign w:val="bottom"/>
            <w:gridSpan w:val="2"/>
          </w:tcPr>
          <w:p>
            <w:pPr>
              <w:ind w:left="300"/>
              <w:spacing w:after="0"/>
              <w:rPr>
                <w:sz w:val="20"/>
                <w:szCs w:val="20"/>
                <w:color w:val="auto"/>
              </w:rPr>
            </w:pPr>
            <w:r>
              <w:rPr>
                <w:rFonts w:ascii="Arial" w:cs="Arial" w:eastAsia="Arial" w:hAnsi="Arial"/>
                <w:sz w:val="11"/>
                <w:szCs w:val="11"/>
                <w:color w:val="auto"/>
              </w:rPr>
              <w:t>NM</w:t>
            </w:r>
          </w:p>
        </w:tc>
        <w:tc>
          <w:tcPr>
            <w:tcW w:w="860" w:type="dxa"/>
            <w:vAlign w:val="bottom"/>
            <w:gridSpan w:val="2"/>
          </w:tcPr>
          <w:p>
            <w:pPr>
              <w:ind w:left="300"/>
              <w:spacing w:after="0"/>
              <w:rPr>
                <w:sz w:val="20"/>
                <w:szCs w:val="20"/>
                <w:color w:val="auto"/>
              </w:rPr>
            </w:pPr>
            <w:r>
              <w:rPr>
                <w:rFonts w:ascii="Arial" w:cs="Arial" w:eastAsia="Arial" w:hAnsi="Arial"/>
                <w:sz w:val="11"/>
                <w:szCs w:val="11"/>
                <w:color w:val="auto"/>
              </w:rPr>
              <w:t>NM</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(743)</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(3,713)</w:t>
            </w:r>
          </w:p>
        </w:tc>
        <w:tc>
          <w:tcPr>
            <w:tcW w:w="240" w:type="dxa"/>
            <w:vAlign w:val="bottom"/>
          </w:tcPr>
          <w:p>
            <w:pPr>
              <w:spacing w:after="0"/>
              <w:rPr>
                <w:sz w:val="15"/>
                <w:szCs w:val="15"/>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80</w:t>
            </w:r>
          </w:p>
        </w:tc>
        <w:tc>
          <w:tcPr>
            <w:tcW w:w="0" w:type="dxa"/>
            <w:vAlign w:val="bottom"/>
          </w:tcPr>
          <w:p>
            <w:pPr>
              <w:spacing w:after="0"/>
              <w:rPr>
                <w:sz w:val="1"/>
                <w:szCs w:val="1"/>
                <w:color w:val="auto"/>
              </w:rPr>
            </w:pPr>
          </w:p>
        </w:tc>
      </w:tr>
      <w:tr>
        <w:trPr>
          <w:trHeight w:val="169"/>
        </w:trPr>
        <w:tc>
          <w:tcPr>
            <w:tcW w:w="1880" w:type="dxa"/>
            <w:vAlign w:val="bottom"/>
            <w:gridSpan w:val="9"/>
          </w:tcPr>
          <w:p>
            <w:pPr>
              <w:ind w:left="120"/>
              <w:spacing w:after="0"/>
              <w:rPr>
                <w:sz w:val="20"/>
                <w:szCs w:val="20"/>
                <w:color w:val="auto"/>
              </w:rPr>
            </w:pPr>
            <w:r>
              <w:rPr>
                <w:rFonts w:ascii="Arial" w:cs="Arial" w:eastAsia="Arial" w:hAnsi="Arial"/>
                <w:sz w:val="11"/>
                <w:szCs w:val="11"/>
                <w:b w:val="1"/>
                <w:bCs w:val="1"/>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11,008</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9,737</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8,649</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8,282</w:t>
            </w:r>
          </w:p>
        </w:tc>
        <w:tc>
          <w:tcPr>
            <w:tcW w:w="1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10,399</w:t>
            </w:r>
          </w:p>
        </w:tc>
        <w:tc>
          <w:tcPr>
            <w:tcW w:w="2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180" w:type="dxa"/>
            <w:vAlign w:val="bottom"/>
          </w:tcPr>
          <w:p>
            <w:pPr>
              <w:spacing w:after="0"/>
              <w:rPr>
                <w:sz w:val="14"/>
                <w:szCs w:val="14"/>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3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37,676</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48,334</w:t>
            </w:r>
          </w:p>
        </w:tc>
        <w:tc>
          <w:tcPr>
            <w:tcW w:w="24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89"/>
        </w:trPr>
        <w:tc>
          <w:tcPr>
            <w:tcW w:w="1880" w:type="dxa"/>
            <w:vAlign w:val="bottom"/>
            <w:gridSpan w:val="9"/>
          </w:tcPr>
          <w:p>
            <w:pPr>
              <w:spacing w:after="0"/>
              <w:rPr>
                <w:sz w:val="20"/>
                <w:szCs w:val="20"/>
                <w:color w:val="auto"/>
              </w:rPr>
            </w:pPr>
            <w:r>
              <w:rPr>
                <w:rFonts w:ascii="Arial" w:cs="Arial" w:eastAsia="Arial" w:hAnsi="Arial"/>
                <w:sz w:val="11"/>
                <w:szCs w:val="11"/>
                <w:b w:val="1"/>
                <w:bCs w:val="1"/>
                <w:color w:val="auto"/>
              </w:rPr>
              <w:t>MEMO: SELECTED FIRMWIDE</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80" w:type="dxa"/>
            <w:vAlign w:val="bottom"/>
            <w:gridSpan w:val="9"/>
          </w:tcPr>
          <w:p>
            <w:pPr>
              <w:spacing w:after="0"/>
              <w:rPr>
                <w:sz w:val="20"/>
                <w:szCs w:val="20"/>
                <w:color w:val="auto"/>
              </w:rPr>
            </w:pPr>
            <w:r>
              <w:rPr>
                <w:rFonts w:ascii="Arial" w:cs="Arial" w:eastAsia="Arial" w:hAnsi="Arial"/>
                <w:sz w:val="11"/>
                <w:szCs w:val="11"/>
                <w:b w:val="1"/>
                <w:bCs w:val="1"/>
                <w:color w:val="auto"/>
              </w:rPr>
              <w:t>METRICS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80" w:type="dxa"/>
            <w:vAlign w:val="bottom"/>
            <w:gridSpan w:val="9"/>
          </w:tcPr>
          <w:p>
            <w:pPr>
              <w:spacing w:after="0"/>
              <w:rPr>
                <w:sz w:val="20"/>
                <w:szCs w:val="20"/>
                <w:color w:val="auto"/>
              </w:rPr>
            </w:pPr>
            <w:r>
              <w:rPr>
                <w:rFonts w:ascii="Arial" w:cs="Arial" w:eastAsia="Arial" w:hAnsi="Arial"/>
                <w:sz w:val="11"/>
                <w:szCs w:val="11"/>
                <w:b w:val="1"/>
                <w:bCs w:val="1"/>
                <w:color w:val="auto"/>
              </w:rPr>
              <w:t>Wealth Management (d)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80" w:type="dxa"/>
            <w:vAlign w:val="bottom"/>
            <w:gridSpan w:val="9"/>
          </w:tcPr>
          <w:p>
            <w:pPr>
              <w:spacing w:after="0"/>
              <w:rPr>
                <w:sz w:val="20"/>
                <w:szCs w:val="20"/>
                <w:color w:val="auto"/>
              </w:rPr>
            </w:pPr>
            <w:r>
              <w:rPr>
                <w:rFonts w:ascii="Arial" w:cs="Arial" w:eastAsia="Arial" w:hAnsi="Arial"/>
                <w:sz w:val="11"/>
                <w:szCs w:val="11"/>
                <w:color w:val="auto"/>
              </w:rPr>
              <w:t>Client assets (in billions)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2,438</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2,302</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2,177</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2,389</w:t>
            </w: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2,456</w:t>
            </w:r>
          </w:p>
        </w:tc>
        <w:tc>
          <w:tcPr>
            <w:tcW w:w="2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180" w:type="dxa"/>
            <w:vAlign w:val="bottom"/>
          </w:tcPr>
          <w:p>
            <w:pPr>
              <w:spacing w:after="0"/>
              <w:rPr>
                <w:sz w:val="13"/>
                <w:szCs w:val="13"/>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2,438</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2,456</w:t>
            </w:r>
          </w:p>
        </w:tc>
        <w:tc>
          <w:tcPr>
            <w:tcW w:w="240" w:type="dxa"/>
            <w:vAlign w:val="bottom"/>
          </w:tcPr>
          <w:p>
            <w:pPr>
              <w:spacing w:after="0"/>
              <w:rPr>
                <w:sz w:val="13"/>
                <w:szCs w:val="1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1880" w:type="dxa"/>
            <w:vAlign w:val="bottom"/>
            <w:gridSpan w:val="9"/>
          </w:tcPr>
          <w:p>
            <w:pPr>
              <w:spacing w:after="0"/>
              <w:rPr>
                <w:sz w:val="20"/>
                <w:szCs w:val="20"/>
                <w:color w:val="auto"/>
              </w:rPr>
            </w:pPr>
            <w:r>
              <w:rPr>
                <w:rFonts w:ascii="Arial" w:cs="Arial" w:eastAsia="Arial" w:hAnsi="Arial"/>
                <w:sz w:val="11"/>
                <w:szCs w:val="11"/>
                <w:color w:val="auto"/>
              </w:rPr>
              <w:t>Number of client advisors</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8,166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8,127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7,756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7,614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7,463</w:t>
            </w:r>
          </w:p>
        </w:tc>
        <w:tc>
          <w:tcPr>
            <w:tcW w:w="200" w:type="dxa"/>
            <w:vAlign w:val="bottom"/>
          </w:tcPr>
          <w:p>
            <w:pPr>
              <w:spacing w:after="0"/>
              <w:rPr>
                <w:sz w:val="14"/>
                <w:szCs w:val="14"/>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8,166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7,463</w:t>
            </w:r>
          </w:p>
        </w:tc>
        <w:tc>
          <w:tcPr>
            <w:tcW w:w="24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63"/>
        </w:trPr>
        <w:tc>
          <w:tcPr>
            <w:tcW w:w="1880" w:type="dxa"/>
            <w:vAlign w:val="bottom"/>
            <w:gridSpan w:val="9"/>
          </w:tcPr>
          <w:p>
            <w:pPr>
              <w:spacing w:after="0"/>
              <w:rPr>
                <w:sz w:val="20"/>
                <w:szCs w:val="20"/>
                <w:color w:val="auto"/>
              </w:rPr>
            </w:pPr>
            <w:r>
              <w:rPr>
                <w:rFonts w:ascii="Arial" w:cs="Arial" w:eastAsia="Arial" w:hAnsi="Arial"/>
                <w:sz w:val="11"/>
                <w:szCs w:val="11"/>
                <w:b w:val="1"/>
                <w:bCs w:val="1"/>
                <w:color w:val="auto"/>
              </w:rPr>
              <w:t>J.P.Morgan Payments (e)</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880" w:type="dxa"/>
            <w:vAlign w:val="bottom"/>
            <w:gridSpan w:val="9"/>
          </w:tcPr>
          <w:p>
            <w:pPr>
              <w:spacing w:after="0"/>
              <w:rPr>
                <w:sz w:val="20"/>
                <w:szCs w:val="20"/>
                <w:color w:val="auto"/>
              </w:rPr>
            </w:pPr>
            <w:r>
              <w:rPr>
                <w:rFonts w:ascii="Arial" w:cs="Arial" w:eastAsia="Arial" w:hAnsi="Arial"/>
                <w:sz w:val="11"/>
                <w:szCs w:val="11"/>
                <w:color w:val="auto"/>
              </w:rPr>
              <w:t>Total net revenue</w:t>
            </w:r>
          </w:p>
        </w:tc>
        <w:tc>
          <w:tcPr>
            <w:tcW w:w="100" w:type="dxa"/>
            <w:vAlign w:val="bottom"/>
          </w:tcPr>
          <w:p>
            <w:pPr>
              <w:spacing w:after="0"/>
              <w:rPr>
                <w:sz w:val="13"/>
                <w:szCs w:val="13"/>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4,423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3,762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3,130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2,595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2,579</w:t>
            </w:r>
          </w:p>
        </w:tc>
        <w:tc>
          <w:tcPr>
            <w:tcW w:w="2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18</w:t>
            </w:r>
          </w:p>
        </w:tc>
        <w:tc>
          <w:tcPr>
            <w:tcW w:w="18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72</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13,909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9,861</w:t>
            </w:r>
          </w:p>
        </w:tc>
        <w:tc>
          <w:tcPr>
            <w:tcW w:w="240" w:type="dxa"/>
            <w:vAlign w:val="bottom"/>
          </w:tcPr>
          <w:p>
            <w:pPr>
              <w:spacing w:after="0"/>
              <w:rPr>
                <w:sz w:val="13"/>
                <w:szCs w:val="13"/>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41</w:t>
            </w:r>
          </w:p>
        </w:tc>
        <w:tc>
          <w:tcPr>
            <w:tcW w:w="0" w:type="dxa"/>
            <w:vAlign w:val="bottom"/>
          </w:tcPr>
          <w:p>
            <w:pPr>
              <w:spacing w:after="0"/>
              <w:rPr>
                <w:sz w:val="1"/>
                <w:szCs w:val="1"/>
                <w:color w:val="auto"/>
              </w:rPr>
            </w:pPr>
          </w:p>
        </w:tc>
      </w:tr>
      <w:tr>
        <w:trPr>
          <w:trHeight w:val="223"/>
        </w:trPr>
        <w:tc>
          <w:tcPr>
            <w:tcW w:w="1880" w:type="dxa"/>
            <w:vAlign w:val="bottom"/>
            <w:gridSpan w:val="9"/>
          </w:tcPr>
          <w:p>
            <w:pPr>
              <w:spacing w:after="0"/>
              <w:rPr>
                <w:sz w:val="20"/>
                <w:szCs w:val="20"/>
                <w:color w:val="auto"/>
              </w:rPr>
            </w:pPr>
            <w:r>
              <w:rPr>
                <w:rFonts w:ascii="Arial" w:cs="Arial" w:eastAsia="Arial" w:hAnsi="Arial"/>
                <w:sz w:val="11"/>
                <w:szCs w:val="11"/>
                <w:color w:val="auto"/>
              </w:rPr>
              <w:t>Merchant processing volume (in</w:t>
            </w:r>
          </w:p>
        </w:tc>
        <w:tc>
          <w:tcPr>
            <w:tcW w:w="100" w:type="dxa"/>
            <w:vAlign w:val="bottom"/>
          </w:tcPr>
          <w:p>
            <w:pPr>
              <w:spacing w:after="0"/>
              <w:rPr>
                <w:sz w:val="19"/>
                <w:szCs w:val="19"/>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583.2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545.4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539.6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490.2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514.9</w:t>
            </w:r>
          </w:p>
        </w:tc>
        <w:tc>
          <w:tcPr>
            <w:tcW w:w="200" w:type="dxa"/>
            <w:vAlign w:val="bottom"/>
          </w:tcPr>
          <w:p>
            <w:pPr>
              <w:spacing w:after="0"/>
              <w:rPr>
                <w:sz w:val="19"/>
                <w:szCs w:val="19"/>
                <w:color w:val="auto"/>
              </w:rPr>
            </w:pPr>
          </w:p>
        </w:tc>
        <w:tc>
          <w:tcPr>
            <w:tcW w:w="500" w:type="dxa"/>
            <w:vAlign w:val="bottom"/>
            <w:vMerge w:val="restart"/>
          </w:tcPr>
          <w:p>
            <w:pPr>
              <w:jc w:val="right"/>
              <w:ind w:right="106"/>
              <w:spacing w:after="0"/>
              <w:rPr>
                <w:sz w:val="20"/>
                <w:szCs w:val="20"/>
                <w:color w:val="auto"/>
              </w:rPr>
            </w:pPr>
            <w:r>
              <w:rPr>
                <w:rFonts w:ascii="Arial" w:cs="Arial" w:eastAsia="Arial" w:hAnsi="Arial"/>
                <w:sz w:val="11"/>
                <w:szCs w:val="11"/>
                <w:color w:val="auto"/>
              </w:rPr>
              <w:t>7</w:t>
            </w:r>
          </w:p>
        </w:tc>
        <w:tc>
          <w:tcPr>
            <w:tcW w:w="180" w:type="dxa"/>
            <w:vAlign w:val="bottom"/>
          </w:tcPr>
          <w:p>
            <w:pPr>
              <w:spacing w:after="0"/>
              <w:rPr>
                <w:sz w:val="19"/>
                <w:szCs w:val="19"/>
                <w:color w:val="auto"/>
              </w:rPr>
            </w:pPr>
          </w:p>
        </w:tc>
        <w:tc>
          <w:tcPr>
            <w:tcW w:w="480" w:type="dxa"/>
            <w:vAlign w:val="bottom"/>
            <w:vMerge w:val="restart"/>
          </w:tcPr>
          <w:p>
            <w:pPr>
              <w:jc w:val="right"/>
              <w:ind w:right="86"/>
              <w:spacing w:after="0"/>
              <w:rPr>
                <w:sz w:val="20"/>
                <w:szCs w:val="20"/>
                <w:color w:val="auto"/>
              </w:rPr>
            </w:pPr>
            <w:r>
              <w:rPr>
                <w:rFonts w:ascii="Arial" w:cs="Arial" w:eastAsia="Arial" w:hAnsi="Arial"/>
                <w:sz w:val="11"/>
                <w:szCs w:val="11"/>
                <w:color w:val="auto"/>
              </w:rPr>
              <w:t>13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2,158.4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1,886.7</w:t>
            </w:r>
          </w:p>
        </w:tc>
        <w:tc>
          <w:tcPr>
            <w:tcW w:w="240" w:type="dxa"/>
            <w:vAlign w:val="bottom"/>
          </w:tcPr>
          <w:p>
            <w:pPr>
              <w:spacing w:after="0"/>
              <w:rPr>
                <w:sz w:val="19"/>
                <w:szCs w:val="19"/>
                <w:color w:val="auto"/>
              </w:rPr>
            </w:pPr>
          </w:p>
        </w:tc>
        <w:tc>
          <w:tcPr>
            <w:tcW w:w="680" w:type="dxa"/>
            <w:vAlign w:val="bottom"/>
            <w:vMerge w:val="restart"/>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42"/>
        </w:trPr>
        <w:tc>
          <w:tcPr>
            <w:tcW w:w="1880" w:type="dxa"/>
            <w:vAlign w:val="bottom"/>
            <w:gridSpan w:val="9"/>
          </w:tcPr>
          <w:p>
            <w:pPr>
              <w:spacing w:after="0"/>
              <w:rPr>
                <w:sz w:val="20"/>
                <w:szCs w:val="20"/>
                <w:color w:val="auto"/>
              </w:rPr>
            </w:pPr>
            <w:r>
              <w:rPr>
                <w:rFonts w:ascii="Arial" w:cs="Arial" w:eastAsia="Arial" w:hAnsi="Arial"/>
                <w:sz w:val="11"/>
                <w:szCs w:val="11"/>
                <w:color w:val="auto"/>
              </w:rPr>
              <w:t>billions)</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80" w:type="dxa"/>
            <w:vAlign w:val="bottom"/>
            <w:gridSpan w:val="9"/>
          </w:tcPr>
          <w:p>
            <w:pPr>
              <w:spacing w:after="0"/>
              <w:rPr>
                <w:sz w:val="20"/>
                <w:szCs w:val="20"/>
                <w:color w:val="auto"/>
              </w:rPr>
            </w:pPr>
            <w:r>
              <w:rPr>
                <w:rFonts w:ascii="Arial" w:cs="Arial" w:eastAsia="Arial" w:hAnsi="Arial"/>
                <w:sz w:val="11"/>
                <w:szCs w:val="11"/>
                <w:color w:val="auto"/>
              </w:rPr>
              <w:t>Average deposits (in billions)</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732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748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816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821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832</w:t>
            </w:r>
          </w:p>
        </w:tc>
        <w:tc>
          <w:tcPr>
            <w:tcW w:w="2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4"/>
                <w:szCs w:val="14"/>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779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800</w:t>
            </w:r>
          </w:p>
        </w:tc>
        <w:tc>
          <w:tcPr>
            <w:tcW w:w="24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12001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89"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Refer to Corporate &amp; Investment Bank VaR on page 17 for a further information.</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Refer to Reconciliation from Reported to Managed Basis on page 7 for a further discussion of managed basis.</w:t>
      </w:r>
    </w:p>
    <w:p>
      <w:pPr>
        <w:spacing w:after="0" w:line="5" w:lineRule="exact"/>
        <w:rPr>
          <w:rFonts w:ascii="Arial" w:cs="Arial" w:eastAsia="Arial" w:hAnsi="Arial"/>
          <w:sz w:val="11"/>
          <w:szCs w:val="11"/>
          <w:color w:val="auto"/>
        </w:rPr>
      </w:pPr>
    </w:p>
    <w:p>
      <w:pPr>
        <w:ind w:left="160" w:hanging="152"/>
        <w:spacing w:after="0" w:line="236" w:lineRule="auto"/>
        <w:tabs>
          <w:tab w:leader="none" w:pos="1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In the first quarter of 2022, the Firm changed its methodology for allocating income taxes to the LOBs, with no impact to Firmwide net income. Prior-period amounts have been revised to conform with the current presentation.</w:t>
      </w:r>
    </w:p>
    <w:p>
      <w:pPr>
        <w:ind w:left="160" w:hanging="152"/>
        <w:spacing w:after="0"/>
        <w:tabs>
          <w:tab w:leader="none" w:pos="1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Consists of Global Private Bank in AWM and client investment assets in J.P.Morgan Wealth Management in CCB.</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Predominantly in CIB and CB.</w:t>
      </w:r>
    </w:p>
    <w:p>
      <w:pPr>
        <w:spacing w:after="0" w:line="8" w:lineRule="exact"/>
        <w:rPr>
          <w:rFonts w:ascii="Arial" w:cs="Arial" w:eastAsia="Arial" w:hAnsi="Arial"/>
          <w:sz w:val="11"/>
          <w:szCs w:val="11"/>
          <w:color w:val="auto"/>
        </w:rPr>
      </w:pPr>
    </w:p>
    <w:p>
      <w:pPr>
        <w:ind w:left="160" w:hanging="152"/>
        <w:spacing w:after="0"/>
        <w:tabs>
          <w:tab w:leader="none" w:pos="1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Prior-period amounts have been revised to conform with the current presentation.</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3</w:t>
      </w:r>
    </w:p>
    <w:p>
      <w:pPr>
        <w:sectPr>
          <w:pgSz w:w="11900" w:h="16838" w:orient="portrait"/>
          <w:cols w:equalWidth="0" w:num="1">
            <w:col w:w="11240"/>
          </w:cols>
          <w:pgMar w:left="320" w:top="612"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-78740</wp:posOffset>
            </wp:positionV>
            <wp:extent cx="237426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OF INCOME</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per share and ratio</w:t>
      </w:r>
    </w:p>
    <w:p>
      <w:pPr>
        <w:ind w:left="20"/>
        <w:spacing w:after="0"/>
        <w:rPr>
          <w:sz w:val="20"/>
          <w:szCs w:val="20"/>
          <w:color w:val="auto"/>
        </w:rPr>
      </w:pPr>
      <w:r>
        <w:rPr>
          <w:rFonts w:ascii="Arial" w:cs="Arial" w:eastAsia="Arial" w:hAnsi="Arial"/>
          <w:sz w:val="11"/>
          <w:szCs w:val="11"/>
          <w:b w:val="1"/>
          <w:bCs w:val="1"/>
          <w:color w:val="auto"/>
        </w:rPr>
        <w:t>data)</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ind w:left="380"/>
              <w:spacing w:after="0"/>
              <w:rPr>
                <w:sz w:val="20"/>
                <w:szCs w:val="20"/>
                <w:color w:val="auto"/>
              </w:rPr>
            </w:pPr>
            <w:r>
              <w:rPr>
                <w:rFonts w:ascii="Arial" w:cs="Arial" w:eastAsia="Arial" w:hAnsi="Arial"/>
                <w:sz w:val="11"/>
                <w:szCs w:val="11"/>
                <w:b w:val="1"/>
                <w:bCs w:val="1"/>
                <w:color w:val="auto"/>
              </w:rPr>
              <w:t>QUARTERLY TRENDS</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FULL YEAR</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1"/>
                <w:szCs w:val="11"/>
                <w:b w:val="1"/>
                <w:bCs w:val="1"/>
                <w:color w:val="auto"/>
              </w:rPr>
              <w:t>4Q22 Change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 Change</w:t>
            </w:r>
          </w:p>
        </w:tc>
        <w:tc>
          <w:tcPr>
            <w:tcW w:w="0" w:type="dxa"/>
            <w:vAlign w:val="bottom"/>
          </w:tcPr>
          <w:p>
            <w:pPr>
              <w:spacing w:after="0"/>
              <w:rPr>
                <w:sz w:val="1"/>
                <w:szCs w:val="1"/>
                <w:color w:val="auto"/>
              </w:rPr>
            </w:pPr>
          </w:p>
        </w:tc>
      </w:tr>
      <w:tr>
        <w:trPr>
          <w:trHeight w:val="122"/>
        </w:trPr>
        <w:tc>
          <w:tcPr>
            <w:tcW w:w="2200" w:type="dxa"/>
            <w:vAlign w:val="bottom"/>
            <w:gridSpan w:val="6"/>
          </w:tcPr>
          <w:p>
            <w:pPr>
              <w:spacing w:after="0" w:line="122" w:lineRule="exact"/>
              <w:rPr>
                <w:sz w:val="20"/>
                <w:szCs w:val="20"/>
                <w:color w:val="auto"/>
              </w:rPr>
            </w:pPr>
            <w:r>
              <w:rPr>
                <w:rFonts w:ascii="Arial" w:cs="Arial" w:eastAsia="Arial" w:hAnsi="Arial"/>
                <w:sz w:val="11"/>
                <w:szCs w:val="11"/>
                <w:b w:val="1"/>
                <w:bCs w:val="1"/>
                <w:color w:val="auto"/>
              </w:rPr>
              <w:t>REVENUE</w:t>
            </w:r>
          </w:p>
        </w:tc>
        <w:tc>
          <w:tcPr>
            <w:tcW w:w="140" w:type="dxa"/>
            <w:vAlign w:val="bottom"/>
          </w:tcPr>
          <w:p>
            <w:pPr>
              <w:spacing w:after="0"/>
              <w:rPr>
                <w:sz w:val="10"/>
                <w:szCs w:val="10"/>
                <w:color w:val="auto"/>
              </w:rPr>
            </w:pPr>
          </w:p>
        </w:tc>
        <w:tc>
          <w:tcPr>
            <w:tcW w:w="7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4Q22</w:t>
            </w:r>
          </w:p>
        </w:tc>
        <w:tc>
          <w:tcPr>
            <w:tcW w:w="120" w:type="dxa"/>
            <w:vAlign w:val="bottom"/>
          </w:tcPr>
          <w:p>
            <w:pPr>
              <w:spacing w:after="0"/>
              <w:rPr>
                <w:sz w:val="10"/>
                <w:szCs w:val="10"/>
                <w:color w:val="auto"/>
              </w:rPr>
            </w:pPr>
          </w:p>
        </w:tc>
        <w:tc>
          <w:tcPr>
            <w:tcW w:w="7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3Q22</w:t>
            </w:r>
          </w:p>
        </w:tc>
        <w:tc>
          <w:tcPr>
            <w:tcW w:w="120" w:type="dxa"/>
            <w:vAlign w:val="bottom"/>
          </w:tcPr>
          <w:p>
            <w:pPr>
              <w:spacing w:after="0"/>
              <w:rPr>
                <w:sz w:val="10"/>
                <w:szCs w:val="10"/>
                <w:color w:val="auto"/>
              </w:rPr>
            </w:pPr>
          </w:p>
        </w:tc>
        <w:tc>
          <w:tcPr>
            <w:tcW w:w="7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2Q22</w:t>
            </w:r>
          </w:p>
        </w:tc>
        <w:tc>
          <w:tcPr>
            <w:tcW w:w="140" w:type="dxa"/>
            <w:vAlign w:val="bottom"/>
          </w:tcPr>
          <w:p>
            <w:pPr>
              <w:spacing w:after="0"/>
              <w:rPr>
                <w:sz w:val="10"/>
                <w:szCs w:val="10"/>
                <w:color w:val="auto"/>
              </w:rPr>
            </w:pPr>
          </w:p>
        </w:tc>
        <w:tc>
          <w:tcPr>
            <w:tcW w:w="7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1Q22</w:t>
            </w:r>
          </w:p>
        </w:tc>
        <w:tc>
          <w:tcPr>
            <w:tcW w:w="140" w:type="dxa"/>
            <w:vAlign w:val="bottom"/>
          </w:tcPr>
          <w:p>
            <w:pPr>
              <w:spacing w:after="0"/>
              <w:rPr>
                <w:sz w:val="10"/>
                <w:szCs w:val="10"/>
                <w:color w:val="auto"/>
              </w:rPr>
            </w:pPr>
          </w:p>
        </w:tc>
        <w:tc>
          <w:tcPr>
            <w:tcW w:w="5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4Q21</w:t>
            </w:r>
          </w:p>
        </w:tc>
        <w:tc>
          <w:tcPr>
            <w:tcW w:w="200" w:type="dxa"/>
            <w:vAlign w:val="bottom"/>
          </w:tcPr>
          <w:p>
            <w:pPr>
              <w:spacing w:after="0"/>
              <w:rPr>
                <w:sz w:val="10"/>
                <w:szCs w:val="10"/>
                <w:color w:val="auto"/>
              </w:rPr>
            </w:pPr>
          </w:p>
        </w:tc>
        <w:tc>
          <w:tcPr>
            <w:tcW w:w="72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3Q22</w:t>
            </w:r>
          </w:p>
        </w:tc>
        <w:tc>
          <w:tcPr>
            <w:tcW w:w="96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4Q21</w:t>
            </w:r>
          </w:p>
        </w:tc>
        <w:tc>
          <w:tcPr>
            <w:tcW w:w="100" w:type="dxa"/>
            <w:vAlign w:val="bottom"/>
          </w:tcPr>
          <w:p>
            <w:pPr>
              <w:spacing w:after="0"/>
              <w:rPr>
                <w:sz w:val="10"/>
                <w:szCs w:val="10"/>
                <w:color w:val="auto"/>
              </w:rPr>
            </w:pPr>
          </w:p>
        </w:tc>
        <w:tc>
          <w:tcPr>
            <w:tcW w:w="58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2022</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2021</w:t>
            </w:r>
          </w:p>
        </w:tc>
        <w:tc>
          <w:tcPr>
            <w:tcW w:w="940" w:type="dxa"/>
            <w:vAlign w:val="bottom"/>
            <w:gridSpan w:val="2"/>
          </w:tcPr>
          <w:p>
            <w:pPr>
              <w:jc w:val="right"/>
              <w:ind w:right="186"/>
              <w:spacing w:after="0" w:line="122" w:lineRule="exact"/>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200" w:type="dxa"/>
            <w:vAlign w:val="bottom"/>
            <w:gridSpan w:val="6"/>
            <w:vMerge w:val="restart"/>
          </w:tcPr>
          <w:p>
            <w:pPr>
              <w:spacing w:after="0"/>
              <w:rPr>
                <w:sz w:val="20"/>
                <w:szCs w:val="20"/>
                <w:color w:val="auto"/>
              </w:rPr>
            </w:pPr>
            <w:r>
              <w:rPr>
                <w:rFonts w:ascii="Arial" w:cs="Arial" w:eastAsia="Arial" w:hAnsi="Arial"/>
                <w:sz w:val="11"/>
                <w:szCs w:val="11"/>
                <w:color w:val="auto"/>
              </w:rPr>
              <w:t>Investment banking fees</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200" w:type="dxa"/>
            <w:vAlign w:val="bottom"/>
            <w:gridSpan w:val="6"/>
            <w:vMerge w:val="continue"/>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1,418</w:t>
            </w:r>
          </w:p>
        </w:tc>
        <w:tc>
          <w:tcPr>
            <w:tcW w:w="2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1,674</w:t>
            </w:r>
          </w:p>
        </w:tc>
        <w:tc>
          <w:tcPr>
            <w:tcW w:w="22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1,586</w:t>
            </w:r>
          </w:p>
        </w:tc>
        <w:tc>
          <w:tcPr>
            <w:tcW w:w="20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2,008</w:t>
            </w:r>
          </w:p>
        </w:tc>
        <w:tc>
          <w:tcPr>
            <w:tcW w:w="20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3,494</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(59)%</w:t>
            </w:r>
          </w:p>
        </w:tc>
        <w:tc>
          <w:tcPr>
            <w:tcW w:w="4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6,686</w:t>
            </w:r>
          </w:p>
        </w:tc>
        <w:tc>
          <w:tcPr>
            <w:tcW w:w="2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13,216</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(49)%</w:t>
            </w:r>
          </w:p>
        </w:tc>
        <w:tc>
          <w:tcPr>
            <w:tcW w:w="0" w:type="dxa"/>
            <w:vAlign w:val="bottom"/>
          </w:tcPr>
          <w:p>
            <w:pPr>
              <w:spacing w:after="0"/>
              <w:rPr>
                <w:sz w:val="1"/>
                <w:szCs w:val="1"/>
                <w:color w:val="auto"/>
              </w:rPr>
            </w:pPr>
          </w:p>
        </w:tc>
      </w:tr>
      <w:tr>
        <w:trPr>
          <w:trHeight w:val="162"/>
        </w:trPr>
        <w:tc>
          <w:tcPr>
            <w:tcW w:w="2200" w:type="dxa"/>
            <w:vAlign w:val="bottom"/>
            <w:gridSpan w:val="6"/>
          </w:tcPr>
          <w:p>
            <w:pPr>
              <w:spacing w:after="0"/>
              <w:rPr>
                <w:sz w:val="20"/>
                <w:szCs w:val="20"/>
                <w:color w:val="auto"/>
              </w:rPr>
            </w:pPr>
            <w:r>
              <w:rPr>
                <w:rFonts w:ascii="Arial" w:cs="Arial" w:eastAsia="Arial" w:hAnsi="Arial"/>
                <w:sz w:val="11"/>
                <w:szCs w:val="11"/>
                <w:color w:val="auto"/>
              </w:rPr>
              <w:t>Principal transactions</w:t>
            </w: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4,434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5,383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4,990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5,105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2,182</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(18)</w:t>
            </w:r>
          </w:p>
        </w:tc>
        <w:tc>
          <w:tcPr>
            <w:tcW w:w="2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103</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19,912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16,304</w:t>
            </w: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62"/>
        </w:trPr>
        <w:tc>
          <w:tcPr>
            <w:tcW w:w="2200" w:type="dxa"/>
            <w:vAlign w:val="bottom"/>
            <w:gridSpan w:val="6"/>
          </w:tcPr>
          <w:p>
            <w:pPr>
              <w:spacing w:after="0"/>
              <w:rPr>
                <w:sz w:val="20"/>
                <w:szCs w:val="20"/>
                <w:color w:val="auto"/>
              </w:rPr>
            </w:pPr>
            <w:r>
              <w:rPr>
                <w:rFonts w:ascii="Arial" w:cs="Arial" w:eastAsia="Arial" w:hAnsi="Arial"/>
                <w:sz w:val="11"/>
                <w:szCs w:val="11"/>
                <w:color w:val="auto"/>
              </w:rPr>
              <w:t>Lending- and deposit-related fees</w:t>
            </w: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1,655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1,731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1,873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1,839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1,784</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7,098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7,032</w:t>
            </w: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28"/>
        </w:trPr>
        <w:tc>
          <w:tcPr>
            <w:tcW w:w="2200" w:type="dxa"/>
            <w:vAlign w:val="bottom"/>
            <w:gridSpan w:val="6"/>
          </w:tcPr>
          <w:p>
            <w:pPr>
              <w:spacing w:after="0"/>
              <w:rPr>
                <w:sz w:val="20"/>
                <w:szCs w:val="20"/>
                <w:color w:val="auto"/>
              </w:rPr>
            </w:pPr>
            <w:r>
              <w:rPr>
                <w:rFonts w:ascii="Arial" w:cs="Arial" w:eastAsia="Arial" w:hAnsi="Arial"/>
                <w:sz w:val="11"/>
                <w:szCs w:val="11"/>
                <w:color w:val="auto"/>
              </w:rPr>
              <w:t>Asset management, administration and</w:t>
            </w:r>
          </w:p>
        </w:tc>
        <w:tc>
          <w:tcPr>
            <w:tcW w:w="14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5,006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5,069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5,240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5,362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5,549</w:t>
            </w:r>
          </w:p>
        </w:tc>
        <w:tc>
          <w:tcPr>
            <w:tcW w:w="7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1"/>
                <w:szCs w:val="11"/>
                <w:color w:val="auto"/>
              </w:rPr>
            </w:pPr>
          </w:p>
        </w:tc>
        <w:tc>
          <w:tcPr>
            <w:tcW w:w="540" w:type="dxa"/>
            <w:vAlign w:val="bottom"/>
            <w:vMerge w:val="restart"/>
          </w:tcPr>
          <w:p>
            <w:pPr>
              <w:jc w:val="right"/>
              <w:ind w:right="66"/>
              <w:spacing w:after="0"/>
              <w:rPr>
                <w:sz w:val="20"/>
                <w:szCs w:val="20"/>
                <w:color w:val="auto"/>
              </w:rPr>
            </w:pPr>
            <w:r>
              <w:rPr>
                <w:rFonts w:ascii="Arial" w:cs="Arial" w:eastAsia="Arial" w:hAnsi="Arial"/>
                <w:sz w:val="11"/>
                <w:szCs w:val="11"/>
                <w:color w:val="auto"/>
              </w:rPr>
              <w:t>(10)</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20,677</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21,029</w:t>
            </w:r>
          </w:p>
        </w:tc>
        <w:tc>
          <w:tcPr>
            <w:tcW w:w="94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2"/>
        </w:trPr>
        <w:tc>
          <w:tcPr>
            <w:tcW w:w="2200" w:type="dxa"/>
            <w:vAlign w:val="bottom"/>
            <w:gridSpan w:val="6"/>
          </w:tcPr>
          <w:p>
            <w:pPr>
              <w:spacing w:after="0"/>
              <w:rPr>
                <w:sz w:val="20"/>
                <w:szCs w:val="20"/>
                <w:color w:val="auto"/>
              </w:rPr>
            </w:pPr>
            <w:r>
              <w:rPr>
                <w:rFonts w:ascii="Arial" w:cs="Arial" w:eastAsia="Arial" w:hAnsi="Arial"/>
                <w:sz w:val="11"/>
                <w:szCs w:val="11"/>
                <w:color w:val="auto"/>
              </w:rPr>
              <w:t>commissions</w:t>
            </w: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00" w:type="dxa"/>
            <w:vAlign w:val="bottom"/>
            <w:gridSpan w:val="6"/>
          </w:tcPr>
          <w:p>
            <w:pPr>
              <w:spacing w:after="0"/>
              <w:rPr>
                <w:sz w:val="20"/>
                <w:szCs w:val="20"/>
                <w:color w:val="auto"/>
              </w:rPr>
            </w:pPr>
            <w:r>
              <w:rPr>
                <w:rFonts w:ascii="Arial" w:cs="Arial" w:eastAsia="Arial" w:hAnsi="Arial"/>
                <w:sz w:val="11"/>
                <w:szCs w:val="11"/>
                <w:color w:val="auto"/>
              </w:rPr>
              <w:t>Investment securities gains/(losses)</w:t>
            </w:r>
          </w:p>
        </w:tc>
        <w:tc>
          <w:tcPr>
            <w:tcW w:w="14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(874)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(959)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(153)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(394)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52</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4"/>
                <w:szCs w:val="14"/>
                <w:color w:val="auto"/>
              </w:rPr>
            </w:pPr>
          </w:p>
        </w:tc>
        <w:tc>
          <w:tcPr>
            <w:tcW w:w="960" w:type="dxa"/>
            <w:vAlign w:val="bottom"/>
            <w:gridSpan w:val="2"/>
          </w:tcPr>
          <w:p>
            <w:pPr>
              <w:ind w:left="360"/>
              <w:spacing w:after="0"/>
              <w:rPr>
                <w:sz w:val="20"/>
                <w:szCs w:val="20"/>
                <w:color w:val="auto"/>
              </w:rPr>
            </w:pPr>
            <w:r>
              <w:rPr>
                <w:rFonts w:ascii="Arial" w:cs="Arial" w:eastAsia="Arial" w:hAnsi="Arial"/>
                <w:sz w:val="11"/>
                <w:szCs w:val="11"/>
                <w:color w:val="auto"/>
              </w:rPr>
              <w:t>NM</w:t>
            </w:r>
          </w:p>
        </w:tc>
        <w:tc>
          <w:tcPr>
            <w:tcW w:w="10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(2,380)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(345)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2200" w:type="dxa"/>
            <w:vAlign w:val="bottom"/>
            <w:gridSpan w:val="6"/>
          </w:tcPr>
          <w:p>
            <w:pPr>
              <w:spacing w:after="0"/>
              <w:rPr>
                <w:sz w:val="20"/>
                <w:szCs w:val="20"/>
                <w:color w:val="auto"/>
              </w:rPr>
            </w:pPr>
            <w:r>
              <w:rPr>
                <w:rFonts w:ascii="Arial" w:cs="Arial" w:eastAsia="Arial" w:hAnsi="Arial"/>
                <w:sz w:val="11"/>
                <w:szCs w:val="11"/>
                <w:color w:val="auto"/>
              </w:rPr>
              <w:t>Mortgage fees and related income</w:t>
            </w: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98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314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378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460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315</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(69)</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(69)</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1,250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2,170</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62"/>
        </w:trPr>
        <w:tc>
          <w:tcPr>
            <w:tcW w:w="2200" w:type="dxa"/>
            <w:vAlign w:val="bottom"/>
            <w:gridSpan w:val="6"/>
          </w:tcPr>
          <w:p>
            <w:pPr>
              <w:spacing w:after="0"/>
              <w:rPr>
                <w:sz w:val="20"/>
                <w:szCs w:val="20"/>
                <w:color w:val="auto"/>
              </w:rPr>
            </w:pPr>
            <w:r>
              <w:rPr>
                <w:rFonts w:ascii="Arial" w:cs="Arial" w:eastAsia="Arial" w:hAnsi="Arial"/>
                <w:sz w:val="11"/>
                <w:szCs w:val="11"/>
                <w:color w:val="auto"/>
              </w:rPr>
              <w:t>Card income</w:t>
            </w: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1,226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1,086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1,133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975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1,100</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13</w:t>
            </w:r>
          </w:p>
        </w:tc>
        <w:tc>
          <w:tcPr>
            <w:tcW w:w="2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4,420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5,102</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75"/>
        </w:trPr>
        <w:tc>
          <w:tcPr>
            <w:tcW w:w="2200" w:type="dxa"/>
            <w:vAlign w:val="bottom"/>
            <w:gridSpan w:val="6"/>
          </w:tcPr>
          <w:p>
            <w:pPr>
              <w:spacing w:after="0"/>
              <w:rPr>
                <w:sz w:val="20"/>
                <w:szCs w:val="20"/>
                <w:color w:val="auto"/>
              </w:rPr>
            </w:pPr>
            <w:r>
              <w:rPr>
                <w:rFonts w:ascii="Arial" w:cs="Arial" w:eastAsia="Arial" w:hAnsi="Arial"/>
                <w:sz w:val="11"/>
                <w:szCs w:val="11"/>
                <w:color w:val="auto"/>
              </w:rPr>
              <w:t>Other income</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1,392</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900</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540</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1,490</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1,180</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55</w:t>
            </w:r>
          </w:p>
        </w:tc>
        <w:tc>
          <w:tcPr>
            <w:tcW w:w="20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4,322</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4,830</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48"/>
        </w:trPr>
        <w:tc>
          <w:tcPr>
            <w:tcW w:w="2200" w:type="dxa"/>
            <w:vAlign w:val="bottom"/>
            <w:gridSpan w:val="6"/>
          </w:tcPr>
          <w:p>
            <w:pPr>
              <w:ind w:left="200"/>
              <w:spacing w:after="0"/>
              <w:rPr>
                <w:sz w:val="20"/>
                <w:szCs w:val="20"/>
                <w:color w:val="auto"/>
              </w:rPr>
            </w:pPr>
            <w:r>
              <w:rPr>
                <w:rFonts w:ascii="Arial" w:cs="Arial" w:eastAsia="Arial" w:hAnsi="Arial"/>
                <w:sz w:val="11"/>
                <w:szCs w:val="11"/>
                <w:b w:val="1"/>
                <w:bCs w:val="1"/>
                <w:color w:val="auto"/>
              </w:rPr>
              <w:t>Noninterest revenue</w:t>
            </w:r>
          </w:p>
        </w:tc>
        <w:tc>
          <w:tcPr>
            <w:tcW w:w="14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14,355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15,198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15,587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16,845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15,656</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61,985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69,338</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6"/>
        </w:trPr>
        <w:tc>
          <w:tcPr>
            <w:tcW w:w="2200" w:type="dxa"/>
            <w:vAlign w:val="bottom"/>
            <w:gridSpan w:val="6"/>
          </w:tcPr>
          <w:p>
            <w:pPr>
              <w:spacing w:after="0"/>
              <w:rPr>
                <w:sz w:val="20"/>
                <w:szCs w:val="20"/>
                <w:color w:val="auto"/>
              </w:rPr>
            </w:pPr>
            <w:r>
              <w:rPr>
                <w:rFonts w:ascii="Arial" w:cs="Arial" w:eastAsia="Arial" w:hAnsi="Arial"/>
                <w:sz w:val="11"/>
                <w:szCs w:val="11"/>
                <w:color w:val="auto"/>
              </w:rPr>
              <w:t>Interest income</w:t>
            </w:r>
          </w:p>
        </w:tc>
        <w:tc>
          <w:tcPr>
            <w:tcW w:w="14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33,054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25,611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18,646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15,496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15,019</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29</w:t>
            </w:r>
          </w:p>
        </w:tc>
        <w:tc>
          <w:tcPr>
            <w:tcW w:w="20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120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92,807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57,864</w:t>
            </w: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76"/>
        </w:trPr>
        <w:tc>
          <w:tcPr>
            <w:tcW w:w="2200" w:type="dxa"/>
            <w:vAlign w:val="bottom"/>
            <w:gridSpan w:val="6"/>
          </w:tcPr>
          <w:p>
            <w:pPr>
              <w:spacing w:after="0"/>
              <w:rPr>
                <w:sz w:val="20"/>
                <w:szCs w:val="20"/>
                <w:color w:val="auto"/>
              </w:rPr>
            </w:pPr>
            <w:r>
              <w:rPr>
                <w:rFonts w:ascii="Arial" w:cs="Arial" w:eastAsia="Arial" w:hAnsi="Arial"/>
                <w:sz w:val="11"/>
                <w:szCs w:val="11"/>
                <w:color w:val="auto"/>
              </w:rPr>
              <w:t>Interest expense</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12,862</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8,093</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3,518</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1,624</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1,418</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59</w:t>
            </w:r>
          </w:p>
        </w:tc>
        <w:tc>
          <w:tcPr>
            <w:tcW w:w="200" w:type="dxa"/>
            <w:vAlign w:val="bottom"/>
          </w:tcPr>
          <w:p>
            <w:pPr>
              <w:spacing w:after="0"/>
              <w:rPr>
                <w:sz w:val="15"/>
                <w:szCs w:val="15"/>
                <w:color w:val="auto"/>
              </w:rPr>
            </w:pPr>
          </w:p>
        </w:tc>
        <w:tc>
          <w:tcPr>
            <w:tcW w:w="960" w:type="dxa"/>
            <w:vAlign w:val="bottom"/>
            <w:gridSpan w:val="2"/>
          </w:tcPr>
          <w:p>
            <w:pPr>
              <w:ind w:left="360"/>
              <w:spacing w:after="0"/>
              <w:rPr>
                <w:sz w:val="20"/>
                <w:szCs w:val="20"/>
                <w:color w:val="auto"/>
              </w:rPr>
            </w:pPr>
            <w:r>
              <w:rPr>
                <w:rFonts w:ascii="Arial" w:cs="Arial" w:eastAsia="Arial" w:hAnsi="Arial"/>
                <w:sz w:val="11"/>
                <w:szCs w:val="11"/>
                <w:color w:val="auto"/>
              </w:rPr>
              <w:t>NM</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26,097</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5,553</w:t>
            </w: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370</w:t>
            </w:r>
          </w:p>
        </w:tc>
        <w:tc>
          <w:tcPr>
            <w:tcW w:w="0" w:type="dxa"/>
            <w:vAlign w:val="bottom"/>
          </w:tcPr>
          <w:p>
            <w:pPr>
              <w:spacing w:after="0"/>
              <w:rPr>
                <w:sz w:val="1"/>
                <w:szCs w:val="1"/>
                <w:color w:val="auto"/>
              </w:rPr>
            </w:pPr>
          </w:p>
        </w:tc>
      </w:tr>
      <w:tr>
        <w:trPr>
          <w:trHeight w:val="155"/>
        </w:trPr>
        <w:tc>
          <w:tcPr>
            <w:tcW w:w="2200" w:type="dxa"/>
            <w:vAlign w:val="bottom"/>
            <w:gridSpan w:val="6"/>
          </w:tcPr>
          <w:p>
            <w:pPr>
              <w:ind w:left="200"/>
              <w:spacing w:after="0"/>
              <w:rPr>
                <w:sz w:val="20"/>
                <w:szCs w:val="20"/>
                <w:color w:val="auto"/>
              </w:rPr>
            </w:pPr>
            <w:r>
              <w:rPr>
                <w:rFonts w:ascii="Arial" w:cs="Arial" w:eastAsia="Arial" w:hAnsi="Arial"/>
                <w:sz w:val="11"/>
                <w:szCs w:val="11"/>
                <w:b w:val="1"/>
                <w:bCs w:val="1"/>
                <w:color w:val="auto"/>
              </w:rPr>
              <w:t>Net interest income</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20,192</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17,518</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15,128</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13,872</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13,601</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48</w:t>
            </w: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66,710</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52,311</w:t>
            </w: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48"/>
        </w:trPr>
        <w:tc>
          <w:tcPr>
            <w:tcW w:w="2200" w:type="dxa"/>
            <w:vAlign w:val="bottom"/>
            <w:gridSpan w:val="6"/>
          </w:tcPr>
          <w:p>
            <w:pPr>
              <w:ind w:left="200"/>
              <w:spacing w:after="0"/>
              <w:rPr>
                <w:sz w:val="20"/>
                <w:szCs w:val="20"/>
                <w:color w:val="auto"/>
              </w:rPr>
            </w:pPr>
            <w:r>
              <w:rPr>
                <w:rFonts w:ascii="Arial" w:cs="Arial" w:eastAsia="Arial" w:hAnsi="Arial"/>
                <w:sz w:val="11"/>
                <w:szCs w:val="11"/>
                <w:b w:val="1"/>
                <w:bCs w:val="1"/>
                <w:color w:val="auto"/>
              </w:rPr>
              <w:t>TOTAL NET REVENUE</w:t>
            </w:r>
          </w:p>
        </w:tc>
        <w:tc>
          <w:tcPr>
            <w:tcW w:w="14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34,547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32,716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30,715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30,717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29,257</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128,695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121,649</w:t>
            </w: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318"/>
        </w:trPr>
        <w:tc>
          <w:tcPr>
            <w:tcW w:w="2200" w:type="dxa"/>
            <w:vAlign w:val="bottom"/>
            <w:gridSpan w:val="6"/>
          </w:tcPr>
          <w:p>
            <w:pPr>
              <w:spacing w:after="0"/>
              <w:rPr>
                <w:sz w:val="20"/>
                <w:szCs w:val="20"/>
                <w:color w:val="auto"/>
              </w:rPr>
            </w:pPr>
            <w:r>
              <w:rPr>
                <w:rFonts w:ascii="Arial" w:cs="Arial" w:eastAsia="Arial" w:hAnsi="Arial"/>
                <w:sz w:val="11"/>
                <w:szCs w:val="11"/>
                <w:color w:val="auto"/>
              </w:rPr>
              <w:t>Provision for credit losses</w:t>
            </w:r>
          </w:p>
        </w:tc>
        <w:tc>
          <w:tcPr>
            <w:tcW w:w="140" w:type="dxa"/>
            <w:vAlign w:val="bottom"/>
          </w:tcPr>
          <w:p>
            <w:pPr>
              <w:spacing w:after="0"/>
              <w:rPr>
                <w:sz w:val="24"/>
                <w:szCs w:val="2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2,288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1,537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1,101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1,463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(1,288)</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49</w:t>
            </w:r>
          </w:p>
        </w:tc>
        <w:tc>
          <w:tcPr>
            <w:tcW w:w="200" w:type="dxa"/>
            <w:vAlign w:val="bottom"/>
          </w:tcPr>
          <w:p>
            <w:pPr>
              <w:spacing w:after="0"/>
              <w:rPr>
                <w:sz w:val="24"/>
                <w:szCs w:val="24"/>
                <w:color w:val="auto"/>
              </w:rPr>
            </w:pPr>
          </w:p>
        </w:tc>
        <w:tc>
          <w:tcPr>
            <w:tcW w:w="960" w:type="dxa"/>
            <w:vAlign w:val="bottom"/>
            <w:gridSpan w:val="2"/>
          </w:tcPr>
          <w:p>
            <w:pPr>
              <w:ind w:left="360"/>
              <w:spacing w:after="0"/>
              <w:rPr>
                <w:sz w:val="20"/>
                <w:szCs w:val="20"/>
                <w:color w:val="auto"/>
              </w:rPr>
            </w:pPr>
            <w:r>
              <w:rPr>
                <w:rFonts w:ascii="Arial" w:cs="Arial" w:eastAsia="Arial" w:hAnsi="Arial"/>
                <w:sz w:val="11"/>
                <w:szCs w:val="11"/>
                <w:color w:val="auto"/>
              </w:rPr>
              <w:t>NM</w:t>
            </w:r>
          </w:p>
        </w:tc>
        <w:tc>
          <w:tcPr>
            <w:tcW w:w="100" w:type="dxa"/>
            <w:vAlign w:val="bottom"/>
          </w:tcPr>
          <w:p>
            <w:pPr>
              <w:spacing w:after="0"/>
              <w:rPr>
                <w:sz w:val="24"/>
                <w:szCs w:val="2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6,389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(9,256)</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303"/>
        </w:trPr>
        <w:tc>
          <w:tcPr>
            <w:tcW w:w="2200" w:type="dxa"/>
            <w:vAlign w:val="bottom"/>
            <w:gridSpan w:val="6"/>
          </w:tcPr>
          <w:p>
            <w:pPr>
              <w:spacing w:after="0"/>
              <w:rPr>
                <w:sz w:val="20"/>
                <w:szCs w:val="20"/>
                <w:color w:val="auto"/>
              </w:rPr>
            </w:pPr>
            <w:r>
              <w:rPr>
                <w:rFonts w:ascii="Arial" w:cs="Arial" w:eastAsia="Arial" w:hAnsi="Arial"/>
                <w:sz w:val="11"/>
                <w:szCs w:val="11"/>
                <w:b w:val="1"/>
                <w:bCs w:val="1"/>
                <w:color w:val="auto"/>
              </w:rPr>
              <w:t>NONINTEREST EXPENSE</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320" w:type="dxa"/>
            <w:vAlign w:val="bottom"/>
            <w:tcBorders>
              <w:top w:val="single" w:sz="8" w:color="auto"/>
            </w:tcBorders>
            <w:gridSpan w:val="4"/>
          </w:tcPr>
          <w:p>
            <w:pPr>
              <w:spacing w:after="0"/>
              <w:rPr>
                <w:sz w:val="20"/>
                <w:szCs w:val="20"/>
                <w:color w:val="auto"/>
              </w:rPr>
            </w:pPr>
            <w:r>
              <w:rPr>
                <w:rFonts w:ascii="Arial" w:cs="Arial" w:eastAsia="Arial" w:hAnsi="Arial"/>
                <w:sz w:val="11"/>
                <w:szCs w:val="11"/>
                <w:color w:val="auto"/>
              </w:rPr>
              <w:t>Compensation expense</w:t>
            </w:r>
          </w:p>
        </w:tc>
        <w:tc>
          <w:tcPr>
            <w:tcW w:w="88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10,009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10,539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10,301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10,787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9,065</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41,636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38,567</w:t>
            </w: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2"/>
        </w:trPr>
        <w:tc>
          <w:tcPr>
            <w:tcW w:w="2200" w:type="dxa"/>
            <w:vAlign w:val="bottom"/>
            <w:gridSpan w:val="6"/>
          </w:tcPr>
          <w:p>
            <w:pPr>
              <w:spacing w:after="0"/>
              <w:rPr>
                <w:sz w:val="20"/>
                <w:szCs w:val="20"/>
                <w:color w:val="auto"/>
              </w:rPr>
            </w:pPr>
            <w:r>
              <w:rPr>
                <w:rFonts w:ascii="Arial" w:cs="Arial" w:eastAsia="Arial" w:hAnsi="Arial"/>
                <w:sz w:val="11"/>
                <w:szCs w:val="11"/>
                <w:color w:val="auto"/>
              </w:rPr>
              <w:t>Occupancy expense</w:t>
            </w: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1,271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1,162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1,129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1,134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1,202</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4,696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4,516</w:t>
            </w: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8"/>
        </w:trPr>
        <w:tc>
          <w:tcPr>
            <w:tcW w:w="2200" w:type="dxa"/>
            <w:vAlign w:val="bottom"/>
            <w:gridSpan w:val="6"/>
          </w:tcPr>
          <w:p>
            <w:pPr>
              <w:spacing w:after="0"/>
              <w:rPr>
                <w:sz w:val="20"/>
                <w:szCs w:val="20"/>
                <w:color w:val="auto"/>
              </w:rPr>
            </w:pPr>
            <w:r>
              <w:rPr>
                <w:rFonts w:ascii="Arial" w:cs="Arial" w:eastAsia="Arial" w:hAnsi="Arial"/>
                <w:sz w:val="11"/>
                <w:szCs w:val="11"/>
                <w:color w:val="auto"/>
                <w:w w:val="99"/>
              </w:rPr>
              <w:t>Technology, communications and equipment</w:t>
            </w:r>
          </w:p>
        </w:tc>
        <w:tc>
          <w:tcPr>
            <w:tcW w:w="14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2,256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2,366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2,376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2,360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2,461</w:t>
            </w:r>
          </w:p>
        </w:tc>
        <w:tc>
          <w:tcPr>
            <w:tcW w:w="7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1"/>
                <w:szCs w:val="11"/>
                <w:color w:val="auto"/>
              </w:rPr>
            </w:pPr>
          </w:p>
        </w:tc>
        <w:tc>
          <w:tcPr>
            <w:tcW w:w="540" w:type="dxa"/>
            <w:vAlign w:val="bottom"/>
            <w:vMerge w:val="restart"/>
          </w:tcPr>
          <w:p>
            <w:pPr>
              <w:jc w:val="right"/>
              <w:ind w:right="66"/>
              <w:spacing w:after="0"/>
              <w:rPr>
                <w:sz w:val="20"/>
                <w:szCs w:val="20"/>
                <w:color w:val="auto"/>
              </w:rPr>
            </w:pPr>
            <w:r>
              <w:rPr>
                <w:rFonts w:ascii="Arial" w:cs="Arial" w:eastAsia="Arial" w:hAnsi="Arial"/>
                <w:sz w:val="11"/>
                <w:szCs w:val="11"/>
                <w:color w:val="auto"/>
              </w:rPr>
              <w:t>(8)</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9,358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9,941</w:t>
            </w:r>
          </w:p>
        </w:tc>
        <w:tc>
          <w:tcPr>
            <w:tcW w:w="94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42"/>
        </w:trPr>
        <w:tc>
          <w:tcPr>
            <w:tcW w:w="2200" w:type="dxa"/>
            <w:vAlign w:val="bottom"/>
            <w:gridSpan w:val="6"/>
          </w:tcPr>
          <w:p>
            <w:pPr>
              <w:spacing w:after="0"/>
              <w:rPr>
                <w:sz w:val="20"/>
                <w:szCs w:val="20"/>
                <w:color w:val="auto"/>
              </w:rPr>
            </w:pPr>
            <w:r>
              <w:rPr>
                <w:rFonts w:ascii="Arial" w:cs="Arial" w:eastAsia="Arial" w:hAnsi="Arial"/>
                <w:sz w:val="11"/>
                <w:szCs w:val="11"/>
                <w:color w:val="auto"/>
              </w:rPr>
              <w:t>expense</w:t>
            </w: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00" w:type="dxa"/>
            <w:vAlign w:val="bottom"/>
            <w:gridSpan w:val="6"/>
          </w:tcPr>
          <w:p>
            <w:pPr>
              <w:spacing w:after="0"/>
              <w:rPr>
                <w:sz w:val="20"/>
                <w:szCs w:val="20"/>
                <w:color w:val="auto"/>
              </w:rPr>
            </w:pPr>
            <w:r>
              <w:rPr>
                <w:rFonts w:ascii="Arial" w:cs="Arial" w:eastAsia="Arial" w:hAnsi="Arial"/>
                <w:sz w:val="11"/>
                <w:szCs w:val="11"/>
                <w:color w:val="auto"/>
              </w:rPr>
              <w:t>Professional and outside services</w:t>
            </w: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2,652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2,481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2,469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2,572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2,703</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10,174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9,814</w:t>
            </w: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2200" w:type="dxa"/>
            <w:vAlign w:val="bottom"/>
            <w:gridSpan w:val="6"/>
          </w:tcPr>
          <w:p>
            <w:pPr>
              <w:spacing w:after="0"/>
              <w:rPr>
                <w:sz w:val="20"/>
                <w:szCs w:val="20"/>
                <w:color w:val="auto"/>
              </w:rPr>
            </w:pPr>
            <w:r>
              <w:rPr>
                <w:rFonts w:ascii="Arial" w:cs="Arial" w:eastAsia="Arial" w:hAnsi="Arial"/>
                <w:sz w:val="11"/>
                <w:szCs w:val="11"/>
                <w:color w:val="auto"/>
              </w:rPr>
              <w:t>Marketing</w:t>
            </w: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1,093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1,017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881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920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947</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15</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3,911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3,036</w:t>
            </w: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75"/>
        </w:trPr>
        <w:tc>
          <w:tcPr>
            <w:tcW w:w="2200" w:type="dxa"/>
            <w:vAlign w:val="bottom"/>
            <w:gridSpan w:val="6"/>
          </w:tcPr>
          <w:p>
            <w:pPr>
              <w:spacing w:after="0"/>
              <w:rPr>
                <w:sz w:val="20"/>
                <w:szCs w:val="20"/>
                <w:color w:val="auto"/>
              </w:rPr>
            </w:pPr>
            <w:r>
              <w:rPr>
                <w:rFonts w:ascii="Arial" w:cs="Arial" w:eastAsia="Arial" w:hAnsi="Arial"/>
                <w:sz w:val="11"/>
                <w:szCs w:val="11"/>
                <w:color w:val="auto"/>
              </w:rPr>
              <w:t>Other expense (a)</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1,741</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1,613</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1,593</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1,418</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1,510</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20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15</w:t>
            </w: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6,365</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5,469</w:t>
            </w: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56"/>
        </w:trPr>
        <w:tc>
          <w:tcPr>
            <w:tcW w:w="2200" w:type="dxa"/>
            <w:vAlign w:val="bottom"/>
            <w:gridSpan w:val="6"/>
          </w:tcPr>
          <w:p>
            <w:pPr>
              <w:ind w:left="200"/>
              <w:spacing w:after="0"/>
              <w:rPr>
                <w:sz w:val="20"/>
                <w:szCs w:val="20"/>
                <w:color w:val="auto"/>
              </w:rPr>
            </w:pPr>
            <w:r>
              <w:rPr>
                <w:rFonts w:ascii="Arial" w:cs="Arial" w:eastAsia="Arial" w:hAnsi="Arial"/>
                <w:sz w:val="11"/>
                <w:szCs w:val="11"/>
                <w:b w:val="1"/>
                <w:bCs w:val="1"/>
                <w:color w:val="auto"/>
              </w:rPr>
              <w:t>TOTAL NONINTEREST EXPENSE</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19,022</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19,178</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18,749</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19,191</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17,888</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76,140</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71,343</w:t>
            </w: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8"/>
        </w:trPr>
        <w:tc>
          <w:tcPr>
            <w:tcW w:w="2200" w:type="dxa"/>
            <w:vAlign w:val="bottom"/>
            <w:gridSpan w:val="6"/>
          </w:tcPr>
          <w:p>
            <w:pPr>
              <w:ind w:left="200"/>
              <w:spacing w:after="0"/>
              <w:rPr>
                <w:sz w:val="20"/>
                <w:szCs w:val="20"/>
                <w:color w:val="auto"/>
              </w:rPr>
            </w:pPr>
            <w:r>
              <w:rPr>
                <w:rFonts w:ascii="Arial" w:cs="Arial" w:eastAsia="Arial" w:hAnsi="Arial"/>
                <w:sz w:val="11"/>
                <w:szCs w:val="11"/>
                <w:b w:val="1"/>
                <w:bCs w:val="1"/>
                <w:color w:val="auto"/>
              </w:rPr>
              <w:t>Income before income tax expense</w:t>
            </w:r>
          </w:p>
        </w:tc>
        <w:tc>
          <w:tcPr>
            <w:tcW w:w="14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13,237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12,001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10,865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10,063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12,657</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10</w:t>
            </w:r>
          </w:p>
        </w:tc>
        <w:tc>
          <w:tcPr>
            <w:tcW w:w="20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46,166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59,562</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70"/>
        </w:trPr>
        <w:tc>
          <w:tcPr>
            <w:tcW w:w="2200" w:type="dxa"/>
            <w:vAlign w:val="bottom"/>
            <w:gridSpan w:val="6"/>
          </w:tcPr>
          <w:p>
            <w:pPr>
              <w:spacing w:after="0"/>
              <w:rPr>
                <w:sz w:val="20"/>
                <w:szCs w:val="20"/>
                <w:color w:val="auto"/>
              </w:rPr>
            </w:pPr>
            <w:r>
              <w:rPr>
                <w:rFonts w:ascii="Arial" w:cs="Arial" w:eastAsia="Arial" w:hAnsi="Arial"/>
                <w:sz w:val="11"/>
                <w:szCs w:val="11"/>
                <w:color w:val="auto"/>
              </w:rPr>
              <w:t>Income tax expense</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2,229</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2,264</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2,216</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1,781</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2,258</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8,490</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11,228</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69"/>
        </w:trPr>
        <w:tc>
          <w:tcPr>
            <w:tcW w:w="2200" w:type="dxa"/>
            <w:vAlign w:val="bottom"/>
            <w:gridSpan w:val="6"/>
          </w:tcPr>
          <w:p>
            <w:pPr>
              <w:ind w:left="200"/>
              <w:spacing w:after="0"/>
              <w:rPr>
                <w:sz w:val="20"/>
                <w:szCs w:val="20"/>
                <w:color w:val="auto"/>
              </w:rPr>
            </w:pPr>
            <w:r>
              <w:rPr>
                <w:rFonts w:ascii="Arial" w:cs="Arial" w:eastAsia="Arial" w:hAnsi="Arial"/>
                <w:sz w:val="11"/>
                <w:szCs w:val="11"/>
                <w:b w:val="1"/>
                <w:bCs w:val="1"/>
                <w:color w:val="auto"/>
              </w:rPr>
              <w:t>NET INCOME</w:t>
            </w: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11,008</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9,737</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8,649</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8,282</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10,399</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13</w:t>
            </w:r>
          </w:p>
        </w:tc>
        <w:tc>
          <w:tcPr>
            <w:tcW w:w="2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37,676</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48,334</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432"/>
        </w:trPr>
        <w:tc>
          <w:tcPr>
            <w:tcW w:w="2200" w:type="dxa"/>
            <w:vAlign w:val="bottom"/>
            <w:gridSpan w:val="6"/>
          </w:tcPr>
          <w:p>
            <w:pPr>
              <w:spacing w:after="0"/>
              <w:rPr>
                <w:sz w:val="20"/>
                <w:szCs w:val="20"/>
                <w:color w:val="auto"/>
              </w:rPr>
            </w:pPr>
            <w:r>
              <w:rPr>
                <w:rFonts w:ascii="Arial" w:cs="Arial" w:eastAsia="Arial" w:hAnsi="Arial"/>
                <w:sz w:val="11"/>
                <w:szCs w:val="11"/>
                <w:b w:val="1"/>
                <w:bCs w:val="1"/>
                <w:color w:val="auto"/>
              </w:rPr>
              <w:t>NET INCOME PER COMMON SHARE</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880" w:type="dxa"/>
            <w:vAlign w:val="bottom"/>
            <w:tcBorders>
              <w:top w:val="single" w:sz="8" w:color="auto"/>
            </w:tcBorders>
            <w:gridSpan w:val="5"/>
          </w:tcPr>
          <w:p>
            <w:pPr>
              <w:spacing w:after="0" w:line="88" w:lineRule="exact"/>
              <w:rPr>
                <w:sz w:val="20"/>
                <w:szCs w:val="20"/>
                <w:color w:val="auto"/>
              </w:rPr>
            </w:pPr>
            <w:r>
              <w:rPr>
                <w:rFonts w:ascii="Arial" w:cs="Arial" w:eastAsia="Arial" w:hAnsi="Arial"/>
                <w:sz w:val="10"/>
                <w:szCs w:val="10"/>
                <w:b w:val="1"/>
                <w:bCs w:val="1"/>
                <w:color w:val="auto"/>
              </w:rPr>
              <w:t>DATA</w:t>
            </w: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200" w:type="dxa"/>
            <w:vAlign w:val="bottom"/>
            <w:gridSpan w:val="6"/>
          </w:tcPr>
          <w:p>
            <w:pPr>
              <w:spacing w:after="0"/>
              <w:rPr>
                <w:sz w:val="20"/>
                <w:szCs w:val="20"/>
                <w:color w:val="auto"/>
              </w:rPr>
            </w:pPr>
            <w:r>
              <w:rPr>
                <w:rFonts w:ascii="Arial" w:cs="Arial" w:eastAsia="Arial" w:hAnsi="Arial"/>
                <w:sz w:val="11"/>
                <w:szCs w:val="11"/>
                <w:color w:val="auto"/>
              </w:rPr>
              <w:t>Basic earnings per share</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3.58</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3.13</w:t>
            </w:r>
          </w:p>
        </w:tc>
        <w:tc>
          <w:tcPr>
            <w:tcW w:w="22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2.77</w:t>
            </w:r>
          </w:p>
        </w:tc>
        <w:tc>
          <w:tcPr>
            <w:tcW w:w="20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2.64</w:t>
            </w:r>
          </w:p>
        </w:tc>
        <w:tc>
          <w:tcPr>
            <w:tcW w:w="20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3.33</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4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12.10</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15.39</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62"/>
        </w:trPr>
        <w:tc>
          <w:tcPr>
            <w:tcW w:w="2200" w:type="dxa"/>
            <w:vAlign w:val="bottom"/>
            <w:gridSpan w:val="6"/>
          </w:tcPr>
          <w:p>
            <w:pPr>
              <w:spacing w:after="0"/>
              <w:rPr>
                <w:sz w:val="20"/>
                <w:szCs w:val="20"/>
                <w:color w:val="auto"/>
              </w:rPr>
            </w:pPr>
            <w:r>
              <w:rPr>
                <w:rFonts w:ascii="Arial" w:cs="Arial" w:eastAsia="Arial" w:hAnsi="Arial"/>
                <w:sz w:val="11"/>
                <w:szCs w:val="11"/>
                <w:color w:val="auto"/>
              </w:rPr>
              <w:t>Diluted earnings per share</w:t>
            </w: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3.57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3.12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2.76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2.63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3.33</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12.09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15.36</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303"/>
        </w:trPr>
        <w:tc>
          <w:tcPr>
            <w:tcW w:w="102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6"/>
              </w:rPr>
              <w:t>FINANCIAL RATIOS</w:t>
            </w:r>
          </w:p>
        </w:tc>
        <w:tc>
          <w:tcPr>
            <w:tcW w:w="118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200" w:type="dxa"/>
            <w:vAlign w:val="bottom"/>
            <w:gridSpan w:val="6"/>
          </w:tcPr>
          <w:p>
            <w:pPr>
              <w:spacing w:after="0"/>
              <w:rPr>
                <w:sz w:val="20"/>
                <w:szCs w:val="20"/>
                <w:color w:val="auto"/>
              </w:rPr>
            </w:pPr>
            <w:r>
              <w:rPr>
                <w:rFonts w:ascii="Arial" w:cs="Arial" w:eastAsia="Arial" w:hAnsi="Arial"/>
                <w:sz w:val="11"/>
                <w:szCs w:val="11"/>
                <w:color w:val="auto"/>
              </w:rPr>
              <w:t>Return on common equity (b)</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16 %</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15 %</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13 %</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13 %</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16 %</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14 %</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19 %</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gridSpan w:val="6"/>
          </w:tcPr>
          <w:p>
            <w:pPr>
              <w:spacing w:after="0"/>
              <w:rPr>
                <w:sz w:val="20"/>
                <w:szCs w:val="20"/>
                <w:color w:val="auto"/>
              </w:rPr>
            </w:pPr>
            <w:r>
              <w:rPr>
                <w:rFonts w:ascii="Arial" w:cs="Arial" w:eastAsia="Arial" w:hAnsi="Arial"/>
                <w:sz w:val="11"/>
                <w:szCs w:val="11"/>
                <w:color w:val="auto"/>
              </w:rPr>
              <w:t>Return on tangible common equity (b)(c)</w:t>
            </w: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23</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gridSpan w:val="6"/>
          </w:tcPr>
          <w:p>
            <w:pPr>
              <w:spacing w:after="0"/>
              <w:rPr>
                <w:sz w:val="20"/>
                <w:szCs w:val="20"/>
                <w:color w:val="auto"/>
              </w:rPr>
            </w:pPr>
            <w:r>
              <w:rPr>
                <w:rFonts w:ascii="Arial" w:cs="Arial" w:eastAsia="Arial" w:hAnsi="Arial"/>
                <w:sz w:val="11"/>
                <w:szCs w:val="11"/>
                <w:color w:val="auto"/>
              </w:rPr>
              <w:t>Return on assets (b)</w:t>
            </w: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1.16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1.01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0.89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0.86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1.08</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0.98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1.30</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gridSpan w:val="6"/>
          </w:tcPr>
          <w:p>
            <w:pPr>
              <w:spacing w:after="0"/>
              <w:rPr>
                <w:sz w:val="20"/>
                <w:szCs w:val="20"/>
                <w:color w:val="auto"/>
              </w:rPr>
            </w:pPr>
            <w:r>
              <w:rPr>
                <w:rFonts w:ascii="Arial" w:cs="Arial" w:eastAsia="Arial" w:hAnsi="Arial"/>
                <w:sz w:val="11"/>
                <w:szCs w:val="11"/>
                <w:color w:val="auto"/>
              </w:rPr>
              <w:t>Effective income tax rate</w:t>
            </w: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16.8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18.9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20.4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17.7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17.8</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18.4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18.9</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gridSpan w:val="6"/>
          </w:tcPr>
          <w:p>
            <w:pPr>
              <w:spacing w:after="0"/>
              <w:rPr>
                <w:sz w:val="20"/>
                <w:szCs w:val="20"/>
                <w:color w:val="auto"/>
              </w:rPr>
            </w:pPr>
            <w:r>
              <w:rPr>
                <w:rFonts w:ascii="Arial" w:cs="Arial" w:eastAsia="Arial" w:hAnsi="Arial"/>
                <w:sz w:val="11"/>
                <w:szCs w:val="11"/>
                <w:color w:val="auto"/>
              </w:rPr>
              <w:t>Overhead ratio</w:t>
            </w: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61</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59</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4058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80" w:right="120" w:hanging="172"/>
        <w:spacing w:after="0" w:line="249" w:lineRule="auto"/>
        <w:tabs>
          <w:tab w:leader="none" w:pos="177" w:val="left"/>
        </w:tabs>
        <w:numPr>
          <w:ilvl w:val="0"/>
          <w:numId w:val="17"/>
        </w:numPr>
        <w:rPr>
          <w:rFonts w:ascii="Arial" w:cs="Arial" w:eastAsia="Arial" w:hAnsi="Arial"/>
          <w:sz w:val="11"/>
          <w:szCs w:val="11"/>
          <w:color w:val="auto"/>
        </w:rPr>
      </w:pPr>
      <w:r>
        <w:rPr>
          <w:rFonts w:ascii="Arial" w:cs="Arial" w:eastAsia="Arial" w:hAnsi="Arial"/>
          <w:sz w:val="11"/>
          <w:szCs w:val="11"/>
          <w:color w:val="auto"/>
        </w:rPr>
        <w:t>Included Firmwide legal expense of $27 million, $47 million, $73 million, $119 million and $137 million for the three months ended December 31, 2022, September 30, 2022, June 30, 2022, March 31, 2022 and December 31, 2021, respectively, and $266 million and $426 million for the full year 2022 and 2021, respectively.</w:t>
      </w:r>
    </w:p>
    <w:p>
      <w:pPr>
        <w:ind w:left="160" w:hanging="152"/>
        <w:spacing w:after="0" w:line="236" w:lineRule="auto"/>
        <w:tabs>
          <w:tab w:leader="none" w:pos="1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Quarterly ratios are based upon annualized amounts.</w:t>
      </w:r>
    </w:p>
    <w:p>
      <w:pPr>
        <w:ind w:left="160" w:hanging="152"/>
        <w:spacing w:after="0"/>
        <w:tabs>
          <w:tab w:leader="none" w:pos="1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Refer to page 29 for further discussion of ROTCE.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4</w:t>
      </w:r>
    </w:p>
    <w:p>
      <w:pPr>
        <w:sectPr>
          <w:pgSz w:w="11900" w:h="16838" w:orient="portrait"/>
          <w:cols w:equalWidth="0" w:num="1">
            <w:col w:w="11240"/>
          </w:cols>
          <w:pgMar w:left="320" w:top="572"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540" w:type="dxa"/>
            <w:vAlign w:val="bottom"/>
            <w:gridSpan w:val="4"/>
          </w:tcPr>
          <w:p>
            <w:pPr>
              <w:spacing w:after="0"/>
              <w:rPr>
                <w:sz w:val="20"/>
                <w:szCs w:val="20"/>
                <w:color w:val="auto"/>
              </w:rPr>
            </w:pPr>
            <w:r>
              <w:rPr>
                <w:rFonts w:ascii="Arial" w:cs="Arial" w:eastAsia="Arial" w:hAnsi="Arial"/>
                <w:sz w:val="11"/>
                <w:szCs w:val="11"/>
                <w:b w:val="1"/>
                <w:bCs w:val="1"/>
                <w:color w:val="auto"/>
              </w:rPr>
              <w:t>JPMORGAN CHASE &amp; CO.</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CONSOLIDATED</w:t>
            </w: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SHEETS</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40" w:type="dxa"/>
            <w:vAlign w:val="bottom"/>
            <w:gridSpan w:val="4"/>
          </w:tcPr>
          <w:p>
            <w:pPr>
              <w:spacing w:after="0"/>
              <w:rPr>
                <w:sz w:val="20"/>
                <w:szCs w:val="20"/>
                <w:color w:val="auto"/>
              </w:rPr>
            </w:pPr>
            <w:r>
              <w:rPr>
                <w:rFonts w:ascii="Arial" w:cs="Arial" w:eastAsia="Arial" w:hAnsi="Arial"/>
                <w:sz w:val="11"/>
                <w:szCs w:val="11"/>
                <w:b w:val="1"/>
                <w:bCs w:val="1"/>
                <w:color w:val="auto"/>
              </w:rPr>
              <w:t>(in millions)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6"/>
              </w:rPr>
              <w:t>Dec 31, 2022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bottom w:val="single" w:sz="8" w:color="auto"/>
            </w:tcBorders>
            <w:gridSpan w:val="3"/>
          </w:tcPr>
          <w:p>
            <w:pPr>
              <w:jc w:val="center"/>
              <w:ind w:left="446"/>
              <w:spacing w:after="0"/>
              <w:rPr>
                <w:sz w:val="20"/>
                <w:szCs w:val="20"/>
                <w:color w:val="auto"/>
              </w:rPr>
            </w:pPr>
            <w:r>
              <w:rPr>
                <w:rFonts w:ascii="Arial" w:cs="Arial" w:eastAsia="Arial" w:hAnsi="Arial"/>
                <w:sz w:val="11"/>
                <w:szCs w:val="11"/>
                <w:b w:val="1"/>
                <w:bCs w:val="1"/>
                <w:color w:val="auto"/>
                <w:w w:val="99"/>
              </w:rPr>
              <w:t>Change</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Dec 31,</w:t>
            </w:r>
          </w:p>
        </w:tc>
        <w:tc>
          <w:tcPr>
            <w:tcW w:w="80" w:type="dxa"/>
            <w:vAlign w:val="bottom"/>
          </w:tcPr>
          <w:p>
            <w:pPr>
              <w:spacing w:after="0"/>
              <w:rPr>
                <w:sz w:val="12"/>
                <w:szCs w:val="12"/>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Sep 30,</w:t>
            </w:r>
          </w:p>
        </w:tc>
        <w:tc>
          <w:tcPr>
            <w:tcW w:w="80" w:type="dxa"/>
            <w:vAlign w:val="bottom"/>
          </w:tcPr>
          <w:p>
            <w:pPr>
              <w:spacing w:after="0"/>
              <w:rPr>
                <w:sz w:val="12"/>
                <w:szCs w:val="12"/>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Jun 30,</w:t>
            </w:r>
          </w:p>
        </w:tc>
        <w:tc>
          <w:tcPr>
            <w:tcW w:w="80" w:type="dxa"/>
            <w:vAlign w:val="bottom"/>
          </w:tcPr>
          <w:p>
            <w:pPr>
              <w:spacing w:after="0"/>
              <w:rPr>
                <w:sz w:val="12"/>
                <w:szCs w:val="12"/>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Mar 31,</w:t>
            </w:r>
          </w:p>
        </w:tc>
        <w:tc>
          <w:tcPr>
            <w:tcW w:w="8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b w:val="1"/>
                <w:bCs w:val="1"/>
                <w:color w:val="auto"/>
              </w:rPr>
              <w:t>Dec 31,</w:t>
            </w:r>
          </w:p>
        </w:tc>
        <w:tc>
          <w:tcPr>
            <w:tcW w:w="240" w:type="dxa"/>
            <w:vAlign w:val="bottom"/>
          </w:tcPr>
          <w:p>
            <w:pPr>
              <w:spacing w:after="0"/>
              <w:rPr>
                <w:sz w:val="12"/>
                <w:szCs w:val="12"/>
                <w:color w:val="auto"/>
              </w:rPr>
            </w:pPr>
          </w:p>
        </w:tc>
        <w:tc>
          <w:tcPr>
            <w:tcW w:w="940" w:type="dxa"/>
            <w:vAlign w:val="bottom"/>
            <w:gridSpan w:val="3"/>
          </w:tcPr>
          <w:p>
            <w:pPr>
              <w:ind w:left="120"/>
              <w:spacing w:after="0"/>
              <w:rPr>
                <w:sz w:val="20"/>
                <w:szCs w:val="20"/>
                <w:color w:val="auto"/>
              </w:rPr>
            </w:pPr>
            <w:r>
              <w:rPr>
                <w:rFonts w:ascii="Arial" w:cs="Arial" w:eastAsia="Arial" w:hAnsi="Arial"/>
                <w:sz w:val="11"/>
                <w:szCs w:val="11"/>
                <w:b w:val="1"/>
                <w:bCs w:val="1"/>
                <w:color w:val="auto"/>
              </w:rPr>
              <w:t>Sep 30,</w:t>
            </w:r>
          </w:p>
        </w:tc>
        <w:tc>
          <w:tcPr>
            <w:tcW w:w="500" w:type="dxa"/>
            <w:vAlign w:val="bottom"/>
          </w:tcPr>
          <w:p>
            <w:pPr>
              <w:jc w:val="right"/>
              <w:ind w:right="46"/>
              <w:spacing w:after="0"/>
              <w:rPr>
                <w:sz w:val="20"/>
                <w:szCs w:val="20"/>
                <w:color w:val="auto"/>
              </w:rPr>
            </w:pPr>
            <w:r>
              <w:rPr>
                <w:rFonts w:ascii="Arial" w:cs="Arial" w:eastAsia="Arial" w:hAnsi="Arial"/>
                <w:sz w:val="11"/>
                <w:szCs w:val="11"/>
                <w:b w:val="1"/>
                <w:bCs w:val="1"/>
                <w:color w:val="auto"/>
                <w:w w:val="98"/>
              </w:rPr>
              <w:t>Dec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2022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2021</w:t>
            </w:r>
          </w:p>
        </w:tc>
        <w:tc>
          <w:tcPr>
            <w:tcW w:w="840" w:type="dxa"/>
            <w:vAlign w:val="bottom"/>
            <w:gridSpan w:val="2"/>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 w:type="dxa"/>
            <w:vAlign w:val="bottom"/>
            <w:tcBorders>
              <w:bottom w:val="single" w:sz="8" w:color="auto"/>
            </w:tcBorders>
          </w:tcPr>
          <w:p>
            <w:pPr>
              <w:spacing w:after="0" w:line="108" w:lineRule="exact"/>
              <w:rPr>
                <w:sz w:val="20"/>
                <w:szCs w:val="20"/>
                <w:color w:val="auto"/>
              </w:rPr>
            </w:pPr>
            <w:r>
              <w:rPr>
                <w:rFonts w:ascii="Arial" w:cs="Arial" w:eastAsia="Arial" w:hAnsi="Arial"/>
                <w:sz w:val="11"/>
                <w:szCs w:val="11"/>
                <w:b w:val="1"/>
                <w:bCs w:val="1"/>
                <w:color w:val="auto"/>
                <w:w w:val="95"/>
              </w:rPr>
              <w:t>ASSETS</w:t>
            </w:r>
          </w:p>
        </w:tc>
        <w:tc>
          <w:tcPr>
            <w:tcW w:w="1100" w:type="dxa"/>
            <w:vAlign w:val="bottom"/>
            <w:gridSpan w:val="3"/>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1"/>
                <w:szCs w:val="11"/>
                <w:color w:val="auto"/>
              </w:rPr>
              <w:t>Cash and due from banks</w:t>
            </w:r>
          </w:p>
        </w:tc>
        <w:tc>
          <w:tcPr>
            <w:tcW w:w="7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27,697</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24,654</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27,215</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26,165</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26,438</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12 %</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1"/>
                <w:szCs w:val="11"/>
                <w:color w:val="auto"/>
              </w:rPr>
              <w:t>Deposits with banks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539,537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619,533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642,045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728,367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714,396</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80" w:type="dxa"/>
            <w:vAlign w:val="bottom"/>
            <w:gridSpan w:val="5"/>
          </w:tcPr>
          <w:p>
            <w:pPr>
              <w:spacing w:after="0"/>
              <w:rPr>
                <w:sz w:val="20"/>
                <w:szCs w:val="20"/>
                <w:color w:val="auto"/>
              </w:rPr>
            </w:pPr>
            <w:r>
              <w:rPr>
                <w:rFonts w:ascii="Arial" w:cs="Arial" w:eastAsia="Arial" w:hAnsi="Arial"/>
                <w:sz w:val="11"/>
                <w:szCs w:val="11"/>
                <w:color w:val="auto"/>
              </w:rPr>
              <w:t>Federal funds sold and securities purchased</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40" w:type="dxa"/>
            <w:vAlign w:val="bottom"/>
            <w:gridSpan w:val="4"/>
          </w:tcPr>
          <w:p>
            <w:pPr>
              <w:spacing w:after="0"/>
              <w:rPr>
                <w:sz w:val="20"/>
                <w:szCs w:val="20"/>
                <w:color w:val="auto"/>
              </w:rPr>
            </w:pPr>
            <w:r>
              <w:rPr>
                <w:rFonts w:ascii="Arial" w:cs="Arial" w:eastAsia="Arial" w:hAnsi="Arial"/>
                <w:sz w:val="11"/>
                <w:szCs w:val="11"/>
                <w:color w:val="auto"/>
              </w:rPr>
              <w:t>under</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40" w:type="dxa"/>
            <w:vAlign w:val="bottom"/>
            <w:gridSpan w:val="4"/>
          </w:tcPr>
          <w:p>
            <w:pPr>
              <w:ind w:left="120"/>
              <w:spacing w:after="0"/>
              <w:rPr>
                <w:sz w:val="20"/>
                <w:szCs w:val="20"/>
                <w:color w:val="auto"/>
              </w:rPr>
            </w:pPr>
            <w:r>
              <w:rPr>
                <w:rFonts w:ascii="Arial" w:cs="Arial" w:eastAsia="Arial" w:hAnsi="Arial"/>
                <w:sz w:val="11"/>
                <w:szCs w:val="11"/>
                <w:color w:val="auto"/>
              </w:rPr>
              <w:t>resale agreements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315,592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301,878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322,156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301,875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261,698</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1"/>
                <w:szCs w:val="11"/>
                <w:color w:val="auto"/>
              </w:rPr>
              <w:t>Securities borrowed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185,369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193,216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202,393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224,852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206,071</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1"/>
                <w:szCs w:val="11"/>
                <w:color w:val="auto"/>
              </w:rPr>
              <w:t>Trading assets: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40" w:type="dxa"/>
            <w:vAlign w:val="bottom"/>
            <w:gridSpan w:val="4"/>
          </w:tcPr>
          <w:p>
            <w:pPr>
              <w:ind w:left="120"/>
              <w:spacing w:after="0"/>
              <w:rPr>
                <w:sz w:val="20"/>
                <w:szCs w:val="20"/>
                <w:color w:val="auto"/>
              </w:rPr>
            </w:pPr>
            <w:r>
              <w:rPr>
                <w:rFonts w:ascii="Arial" w:cs="Arial" w:eastAsia="Arial" w:hAnsi="Arial"/>
                <w:sz w:val="11"/>
                <w:szCs w:val="11"/>
                <w:color w:val="auto"/>
              </w:rPr>
              <w:t>Debt and equity instruments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382,919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413,953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384,260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437,892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376,494</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40" w:type="dxa"/>
            <w:vAlign w:val="bottom"/>
            <w:gridSpan w:val="4"/>
          </w:tcPr>
          <w:p>
            <w:pPr>
              <w:ind w:left="120"/>
              <w:spacing w:after="0"/>
              <w:rPr>
                <w:sz w:val="20"/>
                <w:szCs w:val="20"/>
                <w:color w:val="auto"/>
              </w:rPr>
            </w:pPr>
            <w:r>
              <w:rPr>
                <w:rFonts w:ascii="Arial" w:cs="Arial" w:eastAsia="Arial" w:hAnsi="Arial"/>
                <w:sz w:val="11"/>
                <w:szCs w:val="11"/>
                <w:color w:val="auto"/>
              </w:rPr>
              <w:t>Derivative receivables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70,880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92,534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81,317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73,636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57,081</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5"/>
          </w:tcPr>
          <w:p>
            <w:pPr>
              <w:spacing w:after="0"/>
              <w:rPr>
                <w:sz w:val="20"/>
                <w:szCs w:val="20"/>
                <w:color w:val="auto"/>
              </w:rPr>
            </w:pPr>
            <w:r>
              <w:rPr>
                <w:rFonts w:ascii="Arial" w:cs="Arial" w:eastAsia="Arial" w:hAnsi="Arial"/>
                <w:sz w:val="11"/>
                <w:szCs w:val="11"/>
                <w:color w:val="auto"/>
              </w:rPr>
              <w:t>Available-for-sale (“AFS”) securities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205,857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188,140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222,069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312,875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308,525</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gridSpan w:val="5"/>
          </w:tcPr>
          <w:p>
            <w:pPr>
              <w:spacing w:after="0"/>
              <w:rPr>
                <w:sz w:val="20"/>
                <w:szCs w:val="20"/>
                <w:color w:val="auto"/>
              </w:rPr>
            </w:pPr>
            <w:r>
              <w:rPr>
                <w:rFonts w:ascii="Arial" w:cs="Arial" w:eastAsia="Arial" w:hAnsi="Arial"/>
                <w:sz w:val="11"/>
                <w:szCs w:val="11"/>
                <w:color w:val="auto"/>
              </w:rPr>
              <w:t>Held-to-maturity (”HTM”) securities</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425,305</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430,106</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441,649</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366,585</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363,707</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80" w:type="dxa"/>
            <w:vAlign w:val="bottom"/>
            <w:gridSpan w:val="5"/>
          </w:tcPr>
          <w:p>
            <w:pPr>
              <w:ind w:left="120"/>
              <w:spacing w:after="0" w:line="95" w:lineRule="exact"/>
              <w:rPr>
                <w:sz w:val="20"/>
                <w:szCs w:val="20"/>
                <w:color w:val="auto"/>
              </w:rPr>
            </w:pPr>
            <w:r>
              <w:rPr>
                <w:rFonts w:ascii="Arial" w:cs="Arial" w:eastAsia="Arial" w:hAnsi="Arial"/>
                <w:sz w:val="10"/>
                <w:szCs w:val="10"/>
                <w:b w:val="1"/>
                <w:bCs w:val="1"/>
                <w:color w:val="auto"/>
              </w:rPr>
              <w:t>Investment securities, net of allowance</w:t>
            </w:r>
          </w:p>
        </w:tc>
        <w:tc>
          <w:tcPr>
            <w:tcW w:w="80" w:type="dxa"/>
            <w:vAlign w:val="bottom"/>
          </w:tcPr>
          <w:p>
            <w:pPr>
              <w:spacing w:after="0"/>
              <w:rPr>
                <w:sz w:val="8"/>
                <w:szCs w:val="8"/>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631,162</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618,246</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663,718</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679,460</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672,232</w:t>
            </w:r>
          </w:p>
        </w:tc>
        <w:tc>
          <w:tcPr>
            <w:tcW w:w="84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jc w:val="right"/>
              <w:ind w:right="6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40" w:type="dxa"/>
            <w:vAlign w:val="bottom"/>
            <w:gridSpan w:val="4"/>
          </w:tcPr>
          <w:p>
            <w:pPr>
              <w:ind w:left="120"/>
              <w:spacing w:after="0"/>
              <w:rPr>
                <w:sz w:val="20"/>
                <w:szCs w:val="20"/>
                <w:color w:val="auto"/>
              </w:rPr>
            </w:pPr>
            <w:r>
              <w:rPr>
                <w:rFonts w:ascii="Arial" w:cs="Arial" w:eastAsia="Arial" w:hAnsi="Arial"/>
                <w:sz w:val="11"/>
                <w:szCs w:val="11"/>
                <w:b w:val="1"/>
                <w:bCs w:val="1"/>
                <w:color w:val="auto"/>
              </w:rPr>
              <w:t>for credit losses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40" w:type="dxa"/>
            <w:vAlign w:val="bottom"/>
            <w:gridSpan w:val="4"/>
          </w:tcPr>
          <w:p>
            <w:pPr>
              <w:spacing w:after="0"/>
              <w:rPr>
                <w:sz w:val="20"/>
                <w:szCs w:val="20"/>
                <w:color w:val="auto"/>
              </w:rPr>
            </w:pPr>
            <w:r>
              <w:rPr>
                <w:rFonts w:ascii="Arial" w:cs="Arial" w:eastAsia="Arial" w:hAnsi="Arial"/>
                <w:sz w:val="11"/>
                <w:szCs w:val="11"/>
                <w:color w:val="auto"/>
              </w:rPr>
              <w:t>Loans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1,135,647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1,112,633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1,104,155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1,073,285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1,077,714</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40" w:type="dxa"/>
            <w:vAlign w:val="bottom"/>
            <w:gridSpan w:val="4"/>
          </w:tcPr>
          <w:p>
            <w:pPr>
              <w:spacing w:after="0"/>
              <w:rPr>
                <w:sz w:val="20"/>
                <w:szCs w:val="20"/>
                <w:color w:val="auto"/>
              </w:rPr>
            </w:pPr>
            <w:r>
              <w:rPr>
                <w:rFonts w:ascii="Arial" w:cs="Arial" w:eastAsia="Arial" w:hAnsi="Arial"/>
                <w:sz w:val="11"/>
                <w:szCs w:val="11"/>
                <w:color w:val="auto"/>
                <w:w w:val="99"/>
              </w:rPr>
              <w:t>Less: Allowance for loan losses</w:t>
            </w:r>
          </w:p>
        </w:tc>
        <w:tc>
          <w:tcPr>
            <w:tcW w:w="7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19,726</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18,185</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17,750</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17,192</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16,386</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gridSpan w:val="5"/>
          </w:tcPr>
          <w:p>
            <w:pPr>
              <w:ind w:left="120"/>
              <w:spacing w:after="0"/>
              <w:rPr>
                <w:sz w:val="20"/>
                <w:szCs w:val="20"/>
                <w:color w:val="auto"/>
              </w:rPr>
            </w:pPr>
            <w:r>
              <w:rPr>
                <w:rFonts w:ascii="Arial" w:cs="Arial" w:eastAsia="Arial" w:hAnsi="Arial"/>
                <w:sz w:val="11"/>
                <w:szCs w:val="11"/>
                <w:b w:val="1"/>
                <w:bCs w:val="1"/>
                <w:color w:val="auto"/>
              </w:rPr>
              <w:t>Loans, net of allowance for loan losses</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1,115,921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1,094,448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1,086,405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1,056,093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1,061,328</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gridSpan w:val="5"/>
          </w:tcPr>
          <w:p>
            <w:pPr>
              <w:spacing w:after="0"/>
              <w:rPr>
                <w:sz w:val="20"/>
                <w:szCs w:val="20"/>
                <w:color w:val="auto"/>
              </w:rPr>
            </w:pPr>
            <w:r>
              <w:rPr>
                <w:rFonts w:ascii="Arial" w:cs="Arial" w:eastAsia="Arial" w:hAnsi="Arial"/>
                <w:sz w:val="11"/>
                <w:szCs w:val="11"/>
                <w:color w:val="auto"/>
              </w:rPr>
              <w:t>Accrued interest and accounts receivable</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125,189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143,905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145,442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152,207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102,570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1"/>
                <w:szCs w:val="11"/>
                <w:color w:val="auto"/>
              </w:rPr>
              <w:t>Premises and equipment</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27,734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27,199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26,770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26,916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27,070</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5"/>
          </w:tcPr>
          <w:p>
            <w:pPr>
              <w:spacing w:after="0"/>
              <w:rPr>
                <w:sz w:val="20"/>
                <w:szCs w:val="20"/>
                <w:color w:val="auto"/>
              </w:rPr>
            </w:pPr>
            <w:r>
              <w:rPr>
                <w:rFonts w:ascii="Arial" w:cs="Arial" w:eastAsia="Arial" w:hAnsi="Arial"/>
                <w:sz w:val="11"/>
                <w:szCs w:val="11"/>
                <w:color w:val="auto"/>
              </w:rPr>
              <w:t>Goodwill, MSRs and other intangible assets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60,859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60,806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59,360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58,485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56,691</w:t>
            </w:r>
          </w:p>
        </w:tc>
        <w:tc>
          <w:tcPr>
            <w:tcW w:w="240" w:type="dxa"/>
            <w:vAlign w:val="bottom"/>
          </w:tcPr>
          <w:p>
            <w:pPr>
              <w:spacing w:after="0"/>
              <w:rPr>
                <w:sz w:val="14"/>
                <w:szCs w:val="14"/>
                <w:color w:val="auto"/>
              </w:rPr>
            </w:pPr>
          </w:p>
        </w:tc>
        <w:tc>
          <w:tcPr>
            <w:tcW w:w="94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40" w:type="dxa"/>
            <w:vAlign w:val="bottom"/>
            <w:gridSpan w:val="4"/>
          </w:tcPr>
          <w:p>
            <w:pPr>
              <w:spacing w:after="0"/>
              <w:rPr>
                <w:sz w:val="20"/>
                <w:szCs w:val="20"/>
                <w:color w:val="auto"/>
              </w:rPr>
            </w:pPr>
            <w:r>
              <w:rPr>
                <w:rFonts w:ascii="Arial" w:cs="Arial" w:eastAsia="Arial" w:hAnsi="Arial"/>
                <w:sz w:val="11"/>
                <w:szCs w:val="11"/>
                <w:color w:val="auto"/>
              </w:rPr>
              <w:t>Other assets</w:t>
            </w:r>
          </w:p>
        </w:tc>
        <w:tc>
          <w:tcPr>
            <w:tcW w:w="7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182,884</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183,512</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200,233</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188,739</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181,498</w:t>
            </w:r>
          </w:p>
        </w:tc>
        <w:tc>
          <w:tcPr>
            <w:tcW w:w="240" w:type="dxa"/>
            <w:vAlign w:val="bottom"/>
          </w:tcPr>
          <w:p>
            <w:pPr>
              <w:spacing w:after="0"/>
              <w:rPr>
                <w:sz w:val="15"/>
                <w:szCs w:val="15"/>
                <w:color w:val="auto"/>
              </w:rPr>
            </w:pPr>
          </w:p>
        </w:tc>
        <w:tc>
          <w:tcPr>
            <w:tcW w:w="94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4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ASSETS</w:t>
            </w:r>
          </w:p>
        </w:tc>
        <w:tc>
          <w:tcPr>
            <w:tcW w:w="7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3,665,743</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3,773,884</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3,841,314</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3,954,687</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3,743,567</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40" w:type="dxa"/>
            <w:vAlign w:val="bottom"/>
            <w:gridSpan w:val="4"/>
          </w:tcPr>
          <w:p>
            <w:pPr>
              <w:spacing w:after="0"/>
              <w:rPr>
                <w:sz w:val="20"/>
                <w:szCs w:val="20"/>
                <w:color w:val="auto"/>
              </w:rPr>
            </w:pPr>
            <w:r>
              <w:rPr>
                <w:rFonts w:ascii="Arial" w:cs="Arial" w:eastAsia="Arial" w:hAnsi="Arial"/>
                <w:sz w:val="11"/>
                <w:szCs w:val="11"/>
                <w:b w:val="1"/>
                <w:bCs w:val="1"/>
                <w:color w:val="auto"/>
              </w:rPr>
              <w:t>LIABILITIES</w:t>
            </w: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2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Deposits</w:t>
            </w:r>
          </w:p>
        </w:tc>
        <w:tc>
          <w:tcPr>
            <w:tcW w:w="92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2,340,179</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2,408,615</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2,471,544</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2,561,207</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2,462,303</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80" w:type="dxa"/>
            <w:vAlign w:val="bottom"/>
            <w:gridSpan w:val="5"/>
          </w:tcPr>
          <w:p>
            <w:pPr>
              <w:spacing w:after="0"/>
              <w:rPr>
                <w:sz w:val="20"/>
                <w:szCs w:val="20"/>
                <w:color w:val="auto"/>
              </w:rPr>
            </w:pPr>
            <w:r>
              <w:rPr>
                <w:rFonts w:ascii="Arial" w:cs="Arial" w:eastAsia="Arial" w:hAnsi="Arial"/>
                <w:sz w:val="11"/>
                <w:szCs w:val="11"/>
                <w:color w:val="auto"/>
                <w:w w:val="98"/>
              </w:rPr>
              <w:t>Federal funds purchased and securities loaned</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40" w:type="dxa"/>
            <w:vAlign w:val="bottom"/>
            <w:gridSpan w:val="4"/>
          </w:tcPr>
          <w:p>
            <w:pPr>
              <w:spacing w:after="0"/>
              <w:rPr>
                <w:sz w:val="20"/>
                <w:szCs w:val="20"/>
                <w:color w:val="auto"/>
              </w:rPr>
            </w:pPr>
            <w:r>
              <w:rPr>
                <w:rFonts w:ascii="Arial" w:cs="Arial" w:eastAsia="Arial" w:hAnsi="Arial"/>
                <w:sz w:val="11"/>
                <w:szCs w:val="11"/>
                <w:color w:val="auto"/>
              </w:rPr>
              <w:t>or sold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5"/>
          </w:tcPr>
          <w:p>
            <w:pPr>
              <w:ind w:left="120"/>
              <w:spacing w:after="0"/>
              <w:rPr>
                <w:sz w:val="20"/>
                <w:szCs w:val="20"/>
                <w:color w:val="auto"/>
              </w:rPr>
            </w:pPr>
            <w:r>
              <w:rPr>
                <w:rFonts w:ascii="Arial" w:cs="Arial" w:eastAsia="Arial" w:hAnsi="Arial"/>
                <w:sz w:val="11"/>
                <w:szCs w:val="11"/>
                <w:color w:val="auto"/>
              </w:rPr>
              <w:t>under repurchase agreements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202,613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239,939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222,719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223,858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194,340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1"/>
                <w:szCs w:val="11"/>
                <w:color w:val="auto"/>
              </w:rPr>
              <w:t>Short-term borrowings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44,027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47,866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58,422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57,586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53,594</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1"/>
                <w:szCs w:val="11"/>
                <w:color w:val="auto"/>
              </w:rPr>
              <w:t>Trading liabilities: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40" w:type="dxa"/>
            <w:vAlign w:val="bottom"/>
            <w:gridSpan w:val="4"/>
          </w:tcPr>
          <w:p>
            <w:pPr>
              <w:ind w:left="120"/>
              <w:spacing w:after="0"/>
              <w:rPr>
                <w:sz w:val="20"/>
                <w:szCs w:val="20"/>
                <w:color w:val="auto"/>
              </w:rPr>
            </w:pPr>
            <w:r>
              <w:rPr>
                <w:rFonts w:ascii="Arial" w:cs="Arial" w:eastAsia="Arial" w:hAnsi="Arial"/>
                <w:sz w:val="11"/>
                <w:szCs w:val="11"/>
                <w:color w:val="auto"/>
              </w:rPr>
              <w:t>Debt and equity instruments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126,835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133,175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137,891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144,280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114,577</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40" w:type="dxa"/>
            <w:vAlign w:val="bottom"/>
            <w:gridSpan w:val="4"/>
          </w:tcPr>
          <w:p>
            <w:pPr>
              <w:ind w:left="120"/>
              <w:spacing w:after="0"/>
              <w:rPr>
                <w:sz w:val="20"/>
                <w:szCs w:val="20"/>
                <w:color w:val="auto"/>
              </w:rPr>
            </w:pPr>
            <w:r>
              <w:rPr>
                <w:rFonts w:ascii="Arial" w:cs="Arial" w:eastAsia="Arial" w:hAnsi="Arial"/>
                <w:sz w:val="11"/>
                <w:szCs w:val="11"/>
                <w:color w:val="auto"/>
              </w:rPr>
              <w:t>Derivative payables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51,141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56,703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52,417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57,803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50,116</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5"/>
          </w:tcPr>
          <w:p>
            <w:pPr>
              <w:spacing w:after="0"/>
              <w:rPr>
                <w:sz w:val="20"/>
                <w:szCs w:val="20"/>
                <w:color w:val="auto"/>
              </w:rPr>
            </w:pPr>
            <w:r>
              <w:rPr>
                <w:rFonts w:ascii="Arial" w:cs="Arial" w:eastAsia="Arial" w:hAnsi="Arial"/>
                <w:sz w:val="11"/>
                <w:szCs w:val="11"/>
                <w:color w:val="auto"/>
              </w:rPr>
              <w:t>Accounts payable and other liabilities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300,141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300,016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313,326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320,671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262,755</w:t>
            </w:r>
          </w:p>
        </w:tc>
        <w:tc>
          <w:tcPr>
            <w:tcW w:w="240" w:type="dxa"/>
            <w:vAlign w:val="bottom"/>
          </w:tcPr>
          <w:p>
            <w:pPr>
              <w:spacing w:after="0"/>
              <w:rPr>
                <w:sz w:val="14"/>
                <w:szCs w:val="14"/>
                <w:color w:val="auto"/>
              </w:rPr>
            </w:pPr>
          </w:p>
        </w:tc>
        <w:tc>
          <w:tcPr>
            <w:tcW w:w="94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80" w:type="dxa"/>
            <w:vAlign w:val="bottom"/>
            <w:gridSpan w:val="5"/>
          </w:tcPr>
          <w:p>
            <w:pPr>
              <w:spacing w:after="0"/>
              <w:rPr>
                <w:sz w:val="20"/>
                <w:szCs w:val="20"/>
                <w:color w:val="auto"/>
              </w:rPr>
            </w:pPr>
            <w:r>
              <w:rPr>
                <w:rFonts w:ascii="Arial" w:cs="Arial" w:eastAsia="Arial" w:hAnsi="Arial"/>
                <w:sz w:val="11"/>
                <w:szCs w:val="11"/>
                <w:color w:val="auto"/>
              </w:rPr>
              <w:t>Beneficial interests issued by consolidated</w:t>
            </w: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12,610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12,079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10,640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10,144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10,750</w:t>
            </w:r>
          </w:p>
        </w:tc>
        <w:tc>
          <w:tcPr>
            <w:tcW w:w="84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ind w:right="10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40" w:type="dxa"/>
            <w:vAlign w:val="bottom"/>
            <w:gridSpan w:val="4"/>
          </w:tcPr>
          <w:p>
            <w:pPr>
              <w:spacing w:after="0"/>
              <w:rPr>
                <w:sz w:val="20"/>
                <w:szCs w:val="20"/>
                <w:color w:val="auto"/>
              </w:rPr>
            </w:pPr>
            <w:r>
              <w:rPr>
                <w:rFonts w:ascii="Arial" w:cs="Arial" w:eastAsia="Arial" w:hAnsi="Arial"/>
                <w:sz w:val="11"/>
                <w:szCs w:val="11"/>
                <w:color w:val="auto"/>
              </w:rPr>
              <w:t>VIEs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40" w:type="dxa"/>
            <w:vAlign w:val="bottom"/>
            <w:gridSpan w:val="4"/>
          </w:tcPr>
          <w:p>
            <w:pPr>
              <w:spacing w:after="0"/>
              <w:rPr>
                <w:sz w:val="20"/>
                <w:szCs w:val="20"/>
                <w:color w:val="auto"/>
              </w:rPr>
            </w:pPr>
            <w:r>
              <w:rPr>
                <w:rFonts w:ascii="Arial" w:cs="Arial" w:eastAsia="Arial" w:hAnsi="Arial"/>
                <w:sz w:val="11"/>
                <w:szCs w:val="11"/>
                <w:color w:val="auto"/>
              </w:rPr>
              <w:t>Long-term debt</w:t>
            </w:r>
          </w:p>
        </w:tc>
        <w:tc>
          <w:tcPr>
            <w:tcW w:w="7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295,865</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287,473</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288,212</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293,239</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301,005</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4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LIABILITIES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3,373,411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3,485,866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3,555,171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3,668,788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3,449,440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7"/>
              </w:rPr>
              <w:t>STOCKHOLDERS’ EQUITY</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1"/>
                <w:szCs w:val="11"/>
                <w:color w:val="auto"/>
              </w:rPr>
              <w:t>Preferred stock</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27,404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32,838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32,838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32,838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34,838</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1"/>
                <w:szCs w:val="11"/>
                <w:color w:val="auto"/>
              </w:rPr>
              <w:t>Common stock</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4,105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4,105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4,105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4,105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4,105</w:t>
            </w:r>
          </w:p>
        </w:tc>
        <w:tc>
          <w:tcPr>
            <w:tcW w:w="240" w:type="dxa"/>
            <w:vAlign w:val="bottom"/>
          </w:tcPr>
          <w:p>
            <w:pPr>
              <w:spacing w:after="0"/>
              <w:rPr>
                <w:sz w:val="14"/>
                <w:szCs w:val="14"/>
                <w:color w:val="auto"/>
              </w:rPr>
            </w:pPr>
          </w:p>
        </w:tc>
        <w:tc>
          <w:tcPr>
            <w:tcW w:w="94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1"/>
                <w:szCs w:val="11"/>
                <w:color w:val="auto"/>
              </w:rPr>
              <w:t>Additional paid-in capital</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89,044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88,865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88,614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88,260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88,415</w:t>
            </w:r>
          </w:p>
        </w:tc>
        <w:tc>
          <w:tcPr>
            <w:tcW w:w="240" w:type="dxa"/>
            <w:vAlign w:val="bottom"/>
          </w:tcPr>
          <w:p>
            <w:pPr>
              <w:spacing w:after="0"/>
              <w:rPr>
                <w:sz w:val="14"/>
                <w:szCs w:val="14"/>
                <w:color w:val="auto"/>
              </w:rPr>
            </w:pPr>
          </w:p>
        </w:tc>
        <w:tc>
          <w:tcPr>
            <w:tcW w:w="94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1"/>
                <w:szCs w:val="11"/>
                <w:color w:val="auto"/>
              </w:rPr>
              <w:t>Retained earnings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296,456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288,776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282,445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277,177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272,268</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80" w:type="dxa"/>
            <w:vAlign w:val="bottom"/>
            <w:gridSpan w:val="5"/>
          </w:tcPr>
          <w:p>
            <w:pPr>
              <w:spacing w:after="0"/>
              <w:rPr>
                <w:sz w:val="20"/>
                <w:szCs w:val="20"/>
                <w:color w:val="auto"/>
              </w:rPr>
            </w:pPr>
            <w:r>
              <w:rPr>
                <w:rFonts w:ascii="Arial" w:cs="Arial" w:eastAsia="Arial" w:hAnsi="Arial"/>
                <w:sz w:val="11"/>
                <w:szCs w:val="11"/>
                <w:color w:val="auto"/>
              </w:rPr>
              <w:t>Accumulated other comprehensive</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(17,341)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(19,134)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(14,369)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(9,567)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(84)</w:t>
            </w:r>
          </w:p>
        </w:tc>
        <w:tc>
          <w:tcPr>
            <w:tcW w:w="84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40" w:type="dxa"/>
            <w:vAlign w:val="bottom"/>
            <w:gridSpan w:val="4"/>
          </w:tcPr>
          <w:p>
            <w:pPr>
              <w:spacing w:after="0"/>
              <w:rPr>
                <w:sz w:val="20"/>
                <w:szCs w:val="20"/>
                <w:color w:val="auto"/>
              </w:rPr>
            </w:pPr>
            <w:r>
              <w:rPr>
                <w:rFonts w:ascii="Arial" w:cs="Arial" w:eastAsia="Arial" w:hAnsi="Arial"/>
                <w:sz w:val="11"/>
                <w:szCs w:val="11"/>
                <w:color w:val="auto"/>
              </w:rPr>
              <w:t>income/(loss) (“AOCI”)</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40" w:type="dxa"/>
            <w:vAlign w:val="bottom"/>
            <w:gridSpan w:val="4"/>
          </w:tcPr>
          <w:p>
            <w:pPr>
              <w:spacing w:after="0"/>
              <w:rPr>
                <w:sz w:val="20"/>
                <w:szCs w:val="20"/>
                <w:color w:val="auto"/>
              </w:rPr>
            </w:pPr>
            <w:r>
              <w:rPr>
                <w:rFonts w:ascii="Arial" w:cs="Arial" w:eastAsia="Arial" w:hAnsi="Arial"/>
                <w:sz w:val="11"/>
                <w:szCs w:val="11"/>
                <w:color w:val="auto"/>
              </w:rPr>
              <w:t>Treasury stock, at cost</w:t>
            </w:r>
          </w:p>
        </w:tc>
        <w:tc>
          <w:tcPr>
            <w:tcW w:w="7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(107,336)</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(107,432)</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(107,490)</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(106,914)</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(105,415)</w:t>
            </w:r>
          </w:p>
        </w:tc>
        <w:tc>
          <w:tcPr>
            <w:tcW w:w="240" w:type="dxa"/>
            <w:vAlign w:val="bottom"/>
          </w:tcPr>
          <w:p>
            <w:pPr>
              <w:spacing w:after="0"/>
              <w:rPr>
                <w:sz w:val="15"/>
                <w:szCs w:val="15"/>
                <w:color w:val="auto"/>
              </w:rPr>
            </w:pPr>
          </w:p>
        </w:tc>
        <w:tc>
          <w:tcPr>
            <w:tcW w:w="94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STOCKHOLDERS’ EQUITY</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292,332</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288,018</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286,143</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285,899</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294,127</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40" w:type="dxa"/>
            <w:vAlign w:val="bottom"/>
            <w:gridSpan w:val="4"/>
          </w:tcPr>
          <w:p>
            <w:pPr>
              <w:ind w:left="120"/>
              <w:spacing w:after="0" w:line="95" w:lineRule="exact"/>
              <w:rPr>
                <w:sz w:val="20"/>
                <w:szCs w:val="20"/>
                <w:color w:val="auto"/>
              </w:rPr>
            </w:pPr>
            <w:r>
              <w:rPr>
                <w:rFonts w:ascii="Arial" w:cs="Arial" w:eastAsia="Arial" w:hAnsi="Arial"/>
                <w:sz w:val="10"/>
                <w:szCs w:val="10"/>
                <w:b w:val="1"/>
                <w:bCs w:val="1"/>
                <w:color w:val="auto"/>
              </w:rPr>
              <w:t>TOTAL LIABILITIES AND</w:t>
            </w:r>
          </w:p>
        </w:tc>
        <w:tc>
          <w:tcPr>
            <w:tcW w:w="74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3,665,743</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3,773,884</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3,841,314</w:t>
            </w:r>
          </w:p>
        </w:tc>
        <w:tc>
          <w:tcPr>
            <w:tcW w:w="24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3,954,687</w:t>
            </w:r>
          </w:p>
        </w:tc>
        <w:tc>
          <w:tcPr>
            <w:tcW w:w="24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3,743,567</w:t>
            </w:r>
          </w:p>
        </w:tc>
        <w:tc>
          <w:tcPr>
            <w:tcW w:w="84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540" w:type="dxa"/>
            <w:vAlign w:val="bottom"/>
            <w:gridSpan w:val="4"/>
          </w:tcPr>
          <w:p>
            <w:pPr>
              <w:ind w:left="120"/>
              <w:spacing w:after="0"/>
              <w:rPr>
                <w:sz w:val="20"/>
                <w:szCs w:val="20"/>
                <w:color w:val="auto"/>
              </w:rPr>
            </w:pPr>
            <w:r>
              <w:rPr>
                <w:rFonts w:ascii="Arial" w:cs="Arial" w:eastAsia="Arial" w:hAnsi="Arial"/>
                <w:sz w:val="11"/>
                <w:szCs w:val="11"/>
                <w:b w:val="1"/>
                <w:bCs w:val="1"/>
                <w:color w:val="auto"/>
              </w:rPr>
              <w:t>STOCKHOLDERS’ EQUITY</w:t>
            </w:r>
          </w:p>
        </w:tc>
        <w:tc>
          <w:tcPr>
            <w:tcW w:w="74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-5836920</wp:posOffset>
            </wp:positionV>
            <wp:extent cx="237426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5</w:t>
      </w:r>
    </w:p>
    <w:p>
      <w:pPr>
        <w:sectPr>
          <w:pgSz w:w="11900" w:h="16838" w:orient="portrait"/>
          <w:cols w:equalWidth="0" w:num="1">
            <w:col w:w="11240"/>
          </w:cols>
          <w:pgMar w:left="320" w:top="572"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13970</wp:posOffset>
            </wp:positionV>
            <wp:extent cx="237426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AVERAGE BALANCE SHEETS AND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ANNUALIZED YIELDS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jc w:val="right"/>
              <w:ind w:right="66"/>
              <w:spacing w:after="0"/>
              <w:rPr>
                <w:sz w:val="20"/>
                <w:szCs w:val="20"/>
                <w:color w:val="auto"/>
              </w:rPr>
            </w:pPr>
            <w:r>
              <w:rPr>
                <w:rFonts w:ascii="Arial" w:cs="Arial" w:eastAsia="Arial" w:hAnsi="Arial"/>
                <w:sz w:val="11"/>
                <w:szCs w:val="11"/>
                <w:b w:val="1"/>
                <w:bCs w:val="1"/>
                <w:color w:val="auto"/>
              </w:rPr>
              <w:t>QUARTERLY TRENDS</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166"/>
              <w:spacing w:after="0"/>
              <w:rPr>
                <w:sz w:val="20"/>
                <w:szCs w:val="20"/>
                <w:color w:val="auto"/>
              </w:rPr>
            </w:pPr>
            <w:r>
              <w:rPr>
                <w:rFonts w:ascii="Arial" w:cs="Arial" w:eastAsia="Arial" w:hAnsi="Arial"/>
                <w:sz w:val="11"/>
                <w:szCs w:val="11"/>
                <w:b w:val="1"/>
                <w:bCs w:val="1"/>
                <w:color w:val="auto"/>
              </w:rPr>
              <w:t>FULL YEAR</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1"/>
                <w:szCs w:val="11"/>
                <w:b w:val="1"/>
                <w:bCs w:val="1"/>
                <w:color w:val="auto"/>
              </w:rPr>
              <w:t>4Q22 Change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 Change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AVERAGE BALANCES</w:t>
            </w:r>
          </w:p>
        </w:tc>
        <w:tc>
          <w:tcPr>
            <w:tcW w:w="100" w:type="dxa"/>
            <w:vAlign w:val="bottom"/>
          </w:tcPr>
          <w:p>
            <w:pPr>
              <w:spacing w:after="0"/>
              <w:rPr>
                <w:sz w:val="10"/>
                <w:szCs w:val="10"/>
                <w:color w:val="auto"/>
              </w:rPr>
            </w:pPr>
          </w:p>
        </w:tc>
        <w:tc>
          <w:tcPr>
            <w:tcW w:w="56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4Q22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3Q22</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2Q22</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1Q22</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4Q21</w:t>
            </w:r>
          </w:p>
        </w:tc>
        <w:tc>
          <w:tcPr>
            <w:tcW w:w="240" w:type="dxa"/>
            <w:vAlign w:val="bottom"/>
          </w:tcPr>
          <w:p>
            <w:pPr>
              <w:spacing w:after="0"/>
              <w:rPr>
                <w:sz w:val="10"/>
                <w:szCs w:val="10"/>
                <w:color w:val="auto"/>
              </w:rPr>
            </w:pPr>
          </w:p>
        </w:tc>
        <w:tc>
          <w:tcPr>
            <w:tcW w:w="74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3Q22</w:t>
            </w:r>
          </w:p>
        </w:tc>
        <w:tc>
          <w:tcPr>
            <w:tcW w:w="92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4Q21</w:t>
            </w:r>
          </w:p>
        </w:tc>
        <w:tc>
          <w:tcPr>
            <w:tcW w:w="100" w:type="dxa"/>
            <w:vAlign w:val="bottom"/>
          </w:tcPr>
          <w:p>
            <w:pPr>
              <w:spacing w:after="0"/>
              <w:rPr>
                <w:sz w:val="10"/>
                <w:szCs w:val="10"/>
                <w:color w:val="auto"/>
              </w:rPr>
            </w:pPr>
          </w:p>
        </w:tc>
        <w:tc>
          <w:tcPr>
            <w:tcW w:w="5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2022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2021</w:t>
            </w:r>
          </w:p>
        </w:tc>
        <w:tc>
          <w:tcPr>
            <w:tcW w:w="260" w:type="dxa"/>
            <w:vAlign w:val="bottom"/>
          </w:tcPr>
          <w:p>
            <w:pPr>
              <w:spacing w:after="0"/>
              <w:rPr>
                <w:sz w:val="10"/>
                <w:szCs w:val="10"/>
                <w:color w:val="auto"/>
              </w:rPr>
            </w:pPr>
          </w:p>
        </w:tc>
        <w:tc>
          <w:tcPr>
            <w:tcW w:w="72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1"/>
                <w:szCs w:val="11"/>
                <w:b w:val="1"/>
                <w:bCs w:val="1"/>
                <w:color w:val="auto"/>
              </w:rPr>
              <w:t>ASSETS</w:t>
            </w:r>
          </w:p>
        </w:tc>
        <w:tc>
          <w:tcPr>
            <w:tcW w:w="1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Deposits with banks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595,631</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652,321</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694,644</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742,311</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767,713</w:t>
            </w:r>
          </w:p>
        </w:tc>
        <w:tc>
          <w:tcPr>
            <w:tcW w:w="2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(22)%</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670,773</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719,772</w:t>
            </w:r>
          </w:p>
        </w:tc>
        <w:tc>
          <w:tcPr>
            <w:tcW w:w="2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Federal funds sold and securities purchased</w:t>
            </w: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306,173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322,053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305,132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294,951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268,953</w:t>
            </w:r>
          </w:p>
        </w:tc>
        <w:tc>
          <w:tcPr>
            <w:tcW w:w="24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1"/>
                <w:szCs w:val="11"/>
                <w:color w:val="auto"/>
              </w:rPr>
            </w:pP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color w:val="auto"/>
              </w:rPr>
              <w:t>14</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307,150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269,231</w:t>
            </w:r>
          </w:p>
        </w:tc>
        <w:tc>
          <w:tcPr>
            <w:tcW w:w="260" w:type="dxa"/>
            <w:vAlign w:val="bottom"/>
          </w:tcPr>
          <w:p>
            <w:pPr>
              <w:spacing w:after="0"/>
              <w:rPr>
                <w:sz w:val="11"/>
                <w:szCs w:val="11"/>
                <w:color w:val="auto"/>
              </w:rPr>
            </w:pPr>
          </w:p>
        </w:tc>
        <w:tc>
          <w:tcPr>
            <w:tcW w:w="720" w:type="dxa"/>
            <w:vAlign w:val="bottom"/>
            <w:vMerge w:val="restart"/>
          </w:tcPr>
          <w:p>
            <w:pPr>
              <w:jc w:val="right"/>
              <w:ind w:right="8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under resale agreements</w:t>
            </w: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Securities borrowed</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192,412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204,479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207,437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218,030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207,059</w:t>
            </w:r>
          </w:p>
        </w:tc>
        <w:tc>
          <w:tcPr>
            <w:tcW w:w="2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4"/>
                <w:szCs w:val="14"/>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205,516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190,655</w:t>
            </w:r>
          </w:p>
        </w:tc>
        <w:tc>
          <w:tcPr>
            <w:tcW w:w="260" w:type="dxa"/>
            <w:vAlign w:val="bottom"/>
          </w:tcPr>
          <w:p>
            <w:pPr>
              <w:spacing w:after="0"/>
              <w:rPr>
                <w:sz w:val="14"/>
                <w:szCs w:val="14"/>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Trading assets - debt instruments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302,825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283,414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273,736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272,116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260,555</w:t>
            </w:r>
          </w:p>
        </w:tc>
        <w:tc>
          <w:tcPr>
            <w:tcW w:w="2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16</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283,108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283,829</w:t>
            </w:r>
          </w:p>
        </w:tc>
        <w:tc>
          <w:tcPr>
            <w:tcW w:w="260" w:type="dxa"/>
            <w:vAlign w:val="bottom"/>
          </w:tcPr>
          <w:p>
            <w:pPr>
              <w:spacing w:after="0"/>
              <w:rPr>
                <w:sz w:val="14"/>
                <w:szCs w:val="14"/>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Investment securities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625,388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647,165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672,799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671,165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642,675</w:t>
            </w:r>
          </w:p>
        </w:tc>
        <w:tc>
          <w:tcPr>
            <w:tcW w:w="2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4"/>
                <w:szCs w:val="14"/>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653,985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593,977</w:t>
            </w:r>
          </w:p>
        </w:tc>
        <w:tc>
          <w:tcPr>
            <w:tcW w:w="260" w:type="dxa"/>
            <w:vAlign w:val="bottom"/>
          </w:tcPr>
          <w:p>
            <w:pPr>
              <w:spacing w:after="0"/>
              <w:rPr>
                <w:sz w:val="14"/>
                <w:szCs w:val="14"/>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Loans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1,126,002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1,112,761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1,093,106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1,068,637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1,060,254</w:t>
            </w:r>
          </w:p>
        </w:tc>
        <w:tc>
          <w:tcPr>
            <w:tcW w:w="2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1,100,318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1,035,399</w:t>
            </w:r>
          </w:p>
        </w:tc>
        <w:tc>
          <w:tcPr>
            <w:tcW w:w="260" w:type="dxa"/>
            <w:vAlign w:val="bottom"/>
          </w:tcPr>
          <w:p>
            <w:pPr>
              <w:spacing w:after="0"/>
              <w:rPr>
                <w:sz w:val="14"/>
                <w:szCs w:val="14"/>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All other interest-earning assets (a)</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116,640</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122,756</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139,040</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134,741</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130,646</w:t>
            </w:r>
          </w:p>
        </w:tc>
        <w:tc>
          <w:tcPr>
            <w:tcW w:w="24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5"/>
                <w:szCs w:val="15"/>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128,229</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123,079</w:t>
            </w:r>
          </w:p>
        </w:tc>
        <w:tc>
          <w:tcPr>
            <w:tcW w:w="260" w:type="dxa"/>
            <w:vAlign w:val="bottom"/>
          </w:tcPr>
          <w:p>
            <w:pPr>
              <w:spacing w:after="0"/>
              <w:rPr>
                <w:sz w:val="15"/>
                <w:szCs w:val="15"/>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interest-earning assets</w:t>
            </w: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3,265,071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3,344,949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3,385,894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3,401,951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3,337,855</w:t>
            </w:r>
          </w:p>
        </w:tc>
        <w:tc>
          <w:tcPr>
            <w:tcW w:w="2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3,349,079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3,215,942</w:t>
            </w:r>
          </w:p>
        </w:tc>
        <w:tc>
          <w:tcPr>
            <w:tcW w:w="26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Trading assets - equity and other instruments</w:t>
            </w: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126,138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129,221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151,309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156,908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150,770</w:t>
            </w:r>
          </w:p>
        </w:tc>
        <w:tc>
          <w:tcPr>
            <w:tcW w:w="24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140,778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172,822</w:t>
            </w:r>
          </w:p>
        </w:tc>
        <w:tc>
          <w:tcPr>
            <w:tcW w:w="26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Trading assets - derivative receivables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78,476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83,950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84,483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67,334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66,024</w:t>
            </w:r>
          </w:p>
        </w:tc>
        <w:tc>
          <w:tcPr>
            <w:tcW w:w="2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78,606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69,101</w:t>
            </w:r>
          </w:p>
        </w:tc>
        <w:tc>
          <w:tcPr>
            <w:tcW w:w="260" w:type="dxa"/>
            <w:vAlign w:val="bottom"/>
          </w:tcPr>
          <w:p>
            <w:pPr>
              <w:spacing w:after="0"/>
              <w:rPr>
                <w:sz w:val="14"/>
                <w:szCs w:val="14"/>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All other noninterest-earning assets</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285,586</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284,127</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289,957</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280,595</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277,006</w:t>
            </w:r>
          </w:p>
        </w:tc>
        <w:tc>
          <w:tcPr>
            <w:tcW w:w="24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5"/>
                <w:szCs w:val="15"/>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285,077</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267,337</w:t>
            </w:r>
          </w:p>
        </w:tc>
        <w:tc>
          <w:tcPr>
            <w:tcW w:w="260" w:type="dxa"/>
            <w:vAlign w:val="bottom"/>
          </w:tcPr>
          <w:p>
            <w:pPr>
              <w:spacing w:after="0"/>
              <w:rPr>
                <w:sz w:val="15"/>
                <w:szCs w:val="15"/>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3,755,271</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3,842,247</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3,911,643</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3,906,788</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3,831,655</w:t>
            </w:r>
          </w:p>
        </w:tc>
        <w:tc>
          <w:tcPr>
            <w:tcW w:w="2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3,853,540</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3,725,202</w:t>
            </w:r>
          </w:p>
        </w:tc>
        <w:tc>
          <w:tcPr>
            <w:tcW w:w="260" w:type="dxa"/>
            <w:vAlign w:val="bottom"/>
          </w:tcPr>
          <w:p>
            <w:pPr>
              <w:spacing w:after="0"/>
              <w:rPr>
                <w:sz w:val="14"/>
                <w:szCs w:val="14"/>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3"/>
          </w:tcPr>
          <w:p>
            <w:pPr>
              <w:spacing w:after="0"/>
              <w:rPr>
                <w:sz w:val="20"/>
                <w:szCs w:val="20"/>
                <w:color w:val="auto"/>
              </w:rPr>
            </w:pPr>
            <w:r>
              <w:rPr>
                <w:rFonts w:ascii="Arial" w:cs="Arial" w:eastAsia="Arial" w:hAnsi="Arial"/>
                <w:sz w:val="11"/>
                <w:szCs w:val="11"/>
                <w:b w:val="1"/>
                <w:bCs w:val="1"/>
                <w:color w:val="auto"/>
              </w:rPr>
              <w:t>LIABILITIES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Interest-bearing deposits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1,695,233</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1,728,852</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1,790,421</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1,781,320</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1,731,609</w:t>
            </w:r>
          </w:p>
        </w:tc>
        <w:tc>
          <w:tcPr>
            <w:tcW w:w="240" w:type="dxa"/>
            <w:vAlign w:val="bottom"/>
          </w:tcPr>
          <w:p>
            <w:pPr>
              <w:ind w:left="60"/>
              <w:spacing w:after="0"/>
              <w:rPr>
                <w:sz w:val="20"/>
                <w:szCs w:val="20"/>
                <w:color w:val="auto"/>
              </w:rPr>
            </w:pPr>
            <w:r>
              <w:rPr>
                <w:rFonts w:ascii="Arial" w:cs="Arial" w:eastAsia="Arial" w:hAnsi="Arial"/>
                <w:sz w:val="11"/>
                <w:szCs w:val="11"/>
                <w:color w:val="auto"/>
              </w:rPr>
              <w:t>(g)</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1,748,666</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1,672,669</w:t>
            </w:r>
          </w:p>
        </w:tc>
        <w:tc>
          <w:tcPr>
            <w:tcW w:w="260" w:type="dxa"/>
            <w:vAlign w:val="bottom"/>
          </w:tcPr>
          <w:p>
            <w:pPr>
              <w:ind w:left="60"/>
              <w:spacing w:after="0"/>
              <w:rPr>
                <w:sz w:val="20"/>
                <w:szCs w:val="20"/>
                <w:color w:val="auto"/>
              </w:rPr>
            </w:pPr>
            <w:r>
              <w:rPr>
                <w:rFonts w:ascii="Arial" w:cs="Arial" w:eastAsia="Arial" w:hAnsi="Arial"/>
                <w:sz w:val="11"/>
                <w:szCs w:val="11"/>
                <w:color w:val="auto"/>
              </w:rPr>
              <w:t>(g)</w:t>
            </w: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w w:val="98"/>
              </w:rPr>
              <w:t>Federal funds purchased and securities loaned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or</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3"/>
          </w:tcPr>
          <w:p>
            <w:pPr>
              <w:ind w:left="120"/>
              <w:spacing w:after="0"/>
              <w:rPr>
                <w:sz w:val="20"/>
                <w:szCs w:val="20"/>
                <w:color w:val="auto"/>
              </w:rPr>
            </w:pPr>
            <w:r>
              <w:rPr>
                <w:rFonts w:ascii="Arial" w:cs="Arial" w:eastAsia="Arial" w:hAnsi="Arial"/>
                <w:sz w:val="11"/>
                <w:szCs w:val="11"/>
                <w:color w:val="auto"/>
              </w:rPr>
              <w:t>sold under repurchase agreements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247,934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239,582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233,376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250,215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234,504</w:t>
            </w:r>
          </w:p>
        </w:tc>
        <w:tc>
          <w:tcPr>
            <w:tcW w:w="2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242,762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259,302</w:t>
            </w:r>
          </w:p>
        </w:tc>
        <w:tc>
          <w:tcPr>
            <w:tcW w:w="260" w:type="dxa"/>
            <w:vAlign w:val="bottom"/>
          </w:tcPr>
          <w:p>
            <w:pPr>
              <w:spacing w:after="0"/>
              <w:rPr>
                <w:sz w:val="14"/>
                <w:szCs w:val="14"/>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Short-term borrowings (b)</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39,843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45,797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50,833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47,871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46,456</w:t>
            </w:r>
          </w:p>
        </w:tc>
        <w:tc>
          <w:tcPr>
            <w:tcW w:w="2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(13)</w:t>
            </w:r>
          </w:p>
        </w:tc>
        <w:tc>
          <w:tcPr>
            <w:tcW w:w="200" w:type="dxa"/>
            <w:vAlign w:val="bottom"/>
          </w:tcPr>
          <w:p>
            <w:pPr>
              <w:spacing w:after="0"/>
              <w:rPr>
                <w:sz w:val="14"/>
                <w:szCs w:val="14"/>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46,063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44,618</w:t>
            </w:r>
          </w:p>
        </w:tc>
        <w:tc>
          <w:tcPr>
            <w:tcW w:w="260" w:type="dxa"/>
            <w:vAlign w:val="bottom"/>
          </w:tcPr>
          <w:p>
            <w:pPr>
              <w:spacing w:after="0"/>
              <w:rPr>
                <w:sz w:val="14"/>
                <w:szCs w:val="14"/>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Trading liabilities - debt and all other interest-</w:t>
            </w: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256,533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278,049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274,435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263,025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246,675</w:t>
            </w:r>
          </w:p>
        </w:tc>
        <w:tc>
          <w:tcPr>
            <w:tcW w:w="24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(8)</w:t>
            </w:r>
          </w:p>
        </w:tc>
        <w:tc>
          <w:tcPr>
            <w:tcW w:w="200" w:type="dxa"/>
            <w:vAlign w:val="bottom"/>
          </w:tcPr>
          <w:p>
            <w:pPr>
              <w:spacing w:after="0"/>
              <w:rPr>
                <w:sz w:val="11"/>
                <w:szCs w:val="11"/>
                <w:color w:val="auto"/>
              </w:rPr>
            </w:pP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color w:val="auto"/>
              </w:rPr>
              <w:t>4</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268,019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241,431</w:t>
            </w:r>
          </w:p>
        </w:tc>
        <w:tc>
          <w:tcPr>
            <w:tcW w:w="260" w:type="dxa"/>
            <w:vAlign w:val="bottom"/>
          </w:tcPr>
          <w:p>
            <w:pPr>
              <w:spacing w:after="0"/>
              <w:rPr>
                <w:sz w:val="11"/>
                <w:szCs w:val="11"/>
                <w:color w:val="auto"/>
              </w:rPr>
            </w:pPr>
          </w:p>
        </w:tc>
        <w:tc>
          <w:tcPr>
            <w:tcW w:w="720" w:type="dxa"/>
            <w:vAlign w:val="bottom"/>
            <w:vMerge w:val="restart"/>
          </w:tcPr>
          <w:p>
            <w:pPr>
              <w:jc w:val="right"/>
              <w:ind w:right="8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bearing liabilities (c)</w:t>
            </w: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Beneficial interests issued by consolidated</w:t>
            </w: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12,312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11,039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10,577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10,891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11,906</w:t>
            </w:r>
          </w:p>
        </w:tc>
        <w:tc>
          <w:tcPr>
            <w:tcW w:w="24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12</w:t>
            </w:r>
          </w:p>
        </w:tc>
        <w:tc>
          <w:tcPr>
            <w:tcW w:w="200" w:type="dxa"/>
            <w:vAlign w:val="bottom"/>
          </w:tcPr>
          <w:p>
            <w:pPr>
              <w:spacing w:after="0"/>
              <w:rPr>
                <w:sz w:val="11"/>
                <w:szCs w:val="11"/>
                <w:color w:val="auto"/>
              </w:rPr>
            </w:pP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11,208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14,595</w:t>
            </w:r>
          </w:p>
        </w:tc>
        <w:tc>
          <w:tcPr>
            <w:tcW w:w="260" w:type="dxa"/>
            <w:vAlign w:val="bottom"/>
          </w:tcPr>
          <w:p>
            <w:pPr>
              <w:spacing w:after="0"/>
              <w:rPr>
                <w:sz w:val="11"/>
                <w:szCs w:val="11"/>
                <w:color w:val="auto"/>
              </w:rPr>
            </w:pPr>
          </w:p>
        </w:tc>
        <w:tc>
          <w:tcPr>
            <w:tcW w:w="720" w:type="dxa"/>
            <w:vAlign w:val="bottom"/>
            <w:vMerge w:val="restart"/>
          </w:tcPr>
          <w:p>
            <w:pPr>
              <w:jc w:val="right"/>
              <w:ind w:right="6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VIEs</w:t>
            </w: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Long-term debt</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246,978</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253,012</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246,195</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254,180</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255,710</w:t>
            </w:r>
          </w:p>
        </w:tc>
        <w:tc>
          <w:tcPr>
            <w:tcW w:w="24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5"/>
                <w:szCs w:val="15"/>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250,080</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250,378</w:t>
            </w:r>
          </w:p>
        </w:tc>
        <w:tc>
          <w:tcPr>
            <w:tcW w:w="260" w:type="dxa"/>
            <w:vAlign w:val="bottom"/>
          </w:tcPr>
          <w:p>
            <w:pPr>
              <w:spacing w:after="0"/>
              <w:rPr>
                <w:sz w:val="15"/>
                <w:szCs w:val="15"/>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interest-bearing liabilities</w:t>
            </w: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2,498,833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2,556,331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2,605,837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2,607,502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2,526,860</w:t>
            </w:r>
          </w:p>
        </w:tc>
        <w:tc>
          <w:tcPr>
            <w:tcW w:w="2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2,566,798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2,482,993</w:t>
            </w:r>
          </w:p>
        </w:tc>
        <w:tc>
          <w:tcPr>
            <w:tcW w:w="26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Noninterest-bearing deposits</w:t>
            </w: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684,921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716,518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741,891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734,233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736,203</w:t>
            </w:r>
          </w:p>
        </w:tc>
        <w:tc>
          <w:tcPr>
            <w:tcW w:w="240" w:type="dxa"/>
            <w:vAlign w:val="bottom"/>
          </w:tcPr>
          <w:p>
            <w:pPr>
              <w:ind w:left="60"/>
              <w:spacing w:after="0"/>
              <w:rPr>
                <w:sz w:val="20"/>
                <w:szCs w:val="20"/>
                <w:color w:val="auto"/>
              </w:rPr>
            </w:pPr>
            <w:r>
              <w:rPr>
                <w:rFonts w:ascii="Arial" w:cs="Arial" w:eastAsia="Arial" w:hAnsi="Arial"/>
                <w:sz w:val="11"/>
                <w:szCs w:val="11"/>
                <w:color w:val="auto"/>
              </w:rPr>
              <w:t>(g)</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719,249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674,485</w:t>
            </w:r>
          </w:p>
        </w:tc>
        <w:tc>
          <w:tcPr>
            <w:tcW w:w="260" w:type="dxa"/>
            <w:vAlign w:val="bottom"/>
          </w:tcPr>
          <w:p>
            <w:pPr>
              <w:ind w:left="60"/>
              <w:spacing w:after="0"/>
              <w:rPr>
                <w:sz w:val="20"/>
                <w:szCs w:val="20"/>
                <w:color w:val="auto"/>
              </w:rPr>
            </w:pPr>
            <w:r>
              <w:rPr>
                <w:rFonts w:ascii="Arial" w:cs="Arial" w:eastAsia="Arial" w:hAnsi="Arial"/>
                <w:sz w:val="11"/>
                <w:szCs w:val="11"/>
                <w:color w:val="auto"/>
              </w:rPr>
              <w:t>(g)</w:t>
            </w: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w w:val="98"/>
              </w:rPr>
              <w:t>Trading liabilities - equity and other instruments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35,415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36,985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40,937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43,394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40,645</w:t>
            </w:r>
          </w:p>
        </w:tc>
        <w:tc>
          <w:tcPr>
            <w:tcW w:w="2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4"/>
                <w:szCs w:val="14"/>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39,155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36,656</w:t>
            </w:r>
          </w:p>
        </w:tc>
        <w:tc>
          <w:tcPr>
            <w:tcW w:w="260" w:type="dxa"/>
            <w:vAlign w:val="bottom"/>
          </w:tcPr>
          <w:p>
            <w:pPr>
              <w:spacing w:after="0"/>
              <w:rPr>
                <w:sz w:val="14"/>
                <w:szCs w:val="14"/>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Trading liabilities - derivative payables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56,988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56,994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61,026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54,522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55,063</w:t>
            </w:r>
          </w:p>
        </w:tc>
        <w:tc>
          <w:tcPr>
            <w:tcW w:w="24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57,388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60,318</w:t>
            </w:r>
          </w:p>
        </w:tc>
        <w:tc>
          <w:tcPr>
            <w:tcW w:w="260" w:type="dxa"/>
            <w:vAlign w:val="bottom"/>
          </w:tcPr>
          <w:p>
            <w:pPr>
              <w:spacing w:after="0"/>
              <w:rPr>
                <w:sz w:val="14"/>
                <w:szCs w:val="14"/>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All other noninterest-bearing liabilities</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191,929</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189,637</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181,128</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181,105</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184,241</w:t>
            </w:r>
          </w:p>
        </w:tc>
        <w:tc>
          <w:tcPr>
            <w:tcW w:w="24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5"/>
                <w:szCs w:val="15"/>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185,989</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186,755</w:t>
            </w:r>
          </w:p>
        </w:tc>
        <w:tc>
          <w:tcPr>
            <w:tcW w:w="260" w:type="dxa"/>
            <w:vAlign w:val="bottom"/>
          </w:tcPr>
          <w:p>
            <w:pPr>
              <w:spacing w:after="0"/>
              <w:rPr>
                <w:sz w:val="15"/>
                <w:szCs w:val="15"/>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LIABILITIES</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3,468,086</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3,556,465</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3,630,819</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3,620,756</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3,543,012</w:t>
            </w:r>
          </w:p>
        </w:tc>
        <w:tc>
          <w:tcPr>
            <w:tcW w:w="24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3,568,579</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3,441,207</w:t>
            </w:r>
          </w:p>
        </w:tc>
        <w:tc>
          <w:tcPr>
            <w:tcW w:w="260" w:type="dxa"/>
            <w:vAlign w:val="bottom"/>
          </w:tcPr>
          <w:p>
            <w:pPr>
              <w:spacing w:after="0"/>
              <w:rPr>
                <w:sz w:val="13"/>
                <w:szCs w:val="13"/>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Preferred stock</w:t>
            </w: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28,415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32,838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32,838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33,526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34,838</w:t>
            </w:r>
          </w:p>
        </w:tc>
        <w:tc>
          <w:tcPr>
            <w:tcW w:w="2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(13)</w:t>
            </w:r>
          </w:p>
        </w:tc>
        <w:tc>
          <w:tcPr>
            <w:tcW w:w="20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31,893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33,027</w:t>
            </w:r>
          </w:p>
        </w:tc>
        <w:tc>
          <w:tcPr>
            <w:tcW w:w="26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Common stockholders’ equity</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258,770</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252,944</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247,986</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252,506</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253,805</w:t>
            </w:r>
          </w:p>
        </w:tc>
        <w:tc>
          <w:tcPr>
            <w:tcW w:w="24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5"/>
                <w:szCs w:val="15"/>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253,068</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250,968</w:t>
            </w:r>
          </w:p>
        </w:tc>
        <w:tc>
          <w:tcPr>
            <w:tcW w:w="260" w:type="dxa"/>
            <w:vAlign w:val="bottom"/>
          </w:tcPr>
          <w:p>
            <w:pPr>
              <w:spacing w:after="0"/>
              <w:rPr>
                <w:sz w:val="15"/>
                <w:szCs w:val="15"/>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STOCKHOLDERS’ EQUITY</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287,185</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285,782</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280,824</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286,032</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288,643</w:t>
            </w:r>
          </w:p>
        </w:tc>
        <w:tc>
          <w:tcPr>
            <w:tcW w:w="24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284,961</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283,995</w:t>
            </w:r>
          </w:p>
        </w:tc>
        <w:tc>
          <w:tcPr>
            <w:tcW w:w="260" w:type="dxa"/>
            <w:vAlign w:val="bottom"/>
          </w:tcPr>
          <w:p>
            <w:pPr>
              <w:spacing w:after="0"/>
              <w:rPr>
                <w:sz w:val="13"/>
                <w:szCs w:val="13"/>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80" w:type="dxa"/>
            <w:vAlign w:val="bottom"/>
            <w:gridSpan w:val="3"/>
          </w:tcPr>
          <w:p>
            <w:pPr>
              <w:ind w:left="120"/>
              <w:spacing w:after="0" w:line="95" w:lineRule="exact"/>
              <w:rPr>
                <w:sz w:val="20"/>
                <w:szCs w:val="20"/>
                <w:color w:val="auto"/>
              </w:rPr>
            </w:pPr>
            <w:r>
              <w:rPr>
                <w:rFonts w:ascii="Arial" w:cs="Arial" w:eastAsia="Arial" w:hAnsi="Arial"/>
                <w:sz w:val="10"/>
                <w:szCs w:val="10"/>
                <w:b w:val="1"/>
                <w:bCs w:val="1"/>
                <w:color w:val="auto"/>
              </w:rPr>
              <w:t>TOTAL LIABILITIES AND</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7"/>
              </w:rPr>
              <w:t>3,755,271</w:t>
            </w:r>
          </w:p>
        </w:tc>
        <w:tc>
          <w:tcPr>
            <w:tcW w:w="2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3,842,247</w:t>
            </w:r>
          </w:p>
        </w:tc>
        <w:tc>
          <w:tcPr>
            <w:tcW w:w="24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3,911,643</w:t>
            </w:r>
          </w:p>
        </w:tc>
        <w:tc>
          <w:tcPr>
            <w:tcW w:w="24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7"/>
              </w:rPr>
              <w:t>3,906,788</w:t>
            </w:r>
          </w:p>
        </w:tc>
        <w:tc>
          <w:tcPr>
            <w:tcW w:w="24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7"/>
              </w:rPr>
              <w:t>3,831,655</w:t>
            </w:r>
          </w:p>
        </w:tc>
        <w:tc>
          <w:tcPr>
            <w:tcW w:w="240" w:type="dxa"/>
            <w:vAlign w:val="bottom"/>
          </w:tcPr>
          <w:p>
            <w:pPr>
              <w:spacing w:after="0"/>
              <w:rPr>
                <w:sz w:val="8"/>
                <w:szCs w:val="8"/>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8"/>
                <w:szCs w:val="8"/>
                <w:color w:val="auto"/>
              </w:rPr>
            </w:pPr>
          </w:p>
        </w:tc>
        <w:tc>
          <w:tcPr>
            <w:tcW w:w="520" w:type="dxa"/>
            <w:vAlign w:val="bottom"/>
            <w:vMerge w:val="restart"/>
          </w:tcPr>
          <w:p>
            <w:pPr>
              <w:jc w:val="right"/>
              <w:ind w:right="66"/>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7"/>
              </w:rPr>
              <w:t>3,853,540</w:t>
            </w:r>
          </w:p>
        </w:tc>
        <w:tc>
          <w:tcPr>
            <w:tcW w:w="2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3,725,202</w:t>
            </w:r>
          </w:p>
        </w:tc>
        <w:tc>
          <w:tcPr>
            <w:tcW w:w="260" w:type="dxa"/>
            <w:vAlign w:val="bottom"/>
          </w:tcPr>
          <w:p>
            <w:pPr>
              <w:spacing w:after="0"/>
              <w:rPr>
                <w:sz w:val="8"/>
                <w:szCs w:val="8"/>
                <w:color w:val="auto"/>
              </w:rPr>
            </w:pPr>
          </w:p>
        </w:tc>
        <w:tc>
          <w:tcPr>
            <w:tcW w:w="720" w:type="dxa"/>
            <w:vAlign w:val="bottom"/>
            <w:vMerge w:val="restart"/>
          </w:tcPr>
          <w:p>
            <w:pPr>
              <w:jc w:val="right"/>
              <w:ind w:right="8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80" w:type="dxa"/>
            <w:vAlign w:val="bottom"/>
            <w:gridSpan w:val="3"/>
          </w:tcPr>
          <w:p>
            <w:pPr>
              <w:ind w:left="120"/>
              <w:spacing w:after="0"/>
              <w:rPr>
                <w:sz w:val="20"/>
                <w:szCs w:val="20"/>
                <w:color w:val="auto"/>
              </w:rPr>
            </w:pPr>
            <w:r>
              <w:rPr>
                <w:rFonts w:ascii="Arial" w:cs="Arial" w:eastAsia="Arial" w:hAnsi="Arial"/>
                <w:sz w:val="11"/>
                <w:szCs w:val="11"/>
                <w:b w:val="1"/>
                <w:bCs w:val="1"/>
                <w:color w:val="auto"/>
              </w:rPr>
              <w:t>STOCKHOLDERS’ EQUITY</w:t>
            </w:r>
          </w:p>
        </w:tc>
        <w:tc>
          <w:tcPr>
            <w:tcW w:w="10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b w:val="1"/>
                <w:bCs w:val="1"/>
                <w:color w:val="auto"/>
              </w:rPr>
              <w:t>AVERAGE RATES (d)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b w:val="1"/>
                <w:bCs w:val="1"/>
                <w:color w:val="auto"/>
              </w:rPr>
              <w:t>INTEREST-EARNING ASSETS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Deposits with banks</w:t>
            </w: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3.14</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1.83</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0.62</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0.13</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0.09</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1.35</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0.07</w:t>
            </w:r>
          </w:p>
        </w:tc>
        <w:tc>
          <w:tcPr>
            <w:tcW w:w="2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Federal funds sold and securities purchased</w:t>
            </w: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2.95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1.74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0.71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0.55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0.47</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1.51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0.36</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under resale agreements</w:t>
            </w: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Securities borrowed (e)</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2.84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0.33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(0.16)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(0.28)</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1.09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(0.20)</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Trading assets - debt instruments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3.75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3.36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2.65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2.52</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2.42</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Investment securities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2.36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1.55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1.38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1.26</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1.77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1.31</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Loans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5.83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5.00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4.28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4.05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4.04</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4.81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4.02</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All other interest-earning assets (a)</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5.76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3.57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1.85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0.97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0.87</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2.93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0.73</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b w:val="1"/>
                <w:bCs w:val="1"/>
                <w:color w:val="auto"/>
              </w:rPr>
              <w:t>Total interest-earning assets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4.03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3.05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2.22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1.86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1.80</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2.78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1.81</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1"/>
                <w:szCs w:val="11"/>
                <w:b w:val="1"/>
                <w:bCs w:val="1"/>
                <w:color w:val="auto"/>
              </w:rPr>
              <w:t>INTEREST-BEARING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Interest-bearing deposits</w:t>
            </w: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1.37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0.73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0.20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0.04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0.03</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0.58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0.03</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w w:val="98"/>
              </w:rPr>
              <w:t>Federal funds purchased and securities loaned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or</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3"/>
          </w:tcPr>
          <w:p>
            <w:pPr>
              <w:ind w:left="120"/>
              <w:spacing w:after="0"/>
              <w:rPr>
                <w:sz w:val="20"/>
                <w:szCs w:val="20"/>
                <w:color w:val="auto"/>
              </w:rPr>
            </w:pPr>
            <w:r>
              <w:rPr>
                <w:rFonts w:ascii="Arial" w:cs="Arial" w:eastAsia="Arial" w:hAnsi="Arial"/>
                <w:sz w:val="11"/>
                <w:szCs w:val="11"/>
                <w:color w:val="auto"/>
              </w:rPr>
              <w:t>sold under repurchase agreements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3.33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0.80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0.19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0.13</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1.62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0.11</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Short-term borrowings (b)</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2.47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0.73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0.32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0.26</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0.28</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Trading liabilities - debt and all other interest-</w:t>
            </w: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2.38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1.49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0.69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0.30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0.20</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1.21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0.11</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bearing liabilities (c)(e)</w:t>
            </w: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Beneficial interests issued by consolidated</w:t>
            </w: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3.74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2.24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1.11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0.69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0.56</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2.02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0.57</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VIEs</w:t>
            </w: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Long-term debt</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4.87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3.77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2.54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1.72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1.61</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3.23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1.71</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8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interest-bearing liabilities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2.04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1.26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0.54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0.25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0.22</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1.02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0.22</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1"/>
                <w:szCs w:val="11"/>
                <w:b w:val="1"/>
                <w:bCs w:val="1"/>
                <w:color w:val="auto"/>
              </w:rPr>
              <w:t>INTEREST RATE SPREAD</w:t>
            </w:r>
          </w:p>
        </w:tc>
        <w:tc>
          <w:tcPr>
            <w:tcW w:w="100" w:type="dxa"/>
            <w:vAlign w:val="bottom"/>
          </w:tcPr>
          <w:p>
            <w:pPr>
              <w:spacing w:after="0"/>
              <w:rPr>
                <w:sz w:val="18"/>
                <w:szCs w:val="18"/>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1.99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1.68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1.61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1.58</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1.76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1.59</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NET YIELD ON INTEREST-EARNING</w:t>
            </w:r>
          </w:p>
        </w:tc>
        <w:tc>
          <w:tcPr>
            <w:tcW w:w="10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2.47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2.09</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1.80</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1.67</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1.63</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2.00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1.64</w:t>
            </w: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gridSpan w:val="3"/>
          </w:tcPr>
          <w:p>
            <w:pPr>
              <w:spacing w:after="0"/>
              <w:rPr>
                <w:sz w:val="20"/>
                <w:szCs w:val="20"/>
                <w:color w:val="auto"/>
              </w:rPr>
            </w:pPr>
            <w:r>
              <w:rPr>
                <w:rFonts w:ascii="Arial" w:cs="Arial" w:eastAsia="Arial" w:hAnsi="Arial"/>
                <w:sz w:val="11"/>
                <w:szCs w:val="11"/>
                <w:b w:val="1"/>
                <w:bCs w:val="1"/>
                <w:color w:val="auto"/>
              </w:rPr>
              <w:t>ASSETS</w:t>
            </w: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Memo: Net yield on interest-earning assets</w:t>
            </w:r>
          </w:p>
        </w:tc>
        <w:tc>
          <w:tcPr>
            <w:tcW w:w="10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3.41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2.81</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2.26</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1.95</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1.90</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2.60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1.91</w:t>
            </w: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rPr>
              <w:t>excluding Markets (f)</w:t>
            </w: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80" w:right="60" w:hanging="172"/>
        <w:spacing w:after="0" w:line="249" w:lineRule="auto"/>
        <w:tabs>
          <w:tab w:leader="none" w:pos="270" w:val="left"/>
        </w:tabs>
        <w:numPr>
          <w:ilvl w:val="0"/>
          <w:numId w:val="18"/>
        </w:numPr>
        <w:rPr>
          <w:rFonts w:ascii="Arial" w:cs="Arial" w:eastAsia="Arial" w:hAnsi="Arial"/>
          <w:sz w:val="11"/>
          <w:szCs w:val="11"/>
          <w:color w:val="auto"/>
        </w:rPr>
      </w:pPr>
      <w:r>
        <w:rPr>
          <w:rFonts w:ascii="Arial" w:cs="Arial" w:eastAsia="Arial" w:hAnsi="Arial"/>
          <w:sz w:val="11"/>
          <w:szCs w:val="11"/>
          <w:color w:val="auto"/>
        </w:rPr>
        <w:t>Includes brokerage-related held-for-investment customer receivables, which are classified in accrued interest and accounts receivable, and all other interest-earning assets, which are classified in other assets, on the Consolidated Balance Sheets.</w:t>
      </w:r>
    </w:p>
    <w:p>
      <w:pPr>
        <w:ind w:left="260" w:hanging="252"/>
        <w:spacing w:after="0" w:line="236" w:lineRule="auto"/>
        <w:tabs>
          <w:tab w:leader="none" w:pos="2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Includes commercial paper.</w:t>
      </w:r>
    </w:p>
    <w:p>
      <w:pPr>
        <w:ind w:left="240" w:hanging="232"/>
        <w:spacing w:after="0"/>
        <w:tabs>
          <w:tab w:leader="none" w:pos="240" w:val="left"/>
        </w:tabs>
        <w:numPr>
          <w:ilvl w:val="0"/>
          <w:numId w:val="18"/>
        </w:numPr>
        <w:rPr>
          <w:rFonts w:ascii="Arial" w:cs="Arial" w:eastAsia="Arial" w:hAnsi="Arial"/>
          <w:sz w:val="11"/>
          <w:szCs w:val="11"/>
          <w:color w:val="auto"/>
        </w:rPr>
      </w:pPr>
      <w:r>
        <w:rPr>
          <w:rFonts w:ascii="Arial" w:cs="Arial" w:eastAsia="Arial" w:hAnsi="Arial"/>
          <w:sz w:val="11"/>
          <w:szCs w:val="11"/>
          <w:color w:val="auto"/>
        </w:rPr>
        <w:t>All other interest-bearing liabilities include brokerage-related customer payables.</w:t>
      </w:r>
    </w:p>
    <w:p>
      <w:pPr>
        <w:spacing w:after="0" w:line="5" w:lineRule="exact"/>
        <w:rPr>
          <w:rFonts w:ascii="Arial" w:cs="Arial" w:eastAsia="Arial" w:hAnsi="Arial"/>
          <w:sz w:val="11"/>
          <w:szCs w:val="11"/>
          <w:color w:val="auto"/>
        </w:rPr>
      </w:pPr>
    </w:p>
    <w:p>
      <w:pPr>
        <w:ind w:left="260" w:hanging="252"/>
        <w:spacing w:after="0" w:line="236" w:lineRule="auto"/>
        <w:tabs>
          <w:tab w:leader="none" w:pos="2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Interest includes the effect of related hedging derivatives. Taxable-equivalent amounts are used where applicable.</w:t>
      </w:r>
    </w:p>
    <w:p>
      <w:pPr>
        <w:ind w:left="260" w:hanging="252"/>
        <w:spacing w:after="0" w:line="230" w:lineRule="auto"/>
        <w:tabs>
          <w:tab w:leader="none" w:pos="2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Negative interest and rates reflect the net impact of interest earned offset by fees paid on client-driven prime brokerage securities borrowed transactions.</w:t>
      </w:r>
    </w:p>
    <w:p>
      <w:pPr>
        <w:ind w:left="240" w:hanging="232"/>
        <w:spacing w:after="0"/>
        <w:tabs>
          <w:tab w:leader="none" w:pos="240" w:val="left"/>
        </w:tabs>
        <w:numPr>
          <w:ilvl w:val="0"/>
          <w:numId w:val="18"/>
        </w:numPr>
        <w:rPr>
          <w:rFonts w:ascii="Arial" w:cs="Arial" w:eastAsia="Arial" w:hAnsi="Arial"/>
          <w:sz w:val="11"/>
          <w:szCs w:val="11"/>
          <w:color w:val="auto"/>
        </w:rPr>
      </w:pPr>
      <w:r>
        <w:rPr>
          <w:rFonts w:ascii="Arial" w:cs="Arial" w:eastAsia="Arial" w:hAnsi="Arial"/>
          <w:sz w:val="11"/>
          <w:szCs w:val="11"/>
          <w:color w:val="auto"/>
        </w:rPr>
        <w:t>Net yield on interest-earning assets excluding Markets is a non-GAAP financial measure. Refer to page 29 for a further discussion of this measure.</w:t>
      </w:r>
    </w:p>
    <w:p>
      <w:pPr>
        <w:spacing w:after="0" w:line="5" w:lineRule="exact"/>
        <w:rPr>
          <w:rFonts w:ascii="Arial" w:cs="Arial" w:eastAsia="Arial" w:hAnsi="Arial"/>
          <w:sz w:val="11"/>
          <w:szCs w:val="11"/>
          <w:color w:val="auto"/>
        </w:rPr>
      </w:pPr>
    </w:p>
    <w:p>
      <w:pPr>
        <w:ind w:left="260" w:hanging="252"/>
        <w:spacing w:after="0"/>
        <w:tabs>
          <w:tab w:leader="none" w:pos="2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Prior-period amounts have been revised to conform with the current presentation.</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6</w:t>
      </w:r>
    </w:p>
    <w:p>
      <w:pPr>
        <w:sectPr>
          <w:pgSz w:w="11900" w:h="16838" w:orient="portrait"/>
          <w:cols w:equalWidth="0" w:num="1">
            <w:col w:w="11240"/>
          </w:cols>
          <w:pgMar w:left="320" w:top="491"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-28575</wp:posOffset>
            </wp:positionV>
            <wp:extent cx="237426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RECONCILIATION FROM REPORTED TO MANAGED BASIS</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ratios)</w:t>
      </w:r>
    </w:p>
    <w:p>
      <w:pPr>
        <w:spacing w:after="0" w:line="279" w:lineRule="exact"/>
        <w:rPr>
          <w:sz w:val="20"/>
          <w:szCs w:val="20"/>
          <w:color w:val="auto"/>
        </w:rPr>
      </w:pPr>
    </w:p>
    <w:p>
      <w:pPr>
        <w:ind w:right="20"/>
        <w:spacing w:after="0" w:line="274" w:lineRule="auto"/>
        <w:rPr>
          <w:sz w:val="20"/>
          <w:szCs w:val="20"/>
          <w:color w:val="auto"/>
        </w:rPr>
      </w:pPr>
      <w:r>
        <w:rPr>
          <w:rFonts w:ascii="Arial" w:cs="Arial" w:eastAsia="Arial" w:hAnsi="Arial"/>
          <w:sz w:val="10"/>
          <w:szCs w:val="10"/>
          <w:color w:val="auto"/>
        </w:rPr>
        <w:t>The Firm prepares its Consolidated Financial Statements using accounting principles generally accepted in the U.S. (“U.S. GAAP”). That presentation, which is referred to as “reported” basis, provides the reader with an understanding of the Firm’s results that can be tracked consistently from year-to-year and enables a comparison of the Firm’s performance with other companies’ U.S. GAAP financial statements. In addition to analyzing the Firm’s results on a reported</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1"/>
          <w:szCs w:val="11"/>
          <w:color w:val="auto"/>
        </w:rPr>
        <w:t>basis, management reviews Firmwide results, including the overhead ratio, on a “managed” basis; these Firmwide managed basis results are non-GAAP financial measures. The Firm also reviews the results of the lines of business on a managed basis. Refer to the notes on Non-GAAP Financial Measures on page 29 for additional information on managed basis.</w:t>
      </w: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The following summary table provides a reconciliation from reported U.S. GAAP results to managed basis.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1"/>
                <w:szCs w:val="11"/>
                <w:b w:val="1"/>
                <w:bCs w:val="1"/>
                <w:color w:val="auto"/>
                <w:w w:val="99"/>
              </w:rPr>
              <w:t>QUARTERLY TRENDS</w:t>
            </w:r>
          </w:p>
        </w:tc>
        <w:tc>
          <w:tcPr>
            <w:tcW w:w="4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jc w:val="right"/>
              <w:ind w:right="886"/>
              <w:spacing w:after="0"/>
              <w:rPr>
                <w:sz w:val="20"/>
                <w:szCs w:val="20"/>
                <w:color w:val="auto"/>
              </w:rPr>
            </w:pPr>
            <w:r>
              <w:rPr>
                <w:rFonts w:ascii="Arial" w:cs="Arial" w:eastAsia="Arial" w:hAnsi="Arial"/>
                <w:sz w:val="11"/>
                <w:szCs w:val="11"/>
                <w:b w:val="1"/>
                <w:bCs w:val="1"/>
                <w:color w:val="auto"/>
              </w:rPr>
              <w:t>FULL YEAR</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tcBorders>
              <w:bottom w:val="single" w:sz="8" w:color="auto"/>
            </w:tcBorders>
            <w:gridSpan w:val="3"/>
          </w:tcPr>
          <w:p>
            <w:pPr>
              <w:jc w:val="right"/>
              <w:ind w:right="306"/>
              <w:spacing w:after="0"/>
              <w:rPr>
                <w:sz w:val="20"/>
                <w:szCs w:val="20"/>
                <w:color w:val="auto"/>
              </w:rPr>
            </w:pPr>
            <w:r>
              <w:rPr>
                <w:rFonts w:ascii="Arial" w:cs="Arial" w:eastAsia="Arial" w:hAnsi="Arial"/>
                <w:sz w:val="11"/>
                <w:szCs w:val="11"/>
                <w:b w:val="1"/>
                <w:bCs w:val="1"/>
                <w:color w:val="auto"/>
              </w:rPr>
              <w:t>4Q22 Change</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2022 Change</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rPr>
              <w:t>4Q22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3Q22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2Q22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1Q22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ind w:right="106"/>
              <w:spacing w:after="0"/>
              <w:rPr>
                <w:sz w:val="20"/>
                <w:szCs w:val="20"/>
                <w:color w:val="auto"/>
              </w:rPr>
            </w:pPr>
            <w:r>
              <w:rPr>
                <w:rFonts w:ascii="Arial" w:cs="Arial" w:eastAsia="Arial" w:hAnsi="Arial"/>
                <w:sz w:val="11"/>
                <w:szCs w:val="11"/>
                <w:b w:val="1"/>
                <w:bCs w:val="1"/>
                <w:color w:val="auto"/>
                <w:w w:val="96"/>
              </w:rPr>
              <w:t>4Q21</w:t>
            </w:r>
          </w:p>
        </w:tc>
        <w:tc>
          <w:tcPr>
            <w:tcW w:w="400" w:type="dxa"/>
            <w:vAlign w:val="bottom"/>
          </w:tcPr>
          <w:p>
            <w:pPr>
              <w:spacing w:after="0"/>
              <w:rPr>
                <w:sz w:val="13"/>
                <w:szCs w:val="13"/>
                <w:color w:val="auto"/>
              </w:rPr>
            </w:pPr>
          </w:p>
        </w:tc>
        <w:tc>
          <w:tcPr>
            <w:tcW w:w="820" w:type="dxa"/>
            <w:vAlign w:val="bottom"/>
            <w:gridSpan w:val="2"/>
          </w:tcPr>
          <w:p>
            <w:pPr>
              <w:ind w:left="160"/>
              <w:spacing w:after="0"/>
              <w:rPr>
                <w:sz w:val="20"/>
                <w:szCs w:val="20"/>
                <w:color w:val="auto"/>
              </w:rPr>
            </w:pPr>
            <w:r>
              <w:rPr>
                <w:rFonts w:ascii="Arial" w:cs="Arial" w:eastAsia="Arial" w:hAnsi="Arial"/>
                <w:sz w:val="11"/>
                <w:szCs w:val="11"/>
                <w:b w:val="1"/>
                <w:bCs w:val="1"/>
                <w:color w:val="auto"/>
              </w:rPr>
              <w:t>3Q22</w:t>
            </w:r>
          </w:p>
        </w:tc>
        <w:tc>
          <w:tcPr>
            <w:tcW w:w="1060" w:type="dxa"/>
            <w:vAlign w:val="bottom"/>
            <w:gridSpan w:val="2"/>
          </w:tcPr>
          <w:p>
            <w:pPr>
              <w:ind w:left="160"/>
              <w:spacing w:after="0"/>
              <w:rPr>
                <w:sz w:val="20"/>
                <w:szCs w:val="20"/>
                <w:color w:val="auto"/>
              </w:rPr>
            </w:pPr>
            <w:r>
              <w:rPr>
                <w:rFonts w:ascii="Arial" w:cs="Arial" w:eastAsia="Arial" w:hAnsi="Arial"/>
                <w:sz w:val="11"/>
                <w:szCs w:val="11"/>
                <w:b w:val="1"/>
                <w:bCs w:val="1"/>
                <w:color w:val="auto"/>
              </w:rPr>
              <w:t>4Q21</w:t>
            </w:r>
          </w:p>
        </w:tc>
        <w:tc>
          <w:tcPr>
            <w:tcW w:w="120" w:type="dxa"/>
            <w:vAlign w:val="bottom"/>
          </w:tcPr>
          <w:p>
            <w:pPr>
              <w:spacing w:after="0"/>
              <w:rPr>
                <w:sz w:val="13"/>
                <w:szCs w:val="13"/>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46"/>
              <w:spacing w:after="0"/>
              <w:rPr>
                <w:sz w:val="20"/>
                <w:szCs w:val="20"/>
                <w:color w:val="auto"/>
              </w:rPr>
            </w:pPr>
            <w:r>
              <w:rPr>
                <w:rFonts w:ascii="Arial" w:cs="Arial" w:eastAsia="Arial" w:hAnsi="Arial"/>
                <w:sz w:val="11"/>
                <w:szCs w:val="11"/>
                <w:b w:val="1"/>
                <w:bCs w:val="1"/>
                <w:color w:val="auto"/>
              </w:rPr>
              <w:t>2021</w:t>
            </w:r>
          </w:p>
        </w:tc>
        <w:tc>
          <w:tcPr>
            <w:tcW w:w="100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08"/>
        </w:trPr>
        <w:tc>
          <w:tcPr>
            <w:tcW w:w="2380" w:type="dxa"/>
            <w:vAlign w:val="bottom"/>
            <w:gridSpan w:val="8"/>
          </w:tcPr>
          <w:p>
            <w:pPr>
              <w:spacing w:after="0" w:line="108" w:lineRule="exact"/>
              <w:rPr>
                <w:sz w:val="20"/>
                <w:szCs w:val="20"/>
                <w:color w:val="auto"/>
              </w:rPr>
            </w:pPr>
            <w:r>
              <w:rPr>
                <w:rFonts w:ascii="Arial" w:cs="Arial" w:eastAsia="Arial" w:hAnsi="Arial"/>
                <w:sz w:val="11"/>
                <w:szCs w:val="11"/>
                <w:b w:val="1"/>
                <w:bCs w:val="1"/>
                <w:color w:val="auto"/>
              </w:rPr>
              <w:t>OTHER INCOME</w:t>
            </w: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380" w:type="dxa"/>
            <w:vAlign w:val="bottom"/>
            <w:gridSpan w:val="8"/>
          </w:tcPr>
          <w:p>
            <w:pPr>
              <w:spacing w:after="0"/>
              <w:rPr>
                <w:sz w:val="20"/>
                <w:szCs w:val="20"/>
                <w:color w:val="auto"/>
              </w:rPr>
            </w:pPr>
            <w:r>
              <w:rPr>
                <w:rFonts w:ascii="Arial" w:cs="Arial" w:eastAsia="Arial" w:hAnsi="Arial"/>
                <w:sz w:val="11"/>
                <w:szCs w:val="11"/>
                <w:b w:val="1"/>
                <w:bCs w:val="1"/>
                <w:color w:val="auto"/>
              </w:rPr>
              <w:t>Other income - reported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1,392</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900</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540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1,490</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1,180</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55 %</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18 %</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4,322</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4,830</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9"/>
        </w:trPr>
        <w:tc>
          <w:tcPr>
            <w:tcW w:w="2380" w:type="dxa"/>
            <w:vAlign w:val="bottom"/>
            <w:gridSpan w:val="8"/>
          </w:tcPr>
          <w:p>
            <w:pPr>
              <w:spacing w:after="0"/>
              <w:rPr>
                <w:sz w:val="20"/>
                <w:szCs w:val="20"/>
                <w:color w:val="auto"/>
              </w:rPr>
            </w:pPr>
            <w:r>
              <w:rPr>
                <w:rFonts w:ascii="Arial" w:cs="Arial" w:eastAsia="Arial" w:hAnsi="Arial"/>
                <w:sz w:val="11"/>
                <w:szCs w:val="11"/>
                <w:color w:val="auto"/>
              </w:rPr>
              <w:t>Fully taxable-equivalent adjustments (a)</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898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663</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812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775</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984</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35</w:t>
            </w:r>
          </w:p>
        </w:tc>
        <w:tc>
          <w:tcPr>
            <w:tcW w:w="22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3,148</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3,225</w:t>
            </w:r>
          </w:p>
        </w:tc>
        <w:tc>
          <w:tcPr>
            <w:tcW w:w="100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9"/>
        </w:trPr>
        <w:tc>
          <w:tcPr>
            <w:tcW w:w="2380" w:type="dxa"/>
            <w:vAlign w:val="bottom"/>
            <w:gridSpan w:val="8"/>
          </w:tcPr>
          <w:p>
            <w:pPr>
              <w:spacing w:after="0"/>
              <w:rPr>
                <w:sz w:val="20"/>
                <w:szCs w:val="20"/>
                <w:color w:val="auto"/>
              </w:rPr>
            </w:pPr>
            <w:r>
              <w:rPr>
                <w:rFonts w:ascii="Arial" w:cs="Arial" w:eastAsia="Arial" w:hAnsi="Arial"/>
                <w:sz w:val="11"/>
                <w:szCs w:val="11"/>
                <w:b w:val="1"/>
                <w:bCs w:val="1"/>
                <w:color w:val="auto"/>
              </w:rPr>
              <w:t>Other income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2,290</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1,563</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1,352</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2,265</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w:t>
            </w: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rPr>
              <w:t>2,164</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47</w:t>
            </w:r>
          </w:p>
        </w:tc>
        <w:tc>
          <w:tcPr>
            <w:tcW w:w="22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7,470</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8,055</w:t>
            </w:r>
          </w:p>
        </w:tc>
        <w:tc>
          <w:tcPr>
            <w:tcW w:w="1000" w:type="dxa"/>
            <w:vAlign w:val="bottom"/>
            <w:gridSpan w:val="2"/>
          </w:tcPr>
          <w:p>
            <w:pPr>
              <w:jc w:val="right"/>
              <w:ind w:right="8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70"/>
        </w:trPr>
        <w:tc>
          <w:tcPr>
            <w:tcW w:w="1720" w:type="dxa"/>
            <w:vAlign w:val="bottom"/>
            <w:tcBorders>
              <w:bottom w:val="single" w:sz="8" w:color="auto"/>
            </w:tcBorders>
            <w:gridSpan w:val="6"/>
          </w:tcPr>
          <w:p>
            <w:pPr>
              <w:spacing w:after="0"/>
              <w:rPr>
                <w:sz w:val="20"/>
                <w:szCs w:val="20"/>
                <w:color w:val="auto"/>
              </w:rPr>
            </w:pPr>
            <w:r>
              <w:rPr>
                <w:rFonts w:ascii="Arial" w:cs="Arial" w:eastAsia="Arial" w:hAnsi="Arial"/>
                <w:sz w:val="11"/>
                <w:szCs w:val="11"/>
                <w:b w:val="1"/>
                <w:bCs w:val="1"/>
                <w:color w:val="auto"/>
                <w:w w:val="97"/>
              </w:rPr>
              <w:t>TOTAL NONINTEREST REVENUE</w:t>
            </w:r>
          </w:p>
        </w:tc>
        <w:tc>
          <w:tcPr>
            <w:tcW w:w="660" w:type="dxa"/>
            <w:vAlign w:val="bottom"/>
            <w:gridSpan w:val="2"/>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2380" w:type="dxa"/>
            <w:vAlign w:val="bottom"/>
            <w:gridSpan w:val="8"/>
          </w:tcPr>
          <w:p>
            <w:pPr>
              <w:spacing w:after="0"/>
              <w:rPr>
                <w:sz w:val="20"/>
                <w:szCs w:val="20"/>
                <w:color w:val="auto"/>
              </w:rPr>
            </w:pPr>
            <w:r>
              <w:rPr>
                <w:rFonts w:ascii="Arial" w:cs="Arial" w:eastAsia="Arial" w:hAnsi="Arial"/>
                <w:sz w:val="11"/>
                <w:szCs w:val="11"/>
                <w:b w:val="1"/>
                <w:bCs w:val="1"/>
                <w:color w:val="auto"/>
              </w:rPr>
              <w:t>Total noninterest revenue - reported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14,355</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15,198</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15,587</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16,845</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15,656</w:t>
            </w:r>
          </w:p>
        </w:tc>
        <w:tc>
          <w:tcPr>
            <w:tcW w:w="100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61,985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69,338</w:t>
            </w:r>
          </w:p>
        </w:tc>
        <w:tc>
          <w:tcPr>
            <w:tcW w:w="1000" w:type="dxa"/>
            <w:vAlign w:val="bottom"/>
            <w:gridSpan w:val="2"/>
          </w:tcPr>
          <w:p>
            <w:pPr>
              <w:jc w:val="right"/>
              <w:ind w:right="8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70"/>
        </w:trPr>
        <w:tc>
          <w:tcPr>
            <w:tcW w:w="2380" w:type="dxa"/>
            <w:vAlign w:val="bottom"/>
            <w:gridSpan w:val="8"/>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898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663</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812</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775</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984</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35</w:t>
            </w:r>
          </w:p>
        </w:tc>
        <w:tc>
          <w:tcPr>
            <w:tcW w:w="22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3,148</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3,225</w:t>
            </w:r>
          </w:p>
        </w:tc>
        <w:tc>
          <w:tcPr>
            <w:tcW w:w="100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9"/>
        </w:trPr>
        <w:tc>
          <w:tcPr>
            <w:tcW w:w="2380" w:type="dxa"/>
            <w:vAlign w:val="bottom"/>
            <w:gridSpan w:val="8"/>
          </w:tcPr>
          <w:p>
            <w:pPr>
              <w:spacing w:after="0"/>
              <w:rPr>
                <w:sz w:val="20"/>
                <w:szCs w:val="20"/>
                <w:color w:val="auto"/>
              </w:rPr>
            </w:pPr>
            <w:r>
              <w:rPr>
                <w:rFonts w:ascii="Arial" w:cs="Arial" w:eastAsia="Arial" w:hAnsi="Arial"/>
                <w:sz w:val="11"/>
                <w:szCs w:val="11"/>
                <w:b w:val="1"/>
                <w:bCs w:val="1"/>
                <w:color w:val="auto"/>
              </w:rPr>
              <w:t>Total noninterest revenue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15,253</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15,861</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16,399</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17,620</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w:t>
            </w: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rPr>
              <w:t>16,640</w:t>
            </w:r>
          </w:p>
        </w:tc>
        <w:tc>
          <w:tcPr>
            <w:tcW w:w="100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65,133</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72,563</w:t>
            </w:r>
          </w:p>
        </w:tc>
        <w:tc>
          <w:tcPr>
            <w:tcW w:w="1000" w:type="dxa"/>
            <w:vAlign w:val="bottom"/>
            <w:gridSpan w:val="2"/>
          </w:tcPr>
          <w:p>
            <w:pPr>
              <w:jc w:val="right"/>
              <w:ind w:right="8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70"/>
        </w:trPr>
        <w:tc>
          <w:tcPr>
            <w:tcW w:w="2380" w:type="dxa"/>
            <w:vAlign w:val="bottom"/>
            <w:gridSpan w:val="8"/>
          </w:tcPr>
          <w:p>
            <w:pPr>
              <w:spacing w:after="0"/>
              <w:rPr>
                <w:sz w:val="20"/>
                <w:szCs w:val="20"/>
                <w:color w:val="auto"/>
              </w:rPr>
            </w:pPr>
            <w:r>
              <w:rPr>
                <w:rFonts w:ascii="Arial" w:cs="Arial" w:eastAsia="Arial" w:hAnsi="Arial"/>
                <w:sz w:val="11"/>
                <w:szCs w:val="11"/>
                <w:b w:val="1"/>
                <w:bCs w:val="1"/>
                <w:color w:val="auto"/>
              </w:rPr>
              <w:t>NET INTEREST INCOME</w:t>
            </w: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380" w:type="dxa"/>
            <w:vAlign w:val="bottom"/>
            <w:gridSpan w:val="8"/>
          </w:tcPr>
          <w:p>
            <w:pPr>
              <w:spacing w:after="0"/>
              <w:rPr>
                <w:sz w:val="20"/>
                <w:szCs w:val="20"/>
                <w:color w:val="auto"/>
              </w:rPr>
            </w:pPr>
            <w:r>
              <w:rPr>
                <w:rFonts w:ascii="Arial" w:cs="Arial" w:eastAsia="Arial" w:hAnsi="Arial"/>
                <w:sz w:val="11"/>
                <w:szCs w:val="11"/>
                <w:b w:val="1"/>
                <w:bCs w:val="1"/>
                <w:color w:val="auto"/>
              </w:rPr>
              <w:t>Net interest income - reported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20,192</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17,518</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15,128</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13,872</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13,601</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48</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66,710</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52,311</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69"/>
        </w:trPr>
        <w:tc>
          <w:tcPr>
            <w:tcW w:w="2380" w:type="dxa"/>
            <w:vAlign w:val="bottom"/>
            <w:gridSpan w:val="8"/>
          </w:tcPr>
          <w:p>
            <w:pPr>
              <w:spacing w:after="0"/>
              <w:rPr>
                <w:sz w:val="20"/>
                <w:szCs w:val="20"/>
                <w:color w:val="auto"/>
              </w:rPr>
            </w:pPr>
            <w:r>
              <w:rPr>
                <w:rFonts w:ascii="Arial" w:cs="Arial" w:eastAsia="Arial" w:hAnsi="Arial"/>
                <w:sz w:val="11"/>
                <w:szCs w:val="11"/>
                <w:color w:val="auto"/>
              </w:rPr>
              <w:t>Fully taxable-equivalent adjustments (a)</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103</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98</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108</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434</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430</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9"/>
        </w:trPr>
        <w:tc>
          <w:tcPr>
            <w:tcW w:w="2380" w:type="dxa"/>
            <w:vAlign w:val="bottom"/>
            <w:gridSpan w:val="8"/>
          </w:tcPr>
          <w:p>
            <w:pPr>
              <w:spacing w:after="0"/>
              <w:rPr>
                <w:sz w:val="20"/>
                <w:szCs w:val="20"/>
                <w:color w:val="auto"/>
              </w:rPr>
            </w:pPr>
            <w:r>
              <w:rPr>
                <w:rFonts w:ascii="Arial" w:cs="Arial" w:eastAsia="Arial" w:hAnsi="Arial"/>
                <w:sz w:val="11"/>
                <w:szCs w:val="11"/>
                <w:b w:val="1"/>
                <w:bCs w:val="1"/>
                <w:color w:val="auto"/>
              </w:rPr>
              <w:t>Net interest income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20,313</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17,630</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15,231</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13,970</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w:t>
            </w: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rPr>
              <w:t>13,709</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48</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67,144</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52,741</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270"/>
        </w:trPr>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6"/>
              </w:rPr>
              <w:t>TOTAL NET REVENUE</w:t>
            </w:r>
          </w:p>
        </w:tc>
        <w:tc>
          <w:tcPr>
            <w:tcW w:w="1220" w:type="dxa"/>
            <w:vAlign w:val="bottom"/>
            <w:gridSpan w:val="5"/>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2380" w:type="dxa"/>
            <w:vAlign w:val="bottom"/>
            <w:gridSpan w:val="8"/>
          </w:tcPr>
          <w:p>
            <w:pPr>
              <w:spacing w:after="0"/>
              <w:rPr>
                <w:sz w:val="20"/>
                <w:szCs w:val="20"/>
                <w:color w:val="auto"/>
              </w:rPr>
            </w:pPr>
            <w:r>
              <w:rPr>
                <w:rFonts w:ascii="Arial" w:cs="Arial" w:eastAsia="Arial" w:hAnsi="Arial"/>
                <w:sz w:val="11"/>
                <w:szCs w:val="11"/>
                <w:b w:val="1"/>
                <w:bCs w:val="1"/>
                <w:color w:val="auto"/>
              </w:rPr>
              <w:t>Total net revenue - reported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34,547</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32,716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30,715</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30,717</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29,257</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18</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128,695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121,649</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9"/>
        </w:trPr>
        <w:tc>
          <w:tcPr>
            <w:tcW w:w="2380" w:type="dxa"/>
            <w:vAlign w:val="bottom"/>
            <w:gridSpan w:val="8"/>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1,019</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775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915</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873</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1,092</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31</w:t>
            </w:r>
          </w:p>
        </w:tc>
        <w:tc>
          <w:tcPr>
            <w:tcW w:w="22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3,582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3,655</w:t>
            </w:r>
          </w:p>
        </w:tc>
        <w:tc>
          <w:tcPr>
            <w:tcW w:w="100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9"/>
        </w:trPr>
        <w:tc>
          <w:tcPr>
            <w:tcW w:w="2380" w:type="dxa"/>
            <w:vAlign w:val="bottom"/>
            <w:gridSpan w:val="8"/>
          </w:tcPr>
          <w:p>
            <w:pPr>
              <w:spacing w:after="0"/>
              <w:rPr>
                <w:sz w:val="20"/>
                <w:szCs w:val="20"/>
                <w:color w:val="auto"/>
              </w:rPr>
            </w:pPr>
            <w:r>
              <w:rPr>
                <w:rFonts w:ascii="Arial" w:cs="Arial" w:eastAsia="Arial" w:hAnsi="Arial"/>
                <w:sz w:val="11"/>
                <w:szCs w:val="11"/>
                <w:b w:val="1"/>
                <w:bCs w:val="1"/>
                <w:color w:val="auto"/>
              </w:rPr>
              <w:t>Total net revenue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35,566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33,491</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31,630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31,590</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w:t>
            </w: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rPr>
              <w:t>30,349</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132,277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125,304</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70"/>
        </w:trPr>
        <w:tc>
          <w:tcPr>
            <w:tcW w:w="1300" w:type="dxa"/>
            <w:vAlign w:val="bottom"/>
            <w:tcBorders>
              <w:bottom w:val="single" w:sz="8" w:color="auto"/>
            </w:tcBorders>
            <w:gridSpan w:val="5"/>
          </w:tcPr>
          <w:p>
            <w:pPr>
              <w:spacing w:after="0"/>
              <w:rPr>
                <w:sz w:val="20"/>
                <w:szCs w:val="20"/>
                <w:color w:val="auto"/>
              </w:rPr>
            </w:pPr>
            <w:r>
              <w:rPr>
                <w:rFonts w:ascii="Arial" w:cs="Arial" w:eastAsia="Arial" w:hAnsi="Arial"/>
                <w:sz w:val="11"/>
                <w:szCs w:val="11"/>
                <w:b w:val="1"/>
                <w:bCs w:val="1"/>
                <w:color w:val="auto"/>
                <w:w w:val="97"/>
              </w:rPr>
              <w:t>PRE-PROVISION PROFIT</w:t>
            </w:r>
          </w:p>
        </w:tc>
        <w:tc>
          <w:tcPr>
            <w:tcW w:w="1080" w:type="dxa"/>
            <w:vAlign w:val="bottom"/>
            <w:gridSpan w:val="3"/>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2380" w:type="dxa"/>
            <w:vAlign w:val="bottom"/>
            <w:gridSpan w:val="8"/>
          </w:tcPr>
          <w:p>
            <w:pPr>
              <w:spacing w:after="0"/>
              <w:rPr>
                <w:sz w:val="20"/>
                <w:szCs w:val="20"/>
                <w:color w:val="auto"/>
              </w:rPr>
            </w:pPr>
            <w:r>
              <w:rPr>
                <w:rFonts w:ascii="Arial" w:cs="Arial" w:eastAsia="Arial" w:hAnsi="Arial"/>
                <w:sz w:val="11"/>
                <w:szCs w:val="11"/>
                <w:b w:val="1"/>
                <w:bCs w:val="1"/>
                <w:color w:val="auto"/>
              </w:rPr>
              <w:t>Pre-provision profit - reported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15,525</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13,538</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11,966</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11,526</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11,369</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37</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52,555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50,306</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70"/>
        </w:trPr>
        <w:tc>
          <w:tcPr>
            <w:tcW w:w="2380" w:type="dxa"/>
            <w:vAlign w:val="bottom"/>
            <w:gridSpan w:val="8"/>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1,019</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775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915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873</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1,092</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31</w:t>
            </w:r>
          </w:p>
        </w:tc>
        <w:tc>
          <w:tcPr>
            <w:tcW w:w="22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3,582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3,655</w:t>
            </w:r>
          </w:p>
        </w:tc>
        <w:tc>
          <w:tcPr>
            <w:tcW w:w="100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9"/>
        </w:trPr>
        <w:tc>
          <w:tcPr>
            <w:tcW w:w="2380" w:type="dxa"/>
            <w:vAlign w:val="bottom"/>
            <w:gridSpan w:val="8"/>
          </w:tcPr>
          <w:p>
            <w:pPr>
              <w:spacing w:after="0"/>
              <w:rPr>
                <w:sz w:val="20"/>
                <w:szCs w:val="20"/>
                <w:color w:val="auto"/>
              </w:rPr>
            </w:pPr>
            <w:r>
              <w:rPr>
                <w:rFonts w:ascii="Arial" w:cs="Arial" w:eastAsia="Arial" w:hAnsi="Arial"/>
                <w:sz w:val="11"/>
                <w:szCs w:val="11"/>
                <w:b w:val="1"/>
                <w:bCs w:val="1"/>
                <w:color w:val="auto"/>
              </w:rPr>
              <w:t>Pre-provision profit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16,544</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14,313</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12,881</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12,399</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w:t>
            </w: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rPr>
              <w:t>12,461</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16</w:t>
            </w:r>
          </w:p>
        </w:tc>
        <w:tc>
          <w:tcPr>
            <w:tcW w:w="22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33</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56,137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53,961</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70"/>
        </w:trPr>
        <w:tc>
          <w:tcPr>
            <w:tcW w:w="2160" w:type="dxa"/>
            <w:vAlign w:val="bottom"/>
            <w:tcBorders>
              <w:bottom w:val="single" w:sz="8" w:color="auto"/>
            </w:tcBorders>
            <w:gridSpan w:val="7"/>
          </w:tcPr>
          <w:p>
            <w:pPr>
              <w:spacing w:after="0"/>
              <w:rPr>
                <w:sz w:val="20"/>
                <w:szCs w:val="20"/>
                <w:color w:val="auto"/>
              </w:rPr>
            </w:pPr>
            <w:r>
              <w:rPr>
                <w:rFonts w:ascii="Arial" w:cs="Arial" w:eastAsia="Arial" w:hAnsi="Arial"/>
                <w:sz w:val="11"/>
                <w:szCs w:val="11"/>
                <w:b w:val="1"/>
                <w:bCs w:val="1"/>
                <w:color w:val="auto"/>
                <w:w w:val="97"/>
              </w:rPr>
              <w:t>INCOME BEFORE INCOME TAX EXPENSE</w:t>
            </w: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2500" w:type="dxa"/>
            <w:vAlign w:val="bottom"/>
            <w:gridSpan w:val="9"/>
          </w:tcPr>
          <w:p>
            <w:pPr>
              <w:spacing w:after="0"/>
              <w:rPr>
                <w:sz w:val="20"/>
                <w:szCs w:val="20"/>
                <w:color w:val="auto"/>
              </w:rPr>
            </w:pPr>
            <w:r>
              <w:rPr>
                <w:rFonts w:ascii="Arial" w:cs="Arial" w:eastAsia="Arial" w:hAnsi="Arial"/>
                <w:sz w:val="11"/>
                <w:szCs w:val="11"/>
                <w:b w:val="1"/>
                <w:bCs w:val="1"/>
                <w:color w:val="auto"/>
              </w:rPr>
              <w:t xml:space="preserve">Income before income tax expense - reported </w:t>
            </w: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13,237</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12,001</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10,865</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10,063</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12,657</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10</w:t>
            </w:r>
          </w:p>
        </w:tc>
        <w:tc>
          <w:tcPr>
            <w:tcW w:w="22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46,166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59,562</w:t>
            </w:r>
          </w:p>
        </w:tc>
        <w:tc>
          <w:tcPr>
            <w:tcW w:w="1000" w:type="dxa"/>
            <w:vAlign w:val="bottom"/>
            <w:gridSpan w:val="2"/>
          </w:tcPr>
          <w:p>
            <w:pPr>
              <w:jc w:val="right"/>
              <w:ind w:right="8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70"/>
        </w:trPr>
        <w:tc>
          <w:tcPr>
            <w:tcW w:w="2380" w:type="dxa"/>
            <w:vAlign w:val="bottom"/>
            <w:gridSpan w:val="8"/>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1,019</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775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915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873</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1,092</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31</w:t>
            </w:r>
          </w:p>
        </w:tc>
        <w:tc>
          <w:tcPr>
            <w:tcW w:w="22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3,582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3,655</w:t>
            </w:r>
          </w:p>
        </w:tc>
        <w:tc>
          <w:tcPr>
            <w:tcW w:w="100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95"/>
        </w:trPr>
        <w:tc>
          <w:tcPr>
            <w:tcW w:w="2380" w:type="dxa"/>
            <w:vAlign w:val="bottom"/>
            <w:gridSpan w:val="8"/>
          </w:tcPr>
          <w:p>
            <w:pPr>
              <w:spacing w:after="0" w:line="95" w:lineRule="exact"/>
              <w:rPr>
                <w:sz w:val="20"/>
                <w:szCs w:val="20"/>
                <w:color w:val="auto"/>
              </w:rPr>
            </w:pPr>
            <w:r>
              <w:rPr>
                <w:rFonts w:ascii="Arial" w:cs="Arial" w:eastAsia="Arial" w:hAnsi="Arial"/>
                <w:sz w:val="10"/>
                <w:szCs w:val="10"/>
                <w:b w:val="1"/>
                <w:bCs w:val="1"/>
                <w:color w:val="auto"/>
              </w:rPr>
              <w:t>Income before income tax expense -</w:t>
            </w: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14,256</w:t>
            </w:r>
          </w:p>
        </w:tc>
        <w:tc>
          <w:tcPr>
            <w:tcW w:w="22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12,776</w:t>
            </w:r>
          </w:p>
        </w:tc>
        <w:tc>
          <w:tcPr>
            <w:tcW w:w="22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11,780</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10,936</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1"/>
                <w:szCs w:val="11"/>
                <w:b w:val="1"/>
                <w:bCs w:val="1"/>
                <w:color w:val="auto"/>
              </w:rPr>
              <w:t>$</w:t>
            </w:r>
          </w:p>
        </w:tc>
        <w:tc>
          <w:tcPr>
            <w:tcW w:w="4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13,749</w:t>
            </w:r>
          </w:p>
        </w:tc>
        <w:tc>
          <w:tcPr>
            <w:tcW w:w="100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8"/>
                <w:szCs w:val="8"/>
                <w:color w:val="auto"/>
              </w:rPr>
            </w:pPr>
          </w:p>
        </w:tc>
        <w:tc>
          <w:tcPr>
            <w:tcW w:w="600" w:type="dxa"/>
            <w:vAlign w:val="bottom"/>
            <w:vMerge w:val="restart"/>
          </w:tcPr>
          <w:p>
            <w:pPr>
              <w:jc w:val="right"/>
              <w:ind w:right="106"/>
              <w:spacing w:after="0"/>
              <w:rPr>
                <w:sz w:val="20"/>
                <w:szCs w:val="20"/>
                <w:color w:val="auto"/>
              </w:rPr>
            </w:pPr>
            <w:r>
              <w:rPr>
                <w:rFonts w:ascii="Arial" w:cs="Arial" w:eastAsia="Arial" w:hAnsi="Arial"/>
                <w:sz w:val="11"/>
                <w:szCs w:val="11"/>
                <w:color w:val="auto"/>
              </w:rPr>
              <w:t>4</w:t>
            </w:r>
          </w:p>
        </w:tc>
        <w:tc>
          <w:tcPr>
            <w:tcW w:w="46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49,748</w:t>
            </w:r>
          </w:p>
        </w:tc>
        <w:tc>
          <w:tcPr>
            <w:tcW w:w="24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63,217</w:t>
            </w:r>
          </w:p>
        </w:tc>
        <w:tc>
          <w:tcPr>
            <w:tcW w:w="100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55"/>
        </w:trPr>
        <w:tc>
          <w:tcPr>
            <w:tcW w:w="2380" w:type="dxa"/>
            <w:vAlign w:val="bottom"/>
            <w:gridSpan w:val="8"/>
          </w:tcPr>
          <w:p>
            <w:pPr>
              <w:spacing w:after="0"/>
              <w:rPr>
                <w:sz w:val="20"/>
                <w:szCs w:val="20"/>
                <w:color w:val="auto"/>
              </w:rPr>
            </w:pPr>
            <w:r>
              <w:rPr>
                <w:rFonts w:ascii="Arial" w:cs="Arial" w:eastAsia="Arial" w:hAnsi="Arial"/>
                <w:sz w:val="11"/>
                <w:szCs w:val="11"/>
                <w:b w:val="1"/>
                <w:bCs w:val="1"/>
                <w:color w:val="auto"/>
              </w:rPr>
              <w:t>managed</w:t>
            </w:r>
          </w:p>
        </w:tc>
        <w:tc>
          <w:tcPr>
            <w:tcW w:w="1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24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6"/>
              </w:rPr>
              <w:t>INCOME TAX EXPENSE</w:t>
            </w:r>
          </w:p>
        </w:tc>
        <w:tc>
          <w:tcPr>
            <w:tcW w:w="1140" w:type="dxa"/>
            <w:vAlign w:val="bottom"/>
            <w:gridSpan w:val="4"/>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2380" w:type="dxa"/>
            <w:vAlign w:val="bottom"/>
            <w:gridSpan w:val="8"/>
          </w:tcPr>
          <w:p>
            <w:pPr>
              <w:spacing w:after="0"/>
              <w:rPr>
                <w:sz w:val="20"/>
                <w:szCs w:val="20"/>
                <w:color w:val="auto"/>
              </w:rPr>
            </w:pPr>
            <w:r>
              <w:rPr>
                <w:rFonts w:ascii="Arial" w:cs="Arial" w:eastAsia="Arial" w:hAnsi="Arial"/>
                <w:sz w:val="11"/>
                <w:szCs w:val="11"/>
                <w:b w:val="1"/>
                <w:bCs w:val="1"/>
                <w:color w:val="auto"/>
              </w:rPr>
              <w:t>Income tax expense - reported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2,229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2,264</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2,216</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1,781</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2,258</w:t>
            </w:r>
          </w:p>
        </w:tc>
        <w:tc>
          <w:tcPr>
            <w:tcW w:w="100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8,490</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11,228</w:t>
            </w:r>
          </w:p>
        </w:tc>
        <w:tc>
          <w:tcPr>
            <w:tcW w:w="1000" w:type="dxa"/>
            <w:vAlign w:val="bottom"/>
            <w:gridSpan w:val="2"/>
          </w:tcPr>
          <w:p>
            <w:pPr>
              <w:jc w:val="right"/>
              <w:ind w:right="8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70"/>
        </w:trPr>
        <w:tc>
          <w:tcPr>
            <w:tcW w:w="2380" w:type="dxa"/>
            <w:vAlign w:val="bottom"/>
            <w:gridSpan w:val="8"/>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1,019</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775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915</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873</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1,092</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31</w:t>
            </w:r>
          </w:p>
        </w:tc>
        <w:tc>
          <w:tcPr>
            <w:tcW w:w="22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3,582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3,655</w:t>
            </w:r>
          </w:p>
        </w:tc>
        <w:tc>
          <w:tcPr>
            <w:tcW w:w="100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9"/>
        </w:trPr>
        <w:tc>
          <w:tcPr>
            <w:tcW w:w="2380" w:type="dxa"/>
            <w:vAlign w:val="bottom"/>
            <w:gridSpan w:val="8"/>
          </w:tcPr>
          <w:p>
            <w:pPr>
              <w:spacing w:after="0"/>
              <w:rPr>
                <w:sz w:val="20"/>
                <w:szCs w:val="20"/>
                <w:color w:val="auto"/>
              </w:rPr>
            </w:pPr>
            <w:r>
              <w:rPr>
                <w:rFonts w:ascii="Arial" w:cs="Arial" w:eastAsia="Arial" w:hAnsi="Arial"/>
                <w:sz w:val="11"/>
                <w:szCs w:val="11"/>
                <w:b w:val="1"/>
                <w:bCs w:val="1"/>
                <w:color w:val="auto"/>
              </w:rPr>
              <w:t>Income tax expense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3,248</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3,039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3,131</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2,654</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w:t>
            </w: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rPr>
              <w:t>3,350</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12,072</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14,883</w:t>
            </w:r>
          </w:p>
        </w:tc>
        <w:tc>
          <w:tcPr>
            <w:tcW w:w="1000" w:type="dxa"/>
            <w:vAlign w:val="bottom"/>
            <w:gridSpan w:val="2"/>
          </w:tcPr>
          <w:p>
            <w:pPr>
              <w:jc w:val="right"/>
              <w:ind w:right="8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270"/>
        </w:trPr>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6"/>
              </w:rPr>
              <w:t>OVERHEAD RATIO</w:t>
            </w:r>
          </w:p>
        </w:tc>
        <w:tc>
          <w:tcPr>
            <w:tcW w:w="1400" w:type="dxa"/>
            <w:vAlign w:val="bottom"/>
            <w:gridSpan w:val="6"/>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2380" w:type="dxa"/>
            <w:vAlign w:val="bottom"/>
            <w:gridSpan w:val="8"/>
          </w:tcPr>
          <w:p>
            <w:pPr>
              <w:spacing w:after="0"/>
              <w:rPr>
                <w:sz w:val="20"/>
                <w:szCs w:val="20"/>
                <w:color w:val="auto"/>
              </w:rPr>
            </w:pPr>
            <w:r>
              <w:rPr>
                <w:rFonts w:ascii="Arial" w:cs="Arial" w:eastAsia="Arial" w:hAnsi="Arial"/>
                <w:sz w:val="11"/>
                <w:szCs w:val="11"/>
                <w:b w:val="1"/>
                <w:bCs w:val="1"/>
                <w:color w:val="auto"/>
              </w:rPr>
              <w:t>Overhead ratio - reported</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55</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59</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61</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62</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rPr>
              <w:t>61</w:t>
            </w:r>
          </w:p>
        </w:tc>
        <w:tc>
          <w:tcPr>
            <w:tcW w:w="40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59</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59</w:t>
            </w:r>
          </w:p>
        </w:tc>
        <w:tc>
          <w:tcPr>
            <w:tcW w:w="240" w:type="dxa"/>
            <w:vAlign w:val="bottom"/>
          </w:tcPr>
          <w:p>
            <w:pPr>
              <w:jc w:val="right"/>
              <w:ind w:right="86"/>
              <w:spacing w:after="0"/>
              <w:rPr>
                <w:sz w:val="20"/>
                <w:szCs w:val="20"/>
                <w:color w:val="auto"/>
              </w:rPr>
            </w:pPr>
            <w:r>
              <w:rPr>
                <w:rFonts w:ascii="Arial" w:cs="Arial" w:eastAsia="Arial" w:hAnsi="Arial"/>
                <w:sz w:val="11"/>
                <w:szCs w:val="11"/>
                <w:color w:val="auto"/>
                <w:w w:val="81"/>
              </w:rPr>
              <w:t>%</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gridSpan w:val="8"/>
          </w:tcPr>
          <w:p>
            <w:pPr>
              <w:spacing w:after="0"/>
              <w:rPr>
                <w:sz w:val="20"/>
                <w:szCs w:val="20"/>
                <w:color w:val="auto"/>
              </w:rPr>
            </w:pPr>
            <w:r>
              <w:rPr>
                <w:rFonts w:ascii="Arial" w:cs="Arial" w:eastAsia="Arial" w:hAnsi="Arial"/>
                <w:sz w:val="11"/>
                <w:szCs w:val="11"/>
                <w:b w:val="1"/>
                <w:bCs w:val="1"/>
                <w:color w:val="auto"/>
              </w:rPr>
              <w:t>Overhead ratio - managed</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61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rPr>
              <w:t>59</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57</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517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color w:val="auto"/>
        </w:rPr>
        <w:t>(a) Predominantly recognized in CIB, CB and Corporate.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7</w:t>
      </w:r>
    </w:p>
    <w:p>
      <w:pPr>
        <w:sectPr>
          <w:pgSz w:w="11900" w:h="16838" w:orient="portrait"/>
          <w:cols w:equalWidth="0" w:num="1">
            <w:col w:w="11240"/>
          </w:cols>
          <w:pgMar w:left="320" w:top="936"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13970</wp:posOffset>
            </wp:positionV>
            <wp:extent cx="237426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SEGMENT RESULTS -</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MANAGED BASIS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w:t>
      </w: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6"/>
          </w:tcPr>
          <w:p>
            <w:pPr>
              <w:jc w:val="center"/>
              <w:ind w:left="266"/>
              <w:spacing w:after="0"/>
              <w:rPr>
                <w:sz w:val="20"/>
                <w:szCs w:val="20"/>
                <w:color w:val="auto"/>
              </w:rPr>
            </w:pPr>
            <w:r>
              <w:rPr>
                <w:rFonts w:ascii="Arial" w:cs="Arial" w:eastAsia="Arial" w:hAnsi="Arial"/>
                <w:sz w:val="11"/>
                <w:szCs w:val="11"/>
                <w:b w:val="1"/>
                <w:bCs w:val="1"/>
                <w:color w:val="auto"/>
                <w:w w:val="97"/>
              </w:rPr>
              <w:t>QUARTERLY TRENDS</w:t>
            </w: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FULL YEAR</w:t>
            </w:r>
          </w:p>
        </w:tc>
        <w:tc>
          <w:tcPr>
            <w:tcW w:w="740" w:type="dxa"/>
            <w:vAlign w:val="bottom"/>
            <w:tcBorders>
              <w:bottom w:val="single" w:sz="8" w:color="auto"/>
            </w:tcBorders>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Borders>
              <w:bottom w:val="single" w:sz="8" w:color="auto"/>
            </w:tcBorders>
            <w:gridSpan w:val="3"/>
          </w:tcPr>
          <w:p>
            <w:pPr>
              <w:jc w:val="right"/>
              <w:ind w:right="266"/>
              <w:spacing w:after="0"/>
              <w:rPr>
                <w:sz w:val="20"/>
                <w:szCs w:val="20"/>
                <w:color w:val="auto"/>
              </w:rPr>
            </w:pPr>
            <w:r>
              <w:rPr>
                <w:rFonts w:ascii="Arial" w:cs="Arial" w:eastAsia="Arial" w:hAnsi="Arial"/>
                <w:sz w:val="11"/>
                <w:szCs w:val="11"/>
                <w:b w:val="1"/>
                <w:bCs w:val="1"/>
                <w:color w:val="auto"/>
              </w:rPr>
              <w:t>4Q22 Change</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 Change</w:t>
            </w:r>
          </w:p>
        </w:tc>
      </w:tr>
      <w:tr>
        <w:trPr>
          <w:trHeight w:val="155"/>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4Q22</w:t>
            </w:r>
          </w:p>
        </w:tc>
        <w:tc>
          <w:tcPr>
            <w:tcW w:w="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3Q22</w:t>
            </w:r>
          </w:p>
        </w:tc>
        <w:tc>
          <w:tcPr>
            <w:tcW w:w="1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2Q22</w:t>
            </w:r>
          </w:p>
        </w:tc>
        <w:tc>
          <w:tcPr>
            <w:tcW w:w="120" w:type="dxa"/>
            <w:vAlign w:val="bottom"/>
          </w:tcPr>
          <w:p>
            <w:pPr>
              <w:spacing w:after="0"/>
              <w:rPr>
                <w:sz w:val="13"/>
                <w:szCs w:val="13"/>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6"/>
              </w:rPr>
              <w:t>1Q22</w:t>
            </w:r>
          </w:p>
        </w:tc>
        <w:tc>
          <w:tcPr>
            <w:tcW w:w="120" w:type="dxa"/>
            <w:vAlign w:val="bottom"/>
          </w:tcPr>
          <w:p>
            <w:pPr>
              <w:spacing w:after="0"/>
              <w:rPr>
                <w:sz w:val="13"/>
                <w:szCs w:val="13"/>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rPr>
              <w:t>4Q21</w:t>
            </w:r>
          </w:p>
        </w:tc>
        <w:tc>
          <w:tcPr>
            <w:tcW w:w="24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3Q22</w:t>
            </w:r>
          </w:p>
        </w:tc>
        <w:tc>
          <w:tcPr>
            <w:tcW w:w="1020" w:type="dxa"/>
            <w:vAlign w:val="bottom"/>
            <w:gridSpan w:val="2"/>
          </w:tcPr>
          <w:p>
            <w:pPr>
              <w:jc w:val="right"/>
              <w:ind w:right="600"/>
              <w:spacing w:after="0"/>
              <w:rPr>
                <w:sz w:val="20"/>
                <w:szCs w:val="20"/>
                <w:color w:val="auto"/>
              </w:rPr>
            </w:pPr>
            <w:r>
              <w:rPr>
                <w:rFonts w:ascii="Arial" w:cs="Arial" w:eastAsia="Arial" w:hAnsi="Arial"/>
                <w:sz w:val="11"/>
                <w:szCs w:val="11"/>
                <w:b w:val="1"/>
                <w:bCs w:val="1"/>
                <w:color w:val="auto"/>
              </w:rPr>
              <w:t>4Q21</w:t>
            </w:r>
          </w:p>
        </w:tc>
        <w:tc>
          <w:tcPr>
            <w:tcW w:w="120" w:type="dxa"/>
            <w:vAlign w:val="bottom"/>
          </w:tcPr>
          <w:p>
            <w:pPr>
              <w:spacing w:after="0"/>
              <w:rPr>
                <w:sz w:val="13"/>
                <w:szCs w:val="13"/>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rPr>
              <w:t>2021</w:t>
            </w:r>
          </w:p>
        </w:tc>
        <w:tc>
          <w:tcPr>
            <w:tcW w:w="240" w:type="dxa"/>
            <w:vAlign w:val="bottom"/>
          </w:tcPr>
          <w:p>
            <w:pPr>
              <w:spacing w:after="0"/>
              <w:rPr>
                <w:sz w:val="13"/>
                <w:szCs w:val="13"/>
                <w:color w:val="auto"/>
              </w:rPr>
            </w:pPr>
          </w:p>
        </w:tc>
        <w:tc>
          <w:tcPr>
            <w:tcW w:w="740" w:type="dxa"/>
            <w:vAlign w:val="bottom"/>
          </w:tcPr>
          <w:p>
            <w:pPr>
              <w:jc w:val="right"/>
              <w:ind w:right="206"/>
              <w:spacing w:after="0"/>
              <w:rPr>
                <w:sz w:val="20"/>
                <w:szCs w:val="20"/>
                <w:color w:val="auto"/>
              </w:rPr>
            </w:pPr>
            <w:r>
              <w:rPr>
                <w:rFonts w:ascii="Arial" w:cs="Arial" w:eastAsia="Arial" w:hAnsi="Arial"/>
                <w:sz w:val="11"/>
                <w:szCs w:val="11"/>
                <w:b w:val="1"/>
                <w:bCs w:val="1"/>
                <w:color w:val="auto"/>
              </w:rPr>
              <w:t>2021</w:t>
            </w:r>
          </w:p>
        </w:tc>
      </w:tr>
      <w:tr>
        <w:trPr>
          <w:trHeight w:val="108"/>
        </w:trPr>
        <w:tc>
          <w:tcPr>
            <w:tcW w:w="2300" w:type="dxa"/>
            <w:vAlign w:val="bottom"/>
            <w:gridSpan w:val="7"/>
          </w:tcPr>
          <w:p>
            <w:pPr>
              <w:spacing w:after="0" w:line="108" w:lineRule="exact"/>
              <w:rPr>
                <w:sz w:val="20"/>
                <w:szCs w:val="20"/>
                <w:color w:val="auto"/>
              </w:rPr>
            </w:pPr>
            <w:r>
              <w:rPr>
                <w:rFonts w:ascii="Arial" w:cs="Arial" w:eastAsia="Arial" w:hAnsi="Arial"/>
                <w:sz w:val="11"/>
                <w:szCs w:val="11"/>
                <w:b w:val="1"/>
                <w:bCs w:val="1"/>
                <w:color w:val="auto"/>
              </w:rPr>
              <w:t>TOTAL NET REVENUE (fully taxable-</w:t>
            </w: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r>
      <w:tr>
        <w:trPr>
          <w:trHeight w:val="88"/>
        </w:trPr>
        <w:tc>
          <w:tcPr>
            <w:tcW w:w="100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rPr>
              <w:t>equivalent (“FTE”))</w:t>
            </w:r>
          </w:p>
        </w:tc>
        <w:tc>
          <w:tcPr>
            <w:tcW w:w="880" w:type="dxa"/>
            <w:vAlign w:val="bottom"/>
            <w:tcBorders>
              <w:top w:val="single" w:sz="8" w:color="auto"/>
            </w:tcBorders>
            <w:gridSpan w:val="5"/>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r>
      <w:tr>
        <w:trPr>
          <w:trHeight w:val="163"/>
        </w:trPr>
        <w:tc>
          <w:tcPr>
            <w:tcW w:w="2300" w:type="dxa"/>
            <w:vAlign w:val="bottom"/>
            <w:gridSpan w:val="7"/>
          </w:tcPr>
          <w:p>
            <w:pPr>
              <w:spacing w:after="0"/>
              <w:rPr>
                <w:sz w:val="20"/>
                <w:szCs w:val="20"/>
                <w:color w:val="auto"/>
              </w:rPr>
            </w:pPr>
            <w:r>
              <w:rPr>
                <w:rFonts w:ascii="Arial" w:cs="Arial" w:eastAsia="Arial" w:hAnsi="Arial"/>
                <w:sz w:val="11"/>
                <w:szCs w:val="11"/>
                <w:color w:val="auto"/>
              </w:rPr>
              <w:t>Consumer &amp; Community Banking</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15,843</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14,331</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12,614</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12,229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12,275</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11 %</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29 %</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55,017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50,073</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10 %</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Corporate &amp; Investment Bank</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10,548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11,875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11,947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13,529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11,534</w:t>
            </w:r>
          </w:p>
        </w:tc>
        <w:tc>
          <w:tcPr>
            <w:tcW w:w="24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22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47,899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51,749</w:t>
            </w:r>
          </w:p>
        </w:tc>
        <w:tc>
          <w:tcPr>
            <w:tcW w:w="24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(7)</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Commercial Banking</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3,404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3,048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2,683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2,398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2,612</w:t>
            </w:r>
          </w:p>
        </w:tc>
        <w:tc>
          <w:tcPr>
            <w:tcW w:w="2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30</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11,533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10,008</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15</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4,588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4,539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4,306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4,315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4,473</w:t>
            </w:r>
          </w:p>
        </w:tc>
        <w:tc>
          <w:tcPr>
            <w:tcW w:w="2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17,748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16,957</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5</w:t>
            </w:r>
          </w:p>
        </w:tc>
      </w:tr>
      <w:tr>
        <w:trPr>
          <w:trHeight w:val="175"/>
        </w:trPr>
        <w:tc>
          <w:tcPr>
            <w:tcW w:w="230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1,183</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80</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(881)</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(545)</w:t>
            </w:r>
          </w:p>
        </w:tc>
        <w:tc>
          <w:tcPr>
            <w:tcW w:w="240" w:type="dxa"/>
            <w:vAlign w:val="bottom"/>
          </w:tcPr>
          <w:p>
            <w:pPr>
              <w:spacing w:after="0"/>
              <w:rPr>
                <w:sz w:val="15"/>
                <w:szCs w:val="15"/>
                <w:color w:val="auto"/>
              </w:rPr>
            </w:pPr>
          </w:p>
        </w:tc>
        <w:tc>
          <w:tcPr>
            <w:tcW w:w="78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02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(3,483)</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69"/>
        </w:trPr>
        <w:tc>
          <w:tcPr>
            <w:tcW w:w="2300" w:type="dxa"/>
            <w:vAlign w:val="bottom"/>
            <w:gridSpan w:val="7"/>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35,566</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33,491</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31,630</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31,590</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30,349</w:t>
            </w:r>
          </w:p>
        </w:tc>
        <w:tc>
          <w:tcPr>
            <w:tcW w:w="2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17</w:t>
            </w:r>
          </w:p>
        </w:tc>
        <w:tc>
          <w:tcPr>
            <w:tcW w:w="4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132,277</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125,304</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6</w:t>
            </w:r>
          </w:p>
        </w:tc>
      </w:tr>
      <w:tr>
        <w:trPr>
          <w:trHeight w:val="270"/>
        </w:trPr>
        <w:tc>
          <w:tcPr>
            <w:tcW w:w="2300" w:type="dxa"/>
            <w:vAlign w:val="bottom"/>
            <w:gridSpan w:val="7"/>
          </w:tcPr>
          <w:p>
            <w:pPr>
              <w:spacing w:after="0"/>
              <w:rPr>
                <w:sz w:val="20"/>
                <w:szCs w:val="20"/>
                <w:color w:val="auto"/>
              </w:rPr>
            </w:pPr>
            <w:r>
              <w:rPr>
                <w:rFonts w:ascii="Arial" w:cs="Arial" w:eastAsia="Arial" w:hAnsi="Arial"/>
                <w:sz w:val="11"/>
                <w:szCs w:val="11"/>
                <w:b w:val="1"/>
                <w:bCs w:val="1"/>
                <w:color w:val="auto"/>
              </w:rPr>
              <w:t>TOTAL NONINTEREST EXPENSE</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63"/>
        </w:trPr>
        <w:tc>
          <w:tcPr>
            <w:tcW w:w="1700" w:type="dxa"/>
            <w:vAlign w:val="bottom"/>
            <w:tcBorders>
              <w:top w:val="single" w:sz="8" w:color="auto"/>
            </w:tcBorders>
            <w:gridSpan w:val="4"/>
          </w:tcPr>
          <w:p>
            <w:pPr>
              <w:spacing w:after="0"/>
              <w:rPr>
                <w:sz w:val="20"/>
                <w:szCs w:val="20"/>
                <w:color w:val="auto"/>
              </w:rPr>
            </w:pPr>
            <w:r>
              <w:rPr>
                <w:rFonts w:ascii="Arial" w:cs="Arial" w:eastAsia="Arial" w:hAnsi="Arial"/>
                <w:sz w:val="11"/>
                <w:szCs w:val="11"/>
                <w:color w:val="auto"/>
              </w:rPr>
              <w:t>Consumer &amp; Community Banking</w:t>
            </w:r>
          </w:p>
        </w:tc>
        <w:tc>
          <w:tcPr>
            <w:tcW w:w="600" w:type="dxa"/>
            <w:vAlign w:val="bottom"/>
            <w:gridSpan w:val="3"/>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7,981</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8,047</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7,723</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7,720</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7,754</w:t>
            </w:r>
          </w:p>
        </w:tc>
        <w:tc>
          <w:tcPr>
            <w:tcW w:w="24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31,471</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29,256</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8</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Corporate &amp; Investment Bank</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6,426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6,618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6,745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7,298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5,827</w:t>
            </w:r>
          </w:p>
        </w:tc>
        <w:tc>
          <w:tcPr>
            <w:tcW w:w="24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10</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27,087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25,325</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7</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Commercial Banking</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1,254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1,180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1,156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1,129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1,059</w:t>
            </w:r>
          </w:p>
        </w:tc>
        <w:tc>
          <w:tcPr>
            <w:tcW w:w="2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4,719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4,041</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17</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3,022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3,028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2,919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2,860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2,997</w:t>
            </w:r>
          </w:p>
        </w:tc>
        <w:tc>
          <w:tcPr>
            <w:tcW w:w="24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11,829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10,919</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8</w:t>
            </w:r>
          </w:p>
        </w:tc>
      </w:tr>
      <w:tr>
        <w:trPr>
          <w:trHeight w:val="176"/>
        </w:trPr>
        <w:tc>
          <w:tcPr>
            <w:tcW w:w="230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339</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305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184</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251</w:t>
            </w:r>
          </w:p>
        </w:tc>
        <w:tc>
          <w:tcPr>
            <w:tcW w:w="240" w:type="dxa"/>
            <w:vAlign w:val="bottom"/>
          </w:tcPr>
          <w:p>
            <w:pPr>
              <w:spacing w:after="0"/>
              <w:rPr>
                <w:sz w:val="15"/>
                <w:szCs w:val="15"/>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220" w:type="dxa"/>
            <w:vAlign w:val="bottom"/>
          </w:tcPr>
          <w:p>
            <w:pPr>
              <w:spacing w:after="0"/>
              <w:rPr>
                <w:sz w:val="15"/>
                <w:szCs w:val="15"/>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35</w:t>
            </w:r>
          </w:p>
        </w:tc>
        <w:tc>
          <w:tcPr>
            <w:tcW w:w="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1,034</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1,802</w:t>
            </w:r>
          </w:p>
        </w:tc>
        <w:tc>
          <w:tcPr>
            <w:tcW w:w="240" w:type="dxa"/>
            <w:vAlign w:val="bottom"/>
          </w:tcPr>
          <w:p>
            <w:pPr>
              <w:spacing w:after="0"/>
              <w:rPr>
                <w:sz w:val="15"/>
                <w:szCs w:val="15"/>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(43)</w:t>
            </w:r>
          </w:p>
        </w:tc>
      </w:tr>
      <w:tr>
        <w:trPr>
          <w:trHeight w:val="169"/>
        </w:trPr>
        <w:tc>
          <w:tcPr>
            <w:tcW w:w="2300" w:type="dxa"/>
            <w:vAlign w:val="bottom"/>
            <w:gridSpan w:val="7"/>
          </w:tcPr>
          <w:p>
            <w:pPr>
              <w:ind w:left="120"/>
              <w:spacing w:after="0"/>
              <w:rPr>
                <w:sz w:val="20"/>
                <w:szCs w:val="20"/>
                <w:color w:val="auto"/>
              </w:rPr>
            </w:pPr>
            <w:r>
              <w:rPr>
                <w:rFonts w:ascii="Arial" w:cs="Arial" w:eastAsia="Arial" w:hAnsi="Arial"/>
                <w:sz w:val="11"/>
                <w:szCs w:val="11"/>
                <w:b w:val="1"/>
                <w:bCs w:val="1"/>
                <w:color w:val="auto"/>
              </w:rPr>
              <w:t>TOTAL NONINTEREST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19,022</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19,178</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18,749</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19,191</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17,888</w:t>
            </w:r>
          </w:p>
        </w:tc>
        <w:tc>
          <w:tcPr>
            <w:tcW w:w="24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4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76,140</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71,343</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7</w:t>
            </w:r>
          </w:p>
        </w:tc>
      </w:tr>
      <w:tr>
        <w:trPr>
          <w:trHeight w:val="270"/>
        </w:trPr>
        <w:tc>
          <w:tcPr>
            <w:tcW w:w="2300" w:type="dxa"/>
            <w:vAlign w:val="bottom"/>
            <w:gridSpan w:val="7"/>
          </w:tcPr>
          <w:p>
            <w:pPr>
              <w:spacing w:after="0"/>
              <w:rPr>
                <w:sz w:val="20"/>
                <w:szCs w:val="20"/>
                <w:color w:val="auto"/>
              </w:rPr>
            </w:pPr>
            <w:r>
              <w:rPr>
                <w:rFonts w:ascii="Arial" w:cs="Arial" w:eastAsia="Arial" w:hAnsi="Arial"/>
                <w:sz w:val="11"/>
                <w:szCs w:val="11"/>
                <w:b w:val="1"/>
                <w:bCs w:val="1"/>
                <w:color w:val="auto"/>
              </w:rPr>
              <w:t>PRE-PROVISION PROFIT/(LOSS)</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63"/>
        </w:trPr>
        <w:tc>
          <w:tcPr>
            <w:tcW w:w="168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Consumer &amp; Community Banking</w:t>
            </w:r>
          </w:p>
        </w:tc>
        <w:tc>
          <w:tcPr>
            <w:tcW w:w="620" w:type="dxa"/>
            <w:vAlign w:val="bottom"/>
            <w:gridSpan w:val="4"/>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7,862</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6,284</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4,891</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4,509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4,521</w:t>
            </w:r>
          </w:p>
        </w:tc>
        <w:tc>
          <w:tcPr>
            <w:tcW w:w="2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25</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74</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23,546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20,817</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13</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Corporate &amp; Investment Bank</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4,122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5,257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5,202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6,231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5,707</w:t>
            </w:r>
          </w:p>
        </w:tc>
        <w:tc>
          <w:tcPr>
            <w:tcW w:w="24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22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(28)</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20,812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26,424</w:t>
            </w:r>
          </w:p>
        </w:tc>
        <w:tc>
          <w:tcPr>
            <w:tcW w:w="24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(21)</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Commercial Banking</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2,150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1,868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1,527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1,269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1,553</w:t>
            </w:r>
          </w:p>
        </w:tc>
        <w:tc>
          <w:tcPr>
            <w:tcW w:w="2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38</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6,814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5,967</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14</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1,566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1,511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1,387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1,455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1,476</w:t>
            </w:r>
          </w:p>
        </w:tc>
        <w:tc>
          <w:tcPr>
            <w:tcW w:w="2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5,919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6,038</w:t>
            </w:r>
          </w:p>
        </w:tc>
        <w:tc>
          <w:tcPr>
            <w:tcW w:w="24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w:t>
            </w:r>
          </w:p>
        </w:tc>
      </w:tr>
      <w:tr>
        <w:trPr>
          <w:trHeight w:val="175"/>
        </w:trPr>
        <w:tc>
          <w:tcPr>
            <w:tcW w:w="230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844</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(607)</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(1,065)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(796)</w:t>
            </w:r>
          </w:p>
        </w:tc>
        <w:tc>
          <w:tcPr>
            <w:tcW w:w="240" w:type="dxa"/>
            <w:vAlign w:val="bottom"/>
          </w:tcPr>
          <w:p>
            <w:pPr>
              <w:spacing w:after="0"/>
              <w:rPr>
                <w:sz w:val="15"/>
                <w:szCs w:val="15"/>
                <w:color w:val="auto"/>
              </w:rPr>
            </w:pPr>
          </w:p>
        </w:tc>
        <w:tc>
          <w:tcPr>
            <w:tcW w:w="78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02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(954)</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(5,285)</w:t>
            </w:r>
          </w:p>
        </w:tc>
        <w:tc>
          <w:tcPr>
            <w:tcW w:w="24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82</w:t>
            </w:r>
          </w:p>
        </w:tc>
      </w:tr>
      <w:tr>
        <w:trPr>
          <w:trHeight w:val="169"/>
        </w:trPr>
        <w:tc>
          <w:tcPr>
            <w:tcW w:w="2300" w:type="dxa"/>
            <w:vAlign w:val="bottom"/>
            <w:gridSpan w:val="7"/>
          </w:tcPr>
          <w:p>
            <w:pPr>
              <w:ind w:left="120"/>
              <w:spacing w:after="0"/>
              <w:rPr>
                <w:sz w:val="20"/>
                <w:szCs w:val="20"/>
                <w:color w:val="auto"/>
              </w:rPr>
            </w:pPr>
            <w:r>
              <w:rPr>
                <w:rFonts w:ascii="Arial" w:cs="Arial" w:eastAsia="Arial" w:hAnsi="Arial"/>
                <w:sz w:val="11"/>
                <w:szCs w:val="11"/>
                <w:b w:val="1"/>
                <w:bCs w:val="1"/>
                <w:color w:val="auto"/>
              </w:rPr>
              <w:t>PRE-PROVISION PROFIT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16,544</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14,313</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12,881</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12,399</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12,461</w:t>
            </w:r>
          </w:p>
        </w:tc>
        <w:tc>
          <w:tcPr>
            <w:tcW w:w="2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16</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33</w:t>
            </w:r>
          </w:p>
        </w:tc>
        <w:tc>
          <w:tcPr>
            <w:tcW w:w="4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56,137</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53,961</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4</w:t>
            </w:r>
          </w:p>
        </w:tc>
      </w:tr>
      <w:tr>
        <w:trPr>
          <w:trHeight w:val="270"/>
        </w:trPr>
        <w:tc>
          <w:tcPr>
            <w:tcW w:w="2300" w:type="dxa"/>
            <w:vAlign w:val="bottom"/>
            <w:gridSpan w:val="7"/>
          </w:tcPr>
          <w:p>
            <w:pPr>
              <w:spacing w:after="0"/>
              <w:rPr>
                <w:sz w:val="20"/>
                <w:szCs w:val="20"/>
                <w:color w:val="auto"/>
              </w:rPr>
            </w:pPr>
            <w:r>
              <w:rPr>
                <w:rFonts w:ascii="Arial" w:cs="Arial" w:eastAsia="Arial" w:hAnsi="Arial"/>
                <w:sz w:val="11"/>
                <w:szCs w:val="11"/>
                <w:b w:val="1"/>
                <w:bCs w:val="1"/>
                <w:color w:val="auto"/>
              </w:rPr>
              <w:t>PROVISION FOR CREDIT LOSSES</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63"/>
        </w:trPr>
        <w:tc>
          <w:tcPr>
            <w:tcW w:w="1760" w:type="dxa"/>
            <w:vAlign w:val="bottom"/>
            <w:tcBorders>
              <w:top w:val="single" w:sz="8" w:color="auto"/>
            </w:tcBorders>
            <w:gridSpan w:val="5"/>
          </w:tcPr>
          <w:p>
            <w:pPr>
              <w:spacing w:after="0"/>
              <w:rPr>
                <w:sz w:val="20"/>
                <w:szCs w:val="20"/>
                <w:color w:val="auto"/>
              </w:rPr>
            </w:pPr>
            <w:r>
              <w:rPr>
                <w:rFonts w:ascii="Arial" w:cs="Arial" w:eastAsia="Arial" w:hAnsi="Arial"/>
                <w:sz w:val="11"/>
                <w:szCs w:val="11"/>
                <w:color w:val="auto"/>
              </w:rPr>
              <w:t>Consumer &amp; Community Banking</w:t>
            </w:r>
          </w:p>
        </w:tc>
        <w:tc>
          <w:tcPr>
            <w:tcW w:w="540" w:type="dxa"/>
            <w:vAlign w:val="bottom"/>
            <w:gridSpan w:val="2"/>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1,845</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529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761</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678</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(1,060)</w:t>
            </w:r>
          </w:p>
        </w:tc>
        <w:tc>
          <w:tcPr>
            <w:tcW w:w="2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249</w:t>
            </w:r>
          </w:p>
        </w:tc>
        <w:tc>
          <w:tcPr>
            <w:tcW w:w="220" w:type="dxa"/>
            <w:vAlign w:val="bottom"/>
          </w:tcPr>
          <w:p>
            <w:pPr>
              <w:spacing w:after="0"/>
              <w:rPr>
                <w:sz w:val="14"/>
                <w:szCs w:val="14"/>
                <w:color w:val="auto"/>
              </w:rPr>
            </w:pPr>
          </w:p>
        </w:tc>
        <w:tc>
          <w:tcPr>
            <w:tcW w:w="102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3,813</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(6,989)</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Corporate &amp; Investment Bank</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513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445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(126)</w:t>
            </w:r>
          </w:p>
        </w:tc>
        <w:tc>
          <w:tcPr>
            <w:tcW w:w="24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(73)</w:t>
            </w:r>
          </w:p>
        </w:tc>
        <w:tc>
          <w:tcPr>
            <w:tcW w:w="220" w:type="dxa"/>
            <w:vAlign w:val="bottom"/>
          </w:tcPr>
          <w:p>
            <w:pPr>
              <w:spacing w:after="0"/>
              <w:rPr>
                <w:sz w:val="14"/>
                <w:szCs w:val="14"/>
                <w:color w:val="auto"/>
              </w:rPr>
            </w:pPr>
          </w:p>
        </w:tc>
        <w:tc>
          <w:tcPr>
            <w:tcW w:w="102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1,158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(1,174)</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Commercial Banking</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284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(89)</w:t>
            </w:r>
          </w:p>
        </w:tc>
        <w:tc>
          <w:tcPr>
            <w:tcW w:w="24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(54)</w:t>
            </w:r>
          </w:p>
        </w:tc>
        <w:tc>
          <w:tcPr>
            <w:tcW w:w="220" w:type="dxa"/>
            <w:vAlign w:val="bottom"/>
          </w:tcPr>
          <w:p>
            <w:pPr>
              <w:spacing w:after="0"/>
              <w:rPr>
                <w:sz w:val="14"/>
                <w:szCs w:val="14"/>
                <w:color w:val="auto"/>
              </w:rPr>
            </w:pPr>
          </w:p>
        </w:tc>
        <w:tc>
          <w:tcPr>
            <w:tcW w:w="102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1,268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(947)</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(36)</w:t>
            </w:r>
          </w:p>
        </w:tc>
        <w:tc>
          <w:tcPr>
            <w:tcW w:w="24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02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(227)</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75"/>
        </w:trPr>
        <w:tc>
          <w:tcPr>
            <w:tcW w:w="230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28</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23</w:t>
            </w:r>
          </w:p>
        </w:tc>
        <w:tc>
          <w:tcPr>
            <w:tcW w:w="240" w:type="dxa"/>
            <w:vAlign w:val="bottom"/>
          </w:tcPr>
          <w:p>
            <w:pPr>
              <w:spacing w:after="0"/>
              <w:rPr>
                <w:sz w:val="15"/>
                <w:szCs w:val="15"/>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33</w:t>
            </w:r>
          </w:p>
        </w:tc>
        <w:tc>
          <w:tcPr>
            <w:tcW w:w="220" w:type="dxa"/>
            <w:vAlign w:val="bottom"/>
          </w:tcPr>
          <w:p>
            <w:pPr>
              <w:spacing w:after="0"/>
              <w:rPr>
                <w:sz w:val="15"/>
                <w:szCs w:val="15"/>
                <w:color w:val="auto"/>
              </w:rPr>
            </w:pPr>
          </w:p>
        </w:tc>
        <w:tc>
          <w:tcPr>
            <w:tcW w:w="102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w:t>
            </w:r>
          </w:p>
        </w:tc>
        <w:tc>
          <w:tcPr>
            <w:tcW w:w="240" w:type="dxa"/>
            <w:vAlign w:val="bottom"/>
          </w:tcPr>
          <w:p>
            <w:pPr>
              <w:spacing w:after="0"/>
              <w:rPr>
                <w:sz w:val="15"/>
                <w:szCs w:val="15"/>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(73)</w:t>
            </w:r>
          </w:p>
        </w:tc>
      </w:tr>
      <w:tr>
        <w:trPr>
          <w:trHeight w:val="169"/>
        </w:trPr>
        <w:tc>
          <w:tcPr>
            <w:tcW w:w="2300" w:type="dxa"/>
            <w:vAlign w:val="bottom"/>
            <w:gridSpan w:val="7"/>
          </w:tcPr>
          <w:p>
            <w:pPr>
              <w:ind w:left="120"/>
              <w:spacing w:after="0"/>
              <w:rPr>
                <w:sz w:val="20"/>
                <w:szCs w:val="20"/>
                <w:color w:val="auto"/>
              </w:rPr>
            </w:pPr>
            <w:r>
              <w:rPr>
                <w:rFonts w:ascii="Arial" w:cs="Arial" w:eastAsia="Arial" w:hAnsi="Arial"/>
                <w:sz w:val="11"/>
                <w:szCs w:val="11"/>
                <w:b w:val="1"/>
                <w:bCs w:val="1"/>
                <w:color w:val="auto"/>
              </w:rPr>
              <w:t>PROVISION FOR CREDIT LOSSES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2,288</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1,537</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1,101</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1,463</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(1,288)</w:t>
            </w:r>
          </w:p>
        </w:tc>
        <w:tc>
          <w:tcPr>
            <w:tcW w:w="2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49</w:t>
            </w:r>
          </w:p>
        </w:tc>
        <w:tc>
          <w:tcPr>
            <w:tcW w:w="220" w:type="dxa"/>
            <w:vAlign w:val="bottom"/>
          </w:tcPr>
          <w:p>
            <w:pPr>
              <w:spacing w:after="0"/>
              <w:rPr>
                <w:sz w:val="14"/>
                <w:szCs w:val="14"/>
                <w:color w:val="auto"/>
              </w:rPr>
            </w:pPr>
          </w:p>
        </w:tc>
        <w:tc>
          <w:tcPr>
            <w:tcW w:w="102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6,389</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(9,256)</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270"/>
        </w:trPr>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6"/>
              </w:rPr>
              <w:t>NET INCOME/(LOSS)</w:t>
            </w:r>
          </w:p>
        </w:tc>
        <w:tc>
          <w:tcPr>
            <w:tcW w:w="1220" w:type="dxa"/>
            <w:vAlign w:val="bottom"/>
            <w:gridSpan w:val="5"/>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63"/>
        </w:trPr>
        <w:tc>
          <w:tcPr>
            <w:tcW w:w="2300" w:type="dxa"/>
            <w:vAlign w:val="bottom"/>
            <w:gridSpan w:val="7"/>
          </w:tcPr>
          <w:p>
            <w:pPr>
              <w:spacing w:after="0"/>
              <w:rPr>
                <w:sz w:val="20"/>
                <w:szCs w:val="20"/>
                <w:color w:val="auto"/>
              </w:rPr>
            </w:pPr>
            <w:r>
              <w:rPr>
                <w:rFonts w:ascii="Arial" w:cs="Arial" w:eastAsia="Arial" w:hAnsi="Arial"/>
                <w:sz w:val="11"/>
                <w:szCs w:val="11"/>
                <w:color w:val="auto"/>
              </w:rPr>
              <w:t>Consumer &amp; Community Banking</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4,542</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4,334</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3,100</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2,895</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4,147</w:t>
            </w:r>
          </w:p>
        </w:tc>
        <w:tc>
          <w:tcPr>
            <w:tcW w:w="240" w:type="dxa"/>
            <w:vAlign w:val="bottom"/>
          </w:tcPr>
          <w:p>
            <w:pPr>
              <w:jc w:val="right"/>
              <w:ind w:right="46"/>
              <w:spacing w:after="0"/>
              <w:rPr>
                <w:sz w:val="20"/>
                <w:szCs w:val="20"/>
                <w:color w:val="auto"/>
              </w:rPr>
            </w:pPr>
            <w:r>
              <w:rPr>
                <w:rFonts w:ascii="Arial" w:cs="Arial" w:eastAsia="Arial" w:hAnsi="Arial"/>
                <w:sz w:val="11"/>
                <w:szCs w:val="11"/>
                <w:color w:val="auto"/>
                <w:w w:val="88"/>
              </w:rPr>
              <w:t>(a)</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10</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14,871</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20,930</w:t>
            </w:r>
          </w:p>
        </w:tc>
        <w:tc>
          <w:tcPr>
            <w:tcW w:w="24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(29)</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Corporate &amp; Investment Bank</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3,328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3,532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3,725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4,385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4,543</w:t>
            </w:r>
          </w:p>
        </w:tc>
        <w:tc>
          <w:tcPr>
            <w:tcW w:w="240" w:type="dxa"/>
            <w:vAlign w:val="bottom"/>
          </w:tcPr>
          <w:p>
            <w:pPr>
              <w:jc w:val="right"/>
              <w:ind w:right="46"/>
              <w:spacing w:after="0"/>
              <w:rPr>
                <w:sz w:val="20"/>
                <w:szCs w:val="20"/>
                <w:color w:val="auto"/>
              </w:rPr>
            </w:pPr>
            <w:r>
              <w:rPr>
                <w:rFonts w:ascii="Arial" w:cs="Arial" w:eastAsia="Arial" w:hAnsi="Arial"/>
                <w:sz w:val="11"/>
                <w:szCs w:val="11"/>
                <w:color w:val="auto"/>
                <w:w w:val="88"/>
              </w:rPr>
              <w:t>(a)</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(27)</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14,970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21,134</w:t>
            </w:r>
          </w:p>
        </w:tc>
        <w:tc>
          <w:tcPr>
            <w:tcW w:w="24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(29)</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Commercial Banking</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1,423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946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994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850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1,234</w:t>
            </w:r>
          </w:p>
        </w:tc>
        <w:tc>
          <w:tcPr>
            <w:tcW w:w="240" w:type="dxa"/>
            <w:vAlign w:val="bottom"/>
          </w:tcPr>
          <w:p>
            <w:pPr>
              <w:jc w:val="right"/>
              <w:ind w:right="46"/>
              <w:spacing w:after="0"/>
              <w:rPr>
                <w:sz w:val="20"/>
                <w:szCs w:val="20"/>
                <w:color w:val="auto"/>
              </w:rPr>
            </w:pPr>
            <w:r>
              <w:rPr>
                <w:rFonts w:ascii="Arial" w:cs="Arial" w:eastAsia="Arial" w:hAnsi="Arial"/>
                <w:sz w:val="11"/>
                <w:szCs w:val="11"/>
                <w:color w:val="auto"/>
                <w:w w:val="88"/>
              </w:rPr>
              <w:t>(a)</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50</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15</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4,213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5,246</w:t>
            </w:r>
          </w:p>
        </w:tc>
        <w:tc>
          <w:tcPr>
            <w:tcW w:w="24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(20)</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1,134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1,219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1,004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1,008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1,125</w:t>
            </w:r>
          </w:p>
        </w:tc>
        <w:tc>
          <w:tcPr>
            <w:tcW w:w="240" w:type="dxa"/>
            <w:vAlign w:val="bottom"/>
          </w:tcPr>
          <w:p>
            <w:pPr>
              <w:jc w:val="right"/>
              <w:ind w:right="46"/>
              <w:spacing w:after="0"/>
              <w:rPr>
                <w:sz w:val="20"/>
                <w:szCs w:val="20"/>
                <w:color w:val="auto"/>
              </w:rPr>
            </w:pPr>
            <w:r>
              <w:rPr>
                <w:rFonts w:ascii="Arial" w:cs="Arial" w:eastAsia="Arial" w:hAnsi="Arial"/>
                <w:sz w:val="11"/>
                <w:szCs w:val="11"/>
                <w:color w:val="auto"/>
                <w:w w:val="88"/>
              </w:rPr>
              <w:t>(a)</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4,365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4,737</w:t>
            </w:r>
          </w:p>
        </w:tc>
        <w:tc>
          <w:tcPr>
            <w:tcW w:w="24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(8)</w:t>
            </w:r>
          </w:p>
        </w:tc>
      </w:tr>
      <w:tr>
        <w:trPr>
          <w:trHeight w:val="175"/>
        </w:trPr>
        <w:tc>
          <w:tcPr>
            <w:tcW w:w="230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120" w:type="dxa"/>
            <w:vAlign w:val="bottom"/>
          </w:tcPr>
          <w:p>
            <w:pPr>
              <w:spacing w:after="0"/>
              <w:rPr>
                <w:sz w:val="15"/>
                <w:szCs w:val="15"/>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581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(294)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(856)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46"/>
              <w:spacing w:after="0"/>
              <w:rPr>
                <w:sz w:val="20"/>
                <w:szCs w:val="20"/>
                <w:color w:val="auto"/>
              </w:rPr>
            </w:pPr>
            <w:r>
              <w:rPr>
                <w:rFonts w:ascii="Arial" w:cs="Arial" w:eastAsia="Arial" w:hAnsi="Arial"/>
                <w:sz w:val="11"/>
                <w:szCs w:val="11"/>
                <w:color w:val="auto"/>
              </w:rPr>
              <w:t>(650) (a)</w:t>
            </w:r>
          </w:p>
        </w:tc>
        <w:tc>
          <w:tcPr>
            <w:tcW w:w="78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02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(743)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(3,713)</w:t>
            </w:r>
          </w:p>
        </w:tc>
        <w:tc>
          <w:tcPr>
            <w:tcW w:w="24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80</w:t>
            </w:r>
          </w:p>
        </w:tc>
      </w:tr>
      <w:tr>
        <w:trPr>
          <w:trHeight w:val="169"/>
        </w:trPr>
        <w:tc>
          <w:tcPr>
            <w:tcW w:w="2300" w:type="dxa"/>
            <w:vAlign w:val="bottom"/>
            <w:gridSpan w:val="7"/>
          </w:tcPr>
          <w:p>
            <w:pPr>
              <w:ind w:left="120"/>
              <w:spacing w:after="0"/>
              <w:rPr>
                <w:sz w:val="20"/>
                <w:szCs w:val="20"/>
                <w:color w:val="auto"/>
              </w:rPr>
            </w:pPr>
            <w:r>
              <w:rPr>
                <w:rFonts w:ascii="Arial" w:cs="Arial" w:eastAsia="Arial" w:hAnsi="Arial"/>
                <w:sz w:val="11"/>
                <w:szCs w:val="11"/>
                <w:b w:val="1"/>
                <w:bCs w:val="1"/>
                <w:color w:val="auto"/>
              </w:rPr>
              <w:t>TOTAL 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11,008</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9,737</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8,649</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8,282</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10,399</w:t>
            </w:r>
          </w:p>
        </w:tc>
        <w:tc>
          <w:tcPr>
            <w:tcW w:w="2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4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37,676</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48,334</w:t>
            </w:r>
          </w:p>
        </w:tc>
        <w:tc>
          <w:tcPr>
            <w:tcW w:w="24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465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1"/>
          <w:szCs w:val="11"/>
          <w:color w:val="auto"/>
        </w:rPr>
        <w:t>(a) In the first quarter of 2022, the Firm changed its methodology for allocating income taxes to the LOBs, with no impact to Firmwide net income. Prior-period amounts have been revised to conform with the current presentation.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8</w:t>
      </w:r>
    </w:p>
    <w:p>
      <w:pPr>
        <w:sectPr>
          <w:pgSz w:w="11900" w:h="16838" w:orient="portrait"/>
          <w:cols w:equalWidth="0" w:num="1">
            <w:col w:w="11240"/>
          </w:cols>
          <w:pgMar w:left="320" w:top="572"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13970</wp:posOffset>
            </wp:positionV>
            <wp:extent cx="237426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right="7640"/>
        <w:spacing w:after="0" w:line="256" w:lineRule="auto"/>
        <w:rPr>
          <w:sz w:val="20"/>
          <w:szCs w:val="20"/>
          <w:color w:val="auto"/>
        </w:rPr>
      </w:pPr>
      <w:r>
        <w:rPr>
          <w:rFonts w:ascii="Arial" w:cs="Arial" w:eastAsia="Arial" w:hAnsi="Arial"/>
          <w:sz w:val="14"/>
          <w:szCs w:val="14"/>
          <w:b w:val="1"/>
          <w:bCs w:val="1"/>
          <w:color w:val="auto"/>
        </w:rPr>
        <w:t>CAPITAL AND OTHER SELECTED BALANCE SHEET ITEMS</w:t>
      </w: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5"/>
          </w:tcPr>
          <w:p>
            <w:pPr>
              <w:jc w:val="center"/>
              <w:ind w:right="360"/>
              <w:spacing w:after="0"/>
              <w:rPr>
                <w:sz w:val="20"/>
                <w:szCs w:val="20"/>
                <w:color w:val="auto"/>
              </w:rPr>
            </w:pPr>
            <w:r>
              <w:rPr>
                <w:rFonts w:ascii="Arial" w:cs="Arial" w:eastAsia="Arial" w:hAnsi="Arial"/>
                <w:sz w:val="11"/>
                <w:szCs w:val="11"/>
                <w:b w:val="1"/>
                <w:bCs w:val="1"/>
                <w:color w:val="auto"/>
                <w:w w:val="96"/>
              </w:rPr>
              <w:t>Dec 31, 2022</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gridSpan w:val="3"/>
          </w:tcPr>
          <w:p>
            <w:pPr>
              <w:jc w:val="center"/>
              <w:ind w:left="286"/>
              <w:spacing w:after="0"/>
              <w:rPr>
                <w:sz w:val="20"/>
                <w:szCs w:val="20"/>
                <w:color w:val="auto"/>
              </w:rPr>
            </w:pPr>
            <w:r>
              <w:rPr>
                <w:rFonts w:ascii="Arial" w:cs="Arial" w:eastAsia="Arial" w:hAnsi="Arial"/>
                <w:sz w:val="11"/>
                <w:szCs w:val="11"/>
                <w:b w:val="1"/>
                <w:bCs w:val="1"/>
                <w:color w:val="auto"/>
                <w:w w:val="99"/>
              </w:rPr>
              <w:t>Change</w:t>
            </w:r>
          </w:p>
        </w:tc>
        <w:tc>
          <w:tcPr>
            <w:tcW w:w="3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FULL YEAR</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Dec 31,</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Sep 30,</w:t>
            </w:r>
          </w:p>
        </w:tc>
        <w:tc>
          <w:tcPr>
            <w:tcW w:w="80" w:type="dxa"/>
            <w:vAlign w:val="bottom"/>
          </w:tcPr>
          <w:p>
            <w:pPr>
              <w:spacing w:after="0"/>
              <w:rPr>
                <w:sz w:val="9"/>
                <w:szCs w:val="9"/>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Jun 30,</w:t>
            </w:r>
          </w:p>
        </w:tc>
        <w:tc>
          <w:tcPr>
            <w:tcW w:w="80" w:type="dxa"/>
            <w:vAlign w:val="bottom"/>
          </w:tcPr>
          <w:p>
            <w:pPr>
              <w:spacing w:after="0"/>
              <w:rPr>
                <w:sz w:val="9"/>
                <w:szCs w:val="9"/>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Mar 31,</w:t>
            </w:r>
          </w:p>
        </w:tc>
        <w:tc>
          <w:tcPr>
            <w:tcW w:w="100" w:type="dxa"/>
            <w:vAlign w:val="bottom"/>
          </w:tcPr>
          <w:p>
            <w:pPr>
              <w:spacing w:after="0"/>
              <w:rPr>
                <w:sz w:val="9"/>
                <w:szCs w:val="9"/>
                <w:color w:val="auto"/>
              </w:rPr>
            </w:pPr>
          </w:p>
        </w:tc>
        <w:tc>
          <w:tcPr>
            <w:tcW w:w="64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Dec 31,</w:t>
            </w:r>
          </w:p>
        </w:tc>
        <w:tc>
          <w:tcPr>
            <w:tcW w:w="180" w:type="dxa"/>
            <w:vAlign w:val="bottom"/>
          </w:tcPr>
          <w:p>
            <w:pPr>
              <w:spacing w:after="0"/>
              <w:rPr>
                <w:sz w:val="9"/>
                <w:szCs w:val="9"/>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Sep 30,</w:t>
            </w:r>
          </w:p>
        </w:tc>
        <w:tc>
          <w:tcPr>
            <w:tcW w:w="8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Dec 31,</w:t>
            </w: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jc w:val="right"/>
              <w:ind w:right="166"/>
              <w:spacing w:after="0" w:line="109" w:lineRule="exact"/>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2022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2022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2022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206"/>
              <w:spacing w:after="0"/>
              <w:rPr>
                <w:sz w:val="20"/>
                <w:szCs w:val="20"/>
                <w:color w:val="auto"/>
              </w:rPr>
            </w:pPr>
            <w:r>
              <w:rPr>
                <w:rFonts w:ascii="Arial" w:cs="Arial" w:eastAsia="Arial" w:hAnsi="Arial"/>
                <w:sz w:val="11"/>
                <w:szCs w:val="11"/>
                <w:b w:val="1"/>
                <w:bCs w:val="1"/>
                <w:color w:val="auto"/>
              </w:rPr>
              <w:t>2022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2021</w:t>
            </w:r>
          </w:p>
        </w:tc>
        <w:tc>
          <w:tcPr>
            <w:tcW w:w="620" w:type="dxa"/>
            <w:vAlign w:val="bottom"/>
            <w:gridSpan w:val="2"/>
          </w:tcPr>
          <w:p>
            <w:pPr>
              <w:jc w:val="right"/>
              <w:ind w:right="46"/>
              <w:spacing w:after="0"/>
              <w:rPr>
                <w:sz w:val="20"/>
                <w:szCs w:val="20"/>
                <w:color w:val="auto"/>
              </w:rPr>
            </w:pPr>
            <w:r>
              <w:rPr>
                <w:rFonts w:ascii="Arial" w:cs="Arial" w:eastAsia="Arial" w:hAnsi="Arial"/>
                <w:sz w:val="11"/>
                <w:szCs w:val="11"/>
                <w:b w:val="1"/>
                <w:bCs w:val="1"/>
                <w:color w:val="auto"/>
              </w:rPr>
              <w:t>2022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66"/>
              <w:spacing w:after="0"/>
              <w:rPr>
                <w:sz w:val="20"/>
                <w:szCs w:val="20"/>
                <w:color w:val="auto"/>
              </w:rPr>
            </w:pPr>
            <w:r>
              <w:rPr>
                <w:rFonts w:ascii="Arial" w:cs="Arial" w:eastAsia="Arial" w:hAnsi="Arial"/>
                <w:sz w:val="11"/>
                <w:szCs w:val="11"/>
                <w:b w:val="1"/>
                <w:bCs w:val="1"/>
                <w:color w:val="auto"/>
                <w:w w:val="89"/>
              </w:rPr>
              <w:t>2021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2022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2021</w:t>
            </w:r>
          </w:p>
        </w:tc>
        <w:tc>
          <w:tcPr>
            <w:tcW w:w="200" w:type="dxa"/>
            <w:vAlign w:val="bottom"/>
          </w:tcPr>
          <w:p>
            <w:pPr>
              <w:spacing w:after="0"/>
              <w:rPr>
                <w:sz w:val="13"/>
                <w:szCs w:val="13"/>
                <w:color w:val="auto"/>
              </w:rPr>
            </w:pPr>
          </w:p>
        </w:tc>
        <w:tc>
          <w:tcPr>
            <w:tcW w:w="680" w:type="dxa"/>
            <w:vAlign w:val="bottom"/>
          </w:tcPr>
          <w:p>
            <w:pPr>
              <w:jc w:val="right"/>
              <w:ind w:right="166"/>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08"/>
        </w:trPr>
        <w:tc>
          <w:tcPr>
            <w:tcW w:w="210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rPr>
              <w:t>CAPITAL (a)</w:t>
            </w: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100" w:type="dxa"/>
            <w:vAlign w:val="bottom"/>
            <w:gridSpan w:val="2"/>
          </w:tcPr>
          <w:p>
            <w:pPr>
              <w:spacing w:after="0"/>
              <w:rPr>
                <w:sz w:val="20"/>
                <w:szCs w:val="20"/>
                <w:color w:val="auto"/>
              </w:rPr>
            </w:pPr>
            <w:r>
              <w:rPr>
                <w:rFonts w:ascii="Arial" w:cs="Arial" w:eastAsia="Arial" w:hAnsi="Arial"/>
                <w:sz w:val="11"/>
                <w:szCs w:val="11"/>
                <w:b w:val="1"/>
                <w:bCs w:val="1"/>
                <w:color w:val="auto"/>
              </w:rPr>
              <w:t>Risk-based capital metrics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gridSpan w:val="2"/>
          </w:tcPr>
          <w:p>
            <w:pPr>
              <w:ind w:left="120"/>
              <w:spacing w:after="0"/>
              <w:rPr>
                <w:sz w:val="20"/>
                <w:szCs w:val="20"/>
                <w:color w:val="auto"/>
              </w:rPr>
            </w:pPr>
            <w:r>
              <w:rPr>
                <w:rFonts w:ascii="Arial" w:cs="Arial" w:eastAsia="Arial" w:hAnsi="Arial"/>
                <w:sz w:val="11"/>
                <w:szCs w:val="11"/>
                <w:b w:val="1"/>
                <w:bCs w:val="1"/>
                <w:color w:val="auto"/>
              </w:rPr>
              <w:t>Standardized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00" w:type="dxa"/>
            <w:vAlign w:val="bottom"/>
            <w:gridSpan w:val="2"/>
          </w:tcPr>
          <w:p>
            <w:pPr>
              <w:ind w:left="200"/>
              <w:spacing w:after="0"/>
              <w:rPr>
                <w:sz w:val="20"/>
                <w:szCs w:val="20"/>
                <w:color w:val="auto"/>
              </w:rPr>
            </w:pPr>
            <w:r>
              <w:rPr>
                <w:rFonts w:ascii="Arial" w:cs="Arial" w:eastAsia="Arial" w:hAnsi="Arial"/>
                <w:sz w:val="11"/>
                <w:szCs w:val="11"/>
                <w:color w:val="auto"/>
              </w:rPr>
              <w:t>CET1 capital</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218,936</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93"/>
              </w:rPr>
              <w:t>(c)</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209,661</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207,436</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207,903</w:t>
            </w: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213,942</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4 %</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2 %</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00" w:type="dxa"/>
            <w:vAlign w:val="bottom"/>
            <w:gridSpan w:val="2"/>
          </w:tcPr>
          <w:p>
            <w:pPr>
              <w:ind w:left="200"/>
              <w:spacing w:after="0"/>
              <w:rPr>
                <w:sz w:val="20"/>
                <w:szCs w:val="20"/>
                <w:color w:val="auto"/>
              </w:rPr>
            </w:pPr>
            <w:r>
              <w:rPr>
                <w:rFonts w:ascii="Arial" w:cs="Arial" w:eastAsia="Arial" w:hAnsi="Arial"/>
                <w:sz w:val="11"/>
                <w:szCs w:val="11"/>
                <w:color w:val="auto"/>
              </w:rPr>
              <w:t>Tier 1 capital</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245,630</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93"/>
              </w:rPr>
              <w:t>(c)</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236,363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239,705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240,076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246,162</w:t>
            </w:r>
          </w:p>
        </w:tc>
        <w:tc>
          <w:tcPr>
            <w:tcW w:w="62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5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gridSpan w:val="2"/>
          </w:tcPr>
          <w:p>
            <w:pPr>
              <w:ind w:left="200"/>
              <w:spacing w:after="0"/>
              <w:rPr>
                <w:sz w:val="20"/>
                <w:szCs w:val="20"/>
                <w:color w:val="auto"/>
              </w:rPr>
            </w:pPr>
            <w:r>
              <w:rPr>
                <w:rFonts w:ascii="Arial" w:cs="Arial" w:eastAsia="Arial" w:hAnsi="Arial"/>
                <w:sz w:val="11"/>
                <w:szCs w:val="11"/>
                <w:color w:val="auto"/>
              </w:rPr>
              <w:t>Total capital</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277,767</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93"/>
              </w:rPr>
              <w:t>(c)</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268,076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268,339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269,536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274,900</w:t>
            </w:r>
          </w:p>
        </w:tc>
        <w:tc>
          <w:tcPr>
            <w:tcW w:w="62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gridSpan w:val="2"/>
          </w:tcPr>
          <w:p>
            <w:pPr>
              <w:ind w:left="200"/>
              <w:spacing w:after="0"/>
              <w:rPr>
                <w:sz w:val="20"/>
                <w:szCs w:val="20"/>
                <w:color w:val="auto"/>
              </w:rPr>
            </w:pPr>
            <w:r>
              <w:rPr>
                <w:rFonts w:ascii="Arial" w:cs="Arial" w:eastAsia="Arial" w:hAnsi="Arial"/>
                <w:sz w:val="11"/>
                <w:szCs w:val="11"/>
                <w:color w:val="auto"/>
              </w:rPr>
              <w:t>Risk-weighted assets</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1,657,870</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93"/>
              </w:rPr>
              <w:t>(c)</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1,678,498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1,704,893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1,750,678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1,638,900</w:t>
            </w:r>
          </w:p>
        </w:tc>
        <w:tc>
          <w:tcPr>
            <w:tcW w:w="62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gridSpan w:val="2"/>
          </w:tcPr>
          <w:p>
            <w:pPr>
              <w:ind w:left="200"/>
              <w:spacing w:after="0"/>
              <w:rPr>
                <w:sz w:val="20"/>
                <w:szCs w:val="20"/>
                <w:color w:val="auto"/>
              </w:rPr>
            </w:pPr>
            <w:r>
              <w:rPr>
                <w:rFonts w:ascii="Arial" w:cs="Arial" w:eastAsia="Arial" w:hAnsi="Arial"/>
                <w:sz w:val="11"/>
                <w:szCs w:val="11"/>
                <w:color w:val="auto"/>
              </w:rPr>
              <w:t>CET1 capital ratio</w:t>
            </w:r>
          </w:p>
        </w:tc>
        <w:tc>
          <w:tcPr>
            <w:tcW w:w="100" w:type="dxa"/>
            <w:vAlign w:val="bottom"/>
          </w:tcPr>
          <w:p>
            <w:pPr>
              <w:spacing w:after="0"/>
              <w:rPr>
                <w:sz w:val="14"/>
                <w:szCs w:val="14"/>
                <w:color w:val="auto"/>
              </w:rPr>
            </w:pPr>
          </w:p>
        </w:tc>
        <w:tc>
          <w:tcPr>
            <w:tcW w:w="860" w:type="dxa"/>
            <w:vAlign w:val="bottom"/>
            <w:gridSpan w:val="2"/>
          </w:tcPr>
          <w:p>
            <w:pPr>
              <w:jc w:val="right"/>
              <w:ind w:right="26"/>
              <w:spacing w:after="0"/>
              <w:rPr>
                <w:sz w:val="20"/>
                <w:szCs w:val="20"/>
                <w:color w:val="auto"/>
              </w:rPr>
            </w:pPr>
            <w:r>
              <w:rPr>
                <w:rFonts w:ascii="Arial" w:cs="Arial" w:eastAsia="Arial" w:hAnsi="Arial"/>
                <w:sz w:val="11"/>
                <w:szCs w:val="11"/>
                <w:color w:val="auto"/>
              </w:rPr>
              <w:t>13.2 % (c)</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12.5 %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12.2 %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11.9 %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13.1 %</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gridSpan w:val="2"/>
          </w:tcPr>
          <w:p>
            <w:pPr>
              <w:ind w:left="200"/>
              <w:spacing w:after="0"/>
              <w:rPr>
                <w:sz w:val="20"/>
                <w:szCs w:val="20"/>
                <w:color w:val="auto"/>
              </w:rPr>
            </w:pPr>
            <w:r>
              <w:rPr>
                <w:rFonts w:ascii="Arial" w:cs="Arial" w:eastAsia="Arial" w:hAnsi="Arial"/>
                <w:sz w:val="11"/>
                <w:szCs w:val="11"/>
                <w:color w:val="auto"/>
              </w:rPr>
              <w:t>Tier 1 capital ratio</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14.8</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93"/>
              </w:rPr>
              <w:t>(c)</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14.1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14.1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13.7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15.0</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gridSpan w:val="2"/>
          </w:tcPr>
          <w:p>
            <w:pPr>
              <w:ind w:left="200"/>
              <w:spacing w:after="0"/>
              <w:rPr>
                <w:sz w:val="20"/>
                <w:szCs w:val="20"/>
                <w:color w:val="auto"/>
              </w:rPr>
            </w:pPr>
            <w:r>
              <w:rPr>
                <w:rFonts w:ascii="Arial" w:cs="Arial" w:eastAsia="Arial" w:hAnsi="Arial"/>
                <w:sz w:val="11"/>
                <w:szCs w:val="11"/>
                <w:color w:val="auto"/>
              </w:rPr>
              <w:t>Total capital ratio</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16.8</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93"/>
              </w:rPr>
              <w:t>(c)</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16.0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15.7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15.4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16.8</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100" w:type="dxa"/>
            <w:vAlign w:val="bottom"/>
            <w:gridSpan w:val="2"/>
          </w:tcPr>
          <w:p>
            <w:pPr>
              <w:ind w:left="120"/>
              <w:spacing w:after="0"/>
              <w:rPr>
                <w:sz w:val="20"/>
                <w:szCs w:val="20"/>
                <w:color w:val="auto"/>
              </w:rPr>
            </w:pPr>
            <w:r>
              <w:rPr>
                <w:rFonts w:ascii="Arial" w:cs="Arial" w:eastAsia="Arial" w:hAnsi="Arial"/>
                <w:sz w:val="11"/>
                <w:szCs w:val="11"/>
                <w:b w:val="1"/>
                <w:bCs w:val="1"/>
                <w:color w:val="auto"/>
              </w:rPr>
              <w:t>Advanced</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100" w:type="dxa"/>
            <w:vAlign w:val="bottom"/>
            <w:gridSpan w:val="2"/>
          </w:tcPr>
          <w:p>
            <w:pPr>
              <w:ind w:left="200"/>
              <w:spacing w:after="0"/>
              <w:rPr>
                <w:sz w:val="20"/>
                <w:szCs w:val="20"/>
                <w:color w:val="auto"/>
              </w:rPr>
            </w:pPr>
            <w:r>
              <w:rPr>
                <w:rFonts w:ascii="Arial" w:cs="Arial" w:eastAsia="Arial" w:hAnsi="Arial"/>
                <w:sz w:val="11"/>
                <w:szCs w:val="11"/>
                <w:color w:val="auto"/>
              </w:rPr>
              <w:t>CET1 capital</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218,936</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93"/>
              </w:rPr>
              <w:t>(c)</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209,661</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207,436</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207,903</w:t>
            </w: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213,942</w:t>
            </w:r>
          </w:p>
        </w:tc>
        <w:tc>
          <w:tcPr>
            <w:tcW w:w="62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00" w:type="dxa"/>
            <w:vAlign w:val="bottom"/>
            <w:gridSpan w:val="2"/>
          </w:tcPr>
          <w:p>
            <w:pPr>
              <w:ind w:left="200"/>
              <w:spacing w:after="0"/>
              <w:rPr>
                <w:sz w:val="20"/>
                <w:szCs w:val="20"/>
                <w:color w:val="auto"/>
              </w:rPr>
            </w:pPr>
            <w:r>
              <w:rPr>
                <w:rFonts w:ascii="Arial" w:cs="Arial" w:eastAsia="Arial" w:hAnsi="Arial"/>
                <w:sz w:val="11"/>
                <w:szCs w:val="11"/>
                <w:color w:val="auto"/>
              </w:rPr>
              <w:t>Tier 1 capital</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245,630</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93"/>
              </w:rPr>
              <w:t>(c)</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236,363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239,705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240,076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246,162</w:t>
            </w:r>
          </w:p>
        </w:tc>
        <w:tc>
          <w:tcPr>
            <w:tcW w:w="62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5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gridSpan w:val="2"/>
          </w:tcPr>
          <w:p>
            <w:pPr>
              <w:ind w:left="200"/>
              <w:spacing w:after="0"/>
              <w:rPr>
                <w:sz w:val="20"/>
                <w:szCs w:val="20"/>
                <w:color w:val="auto"/>
              </w:rPr>
            </w:pPr>
            <w:r>
              <w:rPr>
                <w:rFonts w:ascii="Arial" w:cs="Arial" w:eastAsia="Arial" w:hAnsi="Arial"/>
                <w:sz w:val="11"/>
                <w:szCs w:val="11"/>
                <w:color w:val="auto"/>
              </w:rPr>
              <w:t>Total capital</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264,614</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93"/>
              </w:rPr>
              <w:t>(c)</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256,157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257,329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258,989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265,796</w:t>
            </w:r>
          </w:p>
        </w:tc>
        <w:tc>
          <w:tcPr>
            <w:tcW w:w="62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5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gridSpan w:val="2"/>
          </w:tcPr>
          <w:p>
            <w:pPr>
              <w:ind w:left="200"/>
              <w:spacing w:after="0"/>
              <w:rPr>
                <w:sz w:val="20"/>
                <w:szCs w:val="20"/>
                <w:color w:val="auto"/>
              </w:rPr>
            </w:pPr>
            <w:r>
              <w:rPr>
                <w:rFonts w:ascii="Arial" w:cs="Arial" w:eastAsia="Arial" w:hAnsi="Arial"/>
                <w:sz w:val="11"/>
                <w:szCs w:val="11"/>
                <w:color w:val="auto"/>
              </w:rPr>
              <w:t>Risk-weighted assets</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1,616,713</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93"/>
              </w:rPr>
              <w:t>(c)</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1,609,968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1,613,210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1,643,453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1,547,920</w:t>
            </w:r>
          </w:p>
        </w:tc>
        <w:tc>
          <w:tcPr>
            <w:tcW w:w="180" w:type="dxa"/>
            <w:vAlign w:val="bottom"/>
          </w:tcPr>
          <w:p>
            <w:pPr>
              <w:spacing w:after="0"/>
              <w:rPr>
                <w:sz w:val="14"/>
                <w:szCs w:val="14"/>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36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gridSpan w:val="2"/>
          </w:tcPr>
          <w:p>
            <w:pPr>
              <w:ind w:left="200"/>
              <w:spacing w:after="0"/>
              <w:rPr>
                <w:sz w:val="20"/>
                <w:szCs w:val="20"/>
                <w:color w:val="auto"/>
              </w:rPr>
            </w:pPr>
            <w:r>
              <w:rPr>
                <w:rFonts w:ascii="Arial" w:cs="Arial" w:eastAsia="Arial" w:hAnsi="Arial"/>
                <w:sz w:val="11"/>
                <w:szCs w:val="11"/>
                <w:color w:val="auto"/>
              </w:rPr>
              <w:t>CET1 capital ratio</w:t>
            </w:r>
          </w:p>
        </w:tc>
        <w:tc>
          <w:tcPr>
            <w:tcW w:w="100" w:type="dxa"/>
            <w:vAlign w:val="bottom"/>
          </w:tcPr>
          <w:p>
            <w:pPr>
              <w:spacing w:after="0"/>
              <w:rPr>
                <w:sz w:val="14"/>
                <w:szCs w:val="14"/>
                <w:color w:val="auto"/>
              </w:rPr>
            </w:pPr>
          </w:p>
        </w:tc>
        <w:tc>
          <w:tcPr>
            <w:tcW w:w="860" w:type="dxa"/>
            <w:vAlign w:val="bottom"/>
            <w:gridSpan w:val="2"/>
          </w:tcPr>
          <w:p>
            <w:pPr>
              <w:jc w:val="right"/>
              <w:ind w:right="26"/>
              <w:spacing w:after="0"/>
              <w:rPr>
                <w:sz w:val="20"/>
                <w:szCs w:val="20"/>
                <w:color w:val="auto"/>
              </w:rPr>
            </w:pPr>
            <w:r>
              <w:rPr>
                <w:rFonts w:ascii="Arial" w:cs="Arial" w:eastAsia="Arial" w:hAnsi="Arial"/>
                <w:sz w:val="11"/>
                <w:szCs w:val="11"/>
                <w:color w:val="auto"/>
              </w:rPr>
              <w:t>13.5 % (c)</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13.0 %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12.9 %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12.7 %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13.8 %</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gridSpan w:val="2"/>
          </w:tcPr>
          <w:p>
            <w:pPr>
              <w:ind w:left="200"/>
              <w:spacing w:after="0"/>
              <w:rPr>
                <w:sz w:val="20"/>
                <w:szCs w:val="20"/>
                <w:color w:val="auto"/>
              </w:rPr>
            </w:pPr>
            <w:r>
              <w:rPr>
                <w:rFonts w:ascii="Arial" w:cs="Arial" w:eastAsia="Arial" w:hAnsi="Arial"/>
                <w:sz w:val="11"/>
                <w:szCs w:val="11"/>
                <w:color w:val="auto"/>
              </w:rPr>
              <w:t>Tier 1 capital ratio</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15.2</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93"/>
              </w:rPr>
              <w:t>(c)</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14.7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14.9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14.6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15.9</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gridSpan w:val="2"/>
          </w:tcPr>
          <w:p>
            <w:pPr>
              <w:ind w:left="200"/>
              <w:spacing w:after="0"/>
              <w:rPr>
                <w:sz w:val="20"/>
                <w:szCs w:val="20"/>
                <w:color w:val="auto"/>
              </w:rPr>
            </w:pPr>
            <w:r>
              <w:rPr>
                <w:rFonts w:ascii="Arial" w:cs="Arial" w:eastAsia="Arial" w:hAnsi="Arial"/>
                <w:sz w:val="11"/>
                <w:szCs w:val="11"/>
                <w:color w:val="auto"/>
              </w:rPr>
              <w:t>Total capital ratio</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16.4</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93"/>
              </w:rPr>
              <w:t>(c)</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15.9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16.0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15.8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17.2</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100" w:type="dxa"/>
            <w:vAlign w:val="bottom"/>
            <w:gridSpan w:val="2"/>
          </w:tcPr>
          <w:p>
            <w:pPr>
              <w:spacing w:after="0"/>
              <w:rPr>
                <w:sz w:val="20"/>
                <w:szCs w:val="20"/>
                <w:color w:val="auto"/>
              </w:rPr>
            </w:pPr>
            <w:r>
              <w:rPr>
                <w:rFonts w:ascii="Arial" w:cs="Arial" w:eastAsia="Arial" w:hAnsi="Arial"/>
                <w:sz w:val="11"/>
                <w:szCs w:val="11"/>
                <w:b w:val="1"/>
                <w:bCs w:val="1"/>
                <w:color w:val="auto"/>
              </w:rPr>
              <w:t>Leverage-based capital metrics</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100" w:type="dxa"/>
            <w:vAlign w:val="bottom"/>
            <w:gridSpan w:val="2"/>
          </w:tcPr>
          <w:p>
            <w:pPr>
              <w:ind w:left="120"/>
              <w:spacing w:after="0"/>
              <w:rPr>
                <w:sz w:val="20"/>
                <w:szCs w:val="20"/>
                <w:color w:val="auto"/>
              </w:rPr>
            </w:pPr>
            <w:r>
              <w:rPr>
                <w:rFonts w:ascii="Arial" w:cs="Arial" w:eastAsia="Arial" w:hAnsi="Arial"/>
                <w:sz w:val="11"/>
                <w:szCs w:val="11"/>
                <w:color w:val="auto"/>
              </w:rPr>
              <w:t>Adjusted average assets (b)</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3,703,871</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93"/>
              </w:rPr>
              <w:t>(c)</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3,791,804</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3,861,979</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3,857,783</w:t>
            </w: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3,782,035</w:t>
            </w:r>
          </w:p>
        </w:tc>
        <w:tc>
          <w:tcPr>
            <w:tcW w:w="62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00" w:type="dxa"/>
            <w:vAlign w:val="bottom"/>
            <w:gridSpan w:val="2"/>
          </w:tcPr>
          <w:p>
            <w:pPr>
              <w:ind w:left="120"/>
              <w:spacing w:after="0"/>
              <w:rPr>
                <w:sz w:val="20"/>
                <w:szCs w:val="20"/>
                <w:color w:val="auto"/>
              </w:rPr>
            </w:pPr>
            <w:r>
              <w:rPr>
                <w:rFonts w:ascii="Arial" w:cs="Arial" w:eastAsia="Arial" w:hAnsi="Arial"/>
                <w:sz w:val="11"/>
                <w:szCs w:val="11"/>
                <w:color w:val="auto"/>
              </w:rPr>
              <w:t>Tier 1 leverage ratio</w:t>
            </w:r>
          </w:p>
        </w:tc>
        <w:tc>
          <w:tcPr>
            <w:tcW w:w="100" w:type="dxa"/>
            <w:vAlign w:val="bottom"/>
          </w:tcPr>
          <w:p>
            <w:pPr>
              <w:spacing w:after="0"/>
              <w:rPr>
                <w:sz w:val="14"/>
                <w:szCs w:val="14"/>
                <w:color w:val="auto"/>
              </w:rPr>
            </w:pPr>
          </w:p>
        </w:tc>
        <w:tc>
          <w:tcPr>
            <w:tcW w:w="860" w:type="dxa"/>
            <w:vAlign w:val="bottom"/>
            <w:gridSpan w:val="2"/>
          </w:tcPr>
          <w:p>
            <w:pPr>
              <w:jc w:val="right"/>
              <w:ind w:right="26"/>
              <w:spacing w:after="0"/>
              <w:rPr>
                <w:sz w:val="20"/>
                <w:szCs w:val="20"/>
                <w:color w:val="auto"/>
              </w:rPr>
            </w:pPr>
            <w:r>
              <w:rPr>
                <w:rFonts w:ascii="Arial" w:cs="Arial" w:eastAsia="Arial" w:hAnsi="Arial"/>
                <w:sz w:val="11"/>
                <w:szCs w:val="11"/>
                <w:color w:val="auto"/>
              </w:rPr>
              <w:t>6.6 % (c)</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6.2 %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6.2 %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6.2 %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6.5 %</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2100" w:type="dxa"/>
            <w:vAlign w:val="bottom"/>
            <w:gridSpan w:val="2"/>
          </w:tcPr>
          <w:p>
            <w:pPr>
              <w:ind w:left="120"/>
              <w:spacing w:after="0"/>
              <w:rPr>
                <w:sz w:val="20"/>
                <w:szCs w:val="20"/>
                <w:color w:val="auto"/>
              </w:rPr>
            </w:pPr>
            <w:r>
              <w:rPr>
                <w:rFonts w:ascii="Arial" w:cs="Arial" w:eastAsia="Arial" w:hAnsi="Arial"/>
                <w:sz w:val="11"/>
                <w:szCs w:val="11"/>
                <w:color w:val="auto"/>
              </w:rPr>
              <w:t>Total leverage exposure</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4,367,136</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93"/>
              </w:rPr>
              <w:t>(c)</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4,460,636</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4,563,099</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4,586,537</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4,571,789</w:t>
            </w:r>
          </w:p>
        </w:tc>
        <w:tc>
          <w:tcPr>
            <w:tcW w:w="62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100" w:type="dxa"/>
            <w:vAlign w:val="bottom"/>
            <w:gridSpan w:val="2"/>
          </w:tcPr>
          <w:p>
            <w:pPr>
              <w:ind w:left="120"/>
              <w:spacing w:after="0"/>
              <w:rPr>
                <w:sz w:val="20"/>
                <w:szCs w:val="20"/>
                <w:color w:val="auto"/>
              </w:rPr>
            </w:pPr>
            <w:r>
              <w:rPr>
                <w:rFonts w:ascii="Arial" w:cs="Arial" w:eastAsia="Arial" w:hAnsi="Arial"/>
                <w:sz w:val="11"/>
                <w:szCs w:val="11"/>
                <w:color w:val="auto"/>
              </w:rPr>
              <w:t>SLR</w:t>
            </w:r>
          </w:p>
        </w:tc>
        <w:tc>
          <w:tcPr>
            <w:tcW w:w="100" w:type="dxa"/>
            <w:vAlign w:val="bottom"/>
          </w:tcPr>
          <w:p>
            <w:pPr>
              <w:spacing w:after="0"/>
              <w:rPr>
                <w:sz w:val="14"/>
                <w:szCs w:val="14"/>
                <w:color w:val="auto"/>
              </w:rPr>
            </w:pPr>
          </w:p>
        </w:tc>
        <w:tc>
          <w:tcPr>
            <w:tcW w:w="860" w:type="dxa"/>
            <w:vAlign w:val="bottom"/>
            <w:gridSpan w:val="2"/>
          </w:tcPr>
          <w:p>
            <w:pPr>
              <w:jc w:val="right"/>
              <w:ind w:right="26"/>
              <w:spacing w:after="0"/>
              <w:rPr>
                <w:sz w:val="20"/>
                <w:szCs w:val="20"/>
                <w:color w:val="auto"/>
              </w:rPr>
            </w:pPr>
            <w:r>
              <w:rPr>
                <w:rFonts w:ascii="Arial" w:cs="Arial" w:eastAsia="Arial" w:hAnsi="Arial"/>
                <w:sz w:val="11"/>
                <w:szCs w:val="11"/>
                <w:color w:val="auto"/>
              </w:rPr>
              <w:t>5.6 % (c)</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5.3 %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5.3 %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5.2 %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5.4 %</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100" w:type="dxa"/>
            <w:vAlign w:val="bottom"/>
            <w:gridSpan w:val="2"/>
          </w:tcPr>
          <w:p>
            <w:pPr>
              <w:spacing w:after="0"/>
              <w:rPr>
                <w:sz w:val="20"/>
                <w:szCs w:val="20"/>
                <w:color w:val="auto"/>
              </w:rPr>
            </w:pPr>
            <w:r>
              <w:rPr>
                <w:rFonts w:ascii="Arial" w:cs="Arial" w:eastAsia="Arial" w:hAnsi="Arial"/>
                <w:sz w:val="11"/>
                <w:szCs w:val="11"/>
                <w:b w:val="1"/>
                <w:bCs w:val="1"/>
                <w:color w:val="auto"/>
                <w:w w:val="98"/>
              </w:rPr>
              <w:t>MEMO: CET1 CAPITAL ROLLFORWARD</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210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Standardized/Advanced CET1 capital,</w:t>
            </w: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209,661</w:t>
            </w:r>
          </w:p>
        </w:tc>
        <w:tc>
          <w:tcPr>
            <w:tcW w:w="2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207,436</w:t>
            </w:r>
          </w:p>
        </w:tc>
        <w:tc>
          <w:tcPr>
            <w:tcW w:w="1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207,903</w:t>
            </w:r>
          </w:p>
        </w:tc>
        <w:tc>
          <w:tcPr>
            <w:tcW w:w="1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213,942</w:t>
            </w:r>
          </w:p>
        </w:tc>
        <w:tc>
          <w:tcPr>
            <w:tcW w:w="16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209,917</w:t>
            </w:r>
          </w:p>
        </w:tc>
        <w:tc>
          <w:tcPr>
            <w:tcW w:w="6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right"/>
              <w:ind w:right="500"/>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213,942</w:t>
            </w:r>
          </w:p>
        </w:tc>
        <w:tc>
          <w:tcPr>
            <w:tcW w:w="220" w:type="dxa"/>
            <w:vAlign w:val="bottom"/>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w w:val="95"/>
              </w:rPr>
              <w:t>205,078</w:t>
            </w:r>
          </w:p>
        </w:tc>
        <w:tc>
          <w:tcPr>
            <w:tcW w:w="2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42"/>
        </w:trPr>
        <w:tc>
          <w:tcPr>
            <w:tcW w:w="2100" w:type="dxa"/>
            <w:vAlign w:val="bottom"/>
            <w:gridSpan w:val="2"/>
          </w:tcPr>
          <w:p>
            <w:pPr>
              <w:ind w:left="120"/>
              <w:spacing w:after="0"/>
              <w:rPr>
                <w:sz w:val="20"/>
                <w:szCs w:val="20"/>
                <w:color w:val="auto"/>
              </w:rPr>
            </w:pPr>
            <w:r>
              <w:rPr>
                <w:rFonts w:ascii="Arial" w:cs="Arial" w:eastAsia="Arial" w:hAnsi="Arial"/>
                <w:sz w:val="11"/>
                <w:szCs w:val="11"/>
                <w:color w:val="auto"/>
              </w:rPr>
              <w:t>beginning balance</w:t>
            </w:r>
          </w:p>
        </w:tc>
        <w:tc>
          <w:tcPr>
            <w:tcW w:w="1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00" w:type="dxa"/>
            <w:vAlign w:val="bottom"/>
            <w:gridSpan w:val="2"/>
          </w:tcPr>
          <w:p>
            <w:pPr>
              <w:ind w:left="120"/>
              <w:spacing w:after="0"/>
              <w:rPr>
                <w:sz w:val="20"/>
                <w:szCs w:val="20"/>
                <w:color w:val="auto"/>
              </w:rPr>
            </w:pPr>
            <w:r>
              <w:rPr>
                <w:rFonts w:ascii="Arial" w:cs="Arial" w:eastAsia="Arial" w:hAnsi="Arial"/>
                <w:sz w:val="11"/>
                <w:szCs w:val="11"/>
                <w:color w:val="auto"/>
                <w:w w:val="98"/>
              </w:rPr>
              <w:t>Net income applicable to common equity</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10,652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9,305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8,239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7,885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9,973</w:t>
            </w:r>
          </w:p>
        </w:tc>
        <w:tc>
          <w:tcPr>
            <w:tcW w:w="620" w:type="dxa"/>
            <w:vAlign w:val="bottom"/>
            <w:gridSpan w:val="2"/>
          </w:tcPr>
          <w:p>
            <w:pPr>
              <w:jc w:val="right"/>
              <w:ind w:right="86"/>
              <w:spacing w:after="0"/>
              <w:rPr>
                <w:sz w:val="20"/>
                <w:szCs w:val="20"/>
                <w:color w:val="auto"/>
              </w:rPr>
            </w:pPr>
            <w:r>
              <w:rPr>
                <w:rFonts w:ascii="Arial" w:cs="Arial" w:eastAsia="Arial" w:hAnsi="Arial"/>
                <w:sz w:val="11"/>
                <w:szCs w:val="11"/>
                <w:color w:val="auto"/>
              </w:rPr>
              <w:t>14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36,081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46,734</w:t>
            </w:r>
          </w:p>
        </w:tc>
        <w:tc>
          <w:tcPr>
            <w:tcW w:w="20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62"/>
        </w:trPr>
        <w:tc>
          <w:tcPr>
            <w:tcW w:w="2100" w:type="dxa"/>
            <w:vAlign w:val="bottom"/>
            <w:gridSpan w:val="2"/>
          </w:tcPr>
          <w:p>
            <w:pPr>
              <w:ind w:left="120"/>
              <w:spacing w:after="0"/>
              <w:rPr>
                <w:sz w:val="20"/>
                <w:szCs w:val="20"/>
                <w:color w:val="auto"/>
              </w:rPr>
            </w:pPr>
            <w:r>
              <w:rPr>
                <w:rFonts w:ascii="Arial" w:cs="Arial" w:eastAsia="Arial" w:hAnsi="Arial"/>
                <w:sz w:val="11"/>
                <w:szCs w:val="11"/>
                <w:color w:val="auto"/>
              </w:rPr>
              <w:t>Dividends declared on common stock</w:t>
            </w:r>
          </w:p>
        </w:tc>
        <w:tc>
          <w:tcPr>
            <w:tcW w:w="10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(2,972)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(2,974)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(2,971)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(2,976)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(2,981)</w:t>
            </w:r>
          </w:p>
        </w:tc>
        <w:tc>
          <w:tcPr>
            <w:tcW w:w="180" w:type="dxa"/>
            <w:vAlign w:val="bottom"/>
          </w:tcPr>
          <w:p>
            <w:pPr>
              <w:spacing w:after="0"/>
              <w:rPr>
                <w:sz w:val="14"/>
                <w:szCs w:val="14"/>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5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(11,893)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(11,456)</w:t>
            </w:r>
          </w:p>
        </w:tc>
        <w:tc>
          <w:tcPr>
            <w:tcW w:w="20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2100" w:type="dxa"/>
            <w:vAlign w:val="bottom"/>
            <w:gridSpan w:val="2"/>
          </w:tcPr>
          <w:p>
            <w:pPr>
              <w:ind w:left="120"/>
              <w:spacing w:after="0"/>
              <w:rPr>
                <w:sz w:val="20"/>
                <w:szCs w:val="20"/>
                <w:color w:val="auto"/>
              </w:rPr>
            </w:pPr>
            <w:r>
              <w:rPr>
                <w:rFonts w:ascii="Arial" w:cs="Arial" w:eastAsia="Arial" w:hAnsi="Arial"/>
                <w:sz w:val="11"/>
                <w:szCs w:val="11"/>
                <w:color w:val="auto"/>
              </w:rPr>
              <w:t>Net purchase of treasury stock</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96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58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(576)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(1,499)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(1,917)</w:t>
            </w:r>
          </w:p>
        </w:tc>
        <w:tc>
          <w:tcPr>
            <w:tcW w:w="620" w:type="dxa"/>
            <w:vAlign w:val="bottom"/>
            <w:gridSpan w:val="2"/>
          </w:tcPr>
          <w:p>
            <w:pPr>
              <w:jc w:val="right"/>
              <w:ind w:right="86"/>
              <w:spacing w:after="0"/>
              <w:rPr>
                <w:sz w:val="20"/>
                <w:szCs w:val="20"/>
                <w:color w:val="auto"/>
              </w:rPr>
            </w:pPr>
            <w:r>
              <w:rPr>
                <w:rFonts w:ascii="Arial" w:cs="Arial" w:eastAsia="Arial" w:hAnsi="Arial"/>
                <w:sz w:val="11"/>
                <w:szCs w:val="11"/>
                <w:color w:val="auto"/>
              </w:rPr>
              <w:t>66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18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(1,921)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(17,231)</w:t>
            </w:r>
          </w:p>
        </w:tc>
        <w:tc>
          <w:tcPr>
            <w:tcW w:w="20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89</w:t>
            </w:r>
          </w:p>
        </w:tc>
        <w:tc>
          <w:tcPr>
            <w:tcW w:w="0" w:type="dxa"/>
            <w:vAlign w:val="bottom"/>
          </w:tcPr>
          <w:p>
            <w:pPr>
              <w:spacing w:after="0"/>
              <w:rPr>
                <w:sz w:val="1"/>
                <w:szCs w:val="1"/>
                <w:color w:val="auto"/>
              </w:rPr>
            </w:pPr>
          </w:p>
        </w:tc>
      </w:tr>
      <w:tr>
        <w:trPr>
          <w:trHeight w:val="162"/>
        </w:trPr>
        <w:tc>
          <w:tcPr>
            <w:tcW w:w="2100" w:type="dxa"/>
            <w:vAlign w:val="bottom"/>
            <w:gridSpan w:val="2"/>
          </w:tcPr>
          <w:p>
            <w:pPr>
              <w:ind w:left="120"/>
              <w:spacing w:after="0"/>
              <w:rPr>
                <w:sz w:val="20"/>
                <w:szCs w:val="20"/>
                <w:color w:val="auto"/>
              </w:rPr>
            </w:pPr>
            <w:r>
              <w:rPr>
                <w:rFonts w:ascii="Arial" w:cs="Arial" w:eastAsia="Arial" w:hAnsi="Arial"/>
                <w:sz w:val="11"/>
                <w:szCs w:val="11"/>
                <w:color w:val="auto"/>
              </w:rPr>
              <w:t>Changes in additional paid-in capital</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179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251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354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(155)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58</w:t>
            </w:r>
          </w:p>
        </w:tc>
        <w:tc>
          <w:tcPr>
            <w:tcW w:w="620" w:type="dxa"/>
            <w:vAlign w:val="bottom"/>
            <w:gridSpan w:val="2"/>
          </w:tcPr>
          <w:p>
            <w:pPr>
              <w:jc w:val="right"/>
              <w:ind w:right="66"/>
              <w:spacing w:after="0"/>
              <w:rPr>
                <w:sz w:val="20"/>
                <w:szCs w:val="20"/>
                <w:color w:val="auto"/>
              </w:rPr>
            </w:pPr>
            <w:r>
              <w:rPr>
                <w:rFonts w:ascii="Arial" w:cs="Arial" w:eastAsia="Arial" w:hAnsi="Arial"/>
                <w:sz w:val="11"/>
                <w:szCs w:val="11"/>
                <w:color w:val="auto"/>
              </w:rPr>
              <w:t>(29)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ind w:right="106"/>
              <w:spacing w:after="0"/>
              <w:rPr>
                <w:sz w:val="20"/>
                <w:szCs w:val="20"/>
                <w:color w:val="auto"/>
              </w:rPr>
            </w:pPr>
            <w:r>
              <w:rPr>
                <w:rFonts w:ascii="Arial" w:cs="Arial" w:eastAsia="Arial" w:hAnsi="Arial"/>
                <w:sz w:val="11"/>
                <w:szCs w:val="11"/>
                <w:color w:val="auto"/>
                <w:w w:val="97"/>
              </w:rPr>
              <w:t>209</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629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28"/>
        </w:trPr>
        <w:tc>
          <w:tcPr>
            <w:tcW w:w="2100" w:type="dxa"/>
            <w:vAlign w:val="bottom"/>
            <w:gridSpan w:val="2"/>
          </w:tcPr>
          <w:p>
            <w:pPr>
              <w:ind w:left="120"/>
              <w:spacing w:after="0"/>
              <w:rPr>
                <w:sz w:val="20"/>
                <w:szCs w:val="20"/>
                <w:color w:val="auto"/>
              </w:rPr>
            </w:pPr>
            <w:r>
              <w:rPr>
                <w:rFonts w:ascii="Arial" w:cs="Arial" w:eastAsia="Arial" w:hAnsi="Arial"/>
                <w:sz w:val="11"/>
                <w:szCs w:val="11"/>
                <w:color w:val="auto"/>
              </w:rPr>
              <w:t>Changes related to AOCI applicable to</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00" w:type="dxa"/>
            <w:vAlign w:val="bottom"/>
            <w:gridSpan w:val="2"/>
          </w:tcPr>
          <w:p>
            <w:pPr>
              <w:ind w:left="120"/>
              <w:spacing w:after="0"/>
              <w:rPr>
                <w:sz w:val="20"/>
                <w:szCs w:val="20"/>
                <w:color w:val="auto"/>
              </w:rPr>
            </w:pPr>
            <w:r>
              <w:rPr>
                <w:rFonts w:ascii="Arial" w:cs="Arial" w:eastAsia="Arial" w:hAnsi="Arial"/>
                <w:sz w:val="11"/>
                <w:szCs w:val="11"/>
                <w:color w:val="auto"/>
              </w:rPr>
              <w:t>capital:</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100" w:type="dxa"/>
            <w:vAlign w:val="bottom"/>
            <w:gridSpan w:val="2"/>
          </w:tcPr>
          <w:p>
            <w:pPr>
              <w:ind w:left="200"/>
              <w:spacing w:after="0"/>
              <w:rPr>
                <w:sz w:val="20"/>
                <w:szCs w:val="20"/>
                <w:color w:val="auto"/>
              </w:rPr>
            </w:pPr>
            <w:r>
              <w:rPr>
                <w:rFonts w:ascii="Arial" w:cs="Arial" w:eastAsia="Arial" w:hAnsi="Arial"/>
                <w:sz w:val="11"/>
                <w:szCs w:val="11"/>
                <w:color w:val="auto"/>
              </w:rPr>
              <w:t>Unrealized gains/(losses) on</w:t>
            </w: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1,865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(2,145)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(4,031)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86"/>
              <w:spacing w:after="0"/>
              <w:rPr>
                <w:sz w:val="20"/>
                <w:szCs w:val="20"/>
                <w:color w:val="auto"/>
              </w:rPr>
            </w:pPr>
            <w:r>
              <w:rPr>
                <w:rFonts w:ascii="Arial" w:cs="Arial" w:eastAsia="Arial" w:hAnsi="Arial"/>
                <w:sz w:val="11"/>
                <w:szCs w:val="11"/>
                <w:color w:val="auto"/>
              </w:rPr>
              <w:t>(7,453)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(1,441)</w:t>
            </w:r>
          </w:p>
        </w:tc>
        <w:tc>
          <w:tcPr>
            <w:tcW w:w="180" w:type="dxa"/>
            <w:vAlign w:val="bottom"/>
          </w:tcPr>
          <w:p>
            <w:pPr>
              <w:spacing w:after="0"/>
              <w:rPr>
                <w:sz w:val="11"/>
                <w:szCs w:val="11"/>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11"/>
                <w:szCs w:val="11"/>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(11,764)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(5,540)</w:t>
            </w:r>
          </w:p>
        </w:tc>
        <w:tc>
          <w:tcPr>
            <w:tcW w:w="200" w:type="dxa"/>
            <w:vAlign w:val="bottom"/>
          </w:tcPr>
          <w:p>
            <w:pPr>
              <w:spacing w:after="0"/>
              <w:rPr>
                <w:sz w:val="11"/>
                <w:szCs w:val="11"/>
                <w:color w:val="auto"/>
              </w:rPr>
            </w:pP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(112)</w:t>
            </w:r>
          </w:p>
        </w:tc>
        <w:tc>
          <w:tcPr>
            <w:tcW w:w="0" w:type="dxa"/>
            <w:vAlign w:val="bottom"/>
          </w:tcPr>
          <w:p>
            <w:pPr>
              <w:spacing w:after="0"/>
              <w:rPr>
                <w:sz w:val="1"/>
                <w:szCs w:val="1"/>
                <w:color w:val="auto"/>
              </w:rPr>
            </w:pPr>
          </w:p>
        </w:tc>
      </w:tr>
      <w:tr>
        <w:trPr>
          <w:trHeight w:val="142"/>
        </w:trPr>
        <w:tc>
          <w:tcPr>
            <w:tcW w:w="2100" w:type="dxa"/>
            <w:vAlign w:val="bottom"/>
            <w:gridSpan w:val="2"/>
          </w:tcPr>
          <w:p>
            <w:pPr>
              <w:ind w:left="200"/>
              <w:spacing w:after="0"/>
              <w:rPr>
                <w:sz w:val="20"/>
                <w:szCs w:val="20"/>
                <w:color w:val="auto"/>
              </w:rPr>
            </w:pPr>
            <w:r>
              <w:rPr>
                <w:rFonts w:ascii="Arial" w:cs="Arial" w:eastAsia="Arial" w:hAnsi="Arial"/>
                <w:sz w:val="11"/>
                <w:szCs w:val="11"/>
                <w:color w:val="auto"/>
              </w:rPr>
              <w:t>investment securities</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00" w:type="dxa"/>
            <w:vAlign w:val="bottom"/>
            <w:gridSpan w:val="2"/>
          </w:tcPr>
          <w:p>
            <w:pPr>
              <w:ind w:left="200"/>
              <w:spacing w:after="0"/>
              <w:rPr>
                <w:sz w:val="20"/>
                <w:szCs w:val="20"/>
                <w:color w:val="auto"/>
              </w:rPr>
            </w:pPr>
            <w:r>
              <w:rPr>
                <w:rFonts w:ascii="Arial" w:cs="Arial" w:eastAsia="Arial" w:hAnsi="Arial"/>
                <w:sz w:val="11"/>
                <w:szCs w:val="11"/>
                <w:color w:val="auto"/>
                <w:w w:val="99"/>
              </w:rPr>
              <w:t>Translation adjustments, net of hedges</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711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(581)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(679)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(62)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(88)</w:t>
            </w:r>
          </w:p>
        </w:tc>
        <w:tc>
          <w:tcPr>
            <w:tcW w:w="180" w:type="dxa"/>
            <w:vAlign w:val="bottom"/>
          </w:tcPr>
          <w:p>
            <w:pPr>
              <w:spacing w:after="0"/>
              <w:rPr>
                <w:sz w:val="14"/>
                <w:szCs w:val="14"/>
                <w:color w:val="auto"/>
              </w:rPr>
            </w:pPr>
          </w:p>
        </w:tc>
        <w:tc>
          <w:tcPr>
            <w:tcW w:w="620" w:type="dxa"/>
            <w:vAlign w:val="bottom"/>
            <w:gridSpan w:val="2"/>
          </w:tcPr>
          <w:p>
            <w:pPr>
              <w:ind w:left="26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14"/>
                <w:szCs w:val="14"/>
                <w:color w:val="auto"/>
              </w:rPr>
            </w:pPr>
          </w:p>
        </w:tc>
        <w:tc>
          <w:tcPr>
            <w:tcW w:w="700" w:type="dxa"/>
            <w:vAlign w:val="bottom"/>
            <w:gridSpan w:val="2"/>
          </w:tcPr>
          <w:p>
            <w:pPr>
              <w:ind w:left="18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(611)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(461)</w:t>
            </w:r>
          </w:p>
        </w:tc>
        <w:tc>
          <w:tcPr>
            <w:tcW w:w="20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62"/>
        </w:trPr>
        <w:tc>
          <w:tcPr>
            <w:tcW w:w="2100" w:type="dxa"/>
            <w:vAlign w:val="bottom"/>
            <w:gridSpan w:val="2"/>
          </w:tcPr>
          <w:p>
            <w:pPr>
              <w:ind w:left="200"/>
              <w:spacing w:after="0"/>
              <w:rPr>
                <w:sz w:val="20"/>
                <w:szCs w:val="20"/>
                <w:color w:val="auto"/>
              </w:rPr>
            </w:pPr>
            <w:r>
              <w:rPr>
                <w:rFonts w:ascii="Arial" w:cs="Arial" w:eastAsia="Arial" w:hAnsi="Arial"/>
                <w:sz w:val="11"/>
                <w:szCs w:val="11"/>
                <w:color w:val="auto"/>
              </w:rPr>
              <w:t>Fair value hedges</w:t>
            </w:r>
          </w:p>
        </w:tc>
        <w:tc>
          <w:tcPr>
            <w:tcW w:w="10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(101)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51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110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23</w:t>
            </w:r>
          </w:p>
        </w:tc>
        <w:tc>
          <w:tcPr>
            <w:tcW w:w="180" w:type="dxa"/>
            <w:vAlign w:val="bottom"/>
          </w:tcPr>
          <w:p>
            <w:pPr>
              <w:spacing w:after="0"/>
              <w:rPr>
                <w:sz w:val="14"/>
                <w:szCs w:val="14"/>
                <w:color w:val="auto"/>
              </w:rPr>
            </w:pPr>
          </w:p>
        </w:tc>
        <w:tc>
          <w:tcPr>
            <w:tcW w:w="620" w:type="dxa"/>
            <w:vAlign w:val="bottom"/>
            <w:gridSpan w:val="2"/>
          </w:tcPr>
          <w:p>
            <w:pPr>
              <w:ind w:left="26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14"/>
                <w:szCs w:val="14"/>
                <w:color w:val="auto"/>
              </w:rPr>
            </w:pPr>
          </w:p>
        </w:tc>
        <w:tc>
          <w:tcPr>
            <w:tcW w:w="700" w:type="dxa"/>
            <w:vAlign w:val="bottom"/>
            <w:gridSpan w:val="2"/>
          </w:tcPr>
          <w:p>
            <w:pPr>
              <w:ind w:left="18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(19)</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28"/>
        </w:trPr>
        <w:tc>
          <w:tcPr>
            <w:tcW w:w="2100" w:type="dxa"/>
            <w:vAlign w:val="bottom"/>
            <w:gridSpan w:val="2"/>
          </w:tcPr>
          <w:p>
            <w:pPr>
              <w:ind w:left="200"/>
              <w:spacing w:after="0"/>
              <w:rPr>
                <w:sz w:val="20"/>
                <w:szCs w:val="20"/>
                <w:color w:val="auto"/>
              </w:rPr>
            </w:pPr>
            <w:r>
              <w:rPr>
                <w:rFonts w:ascii="Arial" w:cs="Arial" w:eastAsia="Arial" w:hAnsi="Arial"/>
                <w:sz w:val="11"/>
                <w:szCs w:val="11"/>
                <w:color w:val="auto"/>
              </w:rPr>
              <w:t>Defined benefit pension and other</w:t>
            </w:r>
          </w:p>
        </w:tc>
        <w:tc>
          <w:tcPr>
            <w:tcW w:w="10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(324)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(1,004)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20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67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839</w:t>
            </w:r>
          </w:p>
        </w:tc>
        <w:tc>
          <w:tcPr>
            <w:tcW w:w="6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68</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(1,241)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922</w:t>
            </w: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2"/>
        </w:trPr>
        <w:tc>
          <w:tcPr>
            <w:tcW w:w="2100" w:type="dxa"/>
            <w:vAlign w:val="bottom"/>
            <w:gridSpan w:val="2"/>
          </w:tcPr>
          <w:p>
            <w:pPr>
              <w:ind w:left="200"/>
              <w:spacing w:after="0"/>
              <w:rPr>
                <w:sz w:val="20"/>
                <w:szCs w:val="20"/>
                <w:color w:val="auto"/>
              </w:rPr>
            </w:pPr>
            <w:r>
              <w:rPr>
                <w:rFonts w:ascii="Arial" w:cs="Arial" w:eastAsia="Arial" w:hAnsi="Arial"/>
                <w:sz w:val="11"/>
                <w:szCs w:val="11"/>
                <w:color w:val="auto"/>
              </w:rPr>
              <w:t>postretirement employee benefit plans</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100" w:type="dxa"/>
            <w:vAlign w:val="bottom"/>
            <w:gridSpan w:val="2"/>
          </w:tcPr>
          <w:p>
            <w:pPr>
              <w:ind w:left="120"/>
              <w:spacing w:after="0"/>
              <w:rPr>
                <w:sz w:val="20"/>
                <w:szCs w:val="20"/>
                <w:color w:val="auto"/>
              </w:rPr>
            </w:pPr>
            <w:r>
              <w:rPr>
                <w:rFonts w:ascii="Arial" w:cs="Arial" w:eastAsia="Arial" w:hAnsi="Arial"/>
                <w:sz w:val="11"/>
                <w:szCs w:val="11"/>
                <w:color w:val="auto"/>
              </w:rPr>
              <w:t>Changes related to other CET1 capital</w:t>
            </w:r>
          </w:p>
        </w:tc>
        <w:tc>
          <w:tcPr>
            <w:tcW w:w="10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(831)</w:t>
            </w:r>
          </w:p>
        </w:tc>
        <w:tc>
          <w:tcPr>
            <w:tcW w:w="220" w:type="dxa"/>
            <w:vAlign w:val="bottom"/>
            <w:vMerge w:val="restart"/>
          </w:tcPr>
          <w:p>
            <w:pPr>
              <w:jc w:val="right"/>
              <w:ind w:right="26"/>
              <w:spacing w:after="0"/>
              <w:rPr>
                <w:sz w:val="20"/>
                <w:szCs w:val="20"/>
                <w:color w:val="auto"/>
              </w:rPr>
            </w:pPr>
            <w:r>
              <w:rPr>
                <w:rFonts w:ascii="Arial" w:cs="Arial" w:eastAsia="Arial" w:hAnsi="Arial"/>
                <w:sz w:val="11"/>
                <w:szCs w:val="11"/>
                <w:color w:val="auto"/>
                <w:w w:val="93"/>
              </w:rPr>
              <w:t>(c)</w:t>
            </w:r>
          </w:p>
        </w:tc>
        <w:tc>
          <w:tcPr>
            <w:tcW w:w="8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(723)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(874)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86"/>
              <w:spacing w:after="0"/>
              <w:rPr>
                <w:sz w:val="20"/>
                <w:szCs w:val="20"/>
                <w:color w:val="auto"/>
              </w:rPr>
            </w:pPr>
            <w:r>
              <w:rPr>
                <w:rFonts w:ascii="Arial" w:cs="Arial" w:eastAsia="Arial" w:hAnsi="Arial"/>
                <w:sz w:val="11"/>
                <w:szCs w:val="11"/>
                <w:color w:val="auto"/>
              </w:rPr>
              <w:t>(1,956)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(441)</w:t>
            </w:r>
          </w:p>
        </w:tc>
        <w:tc>
          <w:tcPr>
            <w:tcW w:w="6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(15)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vMerge w:val="restart"/>
          </w:tcPr>
          <w:p>
            <w:pPr>
              <w:jc w:val="right"/>
              <w:ind w:right="66"/>
              <w:spacing w:after="0"/>
              <w:rPr>
                <w:sz w:val="20"/>
                <w:szCs w:val="20"/>
                <w:color w:val="auto"/>
              </w:rPr>
            </w:pPr>
            <w:r>
              <w:rPr>
                <w:rFonts w:ascii="Arial" w:cs="Arial" w:eastAsia="Arial" w:hAnsi="Arial"/>
                <w:sz w:val="11"/>
                <w:szCs w:val="11"/>
                <w:color w:val="auto"/>
              </w:rPr>
              <w:t>(88)</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rPr>
              <w:t>(4,384) (c)</w:t>
            </w:r>
          </w:p>
        </w:tc>
        <w:tc>
          <w:tcPr>
            <w:tcW w:w="1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(4,106)</w:t>
            </w:r>
          </w:p>
        </w:tc>
        <w:tc>
          <w:tcPr>
            <w:tcW w:w="200" w:type="dxa"/>
            <w:vAlign w:val="bottom"/>
          </w:tcPr>
          <w:p>
            <w:pPr>
              <w:spacing w:after="0"/>
              <w:rPr>
                <w:sz w:val="11"/>
                <w:szCs w:val="11"/>
                <w:color w:val="auto"/>
              </w:rPr>
            </w:pP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5"/>
        </w:trPr>
        <w:tc>
          <w:tcPr>
            <w:tcW w:w="2100" w:type="dxa"/>
            <w:vAlign w:val="bottom"/>
            <w:gridSpan w:val="2"/>
          </w:tcPr>
          <w:p>
            <w:pPr>
              <w:ind w:left="120"/>
              <w:spacing w:after="0"/>
              <w:rPr>
                <w:sz w:val="20"/>
                <w:szCs w:val="20"/>
                <w:color w:val="auto"/>
              </w:rPr>
            </w:pPr>
            <w:r>
              <w:rPr>
                <w:rFonts w:ascii="Arial" w:cs="Arial" w:eastAsia="Arial" w:hAnsi="Arial"/>
                <w:sz w:val="11"/>
                <w:szCs w:val="11"/>
                <w:color w:val="auto"/>
              </w:rPr>
              <w:t>adjustments</w:t>
            </w: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100" w:type="dxa"/>
            <w:vAlign w:val="bottom"/>
            <w:gridSpan w:val="2"/>
          </w:tcPr>
          <w:p>
            <w:pPr>
              <w:ind w:left="120"/>
              <w:spacing w:after="0" w:line="95" w:lineRule="exact"/>
              <w:rPr>
                <w:sz w:val="20"/>
                <w:szCs w:val="20"/>
                <w:color w:val="auto"/>
              </w:rPr>
            </w:pPr>
            <w:r>
              <w:rPr>
                <w:rFonts w:ascii="Arial" w:cs="Arial" w:eastAsia="Arial" w:hAnsi="Arial"/>
                <w:sz w:val="10"/>
                <w:szCs w:val="10"/>
                <w:color w:val="auto"/>
              </w:rPr>
              <w:t>Change in Standardized/Advanced</w:t>
            </w: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vMerge w:val="restart"/>
          </w:tcPr>
          <w:p>
            <w:pPr>
              <w:jc w:val="right"/>
              <w:ind w:right="106"/>
              <w:spacing w:after="0"/>
              <w:rPr>
                <w:sz w:val="20"/>
                <w:szCs w:val="20"/>
                <w:color w:val="auto"/>
              </w:rPr>
            </w:pPr>
            <w:r>
              <w:rPr>
                <w:rFonts w:ascii="Arial" w:cs="Arial" w:eastAsia="Arial" w:hAnsi="Arial"/>
                <w:sz w:val="11"/>
                <w:szCs w:val="11"/>
                <w:color w:val="auto"/>
              </w:rPr>
              <w:t>9,275</w:t>
            </w:r>
          </w:p>
        </w:tc>
        <w:tc>
          <w:tcPr>
            <w:tcW w:w="220" w:type="dxa"/>
            <w:vAlign w:val="bottom"/>
            <w:vMerge w:val="restart"/>
          </w:tcPr>
          <w:p>
            <w:pPr>
              <w:jc w:val="right"/>
              <w:ind w:right="26"/>
              <w:spacing w:after="0"/>
              <w:rPr>
                <w:sz w:val="20"/>
                <w:szCs w:val="20"/>
                <w:color w:val="auto"/>
              </w:rPr>
            </w:pPr>
            <w:r>
              <w:rPr>
                <w:rFonts w:ascii="Arial" w:cs="Arial" w:eastAsia="Arial" w:hAnsi="Arial"/>
                <w:sz w:val="11"/>
                <w:szCs w:val="11"/>
                <w:color w:val="auto"/>
                <w:w w:val="93"/>
              </w:rPr>
              <w:t>(c)</w:t>
            </w: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2,225</w:t>
            </w: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(467)</w:t>
            </w: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(6,039)</w:t>
            </w: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vMerge w:val="restart"/>
          </w:tcPr>
          <w:p>
            <w:pPr>
              <w:jc w:val="right"/>
              <w:ind w:right="106"/>
              <w:spacing w:after="0"/>
              <w:rPr>
                <w:sz w:val="20"/>
                <w:szCs w:val="20"/>
                <w:color w:val="auto"/>
              </w:rPr>
            </w:pPr>
            <w:r>
              <w:rPr>
                <w:rFonts w:ascii="Arial" w:cs="Arial" w:eastAsia="Arial" w:hAnsi="Arial"/>
                <w:sz w:val="11"/>
                <w:szCs w:val="11"/>
                <w:color w:val="auto"/>
              </w:rPr>
              <w:t>4,025</w:t>
            </w:r>
          </w:p>
        </w:tc>
        <w:tc>
          <w:tcPr>
            <w:tcW w:w="6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317</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vMerge w:val="restart"/>
          </w:tcPr>
          <w:p>
            <w:pPr>
              <w:jc w:val="right"/>
              <w:ind w:right="106"/>
              <w:spacing w:after="0"/>
              <w:rPr>
                <w:sz w:val="20"/>
                <w:szCs w:val="20"/>
                <w:color w:val="auto"/>
              </w:rPr>
            </w:pPr>
            <w:r>
              <w:rPr>
                <w:rFonts w:ascii="Arial" w:cs="Arial" w:eastAsia="Arial" w:hAnsi="Arial"/>
                <w:sz w:val="11"/>
                <w:szCs w:val="11"/>
                <w:color w:val="auto"/>
                <w:w w:val="97"/>
              </w:rPr>
              <w:t>130</w:t>
            </w:r>
          </w:p>
        </w:tc>
        <w:tc>
          <w:tcPr>
            <w:tcW w:w="3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4,994</w:t>
            </w:r>
          </w:p>
        </w:tc>
        <w:tc>
          <w:tcPr>
            <w:tcW w:w="220" w:type="dxa"/>
            <w:vAlign w:val="bottom"/>
            <w:vMerge w:val="restart"/>
          </w:tcPr>
          <w:p>
            <w:pPr>
              <w:jc w:val="right"/>
              <w:ind w:right="6"/>
              <w:spacing w:after="0"/>
              <w:rPr>
                <w:sz w:val="20"/>
                <w:szCs w:val="20"/>
                <w:color w:val="auto"/>
              </w:rPr>
            </w:pPr>
            <w:r>
              <w:rPr>
                <w:rFonts w:ascii="Arial" w:cs="Arial" w:eastAsia="Arial" w:hAnsi="Arial"/>
                <w:sz w:val="11"/>
                <w:szCs w:val="11"/>
                <w:color w:val="auto"/>
              </w:rPr>
              <w:t>(c)</w:t>
            </w: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color w:val="auto"/>
              </w:rPr>
              <w:t>8,864</w:t>
            </w:r>
          </w:p>
        </w:tc>
        <w:tc>
          <w:tcPr>
            <w:tcW w:w="200" w:type="dxa"/>
            <w:vAlign w:val="bottom"/>
          </w:tcPr>
          <w:p>
            <w:pPr>
              <w:spacing w:after="0"/>
              <w:rPr>
                <w:sz w:val="8"/>
                <w:szCs w:val="8"/>
                <w:color w:val="auto"/>
              </w:rPr>
            </w:pP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55"/>
        </w:trPr>
        <w:tc>
          <w:tcPr>
            <w:tcW w:w="2100" w:type="dxa"/>
            <w:vAlign w:val="bottom"/>
            <w:gridSpan w:val="2"/>
          </w:tcPr>
          <w:p>
            <w:pPr>
              <w:ind w:left="120"/>
              <w:spacing w:after="0"/>
              <w:rPr>
                <w:sz w:val="20"/>
                <w:szCs w:val="20"/>
                <w:color w:val="auto"/>
              </w:rPr>
            </w:pPr>
            <w:r>
              <w:rPr>
                <w:rFonts w:ascii="Arial" w:cs="Arial" w:eastAsia="Arial" w:hAnsi="Arial"/>
                <w:sz w:val="11"/>
                <w:szCs w:val="11"/>
                <w:color w:val="auto"/>
              </w:rPr>
              <w:t>CET1 capital</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100" w:type="dxa"/>
            <w:vAlign w:val="bottom"/>
            <w:gridSpan w:val="2"/>
          </w:tcPr>
          <w:p>
            <w:pPr>
              <w:ind w:left="120"/>
              <w:spacing w:after="0" w:line="95" w:lineRule="exact"/>
              <w:rPr>
                <w:sz w:val="20"/>
                <w:szCs w:val="20"/>
                <w:color w:val="auto"/>
              </w:rPr>
            </w:pPr>
            <w:r>
              <w:rPr>
                <w:rFonts w:ascii="Arial" w:cs="Arial" w:eastAsia="Arial" w:hAnsi="Arial"/>
                <w:sz w:val="10"/>
                <w:szCs w:val="10"/>
                <w:b w:val="1"/>
                <w:bCs w:val="1"/>
                <w:color w:val="auto"/>
              </w:rPr>
              <w:t>Standardized/Advanced CET1 capital,</w:t>
            </w: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218,936</w:t>
            </w:r>
          </w:p>
        </w:tc>
        <w:tc>
          <w:tcPr>
            <w:tcW w:w="220" w:type="dxa"/>
            <w:vAlign w:val="bottom"/>
            <w:vMerge w:val="restart"/>
          </w:tcPr>
          <w:p>
            <w:pPr>
              <w:jc w:val="right"/>
              <w:ind w:right="26"/>
              <w:spacing w:after="0"/>
              <w:rPr>
                <w:sz w:val="20"/>
                <w:szCs w:val="20"/>
                <w:color w:val="auto"/>
              </w:rPr>
            </w:pPr>
            <w:r>
              <w:rPr>
                <w:rFonts w:ascii="Arial" w:cs="Arial" w:eastAsia="Arial" w:hAnsi="Arial"/>
                <w:sz w:val="11"/>
                <w:szCs w:val="11"/>
                <w:color w:val="auto"/>
                <w:w w:val="93"/>
              </w:rPr>
              <w:t>(c)</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209,661</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207,436</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207,903</w:t>
            </w:r>
          </w:p>
        </w:tc>
        <w:tc>
          <w:tcPr>
            <w:tcW w:w="1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213,942</w:t>
            </w:r>
          </w:p>
        </w:tc>
        <w:tc>
          <w:tcPr>
            <w:tcW w:w="6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vMerge w:val="restart"/>
          </w:tcPr>
          <w:p>
            <w:pPr>
              <w:jc w:val="right"/>
              <w:ind w:right="106"/>
              <w:spacing w:after="0"/>
              <w:rPr>
                <w:sz w:val="20"/>
                <w:szCs w:val="20"/>
                <w:color w:val="auto"/>
              </w:rPr>
            </w:pPr>
            <w:r>
              <w:rPr>
                <w:rFonts w:ascii="Arial" w:cs="Arial" w:eastAsia="Arial" w:hAnsi="Arial"/>
                <w:sz w:val="11"/>
                <w:szCs w:val="11"/>
                <w:color w:val="auto"/>
              </w:rPr>
              <w:t>2</w:t>
            </w:r>
          </w:p>
        </w:tc>
        <w:tc>
          <w:tcPr>
            <w:tcW w:w="34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218,936</w:t>
            </w:r>
          </w:p>
        </w:tc>
        <w:tc>
          <w:tcPr>
            <w:tcW w:w="220" w:type="dxa"/>
            <w:vAlign w:val="bottom"/>
            <w:vMerge w:val="restart"/>
          </w:tcPr>
          <w:p>
            <w:pPr>
              <w:jc w:val="right"/>
              <w:ind w:right="6"/>
              <w:spacing w:after="0"/>
              <w:rPr>
                <w:sz w:val="20"/>
                <w:szCs w:val="20"/>
                <w:color w:val="auto"/>
              </w:rPr>
            </w:pPr>
            <w:r>
              <w:rPr>
                <w:rFonts w:ascii="Arial" w:cs="Arial" w:eastAsia="Arial" w:hAnsi="Arial"/>
                <w:sz w:val="11"/>
                <w:szCs w:val="11"/>
                <w:color w:val="auto"/>
              </w:rPr>
              <w:t>(c)</w:t>
            </w:r>
          </w:p>
        </w:tc>
        <w:tc>
          <w:tcPr>
            <w:tcW w:w="12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w w:val="95"/>
              </w:rPr>
              <w:t>213,942</w:t>
            </w:r>
          </w:p>
        </w:tc>
        <w:tc>
          <w:tcPr>
            <w:tcW w:w="200" w:type="dxa"/>
            <w:vAlign w:val="bottom"/>
          </w:tcPr>
          <w:p>
            <w:pPr>
              <w:spacing w:after="0"/>
              <w:rPr>
                <w:sz w:val="8"/>
                <w:szCs w:val="8"/>
                <w:color w:val="auto"/>
              </w:rPr>
            </w:pPr>
          </w:p>
        </w:tc>
        <w:tc>
          <w:tcPr>
            <w:tcW w:w="680" w:type="dxa"/>
            <w:vAlign w:val="bottom"/>
            <w:vMerge w:val="restart"/>
          </w:tcPr>
          <w:p>
            <w:pPr>
              <w:jc w:val="right"/>
              <w:ind w:right="8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0"/>
        </w:trPr>
        <w:tc>
          <w:tcPr>
            <w:tcW w:w="2100" w:type="dxa"/>
            <w:vAlign w:val="bottom"/>
            <w:gridSpan w:val="2"/>
          </w:tcPr>
          <w:p>
            <w:pPr>
              <w:ind w:left="120"/>
              <w:spacing w:after="0"/>
              <w:rPr>
                <w:sz w:val="20"/>
                <w:szCs w:val="20"/>
                <w:color w:val="auto"/>
              </w:rPr>
            </w:pPr>
            <w:r>
              <w:rPr>
                <w:rFonts w:ascii="Arial" w:cs="Arial" w:eastAsia="Arial" w:hAnsi="Arial"/>
                <w:sz w:val="11"/>
                <w:szCs w:val="11"/>
                <w:b w:val="1"/>
                <w:bCs w:val="1"/>
                <w:color w:val="auto"/>
              </w:rPr>
              <w:t>ending balance</w:t>
            </w: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455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358" w:lineRule="exact"/>
        <w:rPr>
          <w:sz w:val="20"/>
          <w:szCs w:val="20"/>
          <w:color w:val="auto"/>
        </w:rPr>
      </w:pPr>
    </w:p>
    <w:p>
      <w:pPr>
        <w:ind w:left="180" w:right="20" w:hanging="172"/>
        <w:spacing w:after="0" w:line="246" w:lineRule="auto"/>
        <w:tabs>
          <w:tab w:leader="none" w:pos="177" w:val="left"/>
        </w:tabs>
        <w:numPr>
          <w:ilvl w:val="0"/>
          <w:numId w:val="19"/>
        </w:numPr>
        <w:rPr>
          <w:rFonts w:ascii="Arial" w:cs="Arial" w:eastAsia="Arial" w:hAnsi="Arial"/>
          <w:sz w:val="11"/>
          <w:szCs w:val="11"/>
          <w:color w:val="auto"/>
        </w:rPr>
      </w:pPr>
      <w:r>
        <w:rPr>
          <w:rFonts w:ascii="Arial" w:cs="Arial" w:eastAsia="Arial" w:hAnsi="Arial"/>
          <w:sz w:val="11"/>
          <w:szCs w:val="11"/>
          <w:color w:val="auto"/>
        </w:rPr>
        <w:t>The capital metrics reflect the CECL capital transition provisions. Beginning January 1, 2022, the $2.9 billion CECL capital benefit recognized as of December 31, 2021, is being phased out at 25% per year over a three-year period. As of December 31, 2022, September 30, 2022, June 30, 2022 and March 31, 2022, CET1 capital reflected the remaining $2.2 billion CECL benefit. For the period ended December 31, 2021, the impact of the CECL capital transition provisions resulted in an increase to CET1 capital of $2.9 billion. Refer to Capital Risk Management on pages 45-50 of the Firm’s Quarterly Report on Form 10-Q for the quarterly period ended September 30, 2022, and pages 86-96 of the Firm’s 2021 Form 10-K for additional information.</w:t>
      </w:r>
    </w:p>
    <w:p>
      <w:pPr>
        <w:spacing w:after="0" w:line="1" w:lineRule="exact"/>
        <w:rPr>
          <w:rFonts w:ascii="Arial" w:cs="Arial" w:eastAsia="Arial" w:hAnsi="Arial"/>
          <w:sz w:val="11"/>
          <w:szCs w:val="11"/>
          <w:color w:val="auto"/>
        </w:rPr>
      </w:pPr>
    </w:p>
    <w:p>
      <w:pPr>
        <w:ind w:left="180" w:right="160" w:hanging="172"/>
        <w:spacing w:after="0" w:line="246" w:lineRule="auto"/>
        <w:tabs>
          <w:tab w:leader="none" w:pos="177" w:val="left"/>
        </w:tabs>
        <w:numPr>
          <w:ilvl w:val="0"/>
          <w:numId w:val="19"/>
        </w:numPr>
        <w:rPr>
          <w:rFonts w:ascii="Arial" w:cs="Arial" w:eastAsia="Arial" w:hAnsi="Arial"/>
          <w:sz w:val="11"/>
          <w:szCs w:val="11"/>
          <w:color w:val="auto"/>
        </w:rPr>
      </w:pPr>
      <w:r>
        <w:rPr>
          <w:rFonts w:ascii="Arial" w:cs="Arial" w:eastAsia="Arial" w:hAnsi="Arial"/>
          <w:sz w:val="11"/>
          <w:szCs w:val="11"/>
          <w:color w:val="auto"/>
        </w:rPr>
        <w:t>Adjusted average assets, for purposes of calculating the leverage ratios, includes quarterly average assets adjusted for on-balance sheet assets that are subject to deduction from Tier 1 capital, predominantly goodwill, inclusive of estimated equity method goodwill, and other intangible assets.</w:t>
      </w:r>
    </w:p>
    <w:p>
      <w:pPr>
        <w:ind w:left="160" w:hanging="152"/>
        <w:spacing w:after="0"/>
        <w:tabs>
          <w:tab w:leader="none" w:pos="1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9</w:t>
      </w:r>
    </w:p>
    <w:p>
      <w:pPr>
        <w:sectPr>
          <w:pgSz w:w="11900" w:h="16838" w:orient="portrait"/>
          <w:cols w:equalWidth="0" w:num="1">
            <w:col w:w="11240"/>
          </w:cols>
          <w:pgMar w:left="320" w:top="572"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13970</wp:posOffset>
            </wp:positionV>
            <wp:extent cx="237426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right="7120"/>
        <w:spacing w:after="0" w:line="256" w:lineRule="auto"/>
        <w:rPr>
          <w:sz w:val="20"/>
          <w:szCs w:val="20"/>
          <w:color w:val="auto"/>
        </w:rPr>
      </w:pPr>
      <w:r>
        <w:rPr>
          <w:rFonts w:ascii="Arial" w:cs="Arial" w:eastAsia="Arial" w:hAnsi="Arial"/>
          <w:sz w:val="14"/>
          <w:szCs w:val="14"/>
          <w:b w:val="1"/>
          <w:bCs w:val="1"/>
          <w:color w:val="auto"/>
        </w:rPr>
        <w:t>CAPITAL AND OTHER SELECTED BALANCE SHEET ITEMS, CONTINUED</w:t>
      </w: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1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5"/>
          </w:tcPr>
          <w:p>
            <w:pPr>
              <w:jc w:val="center"/>
              <w:ind w:right="460"/>
              <w:spacing w:after="0"/>
              <w:rPr>
                <w:sz w:val="20"/>
                <w:szCs w:val="20"/>
                <w:color w:val="auto"/>
              </w:rPr>
            </w:pPr>
            <w:r>
              <w:rPr>
                <w:rFonts w:ascii="Arial" w:cs="Arial" w:eastAsia="Arial" w:hAnsi="Arial"/>
                <w:sz w:val="11"/>
                <w:szCs w:val="11"/>
                <w:b w:val="1"/>
                <w:bCs w:val="1"/>
                <w:color w:val="auto"/>
                <w:w w:val="99"/>
              </w:rPr>
              <w:t>Dec 31, 2022</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9"/>
        </w:trPr>
        <w:tc>
          <w:tcPr>
            <w:tcW w:w="1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gridSpan w:val="3"/>
          </w:tcPr>
          <w:p>
            <w:pPr>
              <w:jc w:val="center"/>
              <w:ind w:left="286"/>
              <w:spacing w:after="0"/>
              <w:rPr>
                <w:sz w:val="20"/>
                <w:szCs w:val="20"/>
                <w:color w:val="auto"/>
              </w:rPr>
            </w:pPr>
            <w:r>
              <w:rPr>
                <w:rFonts w:ascii="Arial" w:cs="Arial" w:eastAsia="Arial" w:hAnsi="Arial"/>
                <w:sz w:val="11"/>
                <w:szCs w:val="11"/>
                <w:b w:val="1"/>
                <w:bCs w:val="1"/>
                <w:color w:val="auto"/>
                <w:w w:val="99"/>
              </w:rPr>
              <w:t>Change</w:t>
            </w:r>
          </w:p>
        </w:tc>
        <w:tc>
          <w:tcPr>
            <w:tcW w:w="3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FULL YEAR</w:t>
            </w:r>
          </w:p>
        </w:tc>
        <w:tc>
          <w:tcPr>
            <w:tcW w:w="740" w:type="dxa"/>
            <w:vAlign w:val="bottom"/>
            <w:tcBorders>
              <w:bottom w:val="single" w:sz="8" w:color="auto"/>
            </w:tcBorders>
          </w:tcPr>
          <w:p>
            <w:pPr>
              <w:spacing w:after="0"/>
              <w:rPr>
                <w:sz w:val="14"/>
                <w:szCs w:val="14"/>
                <w:color w:val="auto"/>
              </w:rPr>
            </w:pPr>
          </w:p>
        </w:tc>
      </w:tr>
      <w:tr>
        <w:trPr>
          <w:trHeight w:val="156"/>
        </w:trPr>
        <w:tc>
          <w:tcPr>
            <w:tcW w:w="1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Dec 31,</w:t>
            </w:r>
          </w:p>
        </w:tc>
        <w:tc>
          <w:tcPr>
            <w:tcW w:w="8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Sep 30,</w:t>
            </w:r>
          </w:p>
        </w:tc>
        <w:tc>
          <w:tcPr>
            <w:tcW w:w="8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Jun 30,</w:t>
            </w:r>
          </w:p>
        </w:tc>
        <w:tc>
          <w:tcPr>
            <w:tcW w:w="1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Mar 31,</w:t>
            </w:r>
          </w:p>
        </w:tc>
        <w:tc>
          <w:tcPr>
            <w:tcW w:w="100" w:type="dxa"/>
            <w:vAlign w:val="bottom"/>
          </w:tcPr>
          <w:p>
            <w:pPr>
              <w:spacing w:after="0"/>
              <w:rPr>
                <w:sz w:val="13"/>
                <w:szCs w:val="13"/>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b w:val="1"/>
                <w:bCs w:val="1"/>
                <w:color w:val="auto"/>
                <w:w w:val="93"/>
              </w:rPr>
              <w:t>Dec 31,</w:t>
            </w:r>
          </w:p>
        </w:tc>
        <w:tc>
          <w:tcPr>
            <w:tcW w:w="22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Sep 30,</w:t>
            </w:r>
          </w:p>
        </w:tc>
        <w:tc>
          <w:tcPr>
            <w:tcW w:w="920" w:type="dxa"/>
            <w:vAlign w:val="bottom"/>
            <w:gridSpan w:val="3"/>
          </w:tcPr>
          <w:p>
            <w:pPr>
              <w:ind w:left="40"/>
              <w:spacing w:after="0"/>
              <w:rPr>
                <w:sz w:val="20"/>
                <w:szCs w:val="20"/>
                <w:color w:val="auto"/>
              </w:rPr>
            </w:pPr>
            <w:r>
              <w:rPr>
                <w:rFonts w:ascii="Arial" w:cs="Arial" w:eastAsia="Arial" w:hAnsi="Arial"/>
                <w:sz w:val="11"/>
                <w:szCs w:val="11"/>
                <w:b w:val="1"/>
                <w:bCs w:val="1"/>
                <w:color w:val="auto"/>
              </w:rPr>
              <w:t>Dec 31,</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 Change</w:t>
            </w:r>
          </w:p>
        </w:tc>
      </w:tr>
      <w:tr>
        <w:trPr>
          <w:trHeight w:val="155"/>
        </w:trPr>
        <w:tc>
          <w:tcPr>
            <w:tcW w:w="1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2022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2021</w:t>
            </w:r>
          </w:p>
        </w:tc>
        <w:tc>
          <w:tcPr>
            <w:tcW w:w="660" w:type="dxa"/>
            <w:vAlign w:val="bottom"/>
            <w:gridSpan w:val="2"/>
          </w:tcPr>
          <w:p>
            <w:pPr>
              <w:jc w:val="right"/>
              <w:ind w:right="46"/>
              <w:spacing w:after="0"/>
              <w:rPr>
                <w:sz w:val="20"/>
                <w:szCs w:val="20"/>
                <w:color w:val="auto"/>
              </w:rPr>
            </w:pPr>
            <w:r>
              <w:rPr>
                <w:rFonts w:ascii="Arial" w:cs="Arial" w:eastAsia="Arial" w:hAnsi="Arial"/>
                <w:sz w:val="11"/>
                <w:szCs w:val="11"/>
                <w:b w:val="1"/>
                <w:bCs w:val="1"/>
                <w:color w:val="auto"/>
              </w:rPr>
              <w:t>2022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ind w:right="46"/>
              <w:spacing w:after="0"/>
              <w:rPr>
                <w:sz w:val="20"/>
                <w:szCs w:val="20"/>
                <w:color w:val="auto"/>
              </w:rPr>
            </w:pPr>
            <w:r>
              <w:rPr>
                <w:rFonts w:ascii="Arial" w:cs="Arial" w:eastAsia="Arial" w:hAnsi="Arial"/>
                <w:sz w:val="11"/>
                <w:szCs w:val="11"/>
                <w:b w:val="1"/>
                <w:bCs w:val="1"/>
                <w:color w:val="auto"/>
                <w:w w:val="97"/>
              </w:rPr>
              <w:t>2021</w:t>
            </w:r>
          </w:p>
        </w:tc>
        <w:tc>
          <w:tcPr>
            <w:tcW w:w="460" w:type="dxa"/>
            <w:vAlign w:val="bottom"/>
          </w:tcPr>
          <w:p>
            <w:pPr>
              <w:spacing w:after="0"/>
              <w:rPr>
                <w:sz w:val="13"/>
                <w:szCs w:val="13"/>
                <w:color w:val="auto"/>
              </w:rPr>
            </w:pPr>
          </w:p>
        </w:tc>
        <w:tc>
          <w:tcPr>
            <w:tcW w:w="580" w:type="dxa"/>
            <w:vAlign w:val="bottom"/>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22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2021</w:t>
            </w:r>
          </w:p>
        </w:tc>
        <w:tc>
          <w:tcPr>
            <w:tcW w:w="240" w:type="dxa"/>
            <w:vAlign w:val="bottom"/>
          </w:tcPr>
          <w:p>
            <w:pPr>
              <w:spacing w:after="0"/>
              <w:rPr>
                <w:sz w:val="13"/>
                <w:szCs w:val="13"/>
                <w:color w:val="auto"/>
              </w:rPr>
            </w:pPr>
          </w:p>
        </w:tc>
        <w:tc>
          <w:tcPr>
            <w:tcW w:w="740" w:type="dxa"/>
            <w:vAlign w:val="bottom"/>
          </w:tcPr>
          <w:p>
            <w:pPr>
              <w:jc w:val="right"/>
              <w:ind w:right="186"/>
              <w:spacing w:after="0"/>
              <w:rPr>
                <w:sz w:val="20"/>
                <w:szCs w:val="20"/>
                <w:color w:val="auto"/>
              </w:rPr>
            </w:pPr>
            <w:r>
              <w:rPr>
                <w:rFonts w:ascii="Arial" w:cs="Arial" w:eastAsia="Arial" w:hAnsi="Arial"/>
                <w:sz w:val="11"/>
                <w:szCs w:val="11"/>
                <w:b w:val="1"/>
                <w:bCs w:val="1"/>
                <w:color w:val="auto"/>
              </w:rPr>
              <w:t>2021</w:t>
            </w:r>
          </w:p>
        </w:tc>
      </w:tr>
      <w:tr>
        <w:trPr>
          <w:trHeight w:val="108"/>
        </w:trPr>
        <w:tc>
          <w:tcPr>
            <w:tcW w:w="2340" w:type="dxa"/>
            <w:vAlign w:val="bottom"/>
            <w:tcBorders>
              <w:bottom w:val="single" w:sz="8" w:color="auto"/>
            </w:tcBorders>
            <w:gridSpan w:val="3"/>
          </w:tcPr>
          <w:p>
            <w:pPr>
              <w:spacing w:after="0" w:line="108" w:lineRule="exact"/>
              <w:rPr>
                <w:sz w:val="20"/>
                <w:szCs w:val="20"/>
                <w:color w:val="auto"/>
              </w:rPr>
            </w:pPr>
            <w:r>
              <w:rPr>
                <w:rFonts w:ascii="Arial" w:cs="Arial" w:eastAsia="Arial" w:hAnsi="Arial"/>
                <w:sz w:val="11"/>
                <w:szCs w:val="11"/>
                <w:b w:val="1"/>
                <w:bCs w:val="1"/>
                <w:color w:val="auto"/>
                <w:w w:val="97"/>
              </w:rPr>
              <w:t>TANGIBLE COMMON EQUITY (period-end) (a)</w:t>
            </w: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63"/>
        </w:trPr>
        <w:tc>
          <w:tcPr>
            <w:tcW w:w="2420" w:type="dxa"/>
            <w:vAlign w:val="bottom"/>
            <w:gridSpan w:val="4"/>
          </w:tcPr>
          <w:p>
            <w:pPr>
              <w:spacing w:after="0"/>
              <w:rPr>
                <w:sz w:val="20"/>
                <w:szCs w:val="20"/>
                <w:color w:val="auto"/>
              </w:rPr>
            </w:pPr>
            <w:r>
              <w:rPr>
                <w:rFonts w:ascii="Arial" w:cs="Arial" w:eastAsia="Arial" w:hAnsi="Arial"/>
                <w:sz w:val="11"/>
                <w:szCs w:val="11"/>
                <w:color w:val="auto"/>
              </w:rPr>
              <w:t>Common stockholders’ equity</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264,928</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255,180</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253,305</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253,061</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259,289</w:t>
            </w:r>
          </w:p>
        </w:tc>
        <w:tc>
          <w:tcPr>
            <w:tcW w:w="660" w:type="dxa"/>
            <w:vAlign w:val="bottom"/>
            <w:gridSpan w:val="2"/>
          </w:tcPr>
          <w:p>
            <w:pPr>
              <w:jc w:val="right"/>
              <w:ind w:right="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2420" w:type="dxa"/>
            <w:vAlign w:val="bottom"/>
            <w:gridSpan w:val="4"/>
          </w:tcPr>
          <w:p>
            <w:pPr>
              <w:spacing w:after="0"/>
              <w:rPr>
                <w:sz w:val="20"/>
                <w:szCs w:val="20"/>
                <w:color w:val="auto"/>
              </w:rPr>
            </w:pPr>
            <w:r>
              <w:rPr>
                <w:rFonts w:ascii="Arial" w:cs="Arial" w:eastAsia="Arial" w:hAnsi="Arial"/>
                <w:sz w:val="11"/>
                <w:szCs w:val="11"/>
                <w:color w:val="auto"/>
              </w:rPr>
              <w:t>Less: Goodwill</w:t>
            </w: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51,662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51,461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50,697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50,298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50,315</w:t>
            </w:r>
          </w:p>
        </w:tc>
        <w:tc>
          <w:tcPr>
            <w:tcW w:w="22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2420" w:type="dxa"/>
            <w:vAlign w:val="bottom"/>
            <w:gridSpan w:val="4"/>
          </w:tcPr>
          <w:p>
            <w:pPr>
              <w:spacing w:after="0"/>
              <w:rPr>
                <w:sz w:val="20"/>
                <w:szCs w:val="20"/>
                <w:color w:val="auto"/>
              </w:rPr>
            </w:pPr>
            <w:r>
              <w:rPr>
                <w:rFonts w:ascii="Arial" w:cs="Arial" w:eastAsia="Arial" w:hAnsi="Arial"/>
                <w:sz w:val="11"/>
                <w:szCs w:val="11"/>
                <w:color w:val="auto"/>
              </w:rPr>
              <w:t>Less: Other intangible assets</w:t>
            </w: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1,224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1,205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1,224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893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882</w:t>
            </w:r>
          </w:p>
        </w:tc>
        <w:tc>
          <w:tcPr>
            <w:tcW w:w="660" w:type="dxa"/>
            <w:vAlign w:val="bottom"/>
            <w:gridSpan w:val="2"/>
          </w:tcPr>
          <w:p>
            <w:pPr>
              <w:jc w:val="right"/>
              <w:ind w:right="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39</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5"/>
        </w:trPr>
        <w:tc>
          <w:tcPr>
            <w:tcW w:w="2420" w:type="dxa"/>
            <w:vAlign w:val="bottom"/>
            <w:gridSpan w:val="4"/>
          </w:tcPr>
          <w:p>
            <w:pPr>
              <w:spacing w:after="0"/>
              <w:rPr>
                <w:sz w:val="20"/>
                <w:szCs w:val="20"/>
                <w:color w:val="auto"/>
              </w:rPr>
            </w:pPr>
            <w:r>
              <w:rPr>
                <w:rFonts w:ascii="Arial" w:cs="Arial" w:eastAsia="Arial" w:hAnsi="Arial"/>
                <w:sz w:val="11"/>
                <w:szCs w:val="11"/>
                <w:color w:val="auto"/>
              </w:rPr>
              <w:t>Add: Certain deferred tax liabilities (b)</w:t>
            </w: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2,510</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2,509</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2,509</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2,496</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2,499</w:t>
            </w:r>
          </w:p>
        </w:tc>
        <w:tc>
          <w:tcPr>
            <w:tcW w:w="22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69"/>
        </w:trPr>
        <w:tc>
          <w:tcPr>
            <w:tcW w:w="242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tangible common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214,552</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205,023</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203,893</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204,366</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210,591</w:t>
            </w:r>
          </w:p>
        </w:tc>
        <w:tc>
          <w:tcPr>
            <w:tcW w:w="660" w:type="dxa"/>
            <w:vAlign w:val="bottom"/>
            <w:gridSpan w:val="2"/>
          </w:tcPr>
          <w:p>
            <w:pPr>
              <w:jc w:val="right"/>
              <w:ind w:right="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2420" w:type="dxa"/>
            <w:vAlign w:val="bottom"/>
            <w:gridSpan w:val="4"/>
          </w:tcPr>
          <w:p>
            <w:pPr>
              <w:spacing w:after="0"/>
              <w:rPr>
                <w:sz w:val="20"/>
                <w:szCs w:val="20"/>
                <w:color w:val="auto"/>
              </w:rPr>
            </w:pPr>
            <w:r>
              <w:rPr>
                <w:rFonts w:ascii="Arial" w:cs="Arial" w:eastAsia="Arial" w:hAnsi="Arial"/>
                <w:sz w:val="11"/>
                <w:szCs w:val="11"/>
                <w:b w:val="1"/>
                <w:bCs w:val="1"/>
                <w:color w:val="auto"/>
              </w:rPr>
              <w:t>TANGIBLE COMMON EQUITY (average) (a)</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3"/>
        </w:trPr>
        <w:tc>
          <w:tcPr>
            <w:tcW w:w="218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Common stockholders’ equity</w:t>
            </w:r>
          </w:p>
        </w:tc>
        <w:tc>
          <w:tcPr>
            <w:tcW w:w="240" w:type="dxa"/>
            <w:vAlign w:val="bottom"/>
            <w:gridSpan w:val="2"/>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258,770</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252,944</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247,986</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252,506</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253,805</w:t>
            </w:r>
          </w:p>
        </w:tc>
        <w:tc>
          <w:tcPr>
            <w:tcW w:w="660" w:type="dxa"/>
            <w:vAlign w:val="bottom"/>
            <w:gridSpan w:val="2"/>
          </w:tcPr>
          <w:p>
            <w:pPr>
              <w:jc w:val="right"/>
              <w:ind w:right="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46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$ 253,068</w:t>
            </w:r>
          </w:p>
        </w:tc>
        <w:tc>
          <w:tcPr>
            <w:tcW w:w="2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$ 250,968</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1 %</w:t>
            </w:r>
          </w:p>
        </w:tc>
      </w:tr>
      <w:tr>
        <w:trPr>
          <w:trHeight w:val="162"/>
        </w:trPr>
        <w:tc>
          <w:tcPr>
            <w:tcW w:w="2420" w:type="dxa"/>
            <w:vAlign w:val="bottom"/>
            <w:gridSpan w:val="4"/>
          </w:tcPr>
          <w:p>
            <w:pPr>
              <w:spacing w:after="0"/>
              <w:rPr>
                <w:sz w:val="20"/>
                <w:szCs w:val="20"/>
                <w:color w:val="auto"/>
              </w:rPr>
            </w:pPr>
            <w:r>
              <w:rPr>
                <w:rFonts w:ascii="Arial" w:cs="Arial" w:eastAsia="Arial" w:hAnsi="Arial"/>
                <w:sz w:val="11"/>
                <w:szCs w:val="11"/>
                <w:color w:val="auto"/>
              </w:rPr>
              <w:t>Less: Goodwill</w:t>
            </w: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51,586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51,323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50,575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50,307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50,362</w:t>
            </w:r>
          </w:p>
        </w:tc>
        <w:tc>
          <w:tcPr>
            <w:tcW w:w="660" w:type="dxa"/>
            <w:vAlign w:val="bottom"/>
            <w:gridSpan w:val="2"/>
          </w:tcPr>
          <w:p>
            <w:pPr>
              <w:jc w:val="right"/>
              <w:ind w:right="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46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50,952</w:t>
            </w:r>
          </w:p>
        </w:tc>
        <w:tc>
          <w:tcPr>
            <w:tcW w:w="2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49,584</w:t>
            </w:r>
          </w:p>
        </w:tc>
        <w:tc>
          <w:tcPr>
            <w:tcW w:w="24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3</w:t>
            </w:r>
          </w:p>
        </w:tc>
      </w:tr>
      <w:tr>
        <w:trPr>
          <w:trHeight w:val="162"/>
        </w:trPr>
        <w:tc>
          <w:tcPr>
            <w:tcW w:w="2420" w:type="dxa"/>
            <w:vAlign w:val="bottom"/>
            <w:gridSpan w:val="4"/>
          </w:tcPr>
          <w:p>
            <w:pPr>
              <w:spacing w:after="0"/>
              <w:rPr>
                <w:sz w:val="20"/>
                <w:szCs w:val="20"/>
                <w:color w:val="auto"/>
              </w:rPr>
            </w:pPr>
            <w:r>
              <w:rPr>
                <w:rFonts w:ascii="Arial" w:cs="Arial" w:eastAsia="Arial" w:hAnsi="Arial"/>
                <w:sz w:val="11"/>
                <w:szCs w:val="11"/>
                <w:color w:val="auto"/>
              </w:rPr>
              <w:t>Less: Other intangible assets</w:t>
            </w: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1,217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1,208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1,119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896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896</w:t>
            </w:r>
          </w:p>
        </w:tc>
        <w:tc>
          <w:tcPr>
            <w:tcW w:w="660" w:type="dxa"/>
            <w:vAlign w:val="bottom"/>
            <w:gridSpan w:val="2"/>
          </w:tcPr>
          <w:p>
            <w:pPr>
              <w:jc w:val="right"/>
              <w:ind w:right="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36</w:t>
            </w:r>
          </w:p>
        </w:tc>
        <w:tc>
          <w:tcPr>
            <w:tcW w:w="46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1,112</w:t>
            </w:r>
          </w:p>
        </w:tc>
        <w:tc>
          <w:tcPr>
            <w:tcW w:w="2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876</w:t>
            </w:r>
          </w:p>
        </w:tc>
        <w:tc>
          <w:tcPr>
            <w:tcW w:w="24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27</w:t>
            </w:r>
          </w:p>
        </w:tc>
      </w:tr>
      <w:tr>
        <w:trPr>
          <w:trHeight w:val="176"/>
        </w:trPr>
        <w:tc>
          <w:tcPr>
            <w:tcW w:w="2420" w:type="dxa"/>
            <w:vAlign w:val="bottom"/>
            <w:gridSpan w:val="4"/>
          </w:tcPr>
          <w:p>
            <w:pPr>
              <w:spacing w:after="0"/>
              <w:rPr>
                <w:sz w:val="20"/>
                <w:szCs w:val="20"/>
                <w:color w:val="auto"/>
              </w:rPr>
            </w:pPr>
            <w:r>
              <w:rPr>
                <w:rFonts w:ascii="Arial" w:cs="Arial" w:eastAsia="Arial" w:hAnsi="Arial"/>
                <w:sz w:val="11"/>
                <w:szCs w:val="11"/>
                <w:color w:val="auto"/>
              </w:rPr>
              <w:t>Add: Certain deferred tax liabilities (b)</w:t>
            </w: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2,508</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2,512</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2,503</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2,498</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2,502</w:t>
            </w:r>
          </w:p>
        </w:tc>
        <w:tc>
          <w:tcPr>
            <w:tcW w:w="22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2,505</w:t>
            </w:r>
          </w:p>
        </w:tc>
        <w:tc>
          <w:tcPr>
            <w:tcW w:w="220" w:type="dxa"/>
            <w:vAlign w:val="bottom"/>
          </w:tcPr>
          <w:p>
            <w:pPr>
              <w:spacing w:after="0"/>
              <w:rPr>
                <w:sz w:val="15"/>
                <w:szCs w:val="15"/>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2,474</w:t>
            </w:r>
          </w:p>
        </w:tc>
        <w:tc>
          <w:tcPr>
            <w:tcW w:w="240" w:type="dxa"/>
            <w:vAlign w:val="bottom"/>
          </w:tcPr>
          <w:p>
            <w:pPr>
              <w:spacing w:after="0"/>
              <w:rPr>
                <w:sz w:val="15"/>
                <w:szCs w:val="15"/>
                <w:color w:val="auto"/>
              </w:rPr>
            </w:pP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1</w:t>
            </w:r>
          </w:p>
        </w:tc>
      </w:tr>
      <w:tr>
        <w:trPr>
          <w:trHeight w:val="169"/>
        </w:trPr>
        <w:tc>
          <w:tcPr>
            <w:tcW w:w="242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tangible common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208,475</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202,925</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198,795</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203,801</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205,049</w:t>
            </w:r>
          </w:p>
        </w:tc>
        <w:tc>
          <w:tcPr>
            <w:tcW w:w="660" w:type="dxa"/>
            <w:vAlign w:val="bottom"/>
            <w:gridSpan w:val="2"/>
          </w:tcPr>
          <w:p>
            <w:pPr>
              <w:jc w:val="right"/>
              <w:ind w:right="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460" w:type="dxa"/>
            <w:vAlign w:val="bottom"/>
          </w:tcPr>
          <w:p>
            <w:pPr>
              <w:spacing w:after="0"/>
              <w:rPr>
                <w:sz w:val="14"/>
                <w:szCs w:val="14"/>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$ 203,509</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$ 202,982</w:t>
            </w:r>
          </w:p>
        </w:tc>
        <w:tc>
          <w:tcPr>
            <w:tcW w:w="24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r>
      <w:tr>
        <w:trPr>
          <w:trHeight w:val="162"/>
        </w:trPr>
        <w:tc>
          <w:tcPr>
            <w:tcW w:w="17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6"/>
              </w:rPr>
              <w:t>INTANGIBLE ASSETS (period-end)</w:t>
            </w:r>
          </w:p>
        </w:tc>
        <w:tc>
          <w:tcPr>
            <w:tcW w:w="64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3"/>
        </w:trPr>
        <w:tc>
          <w:tcPr>
            <w:tcW w:w="2420" w:type="dxa"/>
            <w:vAlign w:val="bottom"/>
            <w:gridSpan w:val="4"/>
          </w:tcPr>
          <w:p>
            <w:pPr>
              <w:spacing w:after="0"/>
              <w:rPr>
                <w:sz w:val="20"/>
                <w:szCs w:val="20"/>
                <w:color w:val="auto"/>
              </w:rPr>
            </w:pPr>
            <w:r>
              <w:rPr>
                <w:rFonts w:ascii="Arial" w:cs="Arial" w:eastAsia="Arial" w:hAnsi="Arial"/>
                <w:sz w:val="11"/>
                <w:szCs w:val="11"/>
                <w:color w:val="auto"/>
              </w:rPr>
              <w:t>Goodwill</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51,662</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51,461</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50,697</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50,298</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50,315</w:t>
            </w:r>
          </w:p>
        </w:tc>
        <w:tc>
          <w:tcPr>
            <w:tcW w:w="22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2420" w:type="dxa"/>
            <w:vAlign w:val="bottom"/>
            <w:gridSpan w:val="4"/>
          </w:tcPr>
          <w:p>
            <w:pPr>
              <w:spacing w:after="0"/>
              <w:rPr>
                <w:sz w:val="20"/>
                <w:szCs w:val="20"/>
                <w:color w:val="auto"/>
              </w:rPr>
            </w:pPr>
            <w:r>
              <w:rPr>
                <w:rFonts w:ascii="Arial" w:cs="Arial" w:eastAsia="Arial" w:hAnsi="Arial"/>
                <w:sz w:val="11"/>
                <w:szCs w:val="11"/>
                <w:color w:val="auto"/>
              </w:rPr>
              <w:t>Mortgage servicing rights</w:t>
            </w: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7,973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8,140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7,439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7,294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5,494</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45</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5"/>
        </w:trPr>
        <w:tc>
          <w:tcPr>
            <w:tcW w:w="2420" w:type="dxa"/>
            <w:vAlign w:val="bottom"/>
            <w:gridSpan w:val="4"/>
          </w:tcPr>
          <w:p>
            <w:pPr>
              <w:spacing w:after="0"/>
              <w:rPr>
                <w:sz w:val="20"/>
                <w:szCs w:val="20"/>
                <w:color w:val="auto"/>
              </w:rPr>
            </w:pPr>
            <w:r>
              <w:rPr>
                <w:rFonts w:ascii="Arial" w:cs="Arial" w:eastAsia="Arial" w:hAnsi="Arial"/>
                <w:sz w:val="11"/>
                <w:szCs w:val="11"/>
                <w:color w:val="auto"/>
              </w:rPr>
              <w:t>Other intangible assets</w:t>
            </w: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1,224</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1,205</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1,224</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893</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882</w:t>
            </w:r>
          </w:p>
        </w:tc>
        <w:tc>
          <w:tcPr>
            <w:tcW w:w="660" w:type="dxa"/>
            <w:vAlign w:val="bottom"/>
            <w:gridSpan w:val="2"/>
          </w:tcPr>
          <w:p>
            <w:pPr>
              <w:jc w:val="right"/>
              <w:ind w:right="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39</w:t>
            </w: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69"/>
        </w:trPr>
        <w:tc>
          <w:tcPr>
            <w:tcW w:w="242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intangible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60,859</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60,806</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59,360</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58,485</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56,691</w:t>
            </w:r>
          </w:p>
        </w:tc>
        <w:tc>
          <w:tcPr>
            <w:tcW w:w="22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5430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399"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Refer to page 29 for further discussion of TCE.</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Represents deferred tax liabilities related to tax-deductible goodwill and to identifiable intangibles created in nontaxable transactions, which are netted against goodwill and other intangibles when calculating TCE.</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10</w:t>
      </w:r>
    </w:p>
    <w:p>
      <w:pPr>
        <w:sectPr>
          <w:pgSz w:w="11900" w:h="16838" w:orient="portrait"/>
          <w:cols w:equalWidth="0" w:num="1">
            <w:col w:w="11240"/>
          </w:cols>
          <w:pgMar w:left="320" w:top="572"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EARNINGS PER SHARE AND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-78740</wp:posOffset>
            </wp:positionV>
            <wp:extent cx="237426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INFORMATION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per share and ratio</w:t>
      </w:r>
    </w:p>
    <w:p>
      <w:pPr>
        <w:ind w:left="20"/>
        <w:spacing w:after="0"/>
        <w:rPr>
          <w:sz w:val="20"/>
          <w:szCs w:val="20"/>
          <w:color w:val="auto"/>
        </w:rPr>
      </w:pPr>
      <w:r>
        <w:rPr>
          <w:rFonts w:ascii="Arial" w:cs="Arial" w:eastAsia="Arial" w:hAnsi="Arial"/>
          <w:sz w:val="11"/>
          <w:szCs w:val="11"/>
          <w:b w:val="1"/>
          <w:bCs w:val="1"/>
          <w:color w:val="auto"/>
        </w:rPr>
        <w:t>data)</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ind w:left="380"/>
              <w:spacing w:after="0"/>
              <w:rPr>
                <w:sz w:val="20"/>
                <w:szCs w:val="20"/>
                <w:color w:val="auto"/>
              </w:rPr>
            </w:pPr>
            <w:r>
              <w:rPr>
                <w:rFonts w:ascii="Arial" w:cs="Arial" w:eastAsia="Arial" w:hAnsi="Arial"/>
                <w:sz w:val="11"/>
                <w:szCs w:val="11"/>
                <w:b w:val="1"/>
                <w:bCs w:val="1"/>
                <w:color w:val="auto"/>
              </w:rPr>
              <w:t>QUARTERLY TRENDS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FULL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Borders>
              <w:bottom w:val="single" w:sz="8" w:color="auto"/>
            </w:tcBorders>
            <w:gridSpan w:val="3"/>
          </w:tcPr>
          <w:p>
            <w:pPr>
              <w:jc w:val="right"/>
              <w:ind w:right="246"/>
              <w:spacing w:after="0"/>
              <w:rPr>
                <w:sz w:val="20"/>
                <w:szCs w:val="20"/>
                <w:color w:val="auto"/>
              </w:rPr>
            </w:pPr>
            <w:r>
              <w:rPr>
                <w:rFonts w:ascii="Arial" w:cs="Arial" w:eastAsia="Arial" w:hAnsi="Arial"/>
                <w:sz w:val="11"/>
                <w:szCs w:val="11"/>
                <w:b w:val="1"/>
                <w:bCs w:val="1"/>
                <w:color w:val="auto"/>
              </w:rPr>
              <w:t>4Q22 Change</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 Change</w:t>
            </w: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4Q22</w:t>
            </w:r>
          </w:p>
        </w:tc>
        <w:tc>
          <w:tcPr>
            <w:tcW w:w="10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3Q22</w:t>
            </w:r>
          </w:p>
        </w:tc>
        <w:tc>
          <w:tcPr>
            <w:tcW w:w="12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2Q22</w:t>
            </w:r>
          </w:p>
        </w:tc>
        <w:tc>
          <w:tcPr>
            <w:tcW w:w="12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1Q22</w:t>
            </w:r>
          </w:p>
        </w:tc>
        <w:tc>
          <w:tcPr>
            <w:tcW w:w="120" w:type="dxa"/>
            <w:vAlign w:val="bottom"/>
          </w:tcPr>
          <w:p>
            <w:pPr>
              <w:spacing w:after="0"/>
              <w:rPr>
                <w:sz w:val="13"/>
                <w:szCs w:val="13"/>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4Q21</w:t>
            </w:r>
          </w:p>
        </w:tc>
        <w:tc>
          <w:tcPr>
            <w:tcW w:w="200" w:type="dxa"/>
            <w:vAlign w:val="bottom"/>
          </w:tcPr>
          <w:p>
            <w:pPr>
              <w:spacing w:after="0"/>
              <w:rPr>
                <w:sz w:val="13"/>
                <w:szCs w:val="13"/>
                <w:color w:val="auto"/>
              </w:rPr>
            </w:pP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3Q22</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4Q21</w:t>
            </w:r>
          </w:p>
        </w:tc>
        <w:tc>
          <w:tcPr>
            <w:tcW w:w="120" w:type="dxa"/>
            <w:vAlign w:val="bottom"/>
          </w:tcPr>
          <w:p>
            <w:pPr>
              <w:spacing w:after="0"/>
              <w:rPr>
                <w:sz w:val="13"/>
                <w:szCs w:val="13"/>
                <w:color w:val="auto"/>
              </w:rPr>
            </w:pPr>
          </w:p>
        </w:tc>
        <w:tc>
          <w:tcPr>
            <w:tcW w:w="560" w:type="dxa"/>
            <w:vAlign w:val="bottom"/>
          </w:tcPr>
          <w:p>
            <w:pPr>
              <w:jc w:val="right"/>
              <w:ind w:right="166"/>
              <w:spacing w:after="0"/>
              <w:rPr>
                <w:sz w:val="20"/>
                <w:szCs w:val="20"/>
                <w:color w:val="auto"/>
              </w:rPr>
            </w:pPr>
            <w:r>
              <w:rPr>
                <w:rFonts w:ascii="Arial" w:cs="Arial" w:eastAsia="Arial" w:hAnsi="Arial"/>
                <w:sz w:val="11"/>
                <w:szCs w:val="11"/>
                <w:b w:val="1"/>
                <w:bCs w:val="1"/>
                <w:color w:val="auto"/>
              </w:rPr>
              <w:t>2022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66"/>
              <w:spacing w:after="0"/>
              <w:rPr>
                <w:sz w:val="20"/>
                <w:szCs w:val="20"/>
                <w:color w:val="auto"/>
              </w:rPr>
            </w:pPr>
            <w:r>
              <w:rPr>
                <w:rFonts w:ascii="Arial" w:cs="Arial" w:eastAsia="Arial" w:hAnsi="Arial"/>
                <w:sz w:val="11"/>
                <w:szCs w:val="11"/>
                <w:b w:val="1"/>
                <w:bCs w:val="1"/>
                <w:color w:val="auto"/>
              </w:rPr>
              <w:t>2021</w:t>
            </w:r>
          </w:p>
        </w:tc>
        <w:tc>
          <w:tcPr>
            <w:tcW w:w="920" w:type="dxa"/>
            <w:vAlign w:val="bottom"/>
            <w:gridSpan w:val="2"/>
          </w:tcPr>
          <w:p>
            <w:pPr>
              <w:jc w:val="right"/>
              <w:ind w:right="186"/>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08"/>
        </w:trPr>
        <w:tc>
          <w:tcPr>
            <w:tcW w:w="1240" w:type="dxa"/>
            <w:vAlign w:val="bottom"/>
            <w:tcBorders>
              <w:bottom w:val="single" w:sz="8" w:color="auto"/>
            </w:tcBorders>
            <w:gridSpan w:val="4"/>
          </w:tcPr>
          <w:p>
            <w:pPr>
              <w:spacing w:after="0" w:line="108" w:lineRule="exact"/>
              <w:rPr>
                <w:sz w:val="20"/>
                <w:szCs w:val="20"/>
                <w:color w:val="auto"/>
              </w:rPr>
            </w:pPr>
            <w:r>
              <w:rPr>
                <w:rFonts w:ascii="Arial" w:cs="Arial" w:eastAsia="Arial" w:hAnsi="Arial"/>
                <w:sz w:val="11"/>
                <w:szCs w:val="11"/>
                <w:b w:val="1"/>
                <w:bCs w:val="1"/>
                <w:color w:val="auto"/>
                <w:w w:val="97"/>
              </w:rPr>
              <w:t>EARNINGS PER SHARE</w:t>
            </w:r>
          </w:p>
        </w:tc>
        <w:tc>
          <w:tcPr>
            <w:tcW w:w="860" w:type="dxa"/>
            <w:vAlign w:val="bottom"/>
            <w:gridSpan w:val="2"/>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100" w:type="dxa"/>
            <w:vAlign w:val="bottom"/>
            <w:gridSpan w:val="6"/>
          </w:tcPr>
          <w:p>
            <w:pPr>
              <w:spacing w:after="0"/>
              <w:rPr>
                <w:sz w:val="20"/>
                <w:szCs w:val="20"/>
                <w:color w:val="auto"/>
              </w:rPr>
            </w:pPr>
            <w:r>
              <w:rPr>
                <w:rFonts w:ascii="Arial" w:cs="Arial" w:eastAsia="Arial" w:hAnsi="Arial"/>
                <w:sz w:val="11"/>
                <w:szCs w:val="11"/>
                <w:b w:val="1"/>
                <w:bCs w:val="1"/>
                <w:color w:val="auto"/>
              </w:rPr>
              <w:t>Basic earnings per share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00" w:type="dxa"/>
            <w:vAlign w:val="bottom"/>
            <w:gridSpan w:val="6"/>
          </w:tcPr>
          <w:p>
            <w:pPr>
              <w:ind w:left="120"/>
              <w:spacing w:after="0"/>
              <w:rPr>
                <w:sz w:val="20"/>
                <w:szCs w:val="20"/>
                <w:color w:val="auto"/>
              </w:rPr>
            </w:pPr>
            <w:r>
              <w:rPr>
                <w:rFonts w:ascii="Arial" w:cs="Arial" w:eastAsia="Arial" w:hAnsi="Arial"/>
                <w:sz w:val="11"/>
                <w:szCs w:val="11"/>
                <w:color w:val="auto"/>
              </w:rPr>
              <w:t>Net income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11,008</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9,737</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8,649</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8,282</w:t>
            </w:r>
          </w:p>
        </w:tc>
        <w:tc>
          <w:tcPr>
            <w:tcW w:w="22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10,399</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13 %</w:t>
            </w:r>
          </w:p>
        </w:tc>
        <w:tc>
          <w:tcPr>
            <w:tcW w:w="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6 %</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37,676</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48,334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75"/>
        </w:trPr>
        <w:tc>
          <w:tcPr>
            <w:tcW w:w="2100" w:type="dxa"/>
            <w:vAlign w:val="bottom"/>
            <w:gridSpan w:val="6"/>
          </w:tcPr>
          <w:p>
            <w:pPr>
              <w:ind w:left="120"/>
              <w:spacing w:after="0"/>
              <w:rPr>
                <w:sz w:val="20"/>
                <w:szCs w:val="20"/>
                <w:color w:val="auto"/>
              </w:rPr>
            </w:pPr>
            <w:r>
              <w:rPr>
                <w:rFonts w:ascii="Arial" w:cs="Arial" w:eastAsia="Arial" w:hAnsi="Arial"/>
                <w:sz w:val="11"/>
                <w:szCs w:val="11"/>
                <w:color w:val="auto"/>
              </w:rPr>
              <w:t>Less: Preferred stock dividends</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356</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432</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410</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397</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426</w:t>
            </w:r>
          </w:p>
        </w:tc>
        <w:tc>
          <w:tcPr>
            <w:tcW w:w="740" w:type="dxa"/>
            <w:vAlign w:val="bottom"/>
            <w:gridSpan w:val="2"/>
          </w:tcPr>
          <w:p>
            <w:pPr>
              <w:jc w:val="right"/>
              <w:ind w:right="66"/>
              <w:spacing w:after="0"/>
              <w:rPr>
                <w:sz w:val="20"/>
                <w:szCs w:val="20"/>
                <w:color w:val="auto"/>
              </w:rPr>
            </w:pPr>
            <w:r>
              <w:rPr>
                <w:rFonts w:ascii="Arial" w:cs="Arial" w:eastAsia="Arial" w:hAnsi="Arial"/>
                <w:sz w:val="11"/>
                <w:szCs w:val="11"/>
                <w:color w:val="auto"/>
              </w:rPr>
              <w:t>(18)</w:t>
            </w:r>
          </w:p>
        </w:tc>
        <w:tc>
          <w:tcPr>
            <w:tcW w:w="220" w:type="dxa"/>
            <w:vAlign w:val="bottom"/>
          </w:tcPr>
          <w:p>
            <w:pPr>
              <w:spacing w:after="0"/>
              <w:rPr>
                <w:sz w:val="15"/>
                <w:szCs w:val="15"/>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1,595</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1,600</w:t>
            </w:r>
          </w:p>
        </w:tc>
        <w:tc>
          <w:tcPr>
            <w:tcW w:w="200" w:type="dxa"/>
            <w:vAlign w:val="bottom"/>
          </w:tcPr>
          <w:p>
            <w:pPr>
              <w:spacing w:after="0"/>
              <w:rPr>
                <w:sz w:val="15"/>
                <w:szCs w:val="15"/>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2100" w:type="dxa"/>
            <w:vAlign w:val="bottom"/>
            <w:gridSpan w:val="6"/>
          </w:tcPr>
          <w:p>
            <w:pPr>
              <w:ind w:left="200"/>
              <w:spacing w:after="0" w:line="95" w:lineRule="exact"/>
              <w:rPr>
                <w:sz w:val="20"/>
                <w:szCs w:val="20"/>
                <w:color w:val="auto"/>
              </w:rPr>
            </w:pPr>
            <w:r>
              <w:rPr>
                <w:rFonts w:ascii="Arial" w:cs="Arial" w:eastAsia="Arial" w:hAnsi="Arial"/>
                <w:sz w:val="10"/>
                <w:szCs w:val="10"/>
                <w:b w:val="1"/>
                <w:bCs w:val="1"/>
                <w:color w:val="auto"/>
              </w:rPr>
              <w:t>Net income applicable to common</w:t>
            </w:r>
          </w:p>
        </w:tc>
        <w:tc>
          <w:tcPr>
            <w:tcW w:w="120" w:type="dxa"/>
            <w:vAlign w:val="bottom"/>
          </w:tcPr>
          <w:p>
            <w:pPr>
              <w:spacing w:after="0"/>
              <w:rPr>
                <w:sz w:val="8"/>
                <w:szCs w:val="8"/>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10,652</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9,305</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8,239</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7,885</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9,973</w:t>
            </w:r>
          </w:p>
        </w:tc>
        <w:tc>
          <w:tcPr>
            <w:tcW w:w="74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14</w:t>
            </w:r>
          </w:p>
        </w:tc>
        <w:tc>
          <w:tcPr>
            <w:tcW w:w="220" w:type="dxa"/>
            <w:vAlign w:val="bottom"/>
          </w:tcPr>
          <w:p>
            <w:pPr>
              <w:spacing w:after="0"/>
              <w:rPr>
                <w:sz w:val="8"/>
                <w:szCs w:val="8"/>
                <w:color w:val="auto"/>
              </w:rPr>
            </w:pP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color w:val="auto"/>
              </w:rPr>
              <w:t>7</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36,081</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46,734</w:t>
            </w:r>
          </w:p>
        </w:tc>
        <w:tc>
          <w:tcPr>
            <w:tcW w:w="9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48"/>
        </w:trPr>
        <w:tc>
          <w:tcPr>
            <w:tcW w:w="2100" w:type="dxa"/>
            <w:vAlign w:val="bottom"/>
            <w:gridSpan w:val="6"/>
          </w:tcPr>
          <w:p>
            <w:pPr>
              <w:ind w:left="200"/>
              <w:spacing w:after="0"/>
              <w:rPr>
                <w:sz w:val="20"/>
                <w:szCs w:val="20"/>
                <w:color w:val="auto"/>
              </w:rPr>
            </w:pPr>
            <w:r>
              <w:rPr>
                <w:rFonts w:ascii="Arial" w:cs="Arial" w:eastAsia="Arial" w:hAnsi="Arial"/>
                <w:sz w:val="11"/>
                <w:szCs w:val="11"/>
                <w:b w:val="1"/>
                <w:bCs w:val="1"/>
                <w:color w:val="auto"/>
              </w:rPr>
              <w:t>equity</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100" w:type="dxa"/>
            <w:vAlign w:val="bottom"/>
            <w:gridSpan w:val="6"/>
          </w:tcPr>
          <w:p>
            <w:pPr>
              <w:ind w:left="120"/>
              <w:spacing w:after="0" w:line="122" w:lineRule="exact"/>
              <w:rPr>
                <w:sz w:val="20"/>
                <w:szCs w:val="20"/>
                <w:color w:val="auto"/>
              </w:rPr>
            </w:pPr>
            <w:r>
              <w:rPr>
                <w:rFonts w:ascii="Arial" w:cs="Arial" w:eastAsia="Arial" w:hAnsi="Arial"/>
                <w:sz w:val="11"/>
                <w:szCs w:val="11"/>
                <w:color w:val="auto"/>
              </w:rPr>
              <w:t>Less: Dividends and undistributed</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100" w:type="dxa"/>
            <w:vAlign w:val="bottom"/>
            <w:gridSpan w:val="6"/>
          </w:tcPr>
          <w:p>
            <w:pPr>
              <w:ind w:left="120"/>
              <w:spacing w:after="0"/>
              <w:rPr>
                <w:sz w:val="20"/>
                <w:szCs w:val="20"/>
                <w:color w:val="auto"/>
              </w:rPr>
            </w:pPr>
            <w:r>
              <w:rPr>
                <w:rFonts w:ascii="Arial" w:cs="Arial" w:eastAsia="Arial" w:hAnsi="Arial"/>
                <w:sz w:val="11"/>
                <w:szCs w:val="11"/>
                <w:color w:val="auto"/>
              </w:rPr>
              <w:t>earnings allocated to</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00" w:type="dxa"/>
            <w:vAlign w:val="bottom"/>
            <w:gridSpan w:val="6"/>
          </w:tcPr>
          <w:p>
            <w:pPr>
              <w:ind w:left="200"/>
              <w:spacing w:after="0"/>
              <w:rPr>
                <w:sz w:val="20"/>
                <w:szCs w:val="20"/>
                <w:color w:val="auto"/>
              </w:rPr>
            </w:pPr>
            <w:r>
              <w:rPr>
                <w:rFonts w:ascii="Arial" w:cs="Arial" w:eastAsia="Arial" w:hAnsi="Arial"/>
                <w:sz w:val="11"/>
                <w:szCs w:val="11"/>
                <w:color w:val="auto"/>
              </w:rPr>
              <w:t>participating securities</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54</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50</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44</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40</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46</w:t>
            </w:r>
          </w:p>
        </w:tc>
        <w:tc>
          <w:tcPr>
            <w:tcW w:w="74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5"/>
                <w:szCs w:val="15"/>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189</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231</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95"/>
        </w:trPr>
        <w:tc>
          <w:tcPr>
            <w:tcW w:w="2100" w:type="dxa"/>
            <w:vAlign w:val="bottom"/>
            <w:gridSpan w:val="6"/>
          </w:tcPr>
          <w:p>
            <w:pPr>
              <w:ind w:left="200"/>
              <w:spacing w:after="0" w:line="95" w:lineRule="exact"/>
              <w:rPr>
                <w:sz w:val="20"/>
                <w:szCs w:val="20"/>
                <w:color w:val="auto"/>
              </w:rPr>
            </w:pPr>
            <w:r>
              <w:rPr>
                <w:rFonts w:ascii="Arial" w:cs="Arial" w:eastAsia="Arial" w:hAnsi="Arial"/>
                <w:sz w:val="10"/>
                <w:szCs w:val="10"/>
                <w:b w:val="1"/>
                <w:bCs w:val="1"/>
                <w:color w:val="auto"/>
              </w:rPr>
              <w:t>Net income applicable to common</w:t>
            </w: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10,598</w:t>
            </w:r>
          </w:p>
        </w:tc>
        <w:tc>
          <w:tcPr>
            <w:tcW w:w="2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9,255</w:t>
            </w:r>
          </w:p>
        </w:tc>
        <w:tc>
          <w:tcPr>
            <w:tcW w:w="2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8,195</w:t>
            </w:r>
          </w:p>
        </w:tc>
        <w:tc>
          <w:tcPr>
            <w:tcW w:w="2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7,845</w:t>
            </w:r>
          </w:p>
        </w:tc>
        <w:tc>
          <w:tcPr>
            <w:tcW w:w="220" w:type="dxa"/>
            <w:vAlign w:val="bottom"/>
          </w:tcPr>
          <w:p>
            <w:pPr>
              <w:spacing w:after="0"/>
              <w:rPr>
                <w:sz w:val="8"/>
                <w:szCs w:val="8"/>
                <w:color w:val="auto"/>
              </w:rPr>
            </w:pP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9,927</w:t>
            </w:r>
          </w:p>
        </w:tc>
        <w:tc>
          <w:tcPr>
            <w:tcW w:w="74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8"/>
                <w:szCs w:val="8"/>
                <w:color w:val="auto"/>
              </w:rPr>
            </w:pP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color w:val="auto"/>
              </w:rPr>
              <w:t>7</w:t>
            </w:r>
          </w:p>
        </w:tc>
        <w:tc>
          <w:tcPr>
            <w:tcW w:w="4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35,892</w:t>
            </w:r>
          </w:p>
        </w:tc>
        <w:tc>
          <w:tcPr>
            <w:tcW w:w="2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46,503</w:t>
            </w:r>
          </w:p>
        </w:tc>
        <w:tc>
          <w:tcPr>
            <w:tcW w:w="9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60"/>
        </w:trPr>
        <w:tc>
          <w:tcPr>
            <w:tcW w:w="2100" w:type="dxa"/>
            <w:vAlign w:val="bottom"/>
            <w:gridSpan w:val="6"/>
          </w:tcPr>
          <w:p>
            <w:pPr>
              <w:ind w:left="200"/>
              <w:spacing w:after="0"/>
              <w:rPr>
                <w:sz w:val="20"/>
                <w:szCs w:val="20"/>
                <w:color w:val="auto"/>
              </w:rPr>
            </w:pPr>
            <w:r>
              <w:rPr>
                <w:rFonts w:ascii="Arial" w:cs="Arial" w:eastAsia="Arial" w:hAnsi="Arial"/>
                <w:sz w:val="11"/>
                <w:szCs w:val="11"/>
                <w:b w:val="1"/>
                <w:bCs w:val="1"/>
                <w:color w:val="auto"/>
              </w:rPr>
              <w:t>stockholders</w:t>
            </w:r>
          </w:p>
        </w:tc>
        <w:tc>
          <w:tcPr>
            <w:tcW w:w="12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100" w:type="dxa"/>
            <w:vAlign w:val="bottom"/>
            <w:gridSpan w:val="6"/>
          </w:tcPr>
          <w:p>
            <w:pPr>
              <w:ind w:left="120"/>
              <w:spacing w:after="0"/>
              <w:rPr>
                <w:sz w:val="20"/>
                <w:szCs w:val="20"/>
                <w:color w:val="auto"/>
              </w:rPr>
            </w:pPr>
            <w:r>
              <w:rPr>
                <w:rFonts w:ascii="Arial" w:cs="Arial" w:eastAsia="Arial" w:hAnsi="Arial"/>
                <w:sz w:val="11"/>
                <w:szCs w:val="11"/>
                <w:color w:val="auto"/>
              </w:rPr>
              <w:t>Total weighted-average basic shares</w:t>
            </w:r>
          </w:p>
        </w:tc>
        <w:tc>
          <w:tcPr>
            <w:tcW w:w="120" w:type="dxa"/>
            <w:vAlign w:val="bottom"/>
          </w:tcPr>
          <w:p>
            <w:pPr>
              <w:spacing w:after="0"/>
              <w:rPr>
                <w:sz w:val="17"/>
                <w:szCs w:val="17"/>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2,962.9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2,961.2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2,962.2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2,977.0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2,977.3</w:t>
            </w:r>
          </w:p>
        </w:tc>
        <w:tc>
          <w:tcPr>
            <w:tcW w:w="200" w:type="dxa"/>
            <w:vAlign w:val="bottom"/>
          </w:tcPr>
          <w:p>
            <w:pPr>
              <w:spacing w:after="0"/>
              <w:rPr>
                <w:sz w:val="17"/>
                <w:szCs w:val="17"/>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auto"/>
              </w:rPr>
              <w:t>—</w:t>
            </w:r>
          </w:p>
        </w:tc>
        <w:tc>
          <w:tcPr>
            <w:tcW w:w="920" w:type="dxa"/>
            <w:vAlign w:val="bottom"/>
            <w:gridSpan w:val="2"/>
            <w:vMerge w:val="restart"/>
          </w:tcPr>
          <w:p>
            <w:pPr>
              <w:jc w:val="right"/>
              <w:ind w:right="5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2,965.8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3,021.5</w:t>
            </w:r>
          </w:p>
        </w:tc>
        <w:tc>
          <w:tcPr>
            <w:tcW w:w="9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5"/>
        </w:trPr>
        <w:tc>
          <w:tcPr>
            <w:tcW w:w="2100" w:type="dxa"/>
            <w:vAlign w:val="bottom"/>
            <w:gridSpan w:val="6"/>
          </w:tcPr>
          <w:p>
            <w:pPr>
              <w:ind w:left="120"/>
              <w:spacing w:after="0"/>
              <w:rPr>
                <w:sz w:val="20"/>
                <w:szCs w:val="20"/>
                <w:color w:val="auto"/>
              </w:rPr>
            </w:pPr>
            <w:r>
              <w:rPr>
                <w:rFonts w:ascii="Arial" w:cs="Arial" w:eastAsia="Arial" w:hAnsi="Arial"/>
                <w:sz w:val="11"/>
                <w:szCs w:val="11"/>
                <w:color w:val="auto"/>
              </w:rPr>
              <w:t>outstanding</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100" w:type="dxa"/>
            <w:vAlign w:val="bottom"/>
            <w:gridSpan w:val="6"/>
          </w:tcPr>
          <w:p>
            <w:pPr>
              <w:ind w:left="120"/>
              <w:spacing w:after="0"/>
              <w:rPr>
                <w:sz w:val="20"/>
                <w:szCs w:val="20"/>
                <w:color w:val="auto"/>
              </w:rPr>
            </w:pPr>
            <w:r>
              <w:rPr>
                <w:rFonts w:ascii="Arial" w:cs="Arial" w:eastAsia="Arial" w:hAnsi="Arial"/>
                <w:sz w:val="11"/>
                <w:szCs w:val="11"/>
                <w:b w:val="1"/>
                <w:bCs w:val="1"/>
                <w:color w:val="auto"/>
              </w:rPr>
              <w:t>Net income per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3.58</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3.13</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2.77</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2.64</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3.33</w:t>
            </w:r>
          </w:p>
        </w:tc>
        <w:tc>
          <w:tcPr>
            <w:tcW w:w="740" w:type="dxa"/>
            <w:vAlign w:val="bottom"/>
            <w:gridSpan w:val="2"/>
          </w:tcPr>
          <w:p>
            <w:pPr>
              <w:jc w:val="right"/>
              <w:ind w:right="86"/>
              <w:spacing w:after="0"/>
              <w:rPr>
                <w:sz w:val="20"/>
                <w:szCs w:val="20"/>
                <w:color w:val="auto"/>
              </w:rPr>
            </w:pPr>
            <w:r>
              <w:rPr>
                <w:rFonts w:ascii="Arial" w:cs="Arial" w:eastAsia="Arial" w:hAnsi="Arial"/>
                <w:sz w:val="11"/>
                <w:szCs w:val="11"/>
                <w:color w:val="auto"/>
              </w:rPr>
              <w:t>14</w:t>
            </w:r>
          </w:p>
        </w:tc>
        <w:tc>
          <w:tcPr>
            <w:tcW w:w="2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4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12.10</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15.39</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297"/>
        </w:trPr>
        <w:tc>
          <w:tcPr>
            <w:tcW w:w="2100" w:type="dxa"/>
            <w:vAlign w:val="bottom"/>
            <w:gridSpan w:val="6"/>
          </w:tcPr>
          <w:p>
            <w:pPr>
              <w:spacing w:after="0"/>
              <w:rPr>
                <w:sz w:val="20"/>
                <w:szCs w:val="20"/>
                <w:color w:val="auto"/>
              </w:rPr>
            </w:pPr>
            <w:r>
              <w:rPr>
                <w:rFonts w:ascii="Arial" w:cs="Arial" w:eastAsia="Arial" w:hAnsi="Arial"/>
                <w:sz w:val="11"/>
                <w:szCs w:val="11"/>
                <w:b w:val="1"/>
                <w:bCs w:val="1"/>
                <w:color w:val="auto"/>
              </w:rPr>
              <w:t>Diluted earnings per share</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100" w:type="dxa"/>
            <w:vAlign w:val="bottom"/>
            <w:gridSpan w:val="6"/>
          </w:tcPr>
          <w:p>
            <w:pPr>
              <w:ind w:left="120"/>
              <w:spacing w:after="0" w:line="122" w:lineRule="exact"/>
              <w:rPr>
                <w:sz w:val="20"/>
                <w:szCs w:val="20"/>
                <w:color w:val="auto"/>
              </w:rPr>
            </w:pPr>
            <w:r>
              <w:rPr>
                <w:rFonts w:ascii="Arial" w:cs="Arial" w:eastAsia="Arial" w:hAnsi="Arial"/>
                <w:sz w:val="11"/>
                <w:szCs w:val="11"/>
                <w:b w:val="1"/>
                <w:bCs w:val="1"/>
                <w:color w:val="auto"/>
              </w:rPr>
              <w:t>Net income applicable to common</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10,598</w:t>
            </w:r>
          </w:p>
        </w:tc>
        <w:tc>
          <w:tcPr>
            <w:tcW w:w="2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9,255</w:t>
            </w:r>
          </w:p>
        </w:tc>
        <w:tc>
          <w:tcPr>
            <w:tcW w:w="2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8,195</w:t>
            </w:r>
          </w:p>
        </w:tc>
        <w:tc>
          <w:tcPr>
            <w:tcW w:w="2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7,845</w:t>
            </w:r>
          </w:p>
        </w:tc>
        <w:tc>
          <w:tcPr>
            <w:tcW w:w="220" w:type="dxa"/>
            <w:vAlign w:val="bottom"/>
          </w:tcPr>
          <w:p>
            <w:pPr>
              <w:spacing w:after="0"/>
              <w:rPr>
                <w:sz w:val="10"/>
                <w:szCs w:val="10"/>
                <w:color w:val="auto"/>
              </w:rPr>
            </w:pP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9,927</w:t>
            </w:r>
          </w:p>
        </w:tc>
        <w:tc>
          <w:tcPr>
            <w:tcW w:w="74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0"/>
                <w:szCs w:val="10"/>
                <w:color w:val="auto"/>
              </w:rPr>
            </w:pP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color w:val="auto"/>
              </w:rPr>
              <w:t>7</w:t>
            </w:r>
          </w:p>
        </w:tc>
        <w:tc>
          <w:tcPr>
            <w:tcW w:w="4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35,892</w:t>
            </w:r>
          </w:p>
        </w:tc>
        <w:tc>
          <w:tcPr>
            <w:tcW w:w="2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46,503</w:t>
            </w:r>
          </w:p>
        </w:tc>
        <w:tc>
          <w:tcPr>
            <w:tcW w:w="9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48"/>
        </w:trPr>
        <w:tc>
          <w:tcPr>
            <w:tcW w:w="2100" w:type="dxa"/>
            <w:vAlign w:val="bottom"/>
            <w:gridSpan w:val="6"/>
          </w:tcPr>
          <w:p>
            <w:pPr>
              <w:ind w:left="120"/>
              <w:spacing w:after="0"/>
              <w:rPr>
                <w:sz w:val="20"/>
                <w:szCs w:val="20"/>
                <w:color w:val="auto"/>
              </w:rPr>
            </w:pPr>
            <w:r>
              <w:rPr>
                <w:rFonts w:ascii="Arial" w:cs="Arial" w:eastAsia="Arial" w:hAnsi="Arial"/>
                <w:sz w:val="11"/>
                <w:szCs w:val="11"/>
                <w:b w:val="1"/>
                <w:bCs w:val="1"/>
                <w:color w:val="auto"/>
              </w:rPr>
              <w:t>stockholders</w:t>
            </w: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100" w:type="dxa"/>
            <w:vAlign w:val="bottom"/>
            <w:gridSpan w:val="6"/>
          </w:tcPr>
          <w:p>
            <w:pPr>
              <w:ind w:left="120"/>
              <w:spacing w:after="0" w:line="122" w:lineRule="exact"/>
              <w:rPr>
                <w:sz w:val="20"/>
                <w:szCs w:val="20"/>
                <w:color w:val="auto"/>
              </w:rPr>
            </w:pPr>
            <w:r>
              <w:rPr>
                <w:rFonts w:ascii="Arial" w:cs="Arial" w:eastAsia="Arial" w:hAnsi="Arial"/>
                <w:sz w:val="11"/>
                <w:szCs w:val="11"/>
                <w:color w:val="auto"/>
              </w:rPr>
              <w:t>Total weighted-average basic shares</w:t>
            </w:r>
          </w:p>
        </w:tc>
        <w:tc>
          <w:tcPr>
            <w:tcW w:w="120" w:type="dxa"/>
            <w:vAlign w:val="bottom"/>
          </w:tcPr>
          <w:p>
            <w:pPr>
              <w:spacing w:after="0"/>
              <w:rPr>
                <w:sz w:val="10"/>
                <w:szCs w:val="10"/>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2,962.9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2,961.2</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2,962.2</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2,977.0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2,977.3</w:t>
            </w:r>
          </w:p>
        </w:tc>
        <w:tc>
          <w:tcPr>
            <w:tcW w:w="200" w:type="dxa"/>
            <w:vAlign w:val="bottom"/>
          </w:tcPr>
          <w:p>
            <w:pPr>
              <w:spacing w:after="0"/>
              <w:rPr>
                <w:sz w:val="10"/>
                <w:szCs w:val="10"/>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auto"/>
              </w:rPr>
              <w:t>—</w:t>
            </w:r>
          </w:p>
        </w:tc>
        <w:tc>
          <w:tcPr>
            <w:tcW w:w="920" w:type="dxa"/>
            <w:vAlign w:val="bottom"/>
            <w:gridSpan w:val="2"/>
            <w:vMerge w:val="restart"/>
          </w:tcPr>
          <w:p>
            <w:pPr>
              <w:jc w:val="right"/>
              <w:ind w:right="5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2,965.8</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3,021.5</w:t>
            </w:r>
          </w:p>
        </w:tc>
        <w:tc>
          <w:tcPr>
            <w:tcW w:w="9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2"/>
        </w:trPr>
        <w:tc>
          <w:tcPr>
            <w:tcW w:w="2100" w:type="dxa"/>
            <w:vAlign w:val="bottom"/>
            <w:gridSpan w:val="6"/>
          </w:tcPr>
          <w:p>
            <w:pPr>
              <w:ind w:left="120"/>
              <w:spacing w:after="0"/>
              <w:rPr>
                <w:sz w:val="20"/>
                <w:szCs w:val="20"/>
                <w:color w:val="auto"/>
              </w:rPr>
            </w:pPr>
            <w:r>
              <w:rPr>
                <w:rFonts w:ascii="Arial" w:cs="Arial" w:eastAsia="Arial" w:hAnsi="Arial"/>
                <w:sz w:val="11"/>
                <w:szCs w:val="11"/>
                <w:color w:val="auto"/>
              </w:rPr>
              <w:t>outstanding</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100" w:type="dxa"/>
            <w:vAlign w:val="bottom"/>
            <w:gridSpan w:val="6"/>
          </w:tcPr>
          <w:p>
            <w:pPr>
              <w:ind w:left="120"/>
              <w:spacing w:after="0"/>
              <w:rPr>
                <w:sz w:val="20"/>
                <w:szCs w:val="20"/>
                <w:color w:val="auto"/>
              </w:rPr>
            </w:pPr>
            <w:r>
              <w:rPr>
                <w:rFonts w:ascii="Arial" w:cs="Arial" w:eastAsia="Arial" w:hAnsi="Arial"/>
                <w:sz w:val="11"/>
                <w:szCs w:val="11"/>
                <w:color w:val="auto"/>
              </w:rPr>
              <w:t>Add: Dilutive impact of stock</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100" w:type="dxa"/>
            <w:vAlign w:val="bottom"/>
            <w:gridSpan w:val="6"/>
          </w:tcPr>
          <w:p>
            <w:pPr>
              <w:ind w:left="120"/>
              <w:spacing w:after="0" w:line="108" w:lineRule="exact"/>
              <w:rPr>
                <w:sz w:val="20"/>
                <w:szCs w:val="20"/>
                <w:color w:val="auto"/>
              </w:rPr>
            </w:pPr>
            <w:r>
              <w:rPr>
                <w:rFonts w:ascii="Arial" w:cs="Arial" w:eastAsia="Arial" w:hAnsi="Arial"/>
                <w:sz w:val="11"/>
                <w:szCs w:val="11"/>
                <w:color w:val="auto"/>
              </w:rPr>
              <w:t>appreciation rights (“SARs”) and</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00" w:type="dxa"/>
            <w:vAlign w:val="bottom"/>
            <w:gridSpan w:val="6"/>
          </w:tcPr>
          <w:p>
            <w:pPr>
              <w:ind w:left="240"/>
              <w:spacing w:after="0" w:line="108" w:lineRule="exact"/>
              <w:rPr>
                <w:sz w:val="20"/>
                <w:szCs w:val="20"/>
                <w:color w:val="auto"/>
              </w:rPr>
            </w:pPr>
            <w:r>
              <w:rPr>
                <w:rFonts w:ascii="Arial" w:cs="Arial" w:eastAsia="Arial" w:hAnsi="Arial"/>
                <w:sz w:val="11"/>
                <w:szCs w:val="11"/>
                <w:color w:val="auto"/>
              </w:rPr>
              <w:t>employee stock options, unvested</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00" w:type="dxa"/>
            <w:vAlign w:val="bottom"/>
            <w:gridSpan w:val="6"/>
          </w:tcPr>
          <w:p>
            <w:pPr>
              <w:ind w:left="120"/>
              <w:spacing w:after="0" w:line="108" w:lineRule="exact"/>
              <w:rPr>
                <w:sz w:val="20"/>
                <w:szCs w:val="20"/>
                <w:color w:val="auto"/>
              </w:rPr>
            </w:pPr>
            <w:r>
              <w:rPr>
                <w:rFonts w:ascii="Arial" w:cs="Arial" w:eastAsia="Arial" w:hAnsi="Arial"/>
                <w:sz w:val="11"/>
                <w:szCs w:val="11"/>
                <w:color w:val="auto"/>
              </w:rPr>
              <w:t>performance share units</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00" w:type="dxa"/>
            <w:vAlign w:val="bottom"/>
            <w:gridSpan w:val="6"/>
          </w:tcPr>
          <w:p>
            <w:pPr>
              <w:ind w:left="240"/>
              <w:spacing w:after="0" w:line="108" w:lineRule="exact"/>
              <w:rPr>
                <w:sz w:val="20"/>
                <w:szCs w:val="20"/>
                <w:color w:val="auto"/>
              </w:rPr>
            </w:pPr>
            <w:r>
              <w:rPr>
                <w:rFonts w:ascii="Arial" w:cs="Arial" w:eastAsia="Arial" w:hAnsi="Arial"/>
                <w:sz w:val="11"/>
                <w:szCs w:val="11"/>
                <w:color w:val="auto"/>
              </w:rPr>
              <w:t>(“PSUs”) and nondividend-earning</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00" w:type="dxa"/>
            <w:vAlign w:val="bottom"/>
            <w:gridSpan w:val="6"/>
          </w:tcPr>
          <w:p>
            <w:pPr>
              <w:ind w:left="120"/>
              <w:spacing w:after="0" w:line="108" w:lineRule="exact"/>
              <w:rPr>
                <w:sz w:val="20"/>
                <w:szCs w:val="20"/>
                <w:color w:val="auto"/>
              </w:rPr>
            </w:pPr>
            <w:r>
              <w:rPr>
                <w:rFonts w:ascii="Arial" w:cs="Arial" w:eastAsia="Arial" w:hAnsi="Arial"/>
                <w:sz w:val="11"/>
                <w:szCs w:val="11"/>
                <w:color w:val="auto"/>
              </w:rPr>
              <w:t>restricted stock units</w:t>
            </w:r>
          </w:p>
        </w:tc>
        <w:tc>
          <w:tcPr>
            <w:tcW w:w="120" w:type="dxa"/>
            <w:vAlign w:val="bottom"/>
          </w:tcPr>
          <w:p>
            <w:pPr>
              <w:spacing w:after="0"/>
              <w:rPr>
                <w:sz w:val="9"/>
                <w:szCs w:val="9"/>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4.2</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4.2</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4.1</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4.0</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4.5</w:t>
            </w:r>
          </w:p>
        </w:tc>
        <w:tc>
          <w:tcPr>
            <w:tcW w:w="200" w:type="dxa"/>
            <w:vAlign w:val="bottom"/>
          </w:tcPr>
          <w:p>
            <w:pPr>
              <w:spacing w:after="0"/>
              <w:rPr>
                <w:sz w:val="9"/>
                <w:szCs w:val="9"/>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jc w:val="right"/>
              <w:ind w:right="66"/>
              <w:spacing w:after="0"/>
              <w:rPr>
                <w:sz w:val="20"/>
                <w:szCs w:val="20"/>
                <w:color w:val="auto"/>
              </w:rPr>
            </w:pPr>
            <w:r>
              <w:rPr>
                <w:rFonts w:ascii="Arial" w:cs="Arial" w:eastAsia="Arial" w:hAnsi="Arial"/>
                <w:sz w:val="11"/>
                <w:szCs w:val="11"/>
                <w:color w:val="auto"/>
              </w:rPr>
              <w:t>(7)</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4.2</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5.1</w:t>
            </w:r>
          </w:p>
        </w:tc>
        <w:tc>
          <w:tcPr>
            <w:tcW w:w="9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55"/>
        </w:trPr>
        <w:tc>
          <w:tcPr>
            <w:tcW w:w="2100" w:type="dxa"/>
            <w:vAlign w:val="bottom"/>
            <w:gridSpan w:val="6"/>
          </w:tcPr>
          <w:p>
            <w:pPr>
              <w:ind w:left="240"/>
              <w:spacing w:after="0"/>
              <w:rPr>
                <w:sz w:val="20"/>
                <w:szCs w:val="20"/>
                <w:color w:val="auto"/>
              </w:rPr>
            </w:pPr>
            <w:r>
              <w:rPr>
                <w:rFonts w:ascii="Arial" w:cs="Arial" w:eastAsia="Arial" w:hAnsi="Arial"/>
                <w:sz w:val="11"/>
                <w:szCs w:val="11"/>
                <w:color w:val="auto"/>
              </w:rPr>
              <w:t>(“RSUs”)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100" w:type="dxa"/>
            <w:vAlign w:val="bottom"/>
            <w:gridSpan w:val="6"/>
          </w:tcPr>
          <w:p>
            <w:pPr>
              <w:ind w:left="200"/>
              <w:spacing w:after="0" w:line="95" w:lineRule="exact"/>
              <w:rPr>
                <w:sz w:val="20"/>
                <w:szCs w:val="20"/>
                <w:color w:val="auto"/>
              </w:rPr>
            </w:pPr>
            <w:r>
              <w:rPr>
                <w:rFonts w:ascii="Arial" w:cs="Arial" w:eastAsia="Arial" w:hAnsi="Arial"/>
                <w:sz w:val="10"/>
                <w:szCs w:val="10"/>
                <w:b w:val="1"/>
                <w:bCs w:val="1"/>
                <w:color w:val="auto"/>
              </w:rPr>
              <w:t>Total weighted-average diluted</w:t>
            </w:r>
          </w:p>
        </w:tc>
        <w:tc>
          <w:tcPr>
            <w:tcW w:w="120" w:type="dxa"/>
            <w:vAlign w:val="bottom"/>
          </w:tcPr>
          <w:p>
            <w:pPr>
              <w:spacing w:after="0"/>
              <w:rPr>
                <w:sz w:val="8"/>
                <w:szCs w:val="8"/>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2,967.1</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2,965.4</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2,966.3</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2,981.0</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2,981.8</w:t>
            </w:r>
          </w:p>
        </w:tc>
        <w:tc>
          <w:tcPr>
            <w:tcW w:w="200" w:type="dxa"/>
            <w:vAlign w:val="bottom"/>
          </w:tcPr>
          <w:p>
            <w:pPr>
              <w:spacing w:after="0"/>
              <w:rPr>
                <w:sz w:val="8"/>
                <w:szCs w:val="8"/>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auto"/>
              </w:rPr>
              <w:t>—</w:t>
            </w:r>
          </w:p>
        </w:tc>
        <w:tc>
          <w:tcPr>
            <w:tcW w:w="920" w:type="dxa"/>
            <w:vAlign w:val="bottom"/>
            <w:gridSpan w:val="2"/>
            <w:vMerge w:val="restart"/>
          </w:tcPr>
          <w:p>
            <w:pPr>
              <w:jc w:val="right"/>
              <w:ind w:right="5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2,970.0</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3,026.6</w:t>
            </w:r>
          </w:p>
        </w:tc>
        <w:tc>
          <w:tcPr>
            <w:tcW w:w="9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5"/>
        </w:trPr>
        <w:tc>
          <w:tcPr>
            <w:tcW w:w="2100" w:type="dxa"/>
            <w:vAlign w:val="bottom"/>
            <w:gridSpan w:val="6"/>
          </w:tcPr>
          <w:p>
            <w:pPr>
              <w:ind w:left="200"/>
              <w:spacing w:after="0"/>
              <w:rPr>
                <w:sz w:val="20"/>
                <w:szCs w:val="20"/>
                <w:color w:val="auto"/>
              </w:rPr>
            </w:pPr>
            <w:r>
              <w:rPr>
                <w:rFonts w:ascii="Arial" w:cs="Arial" w:eastAsia="Arial" w:hAnsi="Arial"/>
                <w:sz w:val="11"/>
                <w:szCs w:val="11"/>
                <w:b w:val="1"/>
                <w:bCs w:val="1"/>
                <w:color w:val="auto"/>
              </w:rPr>
              <w:t>shares outstanding</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100" w:type="dxa"/>
            <w:vAlign w:val="bottom"/>
            <w:gridSpan w:val="6"/>
          </w:tcPr>
          <w:p>
            <w:pPr>
              <w:ind w:left="200"/>
              <w:spacing w:after="0"/>
              <w:rPr>
                <w:sz w:val="20"/>
                <w:szCs w:val="20"/>
                <w:color w:val="auto"/>
              </w:rPr>
            </w:pPr>
            <w:r>
              <w:rPr>
                <w:rFonts w:ascii="Arial" w:cs="Arial" w:eastAsia="Arial" w:hAnsi="Arial"/>
                <w:sz w:val="11"/>
                <w:szCs w:val="11"/>
                <w:b w:val="1"/>
                <w:bCs w:val="1"/>
                <w:color w:val="auto"/>
              </w:rPr>
              <w:t>Net income per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3.57</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3.12</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2.76</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2.63</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3.33</w:t>
            </w:r>
          </w:p>
        </w:tc>
        <w:tc>
          <w:tcPr>
            <w:tcW w:w="740" w:type="dxa"/>
            <w:vAlign w:val="bottom"/>
            <w:gridSpan w:val="2"/>
          </w:tcPr>
          <w:p>
            <w:pPr>
              <w:jc w:val="right"/>
              <w:ind w:right="86"/>
              <w:spacing w:after="0"/>
              <w:rPr>
                <w:sz w:val="20"/>
                <w:szCs w:val="20"/>
                <w:color w:val="auto"/>
              </w:rPr>
            </w:pPr>
            <w:r>
              <w:rPr>
                <w:rFonts w:ascii="Arial" w:cs="Arial" w:eastAsia="Arial" w:hAnsi="Arial"/>
                <w:sz w:val="11"/>
                <w:szCs w:val="11"/>
                <w:color w:val="auto"/>
              </w:rPr>
              <w:t>14</w:t>
            </w:r>
          </w:p>
        </w:tc>
        <w:tc>
          <w:tcPr>
            <w:tcW w:w="2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4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12.09</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15.36</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270"/>
        </w:trPr>
        <w:tc>
          <w:tcPr>
            <w:tcW w:w="2100" w:type="dxa"/>
            <w:vAlign w:val="bottom"/>
            <w:gridSpan w:val="6"/>
          </w:tcPr>
          <w:p>
            <w:pPr>
              <w:spacing w:after="0"/>
              <w:rPr>
                <w:sz w:val="20"/>
                <w:szCs w:val="20"/>
                <w:color w:val="auto"/>
              </w:rPr>
            </w:pPr>
            <w:r>
              <w:rPr>
                <w:rFonts w:ascii="Arial" w:cs="Arial" w:eastAsia="Arial" w:hAnsi="Arial"/>
                <w:sz w:val="11"/>
                <w:szCs w:val="11"/>
                <w:b w:val="1"/>
                <w:bCs w:val="1"/>
                <w:color w:val="auto"/>
              </w:rPr>
              <w:t>COMMON DIVIDENDS</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100" w:type="dxa"/>
            <w:vAlign w:val="bottom"/>
            <w:gridSpan w:val="6"/>
          </w:tcPr>
          <w:p>
            <w:pPr>
              <w:spacing w:after="0"/>
              <w:rPr>
                <w:sz w:val="20"/>
                <w:szCs w:val="20"/>
                <w:color w:val="auto"/>
              </w:rPr>
            </w:pPr>
            <w:r>
              <w:rPr>
                <w:rFonts w:ascii="Arial" w:cs="Arial" w:eastAsia="Arial" w:hAnsi="Arial"/>
                <w:sz w:val="11"/>
                <w:szCs w:val="11"/>
                <w:color w:val="auto"/>
              </w:rPr>
              <w:t>Cash dividends declared per share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1.00</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1.00</w:t>
            </w:r>
          </w:p>
        </w:tc>
        <w:tc>
          <w:tcPr>
            <w:tcW w:w="22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56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4.00</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3.80</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2"/>
        </w:trPr>
        <w:tc>
          <w:tcPr>
            <w:tcW w:w="2100" w:type="dxa"/>
            <w:vAlign w:val="bottom"/>
            <w:gridSpan w:val="6"/>
          </w:tcPr>
          <w:p>
            <w:pPr>
              <w:spacing w:after="0"/>
              <w:rPr>
                <w:sz w:val="20"/>
                <w:szCs w:val="20"/>
                <w:color w:val="auto"/>
              </w:rPr>
            </w:pPr>
            <w:r>
              <w:rPr>
                <w:rFonts w:ascii="Arial" w:cs="Arial" w:eastAsia="Arial" w:hAnsi="Arial"/>
                <w:sz w:val="11"/>
                <w:szCs w:val="11"/>
                <w:color w:val="auto"/>
              </w:rPr>
              <w:t>Dividend payout ratio</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28 %</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32 %</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36 %</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38 %</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30 %</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33 %</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25 %</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2100" w:type="dxa"/>
            <w:vAlign w:val="bottom"/>
            <w:gridSpan w:val="6"/>
          </w:tcPr>
          <w:p>
            <w:pPr>
              <w:spacing w:after="0"/>
              <w:rPr>
                <w:sz w:val="20"/>
                <w:szCs w:val="20"/>
                <w:color w:val="auto"/>
              </w:rPr>
            </w:pPr>
            <w:r>
              <w:rPr>
                <w:rFonts w:ascii="Arial" w:cs="Arial" w:eastAsia="Arial" w:hAnsi="Arial"/>
                <w:sz w:val="11"/>
                <w:szCs w:val="11"/>
                <w:b w:val="1"/>
                <w:bCs w:val="1"/>
                <w:color w:val="auto"/>
              </w:rPr>
              <w:t>COMMON SHARE REPURCHASE</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74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rPr>
              <w:t>PROGRAM (a)</w:t>
            </w:r>
          </w:p>
        </w:tc>
        <w:tc>
          <w:tcPr>
            <w:tcW w:w="960" w:type="dxa"/>
            <w:vAlign w:val="bottom"/>
            <w:tcBorders>
              <w:top w:val="single" w:sz="8" w:color="auto"/>
            </w:tcBorders>
            <w:gridSpan w:val="4"/>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100" w:type="dxa"/>
            <w:vAlign w:val="bottom"/>
            <w:gridSpan w:val="6"/>
          </w:tcPr>
          <w:p>
            <w:pPr>
              <w:spacing w:after="0"/>
              <w:rPr>
                <w:sz w:val="20"/>
                <w:szCs w:val="20"/>
                <w:color w:val="auto"/>
              </w:rPr>
            </w:pPr>
            <w:r>
              <w:rPr>
                <w:rFonts w:ascii="Arial" w:cs="Arial" w:eastAsia="Arial" w:hAnsi="Arial"/>
                <w:sz w:val="11"/>
                <w:szCs w:val="11"/>
                <w:color w:val="auto"/>
                <w:w w:val="98"/>
              </w:rPr>
              <w:t>Total shares of common stock repurchased</w:t>
            </w:r>
          </w:p>
        </w:tc>
        <w:tc>
          <w:tcPr>
            <w:tcW w:w="12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18.1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12.1</w:t>
            </w:r>
          </w:p>
        </w:tc>
        <w:tc>
          <w:tcPr>
            <w:tcW w:w="20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34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119.7</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(81)</w:t>
            </w:r>
          </w:p>
        </w:tc>
        <w:tc>
          <w:tcPr>
            <w:tcW w:w="0" w:type="dxa"/>
            <w:vAlign w:val="bottom"/>
          </w:tcPr>
          <w:p>
            <w:pPr>
              <w:spacing w:after="0"/>
              <w:rPr>
                <w:sz w:val="1"/>
                <w:szCs w:val="1"/>
                <w:color w:val="auto"/>
              </w:rPr>
            </w:pPr>
          </w:p>
        </w:tc>
      </w:tr>
      <w:tr>
        <w:trPr>
          <w:trHeight w:val="128"/>
        </w:trPr>
        <w:tc>
          <w:tcPr>
            <w:tcW w:w="2100" w:type="dxa"/>
            <w:vAlign w:val="bottom"/>
            <w:gridSpan w:val="6"/>
          </w:tcPr>
          <w:p>
            <w:pPr>
              <w:spacing w:after="0"/>
              <w:rPr>
                <w:sz w:val="20"/>
                <w:szCs w:val="20"/>
                <w:color w:val="auto"/>
              </w:rPr>
            </w:pPr>
            <w:r>
              <w:rPr>
                <w:rFonts w:ascii="Arial" w:cs="Arial" w:eastAsia="Arial" w:hAnsi="Arial"/>
                <w:sz w:val="11"/>
                <w:szCs w:val="11"/>
                <w:color w:val="auto"/>
              </w:rPr>
              <w:t>Average price paid per share of common</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124.88</w:t>
            </w:r>
          </w:p>
        </w:tc>
        <w:tc>
          <w:tcPr>
            <w:tcW w:w="2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138.04</w:t>
            </w:r>
          </w:p>
        </w:tc>
        <w:tc>
          <w:tcPr>
            <w:tcW w:w="220" w:type="dxa"/>
            <w:vAlign w:val="bottom"/>
          </w:tcPr>
          <w:p>
            <w:pPr>
              <w:spacing w:after="0"/>
              <w:rPr>
                <w:sz w:val="11"/>
                <w:szCs w:val="11"/>
                <w:color w:val="auto"/>
              </w:rPr>
            </w:pP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165.47</w:t>
            </w:r>
          </w:p>
        </w:tc>
        <w:tc>
          <w:tcPr>
            <w:tcW w:w="200" w:type="dxa"/>
            <w:vAlign w:val="bottom"/>
          </w:tcPr>
          <w:p>
            <w:pPr>
              <w:spacing w:after="0"/>
              <w:rPr>
                <w:sz w:val="11"/>
                <w:szCs w:val="11"/>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auto"/>
              </w:rPr>
              <w:t>—</w:t>
            </w:r>
          </w:p>
        </w:tc>
        <w:tc>
          <w:tcPr>
            <w:tcW w:w="920" w:type="dxa"/>
            <w:vAlign w:val="bottom"/>
            <w:gridSpan w:val="2"/>
            <w:vMerge w:val="restart"/>
          </w:tcPr>
          <w:p>
            <w:pPr>
              <w:ind w:left="340"/>
              <w:spacing w:after="0"/>
              <w:rPr>
                <w:sz w:val="20"/>
                <w:szCs w:val="20"/>
                <w:color w:val="auto"/>
              </w:rPr>
            </w:pPr>
            <w:r>
              <w:rPr>
                <w:rFonts w:ascii="Arial" w:cs="Arial" w:eastAsia="Arial" w:hAnsi="Arial"/>
                <w:sz w:val="11"/>
                <w:szCs w:val="11"/>
                <w:color w:val="auto"/>
              </w:rPr>
              <w:t>NM</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135.20</w:t>
            </w:r>
          </w:p>
        </w:tc>
        <w:tc>
          <w:tcPr>
            <w:tcW w:w="2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154.08</w:t>
            </w:r>
          </w:p>
        </w:tc>
        <w:tc>
          <w:tcPr>
            <w:tcW w:w="9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42"/>
        </w:trPr>
        <w:tc>
          <w:tcPr>
            <w:tcW w:w="2100" w:type="dxa"/>
            <w:vAlign w:val="bottom"/>
            <w:gridSpan w:val="6"/>
          </w:tcPr>
          <w:p>
            <w:pPr>
              <w:spacing w:after="0"/>
              <w:rPr>
                <w:sz w:val="20"/>
                <w:szCs w:val="20"/>
                <w:color w:val="auto"/>
              </w:rPr>
            </w:pPr>
            <w:r>
              <w:rPr>
                <w:rFonts w:ascii="Arial" w:cs="Arial" w:eastAsia="Arial" w:hAnsi="Arial"/>
                <w:sz w:val="11"/>
                <w:szCs w:val="11"/>
                <w:color w:val="auto"/>
              </w:rPr>
              <w:t>stock</w:t>
            </w:r>
          </w:p>
        </w:tc>
        <w:tc>
          <w:tcPr>
            <w:tcW w:w="12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00" w:type="dxa"/>
            <w:vAlign w:val="bottom"/>
            <w:gridSpan w:val="6"/>
          </w:tcPr>
          <w:p>
            <w:pPr>
              <w:spacing w:after="0"/>
              <w:rPr>
                <w:sz w:val="20"/>
                <w:szCs w:val="20"/>
                <w:color w:val="auto"/>
              </w:rPr>
            </w:pPr>
            <w:r>
              <w:rPr>
                <w:rFonts w:ascii="Arial" w:cs="Arial" w:eastAsia="Arial" w:hAnsi="Arial"/>
                <w:sz w:val="11"/>
                <w:szCs w:val="11"/>
                <w:color w:val="auto"/>
              </w:rPr>
              <w:t>Aggregate repurchases of common stock</w:t>
            </w:r>
          </w:p>
        </w:tc>
        <w:tc>
          <w:tcPr>
            <w:tcW w:w="12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622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2,500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2,008</w:t>
            </w:r>
          </w:p>
        </w:tc>
        <w:tc>
          <w:tcPr>
            <w:tcW w:w="20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34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3,122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18,448</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(83)</w:t>
            </w:r>
          </w:p>
        </w:tc>
        <w:tc>
          <w:tcPr>
            <w:tcW w:w="0" w:type="dxa"/>
            <w:vAlign w:val="bottom"/>
          </w:tcPr>
          <w:p>
            <w:pPr>
              <w:spacing w:after="0"/>
              <w:rPr>
                <w:sz w:val="1"/>
                <w:szCs w:val="1"/>
                <w:color w:val="auto"/>
              </w:rPr>
            </w:pPr>
          </w:p>
        </w:tc>
      </w:tr>
      <w:tr>
        <w:trPr>
          <w:trHeight w:val="303"/>
        </w:trPr>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7"/>
              </w:rPr>
              <w:t>EMPLOYEE ISSUANCE</w:t>
            </w:r>
          </w:p>
        </w:tc>
        <w:tc>
          <w:tcPr>
            <w:tcW w:w="90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100" w:type="dxa"/>
            <w:vAlign w:val="bottom"/>
            <w:gridSpan w:val="6"/>
          </w:tcPr>
          <w:p>
            <w:pPr>
              <w:spacing w:after="0"/>
              <w:rPr>
                <w:sz w:val="20"/>
                <w:szCs w:val="20"/>
                <w:color w:val="auto"/>
              </w:rPr>
            </w:pPr>
            <w:r>
              <w:rPr>
                <w:rFonts w:ascii="Arial" w:cs="Arial" w:eastAsia="Arial" w:hAnsi="Arial"/>
                <w:sz w:val="11"/>
                <w:szCs w:val="11"/>
                <w:color w:val="auto"/>
              </w:rPr>
              <w:t>Shares issued from treasury stock related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00" w:type="dxa"/>
            <w:vAlign w:val="bottom"/>
            <w:gridSpan w:val="6"/>
          </w:tcPr>
          <w:p>
            <w:pPr>
              <w:spacing w:after="0"/>
              <w:rPr>
                <w:sz w:val="20"/>
                <w:szCs w:val="20"/>
                <w:color w:val="auto"/>
              </w:rPr>
            </w:pPr>
            <w:r>
              <w:rPr>
                <w:rFonts w:ascii="Arial" w:cs="Arial" w:eastAsia="Arial" w:hAnsi="Arial"/>
                <w:sz w:val="11"/>
                <w:szCs w:val="11"/>
                <w:color w:val="auto"/>
              </w:rPr>
              <w:t>to employee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100" w:type="dxa"/>
            <w:vAlign w:val="bottom"/>
            <w:gridSpan w:val="6"/>
          </w:tcPr>
          <w:p>
            <w:pPr>
              <w:ind w:left="120"/>
              <w:spacing w:after="0"/>
              <w:rPr>
                <w:sz w:val="20"/>
                <w:szCs w:val="20"/>
                <w:color w:val="auto"/>
              </w:rPr>
            </w:pPr>
            <w:r>
              <w:rPr>
                <w:rFonts w:ascii="Arial" w:cs="Arial" w:eastAsia="Arial" w:hAnsi="Arial"/>
                <w:sz w:val="11"/>
                <w:szCs w:val="11"/>
                <w:color w:val="auto"/>
              </w:rPr>
              <w:t>stock-based compensation awards and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00" w:type="dxa"/>
            <w:vAlign w:val="bottom"/>
            <w:gridSpan w:val="6"/>
          </w:tcPr>
          <w:p>
            <w:pPr>
              <w:ind w:left="120"/>
              <w:spacing w:after="0"/>
              <w:rPr>
                <w:sz w:val="20"/>
                <w:szCs w:val="20"/>
                <w:color w:val="auto"/>
              </w:rPr>
            </w:pPr>
            <w:r>
              <w:rPr>
                <w:rFonts w:ascii="Arial" w:cs="Arial" w:eastAsia="Arial" w:hAnsi="Arial"/>
                <w:sz w:val="11"/>
                <w:szCs w:val="11"/>
                <w:color w:val="auto"/>
              </w:rPr>
              <w:t>employee stock</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00" w:type="dxa"/>
            <w:vAlign w:val="bottom"/>
            <w:gridSpan w:val="6"/>
          </w:tcPr>
          <w:p>
            <w:pPr>
              <w:ind w:left="120"/>
              <w:spacing w:after="0"/>
              <w:rPr>
                <w:sz w:val="20"/>
                <w:szCs w:val="20"/>
                <w:color w:val="auto"/>
              </w:rPr>
            </w:pPr>
            <w:r>
              <w:rPr>
                <w:rFonts w:ascii="Arial" w:cs="Arial" w:eastAsia="Arial" w:hAnsi="Arial"/>
                <w:sz w:val="11"/>
                <w:szCs w:val="11"/>
                <w:color w:val="auto"/>
              </w:rPr>
              <w:t>purchase plans</w:t>
            </w: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0.6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0.5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11.0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1.1</w:t>
            </w:r>
          </w:p>
        </w:tc>
        <w:tc>
          <w:tcPr>
            <w:tcW w:w="740" w:type="dxa"/>
            <w:vAlign w:val="bottom"/>
            <w:gridSpan w:val="2"/>
          </w:tcPr>
          <w:p>
            <w:pPr>
              <w:jc w:val="right"/>
              <w:ind w:right="86"/>
              <w:spacing w:after="0"/>
              <w:rPr>
                <w:sz w:val="20"/>
                <w:szCs w:val="20"/>
                <w:color w:val="auto"/>
              </w:rPr>
            </w:pPr>
            <w:r>
              <w:rPr>
                <w:rFonts w:ascii="Arial" w:cs="Arial" w:eastAsia="Arial" w:hAnsi="Arial"/>
                <w:sz w:val="11"/>
                <w:szCs w:val="11"/>
                <w:color w:val="auto"/>
              </w:rPr>
              <w:t>100</w:t>
            </w:r>
          </w:p>
        </w:tc>
        <w:tc>
          <w:tcPr>
            <w:tcW w:w="2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13.3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14.5</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28"/>
        </w:trPr>
        <w:tc>
          <w:tcPr>
            <w:tcW w:w="2100" w:type="dxa"/>
            <w:vAlign w:val="bottom"/>
            <w:gridSpan w:val="6"/>
          </w:tcPr>
          <w:p>
            <w:pPr>
              <w:spacing w:after="0"/>
              <w:rPr>
                <w:sz w:val="20"/>
                <w:szCs w:val="20"/>
                <w:color w:val="auto"/>
              </w:rPr>
            </w:pPr>
            <w:r>
              <w:rPr>
                <w:rFonts w:ascii="Arial" w:cs="Arial" w:eastAsia="Arial" w:hAnsi="Arial"/>
                <w:sz w:val="11"/>
                <w:szCs w:val="11"/>
                <w:color w:val="auto"/>
              </w:rPr>
              <w:t>Net impact of employee issuances on</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273</w:t>
            </w:r>
          </w:p>
        </w:tc>
        <w:tc>
          <w:tcPr>
            <w:tcW w:w="2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304</w:t>
            </w:r>
          </w:p>
        </w:tc>
        <w:tc>
          <w:tcPr>
            <w:tcW w:w="2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398</w:t>
            </w:r>
          </w:p>
        </w:tc>
        <w:tc>
          <w:tcPr>
            <w:tcW w:w="2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843</w:t>
            </w:r>
          </w:p>
        </w:tc>
        <w:tc>
          <w:tcPr>
            <w:tcW w:w="220" w:type="dxa"/>
            <w:vAlign w:val="bottom"/>
          </w:tcPr>
          <w:p>
            <w:pPr>
              <w:spacing w:after="0"/>
              <w:rPr>
                <w:sz w:val="11"/>
                <w:szCs w:val="11"/>
                <w:color w:val="auto"/>
              </w:rPr>
            </w:pP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147</w:t>
            </w:r>
          </w:p>
        </w:tc>
        <w:tc>
          <w:tcPr>
            <w:tcW w:w="74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(10)</w:t>
            </w:r>
          </w:p>
        </w:tc>
        <w:tc>
          <w:tcPr>
            <w:tcW w:w="220" w:type="dxa"/>
            <w:vAlign w:val="bottom"/>
          </w:tcPr>
          <w:p>
            <w:pPr>
              <w:spacing w:after="0"/>
              <w:rPr>
                <w:sz w:val="11"/>
                <w:szCs w:val="11"/>
                <w:color w:val="auto"/>
              </w:rPr>
            </w:pP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color w:val="auto"/>
              </w:rPr>
              <w:t>86</w:t>
            </w:r>
          </w:p>
        </w:tc>
        <w:tc>
          <w:tcPr>
            <w:tcW w:w="4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1,818</w:t>
            </w:r>
          </w:p>
        </w:tc>
        <w:tc>
          <w:tcPr>
            <w:tcW w:w="2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1,361</w:t>
            </w:r>
          </w:p>
        </w:tc>
        <w:tc>
          <w:tcPr>
            <w:tcW w:w="9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42"/>
        </w:trPr>
        <w:tc>
          <w:tcPr>
            <w:tcW w:w="2100" w:type="dxa"/>
            <w:vAlign w:val="bottom"/>
            <w:gridSpan w:val="6"/>
          </w:tcPr>
          <w:p>
            <w:pPr>
              <w:spacing w:after="0"/>
              <w:rPr>
                <w:sz w:val="20"/>
                <w:szCs w:val="20"/>
                <w:color w:val="auto"/>
              </w:rPr>
            </w:pPr>
            <w:r>
              <w:rPr>
                <w:rFonts w:ascii="Arial" w:cs="Arial" w:eastAsia="Arial" w:hAnsi="Arial"/>
                <w:sz w:val="11"/>
                <w:szCs w:val="11"/>
                <w:color w:val="auto"/>
              </w:rPr>
              <w:t>stockholders’ equity (b)</w:t>
            </w: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3373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80" w:right="120" w:hanging="172"/>
        <w:spacing w:after="0" w:line="249" w:lineRule="auto"/>
        <w:tabs>
          <w:tab w:leader="none" w:pos="177"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 Firm is authorized to purchase up to $30 billion of common shares under its current repurchase program. In the second half of 2022, as a result of the expected increases in regulatory capital requirements, the Firm temporarily suspended share repurchases.</w:t>
      </w:r>
    </w:p>
    <w:p>
      <w:pPr>
        <w:ind w:left="180" w:right="380" w:hanging="172"/>
        <w:spacing w:after="0" w:line="246" w:lineRule="auto"/>
        <w:tabs>
          <w:tab w:leader="none" w:pos="177"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 net impact of employee issuances on stockholders’ equity is driven by the cost of equity compensation awards that is recognized over the applicable vesting periods. The cost is partially offset by tax impacts related to the distribution of shares and the exercise of employee stock options and SARs.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11</w:t>
      </w:r>
    </w:p>
    <w:p>
      <w:pPr>
        <w:sectPr>
          <w:pgSz w:w="11900" w:h="16838" w:orient="portrait"/>
          <w:cols w:equalWidth="0" w:num="1">
            <w:col w:w="11240"/>
          </w:cols>
          <w:pgMar w:left="320" w:top="572"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CONSUMER &amp;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-61595</wp:posOffset>
            </wp:positionV>
            <wp:extent cx="237426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BANKING</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5"/>
          </w:tcPr>
          <w:p>
            <w:pPr>
              <w:ind w:left="360"/>
              <w:spacing w:after="0"/>
              <w:rPr>
                <w:sz w:val="20"/>
                <w:szCs w:val="20"/>
                <w:color w:val="auto"/>
              </w:rPr>
            </w:pPr>
            <w:r>
              <w:rPr>
                <w:rFonts w:ascii="Arial" w:cs="Arial" w:eastAsia="Arial" w:hAnsi="Arial"/>
                <w:sz w:val="11"/>
                <w:szCs w:val="11"/>
                <w:b w:val="1"/>
                <w:bCs w:val="1"/>
                <w:color w:val="auto"/>
                <w:w w:val="97"/>
              </w:rPr>
              <w:t>QUARTERLY TRENDS</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right"/>
              <w:ind w:right="726"/>
              <w:spacing w:after="0"/>
              <w:rPr>
                <w:sz w:val="20"/>
                <w:szCs w:val="20"/>
                <w:color w:val="auto"/>
              </w:rPr>
            </w:pPr>
            <w:r>
              <w:rPr>
                <w:rFonts w:ascii="Arial" w:cs="Arial" w:eastAsia="Arial" w:hAnsi="Arial"/>
                <w:sz w:val="11"/>
                <w:szCs w:val="11"/>
                <w:b w:val="1"/>
                <w:bCs w:val="1"/>
                <w:color w:val="auto"/>
              </w:rPr>
              <w:t>FULL YEAR</w:t>
            </w: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3"/>
            <w:vMerge w:val="restart"/>
          </w:tcPr>
          <w:p>
            <w:pPr>
              <w:jc w:val="right"/>
              <w:ind w:right="186"/>
              <w:spacing w:after="0"/>
              <w:rPr>
                <w:sz w:val="20"/>
                <w:szCs w:val="20"/>
                <w:color w:val="auto"/>
              </w:rPr>
            </w:pPr>
            <w:r>
              <w:rPr>
                <w:rFonts w:ascii="Arial" w:cs="Arial" w:eastAsia="Arial" w:hAnsi="Arial"/>
                <w:sz w:val="11"/>
                <w:szCs w:val="11"/>
                <w:b w:val="1"/>
                <w:bCs w:val="1"/>
                <w:color w:val="auto"/>
              </w:rPr>
              <w:t>4Q22 Change</w:t>
            </w:r>
          </w:p>
        </w:tc>
        <w:tc>
          <w:tcPr>
            <w:tcW w:w="38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gridSpan w:val="2"/>
          </w:tcPr>
          <w:p>
            <w:pPr>
              <w:jc w:val="right"/>
              <w:ind w:right="166"/>
              <w:spacing w:after="0" w:line="109" w:lineRule="exact"/>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Borders>
              <w:bottom w:val="single" w:sz="8" w:color="auto"/>
            </w:tcBorders>
            <w:gridSpan w:val="3"/>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4Q22</w:t>
            </w:r>
          </w:p>
        </w:tc>
        <w:tc>
          <w:tcPr>
            <w:tcW w:w="1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3Q22</w:t>
            </w:r>
          </w:p>
        </w:tc>
        <w:tc>
          <w:tcPr>
            <w:tcW w:w="10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2Q22</w:t>
            </w:r>
          </w:p>
        </w:tc>
        <w:tc>
          <w:tcPr>
            <w:tcW w:w="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1Q22</w:t>
            </w:r>
          </w:p>
        </w:tc>
        <w:tc>
          <w:tcPr>
            <w:tcW w:w="100" w:type="dxa"/>
            <w:vAlign w:val="bottom"/>
          </w:tcPr>
          <w:p>
            <w:pPr>
              <w:spacing w:after="0"/>
              <w:rPr>
                <w:sz w:val="13"/>
                <w:szCs w:val="13"/>
                <w:color w:val="auto"/>
              </w:rPr>
            </w:pPr>
          </w:p>
        </w:tc>
        <w:tc>
          <w:tcPr>
            <w:tcW w:w="520" w:type="dxa"/>
            <w:vAlign w:val="bottom"/>
          </w:tcPr>
          <w:p>
            <w:pPr>
              <w:jc w:val="right"/>
              <w:ind w:right="126"/>
              <w:spacing w:after="0"/>
              <w:rPr>
                <w:sz w:val="20"/>
                <w:szCs w:val="20"/>
                <w:color w:val="auto"/>
              </w:rPr>
            </w:pPr>
            <w:r>
              <w:rPr>
                <w:rFonts w:ascii="Arial" w:cs="Arial" w:eastAsia="Arial" w:hAnsi="Arial"/>
                <w:sz w:val="11"/>
                <w:szCs w:val="11"/>
                <w:b w:val="1"/>
                <w:bCs w:val="1"/>
                <w:color w:val="auto"/>
              </w:rPr>
              <w:t>4Q21</w:t>
            </w:r>
          </w:p>
        </w:tc>
        <w:tc>
          <w:tcPr>
            <w:tcW w:w="220" w:type="dxa"/>
            <w:vAlign w:val="bottom"/>
          </w:tcPr>
          <w:p>
            <w:pPr>
              <w:spacing w:after="0"/>
              <w:rPr>
                <w:sz w:val="13"/>
                <w:szCs w:val="13"/>
                <w:color w:val="auto"/>
              </w:rPr>
            </w:pP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3Q22</w:t>
            </w: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4Q21</w:t>
            </w:r>
          </w:p>
        </w:tc>
        <w:tc>
          <w:tcPr>
            <w:tcW w:w="120" w:type="dxa"/>
            <w:vAlign w:val="bottom"/>
          </w:tcPr>
          <w:p>
            <w:pPr>
              <w:spacing w:after="0"/>
              <w:rPr>
                <w:sz w:val="13"/>
                <w:szCs w:val="13"/>
                <w:color w:val="auto"/>
              </w:rPr>
            </w:pPr>
          </w:p>
        </w:tc>
        <w:tc>
          <w:tcPr>
            <w:tcW w:w="420" w:type="dxa"/>
            <w:vAlign w:val="bottom"/>
          </w:tcPr>
          <w:p>
            <w:pPr>
              <w:jc w:val="right"/>
              <w:ind w:right="86"/>
              <w:spacing w:after="0"/>
              <w:rPr>
                <w:sz w:val="20"/>
                <w:szCs w:val="20"/>
                <w:color w:val="auto"/>
              </w:rPr>
            </w:pPr>
            <w:r>
              <w:rPr>
                <w:rFonts w:ascii="Arial" w:cs="Arial" w:eastAsia="Arial" w:hAnsi="Arial"/>
                <w:sz w:val="11"/>
                <w:szCs w:val="11"/>
                <w:b w:val="1"/>
                <w:bCs w:val="1"/>
                <w:color w:val="auto"/>
              </w:rPr>
              <w:t>2022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86"/>
              <w:spacing w:after="0"/>
              <w:rPr>
                <w:sz w:val="20"/>
                <w:szCs w:val="20"/>
                <w:color w:val="auto"/>
              </w:rPr>
            </w:pPr>
            <w:r>
              <w:rPr>
                <w:rFonts w:ascii="Arial" w:cs="Arial" w:eastAsia="Arial" w:hAnsi="Arial"/>
                <w:sz w:val="11"/>
                <w:szCs w:val="11"/>
                <w:b w:val="1"/>
                <w:bCs w:val="1"/>
                <w:color w:val="auto"/>
              </w:rPr>
              <w:t>2021</w:t>
            </w:r>
          </w:p>
        </w:tc>
        <w:tc>
          <w:tcPr>
            <w:tcW w:w="900" w:type="dxa"/>
            <w:vAlign w:val="bottom"/>
            <w:gridSpan w:val="2"/>
          </w:tcPr>
          <w:p>
            <w:pPr>
              <w:jc w:val="right"/>
              <w:ind w:right="166"/>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08"/>
        </w:trPr>
        <w:tc>
          <w:tcPr>
            <w:tcW w:w="1120" w:type="dxa"/>
            <w:vAlign w:val="bottom"/>
            <w:tcBorders>
              <w:bottom w:val="single" w:sz="8" w:color="auto"/>
            </w:tcBorders>
            <w:gridSpan w:val="3"/>
          </w:tcPr>
          <w:p>
            <w:pPr>
              <w:spacing w:after="0" w:line="108" w:lineRule="exact"/>
              <w:rPr>
                <w:sz w:val="20"/>
                <w:szCs w:val="20"/>
                <w:color w:val="auto"/>
              </w:rPr>
            </w:pPr>
            <w:r>
              <w:rPr>
                <w:rFonts w:ascii="Arial" w:cs="Arial" w:eastAsia="Arial" w:hAnsi="Arial"/>
                <w:sz w:val="11"/>
                <w:szCs w:val="11"/>
                <w:b w:val="1"/>
                <w:bCs w:val="1"/>
                <w:color w:val="auto"/>
                <w:w w:val="96"/>
              </w:rPr>
              <w:t>INCOME STATEMENT</w:t>
            </w:r>
          </w:p>
        </w:tc>
        <w:tc>
          <w:tcPr>
            <w:tcW w:w="820" w:type="dxa"/>
            <w:vAlign w:val="bottom"/>
            <w:gridSpan w:val="2"/>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940" w:type="dxa"/>
            <w:vAlign w:val="bottom"/>
            <w:gridSpan w:val="5"/>
          </w:tcPr>
          <w:p>
            <w:pPr>
              <w:spacing w:after="0"/>
              <w:rPr>
                <w:sz w:val="20"/>
                <w:szCs w:val="20"/>
                <w:color w:val="auto"/>
              </w:rPr>
            </w:pPr>
            <w:r>
              <w:rPr>
                <w:rFonts w:ascii="Arial" w:cs="Arial" w:eastAsia="Arial" w:hAnsi="Arial"/>
                <w:sz w:val="11"/>
                <w:szCs w:val="11"/>
                <w:b w:val="1"/>
                <w:bCs w:val="1"/>
                <w:color w:val="auto"/>
              </w:rPr>
              <w:t>REVENUE</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40" w:type="dxa"/>
            <w:vAlign w:val="bottom"/>
            <w:gridSpan w:val="5"/>
          </w:tcPr>
          <w:p>
            <w:pPr>
              <w:spacing w:after="0"/>
              <w:rPr>
                <w:sz w:val="20"/>
                <w:szCs w:val="20"/>
                <w:color w:val="auto"/>
              </w:rPr>
            </w:pPr>
            <w:r>
              <w:rPr>
                <w:rFonts w:ascii="Arial" w:cs="Arial" w:eastAsia="Arial" w:hAnsi="Arial"/>
                <w:sz w:val="11"/>
                <w:szCs w:val="11"/>
                <w:color w:val="auto"/>
              </w:rPr>
              <w:t>Lending- and deposit-related fees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834</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822</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855</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805</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753</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1 %</w:t>
            </w: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11 %</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3,316</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3,034</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9 %</w:t>
            </w:r>
          </w:p>
        </w:tc>
        <w:tc>
          <w:tcPr>
            <w:tcW w:w="0" w:type="dxa"/>
            <w:vAlign w:val="bottom"/>
          </w:tcPr>
          <w:p>
            <w:pPr>
              <w:spacing w:after="0"/>
              <w:rPr>
                <w:sz w:val="1"/>
                <w:szCs w:val="1"/>
                <w:color w:val="auto"/>
              </w:rPr>
            </w:pPr>
          </w:p>
        </w:tc>
      </w:tr>
      <w:tr>
        <w:trPr>
          <w:trHeight w:val="128"/>
        </w:trPr>
        <w:tc>
          <w:tcPr>
            <w:tcW w:w="1940" w:type="dxa"/>
            <w:vAlign w:val="bottom"/>
            <w:gridSpan w:val="5"/>
          </w:tcPr>
          <w:p>
            <w:pPr>
              <w:spacing w:after="0"/>
              <w:rPr>
                <w:sz w:val="20"/>
                <w:szCs w:val="20"/>
                <w:color w:val="auto"/>
              </w:rPr>
            </w:pPr>
            <w:r>
              <w:rPr>
                <w:rFonts w:ascii="Arial" w:cs="Arial" w:eastAsia="Arial" w:hAnsi="Arial"/>
                <w:sz w:val="11"/>
                <w:szCs w:val="11"/>
                <w:color w:val="auto"/>
              </w:rPr>
              <w:t>Asset management, administration and</w:t>
            </w:r>
          </w:p>
        </w:tc>
        <w:tc>
          <w:tcPr>
            <w:tcW w:w="120" w:type="dxa"/>
            <w:vAlign w:val="bottom"/>
          </w:tcPr>
          <w:p>
            <w:pPr>
              <w:spacing w:after="0"/>
              <w:rPr>
                <w:sz w:val="11"/>
                <w:szCs w:val="11"/>
                <w:color w:val="auto"/>
              </w:rPr>
            </w:pPr>
          </w:p>
        </w:tc>
        <w:tc>
          <w:tcPr>
            <w:tcW w:w="500" w:type="dxa"/>
            <w:vAlign w:val="bottom"/>
            <w:vMerge w:val="restart"/>
          </w:tcPr>
          <w:p>
            <w:pPr>
              <w:jc w:val="right"/>
              <w:ind w:right="86"/>
              <w:spacing w:after="0"/>
              <w:rPr>
                <w:sz w:val="20"/>
                <w:szCs w:val="20"/>
                <w:color w:val="auto"/>
              </w:rPr>
            </w:pPr>
            <w:r>
              <w:rPr>
                <w:rFonts w:ascii="Arial" w:cs="Arial" w:eastAsia="Arial" w:hAnsi="Arial"/>
                <w:sz w:val="11"/>
                <w:szCs w:val="11"/>
                <w:color w:val="auto"/>
              </w:rPr>
              <w:t>939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86"/>
              <w:spacing w:after="0"/>
              <w:rPr>
                <w:sz w:val="20"/>
                <w:szCs w:val="20"/>
                <w:color w:val="auto"/>
              </w:rPr>
            </w:pPr>
            <w:r>
              <w:rPr>
                <w:rFonts w:ascii="Arial" w:cs="Arial" w:eastAsia="Arial" w:hAnsi="Arial"/>
                <w:sz w:val="11"/>
                <w:szCs w:val="11"/>
                <w:color w:val="auto"/>
              </w:rPr>
              <w:t>939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color w:val="auto"/>
              </w:rPr>
              <w:t>947</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86"/>
              <w:spacing w:after="0"/>
              <w:rPr>
                <w:sz w:val="20"/>
                <w:szCs w:val="20"/>
                <w:color w:val="auto"/>
              </w:rPr>
            </w:pPr>
            <w:r>
              <w:rPr>
                <w:rFonts w:ascii="Arial" w:cs="Arial" w:eastAsia="Arial" w:hAnsi="Arial"/>
                <w:sz w:val="11"/>
                <w:szCs w:val="11"/>
                <w:color w:val="auto"/>
              </w:rPr>
              <w:t>929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color w:val="auto"/>
              </w:rPr>
              <w:t>950</w:t>
            </w:r>
          </w:p>
        </w:tc>
        <w:tc>
          <w:tcPr>
            <w:tcW w:w="220" w:type="dxa"/>
            <w:vAlign w:val="bottom"/>
          </w:tcPr>
          <w:p>
            <w:pPr>
              <w:spacing w:after="0"/>
              <w:rPr>
                <w:sz w:val="11"/>
                <w:szCs w:val="11"/>
                <w:color w:val="auto"/>
              </w:rPr>
            </w:pP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ind w:right="66"/>
              <w:spacing w:after="0"/>
              <w:rPr>
                <w:sz w:val="20"/>
                <w:szCs w:val="20"/>
                <w:color w:val="auto"/>
              </w:rPr>
            </w:pPr>
            <w:r>
              <w:rPr>
                <w:rFonts w:ascii="Arial" w:cs="Arial" w:eastAsia="Arial" w:hAnsi="Arial"/>
                <w:sz w:val="11"/>
                <w:szCs w:val="11"/>
                <w:color w:val="auto"/>
              </w:rPr>
              <w:t>(1)</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vMerge w:val="restart"/>
          </w:tcPr>
          <w:p>
            <w:pPr>
              <w:jc w:val="right"/>
              <w:ind w:right="6"/>
              <w:spacing w:after="0"/>
              <w:rPr>
                <w:sz w:val="20"/>
                <w:szCs w:val="20"/>
                <w:color w:val="auto"/>
              </w:rPr>
            </w:pPr>
            <w:r>
              <w:rPr>
                <w:rFonts w:ascii="Arial" w:cs="Arial" w:eastAsia="Arial" w:hAnsi="Arial"/>
                <w:sz w:val="11"/>
                <w:szCs w:val="11"/>
                <w:color w:val="auto"/>
              </w:rPr>
              <w:t>3,754</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vMerge w:val="restart"/>
          </w:tcPr>
          <w:p>
            <w:pPr>
              <w:jc w:val="right"/>
              <w:ind w:right="6"/>
              <w:spacing w:after="0"/>
              <w:rPr>
                <w:sz w:val="20"/>
                <w:szCs w:val="20"/>
                <w:color w:val="auto"/>
              </w:rPr>
            </w:pPr>
            <w:r>
              <w:rPr>
                <w:rFonts w:ascii="Arial" w:cs="Arial" w:eastAsia="Arial" w:hAnsi="Arial"/>
                <w:sz w:val="11"/>
                <w:szCs w:val="11"/>
                <w:color w:val="auto"/>
              </w:rPr>
              <w:t>3,514</w:t>
            </w:r>
          </w:p>
        </w:tc>
        <w:tc>
          <w:tcPr>
            <w:tcW w:w="90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2"/>
        </w:trPr>
        <w:tc>
          <w:tcPr>
            <w:tcW w:w="1940" w:type="dxa"/>
            <w:vAlign w:val="bottom"/>
            <w:gridSpan w:val="5"/>
          </w:tcPr>
          <w:p>
            <w:pPr>
              <w:spacing w:after="0"/>
              <w:rPr>
                <w:sz w:val="20"/>
                <w:szCs w:val="20"/>
                <w:color w:val="auto"/>
              </w:rPr>
            </w:pPr>
            <w:r>
              <w:rPr>
                <w:rFonts w:ascii="Arial" w:cs="Arial" w:eastAsia="Arial" w:hAnsi="Arial"/>
                <w:sz w:val="11"/>
                <w:szCs w:val="11"/>
                <w:color w:val="auto"/>
              </w:rPr>
              <w:t>commissions</w:t>
            </w: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gridSpan w:val="5"/>
          </w:tcPr>
          <w:p>
            <w:pPr>
              <w:spacing w:after="0"/>
              <w:rPr>
                <w:sz w:val="20"/>
                <w:szCs w:val="20"/>
                <w:color w:val="auto"/>
              </w:rPr>
            </w:pPr>
            <w:r>
              <w:rPr>
                <w:rFonts w:ascii="Arial" w:cs="Arial" w:eastAsia="Arial" w:hAnsi="Arial"/>
                <w:sz w:val="11"/>
                <w:szCs w:val="11"/>
                <w:color w:val="auto"/>
              </w:rPr>
              <w:t>Mortgage fees and related income</w:t>
            </w: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90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313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377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456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312</w:t>
            </w:r>
          </w:p>
        </w:tc>
        <w:tc>
          <w:tcPr>
            <w:tcW w:w="22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(71)</w:t>
            </w:r>
          </w:p>
        </w:tc>
        <w:tc>
          <w:tcPr>
            <w:tcW w:w="18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(71)</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1,236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2,159</w:t>
            </w:r>
          </w:p>
        </w:tc>
        <w:tc>
          <w:tcPr>
            <w:tcW w:w="900" w:type="dxa"/>
            <w:vAlign w:val="bottom"/>
            <w:gridSpan w:val="2"/>
          </w:tcPr>
          <w:p>
            <w:pPr>
              <w:jc w:val="right"/>
              <w:ind w:right="66"/>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62"/>
        </w:trPr>
        <w:tc>
          <w:tcPr>
            <w:tcW w:w="1940" w:type="dxa"/>
            <w:vAlign w:val="bottom"/>
            <w:gridSpan w:val="5"/>
          </w:tcPr>
          <w:p>
            <w:pPr>
              <w:spacing w:after="0"/>
              <w:rPr>
                <w:sz w:val="20"/>
                <w:szCs w:val="20"/>
                <w:color w:val="auto"/>
              </w:rPr>
            </w:pPr>
            <w:r>
              <w:rPr>
                <w:rFonts w:ascii="Arial" w:cs="Arial" w:eastAsia="Arial" w:hAnsi="Arial"/>
                <w:sz w:val="11"/>
                <w:szCs w:val="11"/>
                <w:color w:val="auto"/>
              </w:rPr>
              <w:t>Card income</w:t>
            </w: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746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665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678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590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675</w:t>
            </w:r>
          </w:p>
        </w:tc>
        <w:tc>
          <w:tcPr>
            <w:tcW w:w="22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18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11</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2,679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3,563</w:t>
            </w:r>
          </w:p>
        </w:tc>
        <w:tc>
          <w:tcPr>
            <w:tcW w:w="900" w:type="dxa"/>
            <w:vAlign w:val="bottom"/>
            <w:gridSpan w:val="2"/>
          </w:tcPr>
          <w:p>
            <w:pPr>
              <w:jc w:val="right"/>
              <w:ind w:right="66"/>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75"/>
        </w:trPr>
        <w:tc>
          <w:tcPr>
            <w:tcW w:w="1940" w:type="dxa"/>
            <w:vAlign w:val="bottom"/>
            <w:gridSpan w:val="5"/>
          </w:tcPr>
          <w:p>
            <w:pPr>
              <w:spacing w:after="0"/>
              <w:rPr>
                <w:sz w:val="20"/>
                <w:szCs w:val="20"/>
                <w:color w:val="auto"/>
              </w:rPr>
            </w:pPr>
            <w:r>
              <w:rPr>
                <w:rFonts w:ascii="Arial" w:cs="Arial" w:eastAsia="Arial" w:hAnsi="Arial"/>
                <w:sz w:val="11"/>
                <w:szCs w:val="11"/>
                <w:color w:val="auto"/>
              </w:rPr>
              <w:t>All other income (a)</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910</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1,023</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1,049</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1,122</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1,144</w:t>
            </w:r>
          </w:p>
        </w:tc>
        <w:tc>
          <w:tcPr>
            <w:tcW w:w="220" w:type="dxa"/>
            <w:vAlign w:val="bottom"/>
          </w:tcPr>
          <w:p>
            <w:pPr>
              <w:spacing w:after="0"/>
              <w:rPr>
                <w:sz w:val="15"/>
                <w:szCs w:val="15"/>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180" w:type="dxa"/>
            <w:vAlign w:val="bottom"/>
          </w:tcPr>
          <w:p>
            <w:pPr>
              <w:spacing w:after="0"/>
              <w:rPr>
                <w:sz w:val="15"/>
                <w:szCs w:val="15"/>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4,104</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5,016</w:t>
            </w:r>
          </w:p>
        </w:tc>
        <w:tc>
          <w:tcPr>
            <w:tcW w:w="900" w:type="dxa"/>
            <w:vAlign w:val="bottom"/>
            <w:gridSpan w:val="2"/>
          </w:tcPr>
          <w:p>
            <w:pPr>
              <w:jc w:val="right"/>
              <w:ind w:right="6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48"/>
        </w:trPr>
        <w:tc>
          <w:tcPr>
            <w:tcW w:w="1940" w:type="dxa"/>
            <w:vAlign w:val="bottom"/>
            <w:gridSpan w:val="5"/>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12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3,519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3,762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3,906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3,902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3,834</w:t>
            </w:r>
          </w:p>
        </w:tc>
        <w:tc>
          <w:tcPr>
            <w:tcW w:w="22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8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rPr>
              <w:t>15,089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rPr>
              <w:t>17,286</w:t>
            </w:r>
          </w:p>
        </w:tc>
        <w:tc>
          <w:tcPr>
            <w:tcW w:w="900" w:type="dxa"/>
            <w:vAlign w:val="bottom"/>
            <w:gridSpan w:val="2"/>
          </w:tcPr>
          <w:p>
            <w:pPr>
              <w:jc w:val="right"/>
              <w:ind w:right="6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69"/>
        </w:trPr>
        <w:tc>
          <w:tcPr>
            <w:tcW w:w="1940" w:type="dxa"/>
            <w:vAlign w:val="bottom"/>
            <w:gridSpan w:val="5"/>
          </w:tcPr>
          <w:p>
            <w:pPr>
              <w:spacing w:after="0"/>
              <w:rPr>
                <w:sz w:val="20"/>
                <w:szCs w:val="20"/>
                <w:color w:val="auto"/>
              </w:rPr>
            </w:pPr>
            <w:r>
              <w:rPr>
                <w:rFonts w:ascii="Arial" w:cs="Arial" w:eastAsia="Arial" w:hAnsi="Arial"/>
                <w:sz w:val="11"/>
                <w:szCs w:val="11"/>
                <w:color w:val="auto"/>
              </w:rPr>
              <w:t>Net interest income</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12,324</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10,569</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8,708</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8,327</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8,441</w:t>
            </w:r>
          </w:p>
        </w:tc>
        <w:tc>
          <w:tcPr>
            <w:tcW w:w="22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18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46</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39,928</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32,787</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48"/>
        </w:trPr>
        <w:tc>
          <w:tcPr>
            <w:tcW w:w="194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2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15,843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14,331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12,614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12,229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12,275</w:t>
            </w:r>
          </w:p>
        </w:tc>
        <w:tc>
          <w:tcPr>
            <w:tcW w:w="220" w:type="dxa"/>
            <w:vAlign w:val="bottom"/>
          </w:tcPr>
          <w:p>
            <w:pPr>
              <w:spacing w:after="0"/>
              <w:rPr>
                <w:sz w:val="12"/>
                <w:szCs w:val="12"/>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18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29</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rPr>
              <w:t>55,017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rPr>
              <w:t>50,073</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318"/>
        </w:trPr>
        <w:tc>
          <w:tcPr>
            <w:tcW w:w="1940" w:type="dxa"/>
            <w:vAlign w:val="bottom"/>
            <w:gridSpan w:val="5"/>
          </w:tcPr>
          <w:p>
            <w:pPr>
              <w:spacing w:after="0"/>
              <w:rPr>
                <w:sz w:val="20"/>
                <w:szCs w:val="20"/>
                <w:color w:val="auto"/>
              </w:rPr>
            </w:pPr>
            <w:r>
              <w:rPr>
                <w:rFonts w:ascii="Arial" w:cs="Arial" w:eastAsia="Arial" w:hAnsi="Arial"/>
                <w:sz w:val="11"/>
                <w:szCs w:val="11"/>
                <w:color w:val="auto"/>
              </w:rPr>
              <w:t>Provision for credit losses</w:t>
            </w:r>
          </w:p>
        </w:tc>
        <w:tc>
          <w:tcPr>
            <w:tcW w:w="120" w:type="dxa"/>
            <w:vAlign w:val="bottom"/>
          </w:tcPr>
          <w:p>
            <w:pPr>
              <w:spacing w:after="0"/>
              <w:rPr>
                <w:sz w:val="24"/>
                <w:szCs w:val="2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1,845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529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761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678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(1,060)</w:t>
            </w:r>
          </w:p>
        </w:tc>
        <w:tc>
          <w:tcPr>
            <w:tcW w:w="220" w:type="dxa"/>
            <w:vAlign w:val="bottom"/>
          </w:tcPr>
          <w:p>
            <w:pPr>
              <w:spacing w:after="0"/>
              <w:rPr>
                <w:sz w:val="24"/>
                <w:szCs w:val="2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249</w:t>
            </w:r>
          </w:p>
        </w:tc>
        <w:tc>
          <w:tcPr>
            <w:tcW w:w="180" w:type="dxa"/>
            <w:vAlign w:val="bottom"/>
          </w:tcPr>
          <w:p>
            <w:pPr>
              <w:spacing w:after="0"/>
              <w:rPr>
                <w:sz w:val="24"/>
                <w:szCs w:val="24"/>
                <w:color w:val="auto"/>
              </w:rPr>
            </w:pPr>
          </w:p>
        </w:tc>
        <w:tc>
          <w:tcPr>
            <w:tcW w:w="880" w:type="dxa"/>
            <w:vAlign w:val="bottom"/>
            <w:gridSpan w:val="2"/>
          </w:tcPr>
          <w:p>
            <w:pPr>
              <w:ind w:left="32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24"/>
                <w:szCs w:val="24"/>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3,813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(6,989)</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330"/>
        </w:trPr>
        <w:tc>
          <w:tcPr>
            <w:tcW w:w="1940" w:type="dxa"/>
            <w:vAlign w:val="bottom"/>
            <w:gridSpan w:val="5"/>
          </w:tcPr>
          <w:p>
            <w:pPr>
              <w:spacing w:after="0"/>
              <w:rPr>
                <w:sz w:val="20"/>
                <w:szCs w:val="20"/>
                <w:color w:val="auto"/>
              </w:rPr>
            </w:pPr>
            <w:r>
              <w:rPr>
                <w:rFonts w:ascii="Arial" w:cs="Arial" w:eastAsia="Arial" w:hAnsi="Arial"/>
                <w:sz w:val="11"/>
                <w:szCs w:val="11"/>
                <w:b w:val="1"/>
                <w:bCs w:val="1"/>
                <w:color w:val="auto"/>
              </w:rPr>
              <w:t>NONINTEREST EXPENSE</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940" w:type="dxa"/>
            <w:vAlign w:val="bottom"/>
            <w:gridSpan w:val="5"/>
          </w:tcPr>
          <w:p>
            <w:pPr>
              <w:spacing w:after="0"/>
              <w:rPr>
                <w:sz w:val="20"/>
                <w:szCs w:val="20"/>
                <w:color w:val="auto"/>
              </w:rPr>
            </w:pPr>
            <w:r>
              <w:rPr>
                <w:rFonts w:ascii="Arial" w:cs="Arial" w:eastAsia="Arial" w:hAnsi="Arial"/>
                <w:sz w:val="11"/>
                <w:szCs w:val="11"/>
                <w:color w:val="auto"/>
              </w:rPr>
              <w:t>Compensation expense</w:t>
            </w:r>
          </w:p>
        </w:tc>
        <w:tc>
          <w:tcPr>
            <w:tcW w:w="12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3,339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3,345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3,237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3,171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3,177</w:t>
            </w:r>
          </w:p>
        </w:tc>
        <w:tc>
          <w:tcPr>
            <w:tcW w:w="220" w:type="dxa"/>
            <w:vAlign w:val="bottom"/>
          </w:tcPr>
          <w:p>
            <w:pPr>
              <w:spacing w:after="0"/>
              <w:rPr>
                <w:sz w:val="13"/>
                <w:szCs w:val="13"/>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13,092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12,142</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75"/>
        </w:trPr>
        <w:tc>
          <w:tcPr>
            <w:tcW w:w="1940" w:type="dxa"/>
            <w:vAlign w:val="bottom"/>
            <w:gridSpan w:val="5"/>
          </w:tcPr>
          <w:p>
            <w:pPr>
              <w:spacing w:after="0"/>
              <w:rPr>
                <w:sz w:val="20"/>
                <w:szCs w:val="20"/>
                <w:color w:val="auto"/>
              </w:rPr>
            </w:pPr>
            <w:r>
              <w:rPr>
                <w:rFonts w:ascii="Arial" w:cs="Arial" w:eastAsia="Arial" w:hAnsi="Arial"/>
                <w:sz w:val="11"/>
                <w:szCs w:val="11"/>
                <w:color w:val="auto"/>
              </w:rPr>
              <w:t>Noncompensation expense (b)</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4,642</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4,702</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4,486</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4,549</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4,577</w:t>
            </w:r>
          </w:p>
        </w:tc>
        <w:tc>
          <w:tcPr>
            <w:tcW w:w="220" w:type="dxa"/>
            <w:vAlign w:val="bottom"/>
          </w:tcPr>
          <w:p>
            <w:pPr>
              <w:spacing w:after="0"/>
              <w:rPr>
                <w:sz w:val="15"/>
                <w:szCs w:val="15"/>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5"/>
                <w:szCs w:val="15"/>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18,379</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17,114</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5"/>
        </w:trPr>
        <w:tc>
          <w:tcPr>
            <w:tcW w:w="194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NONINTEREST EXPENSE</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7,981</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8,047</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7,723</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7,720</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7,754</w:t>
            </w:r>
          </w:p>
        </w:tc>
        <w:tc>
          <w:tcPr>
            <w:tcW w:w="220" w:type="dxa"/>
            <w:vAlign w:val="bottom"/>
          </w:tcPr>
          <w:p>
            <w:pPr>
              <w:spacing w:after="0"/>
              <w:rPr>
                <w:sz w:val="13"/>
                <w:szCs w:val="13"/>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31,471</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29,256</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97"/>
        </w:trPr>
        <w:tc>
          <w:tcPr>
            <w:tcW w:w="1940" w:type="dxa"/>
            <w:vAlign w:val="bottom"/>
            <w:gridSpan w:val="5"/>
          </w:tcPr>
          <w:p>
            <w:pPr>
              <w:spacing w:after="0"/>
              <w:rPr>
                <w:sz w:val="20"/>
                <w:szCs w:val="20"/>
                <w:color w:val="auto"/>
              </w:rPr>
            </w:pPr>
            <w:r>
              <w:rPr>
                <w:rFonts w:ascii="Arial" w:cs="Arial" w:eastAsia="Arial" w:hAnsi="Arial"/>
                <w:sz w:val="11"/>
                <w:szCs w:val="11"/>
                <w:b w:val="1"/>
                <w:bCs w:val="1"/>
                <w:color w:val="auto"/>
              </w:rPr>
              <w:t>Income before income tax expense</w:t>
            </w:r>
          </w:p>
        </w:tc>
        <w:tc>
          <w:tcPr>
            <w:tcW w:w="120" w:type="dxa"/>
            <w:vAlign w:val="bottom"/>
          </w:tcPr>
          <w:p>
            <w:pPr>
              <w:spacing w:after="0"/>
              <w:rPr>
                <w:sz w:val="24"/>
                <w:szCs w:val="2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6,017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5,755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4,130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3,831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5,581</w:t>
            </w:r>
          </w:p>
        </w:tc>
        <w:tc>
          <w:tcPr>
            <w:tcW w:w="220" w:type="dxa"/>
            <w:vAlign w:val="bottom"/>
          </w:tcPr>
          <w:p>
            <w:pPr>
              <w:spacing w:after="0"/>
              <w:rPr>
                <w:sz w:val="24"/>
                <w:szCs w:val="2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24"/>
                <w:szCs w:val="2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rPr>
              <w:t>19,733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rPr>
              <w:t>27,806</w:t>
            </w:r>
          </w:p>
        </w:tc>
        <w:tc>
          <w:tcPr>
            <w:tcW w:w="900" w:type="dxa"/>
            <w:vAlign w:val="bottom"/>
            <w:gridSpan w:val="2"/>
          </w:tcPr>
          <w:p>
            <w:pPr>
              <w:jc w:val="right"/>
              <w:ind w:right="66"/>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70"/>
        </w:trPr>
        <w:tc>
          <w:tcPr>
            <w:tcW w:w="1940" w:type="dxa"/>
            <w:vAlign w:val="bottom"/>
            <w:gridSpan w:val="5"/>
          </w:tcPr>
          <w:p>
            <w:pPr>
              <w:spacing w:after="0"/>
              <w:rPr>
                <w:sz w:val="20"/>
                <w:szCs w:val="20"/>
                <w:color w:val="auto"/>
              </w:rPr>
            </w:pPr>
            <w:r>
              <w:rPr>
                <w:rFonts w:ascii="Arial" w:cs="Arial" w:eastAsia="Arial" w:hAnsi="Arial"/>
                <w:sz w:val="11"/>
                <w:szCs w:val="11"/>
                <w:color w:val="auto"/>
              </w:rPr>
              <w:t>Income tax expense</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1,475</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1,421</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1,030</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936</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1,434</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w w:val="95"/>
              </w:rPr>
              <w:t>(f)</w:t>
            </w: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4,862</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6,876</w:t>
            </w:r>
          </w:p>
        </w:tc>
        <w:tc>
          <w:tcPr>
            <w:tcW w:w="900" w:type="dxa"/>
            <w:vAlign w:val="bottom"/>
            <w:gridSpan w:val="2"/>
          </w:tcPr>
          <w:p>
            <w:pPr>
              <w:jc w:val="right"/>
              <w:ind w:right="66"/>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69"/>
        </w:trPr>
        <w:tc>
          <w:tcPr>
            <w:tcW w:w="1940" w:type="dxa"/>
            <w:vAlign w:val="bottom"/>
            <w:gridSpan w:val="5"/>
          </w:tcPr>
          <w:p>
            <w:pPr>
              <w:ind w:left="120"/>
              <w:spacing w:after="0"/>
              <w:rPr>
                <w:sz w:val="20"/>
                <w:szCs w:val="20"/>
                <w:color w:val="auto"/>
              </w:rPr>
            </w:pPr>
            <w:r>
              <w:rPr>
                <w:rFonts w:ascii="Arial" w:cs="Arial" w:eastAsia="Arial" w:hAnsi="Arial"/>
                <w:sz w:val="11"/>
                <w:szCs w:val="11"/>
                <w:b w:val="1"/>
                <w:bCs w:val="1"/>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4,542</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4,334</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3,100</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2,895</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4,147</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w w:val="95"/>
              </w:rPr>
              <w:t>(f)</w:t>
            </w: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10</w:t>
            </w:r>
          </w:p>
        </w:tc>
        <w:tc>
          <w:tcPr>
            <w:tcW w:w="3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14,871</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20,930</w:t>
            </w:r>
          </w:p>
        </w:tc>
        <w:tc>
          <w:tcPr>
            <w:tcW w:w="900" w:type="dxa"/>
            <w:vAlign w:val="bottom"/>
            <w:gridSpan w:val="2"/>
          </w:tcPr>
          <w:p>
            <w:pPr>
              <w:jc w:val="right"/>
              <w:ind w:right="66"/>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270"/>
        </w:trPr>
        <w:tc>
          <w:tcPr>
            <w:tcW w:w="1940" w:type="dxa"/>
            <w:vAlign w:val="bottom"/>
            <w:gridSpan w:val="5"/>
          </w:tcPr>
          <w:p>
            <w:pPr>
              <w:spacing w:after="0"/>
              <w:rPr>
                <w:sz w:val="20"/>
                <w:szCs w:val="20"/>
                <w:color w:val="auto"/>
              </w:rPr>
            </w:pPr>
            <w:r>
              <w:rPr>
                <w:rFonts w:ascii="Arial" w:cs="Arial" w:eastAsia="Arial" w:hAnsi="Arial"/>
                <w:sz w:val="11"/>
                <w:szCs w:val="11"/>
                <w:b w:val="1"/>
                <w:bCs w:val="1"/>
                <w:color w:val="auto"/>
              </w:rPr>
              <w:t>REVENUE BY LINE OF BUSINESS</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1740" w:type="dxa"/>
            <w:vAlign w:val="bottom"/>
            <w:tcBorders>
              <w:top w:val="single" w:sz="8" w:color="auto"/>
            </w:tcBorders>
            <w:gridSpan w:val="4"/>
          </w:tcPr>
          <w:p>
            <w:pPr>
              <w:spacing w:after="0"/>
              <w:rPr>
                <w:sz w:val="20"/>
                <w:szCs w:val="20"/>
                <w:color w:val="auto"/>
              </w:rPr>
            </w:pPr>
            <w:r>
              <w:rPr>
                <w:rFonts w:ascii="Arial" w:cs="Arial" w:eastAsia="Arial" w:hAnsi="Arial"/>
                <w:sz w:val="11"/>
                <w:szCs w:val="11"/>
                <w:color w:val="auto"/>
              </w:rPr>
              <w:t>Banking &amp; Wealth Management (c)</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9,632</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8,010</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6,558</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6,062</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6,172</w:t>
            </w:r>
          </w:p>
        </w:tc>
        <w:tc>
          <w:tcPr>
            <w:tcW w:w="22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18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56</w:t>
            </w:r>
          </w:p>
        </w:tc>
        <w:tc>
          <w:tcPr>
            <w:tcW w:w="3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30,262</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23,980</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62"/>
        </w:trPr>
        <w:tc>
          <w:tcPr>
            <w:tcW w:w="1940" w:type="dxa"/>
            <w:vAlign w:val="bottom"/>
            <w:gridSpan w:val="5"/>
          </w:tcPr>
          <w:p>
            <w:pPr>
              <w:spacing w:after="0"/>
              <w:rPr>
                <w:sz w:val="20"/>
                <w:szCs w:val="20"/>
                <w:color w:val="auto"/>
              </w:rPr>
            </w:pPr>
            <w:r>
              <w:rPr>
                <w:rFonts w:ascii="Arial" w:cs="Arial" w:eastAsia="Arial" w:hAnsi="Arial"/>
                <w:sz w:val="11"/>
                <w:szCs w:val="11"/>
                <w:color w:val="auto"/>
              </w:rPr>
              <w:t>Home Lending</w:t>
            </w: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584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920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1,001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1,169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1,084</w:t>
            </w:r>
          </w:p>
        </w:tc>
        <w:tc>
          <w:tcPr>
            <w:tcW w:w="22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(37)</w:t>
            </w:r>
          </w:p>
        </w:tc>
        <w:tc>
          <w:tcPr>
            <w:tcW w:w="18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(46)</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3,674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5,291</w:t>
            </w:r>
          </w:p>
        </w:tc>
        <w:tc>
          <w:tcPr>
            <w:tcW w:w="900" w:type="dxa"/>
            <w:vAlign w:val="bottom"/>
            <w:gridSpan w:val="2"/>
          </w:tcPr>
          <w:p>
            <w:pPr>
              <w:jc w:val="right"/>
              <w:ind w:right="66"/>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62"/>
        </w:trPr>
        <w:tc>
          <w:tcPr>
            <w:tcW w:w="1940" w:type="dxa"/>
            <w:vAlign w:val="bottom"/>
            <w:gridSpan w:val="5"/>
          </w:tcPr>
          <w:p>
            <w:pPr>
              <w:spacing w:after="0"/>
              <w:rPr>
                <w:sz w:val="20"/>
                <w:szCs w:val="20"/>
                <w:color w:val="auto"/>
              </w:rPr>
            </w:pPr>
            <w:r>
              <w:rPr>
                <w:rFonts w:ascii="Arial" w:cs="Arial" w:eastAsia="Arial" w:hAnsi="Arial"/>
                <w:sz w:val="11"/>
                <w:szCs w:val="11"/>
                <w:color w:val="auto"/>
              </w:rPr>
              <w:t>Card Services &amp; Auto (d)</w:t>
            </w: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5,627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5,401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5,055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4,998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5,019</w:t>
            </w:r>
          </w:p>
        </w:tc>
        <w:tc>
          <w:tcPr>
            <w:tcW w:w="22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21,081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20,802</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303"/>
        </w:trPr>
        <w:tc>
          <w:tcPr>
            <w:tcW w:w="1940" w:type="dxa"/>
            <w:vAlign w:val="bottom"/>
            <w:gridSpan w:val="5"/>
          </w:tcPr>
          <w:p>
            <w:pPr>
              <w:spacing w:after="0"/>
              <w:rPr>
                <w:sz w:val="20"/>
                <w:szCs w:val="20"/>
                <w:color w:val="auto"/>
              </w:rPr>
            </w:pPr>
            <w:r>
              <w:rPr>
                <w:rFonts w:ascii="Arial" w:cs="Arial" w:eastAsia="Arial" w:hAnsi="Arial"/>
                <w:sz w:val="11"/>
                <w:szCs w:val="11"/>
                <w:b w:val="1"/>
                <w:bCs w:val="1"/>
                <w:color w:val="auto"/>
              </w:rPr>
              <w:t>MORTGAGE FEES AND RELATED</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740" w:type="dxa"/>
            <w:vAlign w:val="bottom"/>
            <w:tcBorders>
              <w:top w:val="single" w:sz="8" w:color="auto"/>
            </w:tcBorders>
            <w:gridSpan w:val="4"/>
          </w:tcPr>
          <w:p>
            <w:pPr>
              <w:spacing w:after="0" w:line="88" w:lineRule="exact"/>
              <w:rPr>
                <w:sz w:val="20"/>
                <w:szCs w:val="20"/>
                <w:color w:val="auto"/>
              </w:rPr>
            </w:pPr>
            <w:r>
              <w:rPr>
                <w:rFonts w:ascii="Arial" w:cs="Arial" w:eastAsia="Arial" w:hAnsi="Arial"/>
                <w:sz w:val="10"/>
                <w:szCs w:val="10"/>
                <w:b w:val="1"/>
                <w:bCs w:val="1"/>
                <w:color w:val="auto"/>
              </w:rPr>
              <w:t>INCOME DETAILS</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40" w:type="dxa"/>
            <w:vAlign w:val="bottom"/>
            <w:gridSpan w:val="5"/>
          </w:tcPr>
          <w:p>
            <w:pPr>
              <w:spacing w:after="0"/>
              <w:rPr>
                <w:sz w:val="20"/>
                <w:szCs w:val="20"/>
                <w:color w:val="auto"/>
              </w:rPr>
            </w:pPr>
            <w:r>
              <w:rPr>
                <w:rFonts w:ascii="Arial" w:cs="Arial" w:eastAsia="Arial" w:hAnsi="Arial"/>
                <w:sz w:val="11"/>
                <w:szCs w:val="11"/>
                <w:color w:val="auto"/>
              </w:rPr>
              <w:t>Production revenue</w:t>
            </w: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93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150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211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327</w:t>
            </w:r>
          </w:p>
        </w:tc>
        <w:tc>
          <w:tcPr>
            <w:tcW w:w="22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(54)</w:t>
            </w:r>
          </w:p>
        </w:tc>
        <w:tc>
          <w:tcPr>
            <w:tcW w:w="18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(87)</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497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2,215</w:t>
            </w:r>
          </w:p>
        </w:tc>
        <w:tc>
          <w:tcPr>
            <w:tcW w:w="900" w:type="dxa"/>
            <w:vAlign w:val="bottom"/>
            <w:gridSpan w:val="2"/>
          </w:tcPr>
          <w:p>
            <w:pPr>
              <w:jc w:val="right"/>
              <w:ind w:right="66"/>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75"/>
        </w:trPr>
        <w:tc>
          <w:tcPr>
            <w:tcW w:w="1940" w:type="dxa"/>
            <w:vAlign w:val="bottom"/>
            <w:gridSpan w:val="5"/>
          </w:tcPr>
          <w:p>
            <w:pPr>
              <w:spacing w:after="0"/>
              <w:rPr>
                <w:sz w:val="20"/>
                <w:szCs w:val="20"/>
                <w:color w:val="auto"/>
              </w:rPr>
            </w:pPr>
            <w:r>
              <w:rPr>
                <w:rFonts w:ascii="Arial" w:cs="Arial" w:eastAsia="Arial" w:hAnsi="Arial"/>
                <w:sz w:val="11"/>
                <w:szCs w:val="11"/>
                <w:color w:val="auto"/>
              </w:rPr>
              <w:t>Net mortgage servicing revenue (e)</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47</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220</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227</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245</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5"/>
                <w:szCs w:val="15"/>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(79)</w:t>
            </w:r>
          </w:p>
        </w:tc>
        <w:tc>
          <w:tcPr>
            <w:tcW w:w="180" w:type="dxa"/>
            <w:vAlign w:val="bottom"/>
          </w:tcPr>
          <w:p>
            <w:pPr>
              <w:spacing w:after="0"/>
              <w:rPr>
                <w:sz w:val="15"/>
                <w:szCs w:val="15"/>
                <w:color w:val="auto"/>
              </w:rPr>
            </w:pPr>
          </w:p>
        </w:tc>
        <w:tc>
          <w:tcPr>
            <w:tcW w:w="880" w:type="dxa"/>
            <w:vAlign w:val="bottom"/>
            <w:gridSpan w:val="2"/>
          </w:tcPr>
          <w:p>
            <w:pPr>
              <w:ind w:left="320"/>
              <w:spacing w:after="0"/>
              <w:rPr>
                <w:sz w:val="20"/>
                <w:szCs w:val="20"/>
                <w:color w:val="auto"/>
              </w:rPr>
            </w:pPr>
            <w:r>
              <w:rPr>
                <w:rFonts w:ascii="Arial" w:cs="Arial" w:eastAsia="Arial" w:hAnsi="Arial"/>
                <w:sz w:val="11"/>
                <w:szCs w:val="11"/>
                <w:color w:val="auto"/>
              </w:rPr>
              <w:t>NM</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739</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9"/>
        </w:trPr>
        <w:tc>
          <w:tcPr>
            <w:tcW w:w="1940" w:type="dxa"/>
            <w:vAlign w:val="bottom"/>
            <w:gridSpan w:val="5"/>
          </w:tcPr>
          <w:p>
            <w:pPr>
              <w:spacing w:after="0"/>
              <w:rPr>
                <w:sz w:val="20"/>
                <w:szCs w:val="20"/>
                <w:color w:val="auto"/>
              </w:rPr>
            </w:pPr>
            <w:r>
              <w:rPr>
                <w:rFonts w:ascii="Arial" w:cs="Arial" w:eastAsia="Arial" w:hAnsi="Arial"/>
                <w:sz w:val="11"/>
                <w:szCs w:val="11"/>
                <w:b w:val="1"/>
                <w:bCs w:val="1"/>
                <w:color w:val="auto"/>
              </w:rPr>
              <w:t>Mortgage fees and related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90</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313</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377</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456</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312</w:t>
            </w:r>
          </w:p>
        </w:tc>
        <w:tc>
          <w:tcPr>
            <w:tcW w:w="22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(71)</w:t>
            </w:r>
          </w:p>
        </w:tc>
        <w:tc>
          <w:tcPr>
            <w:tcW w:w="18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(71)</w:t>
            </w:r>
          </w:p>
        </w:tc>
        <w:tc>
          <w:tcPr>
            <w:tcW w:w="3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1,236</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2,159</w:t>
            </w:r>
          </w:p>
        </w:tc>
        <w:tc>
          <w:tcPr>
            <w:tcW w:w="900" w:type="dxa"/>
            <w:vAlign w:val="bottom"/>
            <w:gridSpan w:val="2"/>
          </w:tcPr>
          <w:p>
            <w:pPr>
              <w:jc w:val="right"/>
              <w:ind w:right="66"/>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270"/>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6"/>
              </w:rPr>
              <w:t>FINANCIAL RATIOS</w:t>
            </w:r>
          </w:p>
        </w:tc>
        <w:tc>
          <w:tcPr>
            <w:tcW w:w="920" w:type="dxa"/>
            <w:vAlign w:val="bottom"/>
            <w:gridSpan w:val="3"/>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1940" w:type="dxa"/>
            <w:vAlign w:val="bottom"/>
            <w:gridSpan w:val="5"/>
          </w:tcPr>
          <w:p>
            <w:pPr>
              <w:spacing w:after="0"/>
              <w:rPr>
                <w:sz w:val="20"/>
                <w:szCs w:val="20"/>
                <w:color w:val="auto"/>
              </w:rPr>
            </w:pPr>
            <w:r>
              <w:rPr>
                <w:rFonts w:ascii="Arial" w:cs="Arial" w:eastAsia="Arial" w:hAnsi="Arial"/>
                <w:sz w:val="11"/>
                <w:szCs w:val="11"/>
                <w:color w:val="auto"/>
              </w:rPr>
              <w:t>ROE</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35 %</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33 %</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24 %</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23 %</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46"/>
              <w:spacing w:after="0"/>
              <w:rPr>
                <w:sz w:val="20"/>
                <w:szCs w:val="20"/>
                <w:color w:val="auto"/>
              </w:rPr>
            </w:pPr>
            <w:r>
              <w:rPr>
                <w:rFonts w:ascii="Arial" w:cs="Arial" w:eastAsia="Arial" w:hAnsi="Arial"/>
                <w:sz w:val="11"/>
                <w:szCs w:val="11"/>
                <w:color w:val="auto"/>
              </w:rPr>
              <w:t>32 % (f)</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29</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41</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gridSpan w:val="5"/>
          </w:tcPr>
          <w:p>
            <w:pPr>
              <w:spacing w:after="0"/>
              <w:rPr>
                <w:sz w:val="20"/>
                <w:szCs w:val="20"/>
                <w:color w:val="auto"/>
              </w:rPr>
            </w:pPr>
            <w:r>
              <w:rPr>
                <w:rFonts w:ascii="Arial" w:cs="Arial" w:eastAsia="Arial" w:hAnsi="Arial"/>
                <w:sz w:val="11"/>
                <w:szCs w:val="11"/>
                <w:color w:val="auto"/>
              </w:rPr>
              <w:t>Overhead ratio</w:t>
            </w: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61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63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63</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57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58</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2426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80" w:right="60" w:hanging="172"/>
        <w:spacing w:after="0" w:line="249" w:lineRule="auto"/>
        <w:tabs>
          <w:tab w:leader="none" w:pos="177" w:val="left"/>
        </w:tabs>
        <w:numPr>
          <w:ilvl w:val="0"/>
          <w:numId w:val="22"/>
        </w:numPr>
        <w:rPr>
          <w:rFonts w:ascii="Arial" w:cs="Arial" w:eastAsia="Arial" w:hAnsi="Arial"/>
          <w:sz w:val="11"/>
          <w:szCs w:val="11"/>
          <w:color w:val="auto"/>
        </w:rPr>
      </w:pPr>
      <w:r>
        <w:rPr>
          <w:rFonts w:ascii="Arial" w:cs="Arial" w:eastAsia="Arial" w:hAnsi="Arial"/>
          <w:sz w:val="11"/>
          <w:szCs w:val="11"/>
          <w:color w:val="auto"/>
        </w:rPr>
        <w:t>Included operating lease income of $777 million, $854 million, $929 million, $1.0 billion and $1.1 billion for the three months ended December 31, 2022, September 30, 2022, June 30, 2022, March 31, 2022 and December 31, 2021, respectively, and $3.6 billion and $4.8 billion for the full year 2022 and 2021, respectively.</w:t>
      </w:r>
    </w:p>
    <w:p>
      <w:pPr>
        <w:ind w:left="180" w:right="200" w:hanging="172"/>
        <w:spacing w:after="0" w:line="243" w:lineRule="auto"/>
        <w:tabs>
          <w:tab w:leader="none" w:pos="177" w:val="left"/>
        </w:tabs>
        <w:numPr>
          <w:ilvl w:val="0"/>
          <w:numId w:val="22"/>
        </w:numPr>
        <w:rPr>
          <w:rFonts w:ascii="Arial" w:cs="Arial" w:eastAsia="Arial" w:hAnsi="Arial"/>
          <w:sz w:val="11"/>
          <w:szCs w:val="11"/>
          <w:color w:val="auto"/>
        </w:rPr>
      </w:pPr>
      <w:r>
        <w:rPr>
          <w:rFonts w:ascii="Arial" w:cs="Arial" w:eastAsia="Arial" w:hAnsi="Arial"/>
          <w:sz w:val="11"/>
          <w:szCs w:val="11"/>
          <w:color w:val="auto"/>
        </w:rPr>
        <w:t>Included depreciation expense on leased assets of $463 million, $605 million, $652 million, $694 million and $767 million for the three months ended December 31, 2022, September 30, 2022, June 30, 2022, March 31, 2022 and December 31, 2021, respectively, and $2.4 billion and $3.3 billion for the full year 2022 and 2021, respectively.</w:t>
      </w:r>
    </w:p>
    <w:p>
      <w:pPr>
        <w:ind w:left="160" w:hanging="152"/>
        <w:spacing w:after="0"/>
        <w:tabs>
          <w:tab w:leader="none" w:pos="1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In the fourth quarter of 2022, Consumer &amp; Business Banking was renamed Banking &amp; Wealth Management.</w:t>
      </w:r>
    </w:p>
    <w:p>
      <w:pPr>
        <w:spacing w:after="0" w:line="8" w:lineRule="exact"/>
        <w:rPr>
          <w:rFonts w:ascii="Arial" w:cs="Arial" w:eastAsia="Arial" w:hAnsi="Arial"/>
          <w:sz w:val="11"/>
          <w:szCs w:val="11"/>
          <w:color w:val="auto"/>
        </w:rPr>
      </w:pPr>
    </w:p>
    <w:p>
      <w:pPr>
        <w:ind w:left="160" w:hanging="152"/>
        <w:spacing w:after="0" w:line="236" w:lineRule="auto"/>
        <w:tabs>
          <w:tab w:leader="none" w:pos="1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In the fourth quarter of 2022, Card &amp; Auto was renamed Card Services &amp; Auto.</w:t>
      </w:r>
    </w:p>
    <w:p>
      <w:pPr>
        <w:ind w:left="180" w:right="140" w:hanging="172"/>
        <w:spacing w:after="0" w:line="243" w:lineRule="auto"/>
        <w:tabs>
          <w:tab w:leader="none" w:pos="177" w:val="left"/>
        </w:tabs>
        <w:numPr>
          <w:ilvl w:val="0"/>
          <w:numId w:val="22"/>
        </w:numPr>
        <w:rPr>
          <w:rFonts w:ascii="Arial" w:cs="Arial" w:eastAsia="Arial" w:hAnsi="Arial"/>
          <w:sz w:val="11"/>
          <w:szCs w:val="11"/>
          <w:color w:val="auto"/>
        </w:rPr>
      </w:pPr>
      <w:r>
        <w:rPr>
          <w:rFonts w:ascii="Arial" w:cs="Arial" w:eastAsia="Arial" w:hAnsi="Arial"/>
          <w:sz w:val="11"/>
          <w:szCs w:val="11"/>
          <w:color w:val="auto"/>
        </w:rPr>
        <w:t>Included MSR risk management results of $(98) million, $54 million, $28 million, $109 million and $(162) million for the three months ended December 31, 2022, September 30, 2022, June 30, 2022, March 31, 2022 and December 31, 2021, respectively, and $93 million and $(525) million for the full year 2022 and 2021, respectively.</w:t>
      </w:r>
    </w:p>
    <w:p>
      <w:pPr>
        <w:ind w:left="160" w:hanging="152"/>
        <w:spacing w:after="0"/>
        <w:tabs>
          <w:tab w:leader="none" w:pos="1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In the first quarter of 2022, the Firm changed its methodology for allocating income taxes to the LOBs, with no impact to Firmwide net income. Prior-period amounts have been revised to conform with the current presentation.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12</w:t>
      </w:r>
    </w:p>
    <w:p>
      <w:pPr>
        <w:sectPr>
          <w:pgSz w:w="11900" w:h="16838" w:orient="portrait"/>
          <w:cols w:equalWidth="0" w:num="1">
            <w:col w:w="11240"/>
          </w:cols>
          <w:pgMar w:left="320" w:top="936"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CONSUMER &amp;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-61595</wp:posOffset>
            </wp:positionV>
            <wp:extent cx="237426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BANKING</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headcount data)</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rPr>
              <w:t>QUARTERLY TRENDS</w:t>
            </w: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FULL YEAR</w:t>
            </w:r>
          </w:p>
        </w:tc>
        <w:tc>
          <w:tcPr>
            <w:tcW w:w="760" w:type="dxa"/>
            <w:vAlign w:val="bottom"/>
            <w:tcBorders>
              <w:bottom w:val="single" w:sz="8" w:color="auto"/>
            </w:tcBorders>
          </w:tcPr>
          <w:p>
            <w:pPr>
              <w:spacing w:after="0"/>
              <w:rPr>
                <w:sz w:val="13"/>
                <w:szCs w:val="13"/>
                <w:color w:val="auto"/>
              </w:rPr>
            </w:pPr>
          </w:p>
        </w:tc>
      </w:tr>
      <w:tr>
        <w:trPr>
          <w:trHeight w:val="155"/>
        </w:trPr>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Borders>
              <w:bottom w:val="single" w:sz="8" w:color="auto"/>
            </w:tcBorders>
            <w:gridSpan w:val="3"/>
          </w:tcPr>
          <w:p>
            <w:pPr>
              <w:jc w:val="right"/>
              <w:ind w:right="286"/>
              <w:spacing w:after="0"/>
              <w:rPr>
                <w:sz w:val="20"/>
                <w:szCs w:val="20"/>
                <w:color w:val="auto"/>
              </w:rPr>
            </w:pPr>
            <w:r>
              <w:rPr>
                <w:rFonts w:ascii="Arial" w:cs="Arial" w:eastAsia="Arial" w:hAnsi="Arial"/>
                <w:sz w:val="11"/>
                <w:szCs w:val="11"/>
                <w:b w:val="1"/>
                <w:bCs w:val="1"/>
                <w:color w:val="auto"/>
              </w:rPr>
              <w:t>4Q22 Change</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2022 Change</w:t>
            </w:r>
          </w:p>
        </w:tc>
      </w:tr>
      <w:tr>
        <w:trPr>
          <w:trHeight w:val="156"/>
        </w:trPr>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4Q22</w:t>
            </w:r>
          </w:p>
        </w:tc>
        <w:tc>
          <w:tcPr>
            <w:tcW w:w="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3Q22</w:t>
            </w:r>
          </w:p>
        </w:tc>
        <w:tc>
          <w:tcPr>
            <w:tcW w:w="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2Q22</w:t>
            </w:r>
          </w:p>
        </w:tc>
        <w:tc>
          <w:tcPr>
            <w:tcW w:w="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1Q22</w:t>
            </w:r>
          </w:p>
        </w:tc>
        <w:tc>
          <w:tcPr>
            <w:tcW w:w="60" w:type="dxa"/>
            <w:vAlign w:val="bottom"/>
          </w:tcPr>
          <w:p>
            <w:pPr>
              <w:spacing w:after="0"/>
              <w:rPr>
                <w:sz w:val="13"/>
                <w:szCs w:val="13"/>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4Q21</w:t>
            </w:r>
          </w:p>
        </w:tc>
        <w:tc>
          <w:tcPr>
            <w:tcW w:w="220" w:type="dxa"/>
            <w:vAlign w:val="bottom"/>
          </w:tcPr>
          <w:p>
            <w:pPr>
              <w:spacing w:after="0"/>
              <w:rPr>
                <w:sz w:val="13"/>
                <w:szCs w:val="13"/>
                <w:color w:val="auto"/>
              </w:rPr>
            </w:pPr>
          </w:p>
        </w:tc>
        <w:tc>
          <w:tcPr>
            <w:tcW w:w="800" w:type="dxa"/>
            <w:vAlign w:val="bottom"/>
            <w:gridSpan w:val="2"/>
          </w:tcPr>
          <w:p>
            <w:pPr>
              <w:ind w:left="160"/>
              <w:spacing w:after="0"/>
              <w:rPr>
                <w:sz w:val="20"/>
                <w:szCs w:val="20"/>
                <w:color w:val="auto"/>
              </w:rPr>
            </w:pPr>
            <w:r>
              <w:rPr>
                <w:rFonts w:ascii="Arial" w:cs="Arial" w:eastAsia="Arial" w:hAnsi="Arial"/>
                <w:sz w:val="11"/>
                <w:szCs w:val="11"/>
                <w:b w:val="1"/>
                <w:bCs w:val="1"/>
                <w:color w:val="auto"/>
              </w:rPr>
              <w:t>3Q22</w:t>
            </w:r>
          </w:p>
        </w:tc>
        <w:tc>
          <w:tcPr>
            <w:tcW w:w="1040" w:type="dxa"/>
            <w:vAlign w:val="bottom"/>
            <w:gridSpan w:val="2"/>
          </w:tcPr>
          <w:p>
            <w:pPr>
              <w:jc w:val="right"/>
              <w:ind w:right="620"/>
              <w:spacing w:after="0"/>
              <w:rPr>
                <w:sz w:val="20"/>
                <w:szCs w:val="20"/>
                <w:color w:val="auto"/>
              </w:rPr>
            </w:pPr>
            <w:r>
              <w:rPr>
                <w:rFonts w:ascii="Arial" w:cs="Arial" w:eastAsia="Arial" w:hAnsi="Arial"/>
                <w:sz w:val="11"/>
                <w:szCs w:val="11"/>
                <w:b w:val="1"/>
                <w:bCs w:val="1"/>
                <w:color w:val="auto"/>
              </w:rPr>
              <w:t>4Q21</w:t>
            </w:r>
          </w:p>
        </w:tc>
        <w:tc>
          <w:tcPr>
            <w:tcW w:w="80" w:type="dxa"/>
            <w:vAlign w:val="bottom"/>
          </w:tcPr>
          <w:p>
            <w:pPr>
              <w:spacing w:after="0"/>
              <w:rPr>
                <w:sz w:val="13"/>
                <w:szCs w:val="13"/>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2022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26"/>
              <w:spacing w:after="0"/>
              <w:rPr>
                <w:sz w:val="20"/>
                <w:szCs w:val="20"/>
                <w:color w:val="auto"/>
              </w:rPr>
            </w:pPr>
            <w:r>
              <w:rPr>
                <w:rFonts w:ascii="Arial" w:cs="Arial" w:eastAsia="Arial" w:hAnsi="Arial"/>
                <w:sz w:val="11"/>
                <w:szCs w:val="11"/>
                <w:b w:val="1"/>
                <w:bCs w:val="1"/>
                <w:color w:val="auto"/>
              </w:rPr>
              <w:t>2021</w:t>
            </w:r>
          </w:p>
        </w:tc>
        <w:tc>
          <w:tcPr>
            <w:tcW w:w="240" w:type="dxa"/>
            <w:vAlign w:val="bottom"/>
          </w:tcPr>
          <w:p>
            <w:pPr>
              <w:spacing w:after="0"/>
              <w:rPr>
                <w:sz w:val="13"/>
                <w:szCs w:val="13"/>
                <w:color w:val="auto"/>
              </w:rPr>
            </w:pPr>
          </w:p>
        </w:tc>
        <w:tc>
          <w:tcPr>
            <w:tcW w:w="760" w:type="dxa"/>
            <w:vAlign w:val="bottom"/>
          </w:tcPr>
          <w:p>
            <w:pPr>
              <w:jc w:val="right"/>
              <w:ind w:right="206"/>
              <w:spacing w:after="0"/>
              <w:rPr>
                <w:sz w:val="20"/>
                <w:szCs w:val="20"/>
                <w:color w:val="auto"/>
              </w:rPr>
            </w:pPr>
            <w:r>
              <w:rPr>
                <w:rFonts w:ascii="Arial" w:cs="Arial" w:eastAsia="Arial" w:hAnsi="Arial"/>
                <w:sz w:val="11"/>
                <w:szCs w:val="11"/>
                <w:b w:val="1"/>
                <w:bCs w:val="1"/>
                <w:color w:val="auto"/>
              </w:rPr>
              <w:t>2021</w:t>
            </w:r>
          </w:p>
        </w:tc>
      </w:tr>
      <w:tr>
        <w:trPr>
          <w:trHeight w:val="108"/>
        </w:trPr>
        <w:tc>
          <w:tcPr>
            <w:tcW w:w="2340" w:type="dxa"/>
            <w:vAlign w:val="bottom"/>
            <w:gridSpan w:val="5"/>
          </w:tcPr>
          <w:p>
            <w:pPr>
              <w:spacing w:after="0" w:line="108" w:lineRule="exact"/>
              <w:rPr>
                <w:sz w:val="20"/>
                <w:szCs w:val="20"/>
                <w:color w:val="auto"/>
              </w:rPr>
            </w:pPr>
            <w:r>
              <w:rPr>
                <w:rFonts w:ascii="Arial" w:cs="Arial" w:eastAsia="Arial" w:hAnsi="Arial"/>
                <w:sz w:val="11"/>
                <w:szCs w:val="11"/>
                <w:b w:val="1"/>
                <w:bCs w:val="1"/>
                <w:color w:val="auto"/>
                <w:w w:val="99"/>
              </w:rPr>
              <w:t>SELECTED BALANCE SHEET DATA (period-</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r>
      <w:tr>
        <w:trPr>
          <w:trHeight w:val="88"/>
        </w:trPr>
        <w:tc>
          <w:tcPr>
            <w:tcW w:w="24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rPr>
              <w:t>end)</w:t>
            </w:r>
          </w:p>
        </w:tc>
        <w:tc>
          <w:tcPr>
            <w:tcW w:w="2040" w:type="dxa"/>
            <w:vAlign w:val="bottom"/>
            <w:tcBorders>
              <w:top w:val="single" w:sz="8" w:color="auto"/>
            </w:tcBorders>
            <w:gridSpan w:val="3"/>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63"/>
        </w:trPr>
        <w:tc>
          <w:tcPr>
            <w:tcW w:w="2340" w:type="dxa"/>
            <w:vAlign w:val="bottom"/>
            <w:gridSpan w:val="5"/>
          </w:tcPr>
          <w:p>
            <w:pPr>
              <w:spacing w:after="0"/>
              <w:rPr>
                <w:sz w:val="20"/>
                <w:szCs w:val="20"/>
                <w:color w:val="auto"/>
              </w:rPr>
            </w:pPr>
            <w:r>
              <w:rPr>
                <w:rFonts w:ascii="Arial" w:cs="Arial" w:eastAsia="Arial" w:hAnsi="Arial"/>
                <w:sz w:val="11"/>
                <w:szCs w:val="11"/>
                <w:color w:val="auto"/>
              </w:rPr>
              <w:t>Total assets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514,085</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500,752</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500,219</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486,183</w:t>
            </w:r>
          </w:p>
        </w:tc>
        <w:tc>
          <w:tcPr>
            <w:tcW w:w="2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500,370</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3 %</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3 %</w:t>
            </w:r>
          </w:p>
        </w:tc>
        <w:tc>
          <w:tcPr>
            <w:tcW w:w="4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514,085</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500,370</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3 %</w:t>
            </w:r>
          </w:p>
        </w:tc>
      </w:tr>
      <w:tr>
        <w:trPr>
          <w:trHeight w:val="324"/>
        </w:trPr>
        <w:tc>
          <w:tcPr>
            <w:tcW w:w="2340" w:type="dxa"/>
            <w:vAlign w:val="bottom"/>
            <w:gridSpan w:val="5"/>
          </w:tcPr>
          <w:p>
            <w:pPr>
              <w:spacing w:after="0"/>
              <w:rPr>
                <w:sz w:val="20"/>
                <w:szCs w:val="20"/>
                <w:color w:val="auto"/>
              </w:rPr>
            </w:pPr>
            <w:r>
              <w:rPr>
                <w:rFonts w:ascii="Arial" w:cs="Arial" w:eastAsia="Arial" w:hAnsi="Arial"/>
                <w:sz w:val="11"/>
                <w:szCs w:val="11"/>
                <w:color w:val="auto"/>
              </w:rPr>
              <w:t>Loans:</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2"/>
        </w:trPr>
        <w:tc>
          <w:tcPr>
            <w:tcW w:w="2340" w:type="dxa"/>
            <w:vAlign w:val="bottom"/>
            <w:gridSpan w:val="5"/>
          </w:tcPr>
          <w:p>
            <w:pPr>
              <w:ind w:left="120"/>
              <w:spacing w:after="0"/>
              <w:rPr>
                <w:sz w:val="20"/>
                <w:szCs w:val="20"/>
                <w:color w:val="auto"/>
              </w:rPr>
            </w:pPr>
            <w:r>
              <w:rPr>
                <w:rFonts w:ascii="Arial" w:cs="Arial" w:eastAsia="Arial" w:hAnsi="Arial"/>
                <w:sz w:val="11"/>
                <w:szCs w:val="11"/>
                <w:color w:val="auto"/>
              </w:rPr>
              <w:t>Banking &amp; Wealth Management (a)</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29,008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30,230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31,494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32,772</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35,095</w:t>
            </w:r>
          </w:p>
        </w:tc>
        <w:tc>
          <w:tcPr>
            <w:tcW w:w="80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(17)</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29,008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35,095</w:t>
            </w:r>
          </w:p>
        </w:tc>
        <w:tc>
          <w:tcPr>
            <w:tcW w:w="24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(17)</w:t>
            </w:r>
          </w:p>
        </w:tc>
      </w:tr>
      <w:tr>
        <w:trPr>
          <w:trHeight w:val="162"/>
        </w:trPr>
        <w:tc>
          <w:tcPr>
            <w:tcW w:w="2340" w:type="dxa"/>
            <w:vAlign w:val="bottom"/>
            <w:gridSpan w:val="5"/>
          </w:tcPr>
          <w:p>
            <w:pPr>
              <w:ind w:left="120"/>
              <w:spacing w:after="0"/>
              <w:rPr>
                <w:sz w:val="20"/>
                <w:szCs w:val="20"/>
                <w:color w:val="auto"/>
              </w:rPr>
            </w:pPr>
            <w:r>
              <w:rPr>
                <w:rFonts w:ascii="Arial" w:cs="Arial" w:eastAsia="Arial" w:hAnsi="Arial"/>
                <w:sz w:val="11"/>
                <w:szCs w:val="11"/>
                <w:color w:val="auto"/>
              </w:rPr>
              <w:t>Home Lending (b)</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172,554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174,618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176,939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172,025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180,529</w:t>
            </w:r>
          </w:p>
        </w:tc>
        <w:tc>
          <w:tcPr>
            <w:tcW w:w="80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172,554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180,529</w:t>
            </w:r>
          </w:p>
        </w:tc>
        <w:tc>
          <w:tcPr>
            <w:tcW w:w="24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(4)</w:t>
            </w:r>
          </w:p>
        </w:tc>
      </w:tr>
      <w:tr>
        <w:trPr>
          <w:trHeight w:val="162"/>
        </w:trPr>
        <w:tc>
          <w:tcPr>
            <w:tcW w:w="2340" w:type="dxa"/>
            <w:vAlign w:val="bottom"/>
            <w:gridSpan w:val="5"/>
          </w:tcPr>
          <w:p>
            <w:pPr>
              <w:ind w:left="120"/>
              <w:spacing w:after="0"/>
              <w:rPr>
                <w:sz w:val="20"/>
                <w:szCs w:val="20"/>
                <w:color w:val="auto"/>
              </w:rPr>
            </w:pPr>
            <w:r>
              <w:rPr>
                <w:rFonts w:ascii="Arial" w:cs="Arial" w:eastAsia="Arial" w:hAnsi="Arial"/>
                <w:sz w:val="11"/>
                <w:szCs w:val="11"/>
                <w:color w:val="auto"/>
              </w:rPr>
              <w:t>Card Services</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185,175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170,462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165,494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152,283</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154,296</w:t>
            </w:r>
          </w:p>
        </w:tc>
        <w:tc>
          <w:tcPr>
            <w:tcW w:w="800" w:type="dxa"/>
            <w:vAlign w:val="bottom"/>
            <w:gridSpan w:val="2"/>
          </w:tcPr>
          <w:p>
            <w:pPr>
              <w:jc w:val="right"/>
              <w:ind w:right="86"/>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20</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185,175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154,296</w:t>
            </w:r>
          </w:p>
        </w:tc>
        <w:tc>
          <w:tcPr>
            <w:tcW w:w="2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20</w:t>
            </w:r>
          </w:p>
        </w:tc>
      </w:tr>
      <w:tr>
        <w:trPr>
          <w:trHeight w:val="175"/>
        </w:trPr>
        <w:tc>
          <w:tcPr>
            <w:tcW w:w="2340" w:type="dxa"/>
            <w:vAlign w:val="bottom"/>
            <w:gridSpan w:val="5"/>
          </w:tcPr>
          <w:p>
            <w:pPr>
              <w:ind w:left="120"/>
              <w:spacing w:after="0"/>
              <w:rPr>
                <w:sz w:val="20"/>
                <w:szCs w:val="20"/>
                <w:color w:val="auto"/>
              </w:rPr>
            </w:pPr>
            <w:r>
              <w:rPr>
                <w:rFonts w:ascii="Arial" w:cs="Arial" w:eastAsia="Arial" w:hAnsi="Arial"/>
                <w:sz w:val="11"/>
                <w:szCs w:val="11"/>
                <w:color w:val="auto"/>
              </w:rPr>
              <w:t>Auto</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68,191</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67,201</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67,842</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69,251</w:t>
            </w:r>
          </w:p>
        </w:tc>
        <w:tc>
          <w:tcPr>
            <w:tcW w:w="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69,138</w:t>
            </w:r>
          </w:p>
        </w:tc>
        <w:tc>
          <w:tcPr>
            <w:tcW w:w="80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5"/>
                <w:szCs w:val="15"/>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4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68,191</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69,138</w:t>
            </w:r>
          </w:p>
        </w:tc>
        <w:tc>
          <w:tcPr>
            <w:tcW w:w="240" w:type="dxa"/>
            <w:vAlign w:val="bottom"/>
          </w:tcPr>
          <w:p>
            <w:pPr>
              <w:spacing w:after="0"/>
              <w:rPr>
                <w:sz w:val="15"/>
                <w:szCs w:val="15"/>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(1)</w:t>
            </w:r>
          </w:p>
        </w:tc>
      </w:tr>
      <w:tr>
        <w:trPr>
          <w:trHeight w:val="148"/>
        </w:trPr>
        <w:tc>
          <w:tcPr>
            <w:tcW w:w="240" w:type="dxa"/>
            <w:vAlign w:val="bottom"/>
          </w:tcPr>
          <w:p>
            <w:pPr>
              <w:spacing w:after="0"/>
              <w:rPr>
                <w:sz w:val="12"/>
                <w:szCs w:val="12"/>
                <w:color w:val="auto"/>
              </w:rPr>
            </w:pPr>
          </w:p>
        </w:tc>
        <w:tc>
          <w:tcPr>
            <w:tcW w:w="2100" w:type="dxa"/>
            <w:vAlign w:val="bottom"/>
            <w:gridSpan w:val="4"/>
          </w:tcPr>
          <w:p>
            <w:pPr>
              <w:ind w:left="100"/>
              <w:spacing w:after="0"/>
              <w:rPr>
                <w:sz w:val="20"/>
                <w:szCs w:val="20"/>
                <w:color w:val="auto"/>
              </w:rPr>
            </w:pPr>
            <w:r>
              <w:rPr>
                <w:rFonts w:ascii="Arial" w:cs="Arial" w:eastAsia="Arial" w:hAnsi="Arial"/>
                <w:sz w:val="11"/>
                <w:szCs w:val="11"/>
                <w:b w:val="1"/>
                <w:bCs w:val="1"/>
                <w:color w:val="auto"/>
              </w:rPr>
              <w:t>Total loans</w:t>
            </w:r>
          </w:p>
        </w:tc>
        <w:tc>
          <w:tcPr>
            <w:tcW w:w="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454,928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442,511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441,769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426,331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439,058</w:t>
            </w:r>
          </w:p>
        </w:tc>
        <w:tc>
          <w:tcPr>
            <w:tcW w:w="80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454,928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439,058</w:t>
            </w:r>
          </w:p>
        </w:tc>
        <w:tc>
          <w:tcPr>
            <w:tcW w:w="240" w:type="dxa"/>
            <w:vAlign w:val="bottom"/>
          </w:tcPr>
          <w:p>
            <w:pPr>
              <w:spacing w:after="0"/>
              <w:rPr>
                <w:sz w:val="12"/>
                <w:szCs w:val="12"/>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4</w:t>
            </w:r>
          </w:p>
        </w:tc>
      </w:tr>
      <w:tr>
        <w:trPr>
          <w:trHeight w:val="318"/>
        </w:trPr>
        <w:tc>
          <w:tcPr>
            <w:tcW w:w="2340" w:type="dxa"/>
            <w:vAlign w:val="bottom"/>
            <w:gridSpan w:val="5"/>
          </w:tcPr>
          <w:p>
            <w:pPr>
              <w:spacing w:after="0"/>
              <w:rPr>
                <w:sz w:val="20"/>
                <w:szCs w:val="20"/>
                <w:color w:val="auto"/>
              </w:rPr>
            </w:pPr>
            <w:r>
              <w:rPr>
                <w:rFonts w:ascii="Arial" w:cs="Arial" w:eastAsia="Arial" w:hAnsi="Arial"/>
                <w:sz w:val="11"/>
                <w:szCs w:val="11"/>
                <w:color w:val="auto"/>
              </w:rPr>
              <w:t>Deposits</w:t>
            </w:r>
          </w:p>
        </w:tc>
        <w:tc>
          <w:tcPr>
            <w:tcW w:w="80" w:type="dxa"/>
            <w:vAlign w:val="bottom"/>
          </w:tcPr>
          <w:p>
            <w:pPr>
              <w:spacing w:after="0"/>
              <w:rPr>
                <w:sz w:val="24"/>
                <w:szCs w:val="2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w w:val="89"/>
              </w:rPr>
              <w:t>1,131,611</w:t>
            </w:r>
          </w:p>
        </w:tc>
        <w:tc>
          <w:tcPr>
            <w:tcW w:w="2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1,173,241</w:t>
            </w:r>
          </w:p>
        </w:tc>
        <w:tc>
          <w:tcPr>
            <w:tcW w:w="220" w:type="dxa"/>
            <w:vAlign w:val="bottom"/>
          </w:tcPr>
          <w:p>
            <w:pPr>
              <w:spacing w:after="0"/>
              <w:rPr>
                <w:sz w:val="24"/>
                <w:szCs w:val="24"/>
                <w:color w:val="auto"/>
              </w:rPr>
            </w:pPr>
          </w:p>
        </w:tc>
        <w:tc>
          <w:tcPr>
            <w:tcW w:w="620" w:type="dxa"/>
            <w:vAlign w:val="bottom"/>
            <w:gridSpan w:val="2"/>
          </w:tcPr>
          <w:p>
            <w:pPr>
              <w:jc w:val="right"/>
              <w:ind w:right="6"/>
              <w:spacing w:after="0"/>
              <w:rPr>
                <w:sz w:val="20"/>
                <w:szCs w:val="20"/>
                <w:color w:val="auto"/>
              </w:rPr>
            </w:pPr>
            <w:r>
              <w:rPr>
                <w:rFonts w:ascii="Arial" w:cs="Arial" w:eastAsia="Arial" w:hAnsi="Arial"/>
                <w:sz w:val="11"/>
                <w:szCs w:val="11"/>
                <w:color w:val="auto"/>
              </w:rPr>
              <w:t>1,178,825</w:t>
            </w:r>
          </w:p>
        </w:tc>
        <w:tc>
          <w:tcPr>
            <w:tcW w:w="200" w:type="dxa"/>
            <w:vAlign w:val="bottom"/>
          </w:tcPr>
          <w:p>
            <w:pPr>
              <w:spacing w:after="0"/>
              <w:rPr>
                <w:sz w:val="24"/>
                <w:szCs w:val="24"/>
                <w:color w:val="auto"/>
              </w:rPr>
            </w:pPr>
          </w:p>
        </w:tc>
        <w:tc>
          <w:tcPr>
            <w:tcW w:w="620" w:type="dxa"/>
            <w:vAlign w:val="bottom"/>
            <w:gridSpan w:val="2"/>
          </w:tcPr>
          <w:p>
            <w:pPr>
              <w:jc w:val="right"/>
              <w:ind w:right="6"/>
              <w:spacing w:after="0"/>
              <w:rPr>
                <w:sz w:val="20"/>
                <w:szCs w:val="20"/>
                <w:color w:val="auto"/>
              </w:rPr>
            </w:pPr>
            <w:r>
              <w:rPr>
                <w:rFonts w:ascii="Arial" w:cs="Arial" w:eastAsia="Arial" w:hAnsi="Arial"/>
                <w:sz w:val="11"/>
                <w:szCs w:val="11"/>
                <w:color w:val="auto"/>
              </w:rPr>
              <w:t>1,189,308</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1,148,110</w:t>
            </w:r>
          </w:p>
        </w:tc>
        <w:tc>
          <w:tcPr>
            <w:tcW w:w="80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24"/>
                <w:szCs w:val="2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1,131,611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93"/>
              </w:rPr>
              <w:t>1,148,110</w:t>
            </w:r>
          </w:p>
        </w:tc>
        <w:tc>
          <w:tcPr>
            <w:tcW w:w="240" w:type="dxa"/>
            <w:vAlign w:val="bottom"/>
          </w:tcPr>
          <w:p>
            <w:pPr>
              <w:spacing w:after="0"/>
              <w:rPr>
                <w:sz w:val="24"/>
                <w:szCs w:val="24"/>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(1)</w:t>
            </w:r>
          </w:p>
        </w:tc>
      </w:tr>
      <w:tr>
        <w:trPr>
          <w:trHeight w:val="162"/>
        </w:trPr>
        <w:tc>
          <w:tcPr>
            <w:tcW w:w="2340" w:type="dxa"/>
            <w:vAlign w:val="bottom"/>
            <w:gridSpan w:val="5"/>
          </w:tcPr>
          <w:p>
            <w:pPr>
              <w:spacing w:after="0"/>
              <w:rPr>
                <w:sz w:val="20"/>
                <w:szCs w:val="20"/>
                <w:color w:val="auto"/>
              </w:rPr>
            </w:pPr>
            <w:r>
              <w:rPr>
                <w:rFonts w:ascii="Arial" w:cs="Arial" w:eastAsia="Arial" w:hAnsi="Arial"/>
                <w:sz w:val="11"/>
                <w:szCs w:val="11"/>
                <w:color w:val="auto"/>
              </w:rPr>
              <w:t>Equity</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50,000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50,000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50,000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50,000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50,000</w:t>
            </w:r>
          </w:p>
        </w:tc>
        <w:tc>
          <w:tcPr>
            <w:tcW w:w="2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50,000</w:t>
            </w:r>
          </w:p>
        </w:tc>
        <w:tc>
          <w:tcPr>
            <w:tcW w:w="2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w:t>
            </w:r>
          </w:p>
        </w:tc>
      </w:tr>
      <w:tr>
        <w:trPr>
          <w:trHeight w:val="303"/>
        </w:trPr>
        <w:tc>
          <w:tcPr>
            <w:tcW w:w="2340" w:type="dxa"/>
            <w:vAlign w:val="bottom"/>
            <w:gridSpan w:val="5"/>
          </w:tcPr>
          <w:p>
            <w:pPr>
              <w:spacing w:after="0"/>
              <w:rPr>
                <w:sz w:val="20"/>
                <w:szCs w:val="20"/>
                <w:color w:val="auto"/>
              </w:rPr>
            </w:pPr>
            <w:r>
              <w:rPr>
                <w:rFonts w:ascii="Arial" w:cs="Arial" w:eastAsia="Arial" w:hAnsi="Arial"/>
                <w:sz w:val="11"/>
                <w:szCs w:val="11"/>
                <w:b w:val="1"/>
                <w:bCs w:val="1"/>
                <w:color w:val="auto"/>
              </w:rPr>
              <w:t>SELECTED BALANCE SHEET DATA</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88"/>
        </w:trPr>
        <w:tc>
          <w:tcPr>
            <w:tcW w:w="184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10"/>
                <w:szCs w:val="10"/>
                <w:b w:val="1"/>
                <w:bCs w:val="1"/>
                <w:color w:val="auto"/>
              </w:rPr>
              <w:t>(average)</w:t>
            </w:r>
          </w:p>
        </w:tc>
        <w:tc>
          <w:tcPr>
            <w:tcW w:w="50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20"/>
        </w:trPr>
        <w:tc>
          <w:tcPr>
            <w:tcW w:w="480" w:type="dxa"/>
            <w:vAlign w:val="bottom"/>
            <w:gridSpan w:val="2"/>
            <w:shd w:val="clear" w:color="auto" w:fill="000000"/>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3"/>
        </w:trPr>
        <w:tc>
          <w:tcPr>
            <w:tcW w:w="2340" w:type="dxa"/>
            <w:vAlign w:val="bottom"/>
            <w:gridSpan w:val="5"/>
          </w:tcPr>
          <w:p>
            <w:pPr>
              <w:spacing w:after="0"/>
              <w:rPr>
                <w:sz w:val="20"/>
                <w:szCs w:val="20"/>
                <w:color w:val="auto"/>
              </w:rPr>
            </w:pPr>
            <w:r>
              <w:rPr>
                <w:rFonts w:ascii="Arial" w:cs="Arial" w:eastAsia="Arial" w:hAnsi="Arial"/>
                <w:sz w:val="11"/>
                <w:szCs w:val="11"/>
                <w:color w:val="auto"/>
              </w:rPr>
              <w:t>Total assets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504,859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498,858</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496,177</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488,967</w:t>
            </w:r>
          </w:p>
        </w:tc>
        <w:tc>
          <w:tcPr>
            <w:tcW w:w="2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497,675</w:t>
            </w:r>
          </w:p>
        </w:tc>
        <w:tc>
          <w:tcPr>
            <w:tcW w:w="80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4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497,263</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489,771</w:t>
            </w:r>
          </w:p>
        </w:tc>
        <w:tc>
          <w:tcPr>
            <w:tcW w:w="2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2</w:t>
            </w:r>
          </w:p>
        </w:tc>
      </w:tr>
      <w:tr>
        <w:trPr>
          <w:trHeight w:val="324"/>
        </w:trPr>
        <w:tc>
          <w:tcPr>
            <w:tcW w:w="2340" w:type="dxa"/>
            <w:vAlign w:val="bottom"/>
            <w:gridSpan w:val="5"/>
          </w:tcPr>
          <w:p>
            <w:pPr>
              <w:spacing w:after="0"/>
              <w:rPr>
                <w:sz w:val="20"/>
                <w:szCs w:val="20"/>
                <w:color w:val="auto"/>
              </w:rPr>
            </w:pPr>
            <w:r>
              <w:rPr>
                <w:rFonts w:ascii="Arial" w:cs="Arial" w:eastAsia="Arial" w:hAnsi="Arial"/>
                <w:sz w:val="11"/>
                <w:szCs w:val="11"/>
                <w:color w:val="auto"/>
              </w:rPr>
              <w:t>Loans:</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2"/>
        </w:trPr>
        <w:tc>
          <w:tcPr>
            <w:tcW w:w="2340" w:type="dxa"/>
            <w:vAlign w:val="bottom"/>
            <w:gridSpan w:val="5"/>
          </w:tcPr>
          <w:p>
            <w:pPr>
              <w:ind w:left="120"/>
              <w:spacing w:after="0"/>
              <w:rPr>
                <w:sz w:val="20"/>
                <w:szCs w:val="20"/>
                <w:color w:val="auto"/>
              </w:rPr>
            </w:pPr>
            <w:r>
              <w:rPr>
                <w:rFonts w:ascii="Arial" w:cs="Arial" w:eastAsia="Arial" w:hAnsi="Arial"/>
                <w:sz w:val="11"/>
                <w:szCs w:val="11"/>
                <w:color w:val="auto"/>
              </w:rPr>
              <w:t>Banking &amp; Wealth Management</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29,412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30,788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32,294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33,742</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37,299</w:t>
            </w:r>
          </w:p>
        </w:tc>
        <w:tc>
          <w:tcPr>
            <w:tcW w:w="80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(21)</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31,545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44,906</w:t>
            </w:r>
          </w:p>
        </w:tc>
        <w:tc>
          <w:tcPr>
            <w:tcW w:w="24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(30)</w:t>
            </w:r>
          </w:p>
        </w:tc>
      </w:tr>
      <w:tr>
        <w:trPr>
          <w:trHeight w:val="162"/>
        </w:trPr>
        <w:tc>
          <w:tcPr>
            <w:tcW w:w="2340" w:type="dxa"/>
            <w:vAlign w:val="bottom"/>
            <w:gridSpan w:val="5"/>
          </w:tcPr>
          <w:p>
            <w:pPr>
              <w:ind w:left="120"/>
              <w:spacing w:after="0"/>
              <w:rPr>
                <w:sz w:val="20"/>
                <w:szCs w:val="20"/>
                <w:color w:val="auto"/>
              </w:rPr>
            </w:pPr>
            <w:r>
              <w:rPr>
                <w:rFonts w:ascii="Arial" w:cs="Arial" w:eastAsia="Arial" w:hAnsi="Arial"/>
                <w:sz w:val="11"/>
                <w:szCs w:val="11"/>
                <w:color w:val="auto"/>
              </w:rPr>
              <w:t>Home Lending (c)</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174,487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176,852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177,330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176,488</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183,343</w:t>
            </w:r>
          </w:p>
        </w:tc>
        <w:tc>
          <w:tcPr>
            <w:tcW w:w="80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176,285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181,049</w:t>
            </w:r>
          </w:p>
        </w:tc>
        <w:tc>
          <w:tcPr>
            <w:tcW w:w="24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(3)</w:t>
            </w:r>
          </w:p>
        </w:tc>
      </w:tr>
      <w:tr>
        <w:trPr>
          <w:trHeight w:val="162"/>
        </w:trPr>
        <w:tc>
          <w:tcPr>
            <w:tcW w:w="2340" w:type="dxa"/>
            <w:vAlign w:val="bottom"/>
            <w:gridSpan w:val="5"/>
          </w:tcPr>
          <w:p>
            <w:pPr>
              <w:ind w:left="120"/>
              <w:spacing w:after="0"/>
              <w:rPr>
                <w:sz w:val="20"/>
                <w:szCs w:val="20"/>
                <w:color w:val="auto"/>
              </w:rPr>
            </w:pPr>
            <w:r>
              <w:rPr>
                <w:rFonts w:ascii="Arial" w:cs="Arial" w:eastAsia="Arial" w:hAnsi="Arial"/>
                <w:sz w:val="11"/>
                <w:szCs w:val="11"/>
                <w:color w:val="auto"/>
              </w:rPr>
              <w:t>Card Services</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177,026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168,125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158,434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149,398</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148,471</w:t>
            </w:r>
          </w:p>
        </w:tc>
        <w:tc>
          <w:tcPr>
            <w:tcW w:w="80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19</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163,335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140,405</w:t>
            </w:r>
          </w:p>
        </w:tc>
        <w:tc>
          <w:tcPr>
            <w:tcW w:w="2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16</w:t>
            </w:r>
          </w:p>
        </w:tc>
      </w:tr>
      <w:tr>
        <w:trPr>
          <w:trHeight w:val="175"/>
        </w:trPr>
        <w:tc>
          <w:tcPr>
            <w:tcW w:w="2340" w:type="dxa"/>
            <w:vAlign w:val="bottom"/>
            <w:gridSpan w:val="5"/>
          </w:tcPr>
          <w:p>
            <w:pPr>
              <w:ind w:left="120"/>
              <w:spacing w:after="0"/>
              <w:rPr>
                <w:sz w:val="20"/>
                <w:szCs w:val="20"/>
                <w:color w:val="auto"/>
              </w:rPr>
            </w:pPr>
            <w:r>
              <w:rPr>
                <w:rFonts w:ascii="Arial" w:cs="Arial" w:eastAsia="Arial" w:hAnsi="Arial"/>
                <w:sz w:val="11"/>
                <w:szCs w:val="11"/>
                <w:color w:val="auto"/>
              </w:rPr>
              <w:t>Auto</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67,623</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66,979</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68,569</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69,250</w:t>
            </w:r>
          </w:p>
        </w:tc>
        <w:tc>
          <w:tcPr>
            <w:tcW w:w="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68,549</w:t>
            </w:r>
          </w:p>
        </w:tc>
        <w:tc>
          <w:tcPr>
            <w:tcW w:w="80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5"/>
                <w:szCs w:val="15"/>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4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68,098</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67,624</w:t>
            </w:r>
          </w:p>
        </w:tc>
        <w:tc>
          <w:tcPr>
            <w:tcW w:w="240" w:type="dxa"/>
            <w:vAlign w:val="bottom"/>
          </w:tcPr>
          <w:p>
            <w:pPr>
              <w:spacing w:after="0"/>
              <w:rPr>
                <w:sz w:val="15"/>
                <w:szCs w:val="15"/>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1</w:t>
            </w:r>
          </w:p>
        </w:tc>
      </w:tr>
      <w:tr>
        <w:trPr>
          <w:trHeight w:val="148"/>
        </w:trPr>
        <w:tc>
          <w:tcPr>
            <w:tcW w:w="240" w:type="dxa"/>
            <w:vAlign w:val="bottom"/>
          </w:tcPr>
          <w:p>
            <w:pPr>
              <w:spacing w:after="0"/>
              <w:rPr>
                <w:sz w:val="12"/>
                <w:szCs w:val="12"/>
                <w:color w:val="auto"/>
              </w:rPr>
            </w:pPr>
          </w:p>
        </w:tc>
        <w:tc>
          <w:tcPr>
            <w:tcW w:w="2100" w:type="dxa"/>
            <w:vAlign w:val="bottom"/>
            <w:gridSpan w:val="4"/>
          </w:tcPr>
          <w:p>
            <w:pPr>
              <w:ind w:left="100"/>
              <w:spacing w:after="0"/>
              <w:rPr>
                <w:sz w:val="20"/>
                <w:szCs w:val="20"/>
                <w:color w:val="auto"/>
              </w:rPr>
            </w:pPr>
            <w:r>
              <w:rPr>
                <w:rFonts w:ascii="Arial" w:cs="Arial" w:eastAsia="Arial" w:hAnsi="Arial"/>
                <w:sz w:val="11"/>
                <w:szCs w:val="11"/>
                <w:b w:val="1"/>
                <w:bCs w:val="1"/>
                <w:color w:val="auto"/>
              </w:rPr>
              <w:t>Total loans</w:t>
            </w:r>
          </w:p>
        </w:tc>
        <w:tc>
          <w:tcPr>
            <w:tcW w:w="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448,548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442,744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436,627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428,878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437,662</w:t>
            </w:r>
          </w:p>
        </w:tc>
        <w:tc>
          <w:tcPr>
            <w:tcW w:w="80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439,263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433,984</w:t>
            </w:r>
          </w:p>
        </w:tc>
        <w:tc>
          <w:tcPr>
            <w:tcW w:w="240" w:type="dxa"/>
            <w:vAlign w:val="bottom"/>
          </w:tcPr>
          <w:p>
            <w:pPr>
              <w:spacing w:after="0"/>
              <w:rPr>
                <w:sz w:val="12"/>
                <w:szCs w:val="12"/>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1</w:t>
            </w:r>
          </w:p>
        </w:tc>
      </w:tr>
      <w:tr>
        <w:trPr>
          <w:trHeight w:val="318"/>
        </w:trPr>
        <w:tc>
          <w:tcPr>
            <w:tcW w:w="2340" w:type="dxa"/>
            <w:vAlign w:val="bottom"/>
            <w:gridSpan w:val="5"/>
          </w:tcPr>
          <w:p>
            <w:pPr>
              <w:spacing w:after="0"/>
              <w:rPr>
                <w:sz w:val="20"/>
                <w:szCs w:val="20"/>
                <w:color w:val="auto"/>
              </w:rPr>
            </w:pPr>
            <w:r>
              <w:rPr>
                <w:rFonts w:ascii="Arial" w:cs="Arial" w:eastAsia="Arial" w:hAnsi="Arial"/>
                <w:sz w:val="11"/>
                <w:szCs w:val="11"/>
                <w:color w:val="auto"/>
              </w:rPr>
              <w:t>Deposits</w:t>
            </w:r>
          </w:p>
        </w:tc>
        <w:tc>
          <w:tcPr>
            <w:tcW w:w="600" w:type="dxa"/>
            <w:vAlign w:val="bottom"/>
            <w:gridSpan w:val="2"/>
          </w:tcPr>
          <w:p>
            <w:pPr>
              <w:jc w:val="right"/>
              <w:ind w:right="6"/>
              <w:spacing w:after="0"/>
              <w:rPr>
                <w:sz w:val="20"/>
                <w:szCs w:val="20"/>
                <w:color w:val="auto"/>
              </w:rPr>
            </w:pPr>
            <w:r>
              <w:rPr>
                <w:rFonts w:ascii="Arial" w:cs="Arial" w:eastAsia="Arial" w:hAnsi="Arial"/>
                <w:sz w:val="11"/>
                <w:szCs w:val="11"/>
                <w:color w:val="auto"/>
              </w:rPr>
              <w:t>1,142,523</w:t>
            </w:r>
          </w:p>
        </w:tc>
        <w:tc>
          <w:tcPr>
            <w:tcW w:w="2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1,174,227</w:t>
            </w:r>
          </w:p>
        </w:tc>
        <w:tc>
          <w:tcPr>
            <w:tcW w:w="220" w:type="dxa"/>
            <w:vAlign w:val="bottom"/>
          </w:tcPr>
          <w:p>
            <w:pPr>
              <w:spacing w:after="0"/>
              <w:rPr>
                <w:sz w:val="24"/>
                <w:szCs w:val="24"/>
                <w:color w:val="auto"/>
              </w:rPr>
            </w:pPr>
          </w:p>
        </w:tc>
        <w:tc>
          <w:tcPr>
            <w:tcW w:w="620" w:type="dxa"/>
            <w:vAlign w:val="bottom"/>
            <w:gridSpan w:val="2"/>
          </w:tcPr>
          <w:p>
            <w:pPr>
              <w:jc w:val="right"/>
              <w:ind w:right="6"/>
              <w:spacing w:after="0"/>
              <w:rPr>
                <w:sz w:val="20"/>
                <w:szCs w:val="20"/>
                <w:color w:val="auto"/>
              </w:rPr>
            </w:pPr>
            <w:r>
              <w:rPr>
                <w:rFonts w:ascii="Arial" w:cs="Arial" w:eastAsia="Arial" w:hAnsi="Arial"/>
                <w:sz w:val="11"/>
                <w:szCs w:val="11"/>
                <w:color w:val="auto"/>
              </w:rPr>
              <w:t>1,180,453</w:t>
            </w:r>
          </w:p>
        </w:tc>
        <w:tc>
          <w:tcPr>
            <w:tcW w:w="200" w:type="dxa"/>
            <w:vAlign w:val="bottom"/>
          </w:tcPr>
          <w:p>
            <w:pPr>
              <w:spacing w:after="0"/>
              <w:rPr>
                <w:sz w:val="24"/>
                <w:szCs w:val="24"/>
                <w:color w:val="auto"/>
              </w:rPr>
            </w:pPr>
          </w:p>
        </w:tc>
        <w:tc>
          <w:tcPr>
            <w:tcW w:w="620" w:type="dxa"/>
            <w:vAlign w:val="bottom"/>
            <w:gridSpan w:val="2"/>
          </w:tcPr>
          <w:p>
            <w:pPr>
              <w:jc w:val="right"/>
              <w:ind w:right="6"/>
              <w:spacing w:after="0"/>
              <w:rPr>
                <w:sz w:val="20"/>
                <w:szCs w:val="20"/>
                <w:color w:val="auto"/>
              </w:rPr>
            </w:pPr>
            <w:r>
              <w:rPr>
                <w:rFonts w:ascii="Arial" w:cs="Arial" w:eastAsia="Arial" w:hAnsi="Arial"/>
                <w:sz w:val="11"/>
                <w:szCs w:val="11"/>
                <w:color w:val="auto"/>
              </w:rPr>
              <w:t>1,153,513</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1,114,329</w:t>
            </w:r>
          </w:p>
        </w:tc>
        <w:tc>
          <w:tcPr>
            <w:tcW w:w="80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24"/>
                <w:szCs w:val="2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460" w:type="dxa"/>
            <w:vAlign w:val="bottom"/>
          </w:tcPr>
          <w:p>
            <w:pPr>
              <w:spacing w:after="0"/>
              <w:rPr>
                <w:sz w:val="24"/>
                <w:szCs w:val="24"/>
                <w:color w:val="auto"/>
              </w:rPr>
            </w:pPr>
          </w:p>
        </w:tc>
        <w:tc>
          <w:tcPr>
            <w:tcW w:w="620" w:type="dxa"/>
            <w:vAlign w:val="bottom"/>
            <w:gridSpan w:val="2"/>
          </w:tcPr>
          <w:p>
            <w:pPr>
              <w:jc w:val="right"/>
              <w:ind w:right="6"/>
              <w:spacing w:after="0"/>
              <w:rPr>
                <w:sz w:val="20"/>
                <w:szCs w:val="20"/>
                <w:color w:val="auto"/>
              </w:rPr>
            </w:pPr>
            <w:r>
              <w:rPr>
                <w:rFonts w:ascii="Arial" w:cs="Arial" w:eastAsia="Arial" w:hAnsi="Arial"/>
                <w:sz w:val="11"/>
                <w:szCs w:val="11"/>
                <w:color w:val="auto"/>
              </w:rPr>
              <w:t>1,162,680</w:t>
            </w:r>
          </w:p>
        </w:tc>
        <w:tc>
          <w:tcPr>
            <w:tcW w:w="2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1,054,956</w:t>
            </w:r>
          </w:p>
        </w:tc>
        <w:tc>
          <w:tcPr>
            <w:tcW w:w="240" w:type="dxa"/>
            <w:vAlign w:val="bottom"/>
          </w:tcPr>
          <w:p>
            <w:pPr>
              <w:spacing w:after="0"/>
              <w:rPr>
                <w:sz w:val="24"/>
                <w:szCs w:val="24"/>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10</w:t>
            </w:r>
          </w:p>
        </w:tc>
      </w:tr>
      <w:tr>
        <w:trPr>
          <w:trHeight w:val="162"/>
        </w:trPr>
        <w:tc>
          <w:tcPr>
            <w:tcW w:w="2340" w:type="dxa"/>
            <w:vAlign w:val="bottom"/>
            <w:gridSpan w:val="5"/>
          </w:tcPr>
          <w:p>
            <w:pPr>
              <w:spacing w:after="0"/>
              <w:rPr>
                <w:sz w:val="20"/>
                <w:szCs w:val="20"/>
                <w:color w:val="auto"/>
              </w:rPr>
            </w:pPr>
            <w:r>
              <w:rPr>
                <w:rFonts w:ascii="Arial" w:cs="Arial" w:eastAsia="Arial" w:hAnsi="Arial"/>
                <w:sz w:val="11"/>
                <w:szCs w:val="11"/>
                <w:color w:val="auto"/>
              </w:rPr>
              <w:t>Equity</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50,000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50,000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50,000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50,000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50,000</w:t>
            </w:r>
          </w:p>
        </w:tc>
        <w:tc>
          <w:tcPr>
            <w:tcW w:w="2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50,000</w:t>
            </w:r>
          </w:p>
        </w:tc>
        <w:tc>
          <w:tcPr>
            <w:tcW w:w="2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w:t>
            </w:r>
          </w:p>
        </w:tc>
      </w:tr>
      <w:tr>
        <w:trPr>
          <w:trHeight w:val="330"/>
        </w:trPr>
        <w:tc>
          <w:tcPr>
            <w:tcW w:w="2340" w:type="dxa"/>
            <w:vAlign w:val="bottom"/>
            <w:gridSpan w:val="5"/>
          </w:tcPr>
          <w:p>
            <w:pPr>
              <w:spacing w:after="0"/>
              <w:rPr>
                <w:sz w:val="20"/>
                <w:szCs w:val="20"/>
                <w:color w:val="auto"/>
              </w:rPr>
            </w:pPr>
            <w:r>
              <w:rPr>
                <w:rFonts w:ascii="Arial" w:cs="Arial" w:eastAsia="Arial" w:hAnsi="Arial"/>
                <w:sz w:val="11"/>
                <w:szCs w:val="11"/>
                <w:b w:val="1"/>
                <w:bCs w:val="1"/>
                <w:color w:val="auto"/>
              </w:rPr>
              <w:t>Headcount</w:t>
            </w:r>
          </w:p>
        </w:tc>
        <w:tc>
          <w:tcPr>
            <w:tcW w:w="80" w:type="dxa"/>
            <w:vAlign w:val="bottom"/>
          </w:tcPr>
          <w:p>
            <w:pPr>
              <w:spacing w:after="0"/>
              <w:rPr>
                <w:sz w:val="24"/>
                <w:szCs w:val="2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135,347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133,803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130,907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129,268</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128,863</w:t>
            </w:r>
          </w:p>
        </w:tc>
        <w:tc>
          <w:tcPr>
            <w:tcW w:w="80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24"/>
                <w:szCs w:val="2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135,347</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128,863</w:t>
            </w:r>
          </w:p>
        </w:tc>
        <w:tc>
          <w:tcPr>
            <w:tcW w:w="240" w:type="dxa"/>
            <w:vAlign w:val="bottom"/>
          </w:tcPr>
          <w:p>
            <w:pPr>
              <w:spacing w:after="0"/>
              <w:rPr>
                <w:sz w:val="24"/>
                <w:szCs w:val="24"/>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4916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80" w:right="80" w:hanging="172"/>
        <w:spacing w:after="0" w:line="249" w:lineRule="auto"/>
        <w:tabs>
          <w:tab w:leader="none" w:pos="177" w:val="left"/>
        </w:tabs>
        <w:numPr>
          <w:ilvl w:val="0"/>
          <w:numId w:val="23"/>
        </w:numPr>
        <w:rPr>
          <w:rFonts w:ascii="Arial" w:cs="Arial" w:eastAsia="Arial" w:hAnsi="Arial"/>
          <w:sz w:val="11"/>
          <w:szCs w:val="11"/>
          <w:color w:val="auto"/>
        </w:rPr>
      </w:pPr>
      <w:r>
        <w:rPr>
          <w:rFonts w:ascii="Arial" w:cs="Arial" w:eastAsia="Arial" w:hAnsi="Arial"/>
          <w:sz w:val="11"/>
          <w:szCs w:val="11"/>
          <w:color w:val="auto"/>
        </w:rPr>
        <w:t>At December 31, 2022, September 30, 2022, June 30, 2022, March 31, 2022 and December 31, 2021 included $350 million, $791 million, $1.5 billion, $2.9 billion and $5.4 billion of loans, respectively, in Business Banking under the Paycheck Protection Program (“PPP”). Refer to page 109 of the Firm’s 2021 Form 10-K for further information on the PPP.</w:t>
      </w:r>
    </w:p>
    <w:p>
      <w:pPr>
        <w:ind w:left="180" w:right="60" w:hanging="172"/>
        <w:spacing w:after="0" w:line="243" w:lineRule="auto"/>
        <w:tabs>
          <w:tab w:leader="none" w:pos="177" w:val="left"/>
        </w:tabs>
        <w:numPr>
          <w:ilvl w:val="0"/>
          <w:numId w:val="23"/>
        </w:numPr>
        <w:rPr>
          <w:rFonts w:ascii="Arial" w:cs="Arial" w:eastAsia="Arial" w:hAnsi="Arial"/>
          <w:sz w:val="11"/>
          <w:szCs w:val="11"/>
          <w:color w:val="auto"/>
        </w:rPr>
      </w:pPr>
      <w:r>
        <w:rPr>
          <w:rFonts w:ascii="Arial" w:cs="Arial" w:eastAsia="Arial" w:hAnsi="Arial"/>
          <w:sz w:val="11"/>
          <w:szCs w:val="11"/>
          <w:color w:val="auto"/>
        </w:rPr>
        <w:t>At December 31, 2022, September 30, 2022, June 30, 2022, March 31, 2022 and December 31, 2021, Home Lending loans held-for-sale and loans at fair value were $3.0 billion, $4.1 billion, $5.2 billion, $5.8 billion and $14.9 billion, respectively.</w:t>
      </w:r>
    </w:p>
    <w:p>
      <w:pPr>
        <w:ind w:left="180" w:right="80" w:hanging="172"/>
        <w:spacing w:after="0" w:line="272" w:lineRule="auto"/>
        <w:tabs>
          <w:tab w:leader="none" w:pos="171" w:val="left"/>
        </w:tabs>
        <w:numPr>
          <w:ilvl w:val="0"/>
          <w:numId w:val="23"/>
        </w:numPr>
        <w:rPr>
          <w:rFonts w:ascii="Arial" w:cs="Arial" w:eastAsia="Arial" w:hAnsi="Arial"/>
          <w:sz w:val="11"/>
          <w:szCs w:val="11"/>
          <w:color w:val="auto"/>
        </w:rPr>
      </w:pPr>
      <w:r>
        <w:rPr>
          <w:rFonts w:ascii="Arial" w:cs="Arial" w:eastAsia="Arial" w:hAnsi="Arial"/>
          <w:sz w:val="11"/>
          <w:szCs w:val="11"/>
          <w:color w:val="auto"/>
        </w:rPr>
        <w:t>Average Home Lending loans held-for sale and loans at fair value were $4.5 billion, $5.9 billion, $8.1 billion, $10.8 billion and $17.8 billion for the three months ended December 31, 2022, September 30, 2022, June 30, 2022, March 31, 2022 and December 31, 2021, respectively, and $7.3 billion and $15.4 billion for the full year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13</w:t>
      </w:r>
    </w:p>
    <w:p>
      <w:pPr>
        <w:sectPr>
          <w:pgSz w:w="11900" w:h="16838" w:orient="portrait"/>
          <w:cols w:equalWidth="0" w:num="1">
            <w:col w:w="11240"/>
          </w:cols>
          <w:pgMar w:left="320" w:top="936"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13970</wp:posOffset>
            </wp:positionV>
            <wp:extent cx="237426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CONSUMER &amp; COMMUNITY</w:t>
      </w:r>
    </w:p>
    <w:p>
      <w:pPr>
        <w:ind w:left="20"/>
        <w:spacing w:after="0"/>
        <w:rPr>
          <w:sz w:val="20"/>
          <w:szCs w:val="20"/>
          <w:color w:val="auto"/>
        </w:rPr>
      </w:pPr>
      <w:r>
        <w:rPr>
          <w:rFonts w:ascii="Arial" w:cs="Arial" w:eastAsia="Arial" w:hAnsi="Arial"/>
          <w:sz w:val="14"/>
          <w:szCs w:val="14"/>
          <w:b w:val="1"/>
          <w:bCs w:val="1"/>
          <w:color w:val="auto"/>
        </w:rPr>
        <w:t>BANKING</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2420" w:type="dxa"/>
            <w:vAlign w:val="bottom"/>
            <w:gridSpan w:val="2"/>
          </w:tcPr>
          <w:p>
            <w:pPr>
              <w:spacing w:after="0"/>
              <w:rPr>
                <w:sz w:val="20"/>
                <w:szCs w:val="20"/>
                <w:color w:val="auto"/>
              </w:rPr>
            </w:pPr>
            <w:r>
              <w:rPr>
                <w:rFonts w:ascii="Arial" w:cs="Arial" w:eastAsia="Arial" w:hAnsi="Arial"/>
                <w:sz w:val="11"/>
                <w:szCs w:val="11"/>
                <w:b w:val="1"/>
                <w:bCs w:val="1"/>
                <w:color w:val="auto"/>
              </w:rPr>
              <w:t>FINANCIAL HIGHLIGHTS, CONTINUED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9"/>
        </w:trPr>
        <w:tc>
          <w:tcPr>
            <w:tcW w:w="2420" w:type="dxa"/>
            <w:vAlign w:val="bottom"/>
            <w:gridSpan w:val="2"/>
          </w:tcPr>
          <w:p>
            <w:pPr>
              <w:spacing w:after="0"/>
              <w:rPr>
                <w:sz w:val="20"/>
                <w:szCs w:val="20"/>
                <w:color w:val="auto"/>
              </w:rPr>
            </w:pPr>
            <w:r>
              <w:rPr>
                <w:rFonts w:ascii="Arial" w:cs="Arial" w:eastAsia="Arial" w:hAnsi="Arial"/>
                <w:sz w:val="11"/>
                <w:szCs w:val="11"/>
                <w:b w:val="1"/>
                <w:bCs w:val="1"/>
                <w:color w:val="auto"/>
              </w:rPr>
              <w:t>(in millions, except ratio data)</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right"/>
              <w:ind w:right="46"/>
              <w:spacing w:after="0"/>
              <w:rPr>
                <w:sz w:val="20"/>
                <w:szCs w:val="20"/>
                <w:color w:val="auto"/>
              </w:rPr>
            </w:pPr>
            <w:r>
              <w:rPr>
                <w:rFonts w:ascii="Arial" w:cs="Arial" w:eastAsia="Arial" w:hAnsi="Arial"/>
                <w:sz w:val="11"/>
                <w:szCs w:val="11"/>
                <w:b w:val="1"/>
                <w:bCs w:val="1"/>
                <w:color w:val="auto"/>
              </w:rPr>
              <w:t>QUARTERLY TRENDS</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866"/>
              <w:spacing w:after="0"/>
              <w:rPr>
                <w:sz w:val="20"/>
                <w:szCs w:val="20"/>
                <w:color w:val="auto"/>
              </w:rPr>
            </w:pPr>
            <w:r>
              <w:rPr>
                <w:rFonts w:ascii="Arial" w:cs="Arial" w:eastAsia="Arial" w:hAnsi="Arial"/>
                <w:sz w:val="11"/>
                <w:szCs w:val="11"/>
                <w:b w:val="1"/>
                <w:bCs w:val="1"/>
                <w:color w:val="auto"/>
              </w:rPr>
              <w:t>FULL YEAR</w:t>
            </w:r>
          </w:p>
        </w:tc>
      </w:tr>
      <w:tr>
        <w:trPr>
          <w:trHeight w:val="156"/>
        </w:trPr>
        <w:tc>
          <w:tcPr>
            <w:tcW w:w="2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Borders>
              <w:bottom w:val="single" w:sz="8" w:color="auto"/>
            </w:tcBorders>
            <w:gridSpan w:val="3"/>
          </w:tcPr>
          <w:p>
            <w:pPr>
              <w:jc w:val="right"/>
              <w:ind w:right="306"/>
              <w:spacing w:after="0"/>
              <w:rPr>
                <w:sz w:val="20"/>
                <w:szCs w:val="20"/>
                <w:color w:val="auto"/>
              </w:rPr>
            </w:pPr>
            <w:r>
              <w:rPr>
                <w:rFonts w:ascii="Arial" w:cs="Arial" w:eastAsia="Arial" w:hAnsi="Arial"/>
                <w:sz w:val="11"/>
                <w:szCs w:val="11"/>
                <w:b w:val="1"/>
                <w:bCs w:val="1"/>
                <w:color w:val="auto"/>
              </w:rPr>
              <w:t>4Q22 Change</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2022 Change</w:t>
            </w:r>
          </w:p>
        </w:tc>
      </w:tr>
      <w:tr>
        <w:trPr>
          <w:trHeight w:val="155"/>
        </w:trPr>
        <w:tc>
          <w:tcPr>
            <w:tcW w:w="2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4Q22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3Q22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2Q22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86"/>
              <w:spacing w:after="0"/>
              <w:rPr>
                <w:sz w:val="20"/>
                <w:szCs w:val="20"/>
                <w:color w:val="auto"/>
              </w:rPr>
            </w:pPr>
            <w:r>
              <w:rPr>
                <w:rFonts w:ascii="Arial" w:cs="Arial" w:eastAsia="Arial" w:hAnsi="Arial"/>
                <w:sz w:val="11"/>
                <w:szCs w:val="11"/>
                <w:b w:val="1"/>
                <w:bCs w:val="1"/>
                <w:color w:val="auto"/>
              </w:rPr>
              <w:t>1Q22</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4Q21</w:t>
            </w:r>
          </w:p>
        </w:tc>
        <w:tc>
          <w:tcPr>
            <w:tcW w:w="24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3Q22</w:t>
            </w:r>
          </w:p>
        </w:tc>
        <w:tc>
          <w:tcPr>
            <w:tcW w:w="96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4Q21</w:t>
            </w:r>
          </w:p>
        </w:tc>
        <w:tc>
          <w:tcPr>
            <w:tcW w:w="140" w:type="dxa"/>
            <w:vAlign w:val="bottom"/>
          </w:tcPr>
          <w:p>
            <w:pPr>
              <w:spacing w:after="0"/>
              <w:rPr>
                <w:sz w:val="13"/>
                <w:szCs w:val="13"/>
                <w:color w:val="auto"/>
              </w:rPr>
            </w:pPr>
          </w:p>
        </w:tc>
        <w:tc>
          <w:tcPr>
            <w:tcW w:w="460" w:type="dxa"/>
            <w:vAlign w:val="bottom"/>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rPr>
              <w:t>2021</w:t>
            </w:r>
          </w:p>
        </w:tc>
        <w:tc>
          <w:tcPr>
            <w:tcW w:w="100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2021</w:t>
            </w:r>
          </w:p>
        </w:tc>
      </w:tr>
      <w:tr>
        <w:trPr>
          <w:trHeight w:val="108"/>
        </w:trPr>
        <w:tc>
          <w:tcPr>
            <w:tcW w:w="2140" w:type="dxa"/>
            <w:vAlign w:val="bottom"/>
            <w:tcBorders>
              <w:bottom w:val="single" w:sz="8" w:color="auto"/>
            </w:tcBorders>
          </w:tcPr>
          <w:p>
            <w:pPr>
              <w:spacing w:after="0" w:line="108" w:lineRule="exact"/>
              <w:rPr>
                <w:sz w:val="20"/>
                <w:szCs w:val="20"/>
                <w:color w:val="auto"/>
              </w:rPr>
            </w:pPr>
            <w:r>
              <w:rPr>
                <w:rFonts w:ascii="Arial" w:cs="Arial" w:eastAsia="Arial" w:hAnsi="Arial"/>
                <w:sz w:val="11"/>
                <w:szCs w:val="11"/>
                <w:b w:val="1"/>
                <w:bCs w:val="1"/>
                <w:color w:val="auto"/>
                <w:w w:val="96"/>
              </w:rPr>
              <w:t>CREDIT DATA AND QUALITY STATISTICS</w:t>
            </w:r>
          </w:p>
        </w:tc>
        <w:tc>
          <w:tcPr>
            <w:tcW w:w="2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r>
      <w:tr>
        <w:trPr>
          <w:trHeight w:val="163"/>
        </w:trPr>
        <w:tc>
          <w:tcPr>
            <w:tcW w:w="2420" w:type="dxa"/>
            <w:vAlign w:val="bottom"/>
            <w:gridSpan w:val="2"/>
          </w:tcPr>
          <w:p>
            <w:pPr>
              <w:spacing w:after="0"/>
              <w:rPr>
                <w:sz w:val="20"/>
                <w:szCs w:val="20"/>
                <w:color w:val="auto"/>
              </w:rPr>
            </w:pPr>
            <w:r>
              <w:rPr>
                <w:rFonts w:ascii="Arial" w:cs="Arial" w:eastAsia="Arial" w:hAnsi="Arial"/>
                <w:sz w:val="11"/>
                <w:szCs w:val="11"/>
                <w:color w:val="auto"/>
              </w:rPr>
              <w:t>Nonaccrual loans (a)(b)(c)</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3,899</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3,936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4,217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4,531</w:t>
            </w: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4,875</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w:t>
            </w:r>
          </w:p>
        </w:tc>
        <w:tc>
          <w:tcPr>
            <w:tcW w:w="38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3,899</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4,875</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(20)%</w:t>
            </w:r>
          </w:p>
        </w:tc>
      </w:tr>
      <w:tr>
        <w:trPr>
          <w:trHeight w:val="162"/>
        </w:trPr>
        <w:tc>
          <w:tcPr>
            <w:tcW w:w="2420" w:type="dxa"/>
            <w:vAlign w:val="bottom"/>
            <w:gridSpan w:val="2"/>
          </w:tcPr>
          <w:p>
            <w:pPr>
              <w:spacing w:after="0"/>
              <w:rPr>
                <w:sz w:val="20"/>
                <w:szCs w:val="20"/>
                <w:color w:val="auto"/>
              </w:rPr>
            </w:pPr>
            <w:r>
              <w:rPr>
                <w:rFonts w:ascii="Arial" w:cs="Arial" w:eastAsia="Arial" w:hAnsi="Arial"/>
                <w:sz w:val="11"/>
                <w:szCs w:val="11"/>
                <w:color w:val="auto"/>
              </w:rPr>
              <w:t>Net charge-offs/(recoveries)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Banking &amp; Wealth Management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89</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86</w:t>
            </w:r>
          </w:p>
        </w:tc>
        <w:tc>
          <w:tcPr>
            <w:tcW w:w="800" w:type="dxa"/>
            <w:vAlign w:val="bottom"/>
            <w:gridSpan w:val="2"/>
          </w:tcPr>
          <w:p>
            <w:pPr>
              <w:jc w:val="right"/>
              <w:ind w:right="66"/>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370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289</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28</w:t>
            </w:r>
          </w:p>
        </w:tc>
      </w:tr>
      <w:tr>
        <w:trPr>
          <w:trHeight w:val="16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Home Lending</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(69)</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(71)</w:t>
            </w:r>
          </w:p>
        </w:tc>
        <w:tc>
          <w:tcPr>
            <w:tcW w:w="800" w:type="dxa"/>
            <w:vAlign w:val="bottom"/>
            <w:gridSpan w:val="2"/>
          </w:tcPr>
          <w:p>
            <w:pPr>
              <w:jc w:val="right"/>
              <w:ind w:right="86"/>
              <w:spacing w:after="0"/>
              <w:rPr>
                <w:sz w:val="20"/>
                <w:szCs w:val="20"/>
                <w:color w:val="auto"/>
              </w:rPr>
            </w:pPr>
            <w:r>
              <w:rPr>
                <w:rFonts w:ascii="Arial" w:cs="Arial" w:eastAsia="Arial" w:hAnsi="Arial"/>
                <w:sz w:val="11"/>
                <w:szCs w:val="11"/>
                <w:color w:val="auto"/>
              </w:rPr>
              <w:t>44</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54</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(229)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(275)</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17</w:t>
            </w:r>
          </w:p>
        </w:tc>
      </w:tr>
      <w:tr>
        <w:trPr>
          <w:trHeight w:val="16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Card Services</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725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592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580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506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479</w:t>
            </w:r>
          </w:p>
        </w:tc>
        <w:tc>
          <w:tcPr>
            <w:tcW w:w="800" w:type="dxa"/>
            <w:vAlign w:val="bottom"/>
            <w:gridSpan w:val="2"/>
          </w:tcPr>
          <w:p>
            <w:pPr>
              <w:jc w:val="right"/>
              <w:ind w:right="86"/>
              <w:spacing w:after="0"/>
              <w:rPr>
                <w:sz w:val="20"/>
                <w:szCs w:val="20"/>
                <w:color w:val="auto"/>
              </w:rPr>
            </w:pPr>
            <w:r>
              <w:rPr>
                <w:rFonts w:ascii="Arial" w:cs="Arial" w:eastAsia="Arial" w:hAnsi="Arial"/>
                <w:sz w:val="11"/>
                <w:szCs w:val="11"/>
                <w:color w:val="auto"/>
              </w:rPr>
              <w:t>22</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51</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2,403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2,712</w:t>
            </w:r>
          </w:p>
        </w:tc>
        <w:tc>
          <w:tcPr>
            <w:tcW w:w="1000" w:type="dxa"/>
            <w:vAlign w:val="bottom"/>
            <w:gridSpan w:val="2"/>
          </w:tcPr>
          <w:p>
            <w:pPr>
              <w:jc w:val="right"/>
              <w:ind w:right="66"/>
              <w:spacing w:after="0"/>
              <w:rPr>
                <w:sz w:val="20"/>
                <w:szCs w:val="20"/>
                <w:color w:val="auto"/>
              </w:rPr>
            </w:pPr>
            <w:r>
              <w:rPr>
                <w:rFonts w:ascii="Arial" w:cs="Arial" w:eastAsia="Arial" w:hAnsi="Arial"/>
                <w:sz w:val="11"/>
                <w:szCs w:val="11"/>
                <w:color w:val="auto"/>
              </w:rPr>
              <w:t>(11)</w:t>
            </w:r>
          </w:p>
        </w:tc>
      </w:tr>
      <w:tr>
        <w:trPr>
          <w:trHeight w:val="175"/>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58</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41</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21</w:t>
            </w:r>
          </w:p>
        </w:tc>
        <w:tc>
          <w:tcPr>
            <w:tcW w:w="800" w:type="dxa"/>
            <w:vAlign w:val="bottom"/>
            <w:gridSpan w:val="2"/>
          </w:tcPr>
          <w:p>
            <w:pPr>
              <w:jc w:val="right"/>
              <w:ind w:right="86"/>
              <w:spacing w:after="0"/>
              <w:rPr>
                <w:sz w:val="20"/>
                <w:szCs w:val="20"/>
                <w:color w:val="auto"/>
              </w:rPr>
            </w:pPr>
            <w:r>
              <w:rPr>
                <w:rFonts w:ascii="Arial" w:cs="Arial" w:eastAsia="Arial" w:hAnsi="Arial"/>
                <w:sz w:val="11"/>
                <w:szCs w:val="11"/>
                <w:color w:val="auto"/>
              </w:rPr>
              <w:t>41</w:t>
            </w:r>
          </w:p>
        </w:tc>
        <w:tc>
          <w:tcPr>
            <w:tcW w:w="240" w:type="dxa"/>
            <w:vAlign w:val="bottom"/>
          </w:tcPr>
          <w:p>
            <w:pPr>
              <w:spacing w:after="0"/>
              <w:rPr>
                <w:sz w:val="15"/>
                <w:szCs w:val="15"/>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176</w:t>
            </w: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144</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35</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311</w:t>
            </w:r>
          </w:p>
        </w:tc>
      </w:tr>
      <w:tr>
        <w:trPr>
          <w:trHeight w:val="148"/>
        </w:trPr>
        <w:tc>
          <w:tcPr>
            <w:tcW w:w="2420" w:type="dxa"/>
            <w:vAlign w:val="bottom"/>
            <w:gridSpan w:val="2"/>
          </w:tcPr>
          <w:p>
            <w:pPr>
              <w:ind w:left="340"/>
              <w:spacing w:after="0"/>
              <w:rPr>
                <w:sz w:val="20"/>
                <w:szCs w:val="20"/>
                <w:color w:val="auto"/>
              </w:rPr>
            </w:pPr>
            <w:r>
              <w:rPr>
                <w:rFonts w:ascii="Arial" w:cs="Arial" w:eastAsia="Arial" w:hAnsi="Arial"/>
                <w:sz w:val="11"/>
                <w:szCs w:val="11"/>
                <w:b w:val="1"/>
                <w:bCs w:val="1"/>
                <w:color w:val="auto"/>
              </w:rPr>
              <w:t>Total net charge-offs/(recoveries)</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845</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679</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611</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553</w:t>
            </w:r>
          </w:p>
        </w:tc>
        <w:tc>
          <w:tcPr>
            <w:tcW w:w="38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515</w:t>
            </w:r>
          </w:p>
        </w:tc>
        <w:tc>
          <w:tcPr>
            <w:tcW w:w="800" w:type="dxa"/>
            <w:vAlign w:val="bottom"/>
            <w:gridSpan w:val="2"/>
          </w:tcPr>
          <w:p>
            <w:pPr>
              <w:jc w:val="right"/>
              <w:ind w:right="86"/>
              <w:spacing w:after="0"/>
              <w:rPr>
                <w:sz w:val="20"/>
                <w:szCs w:val="20"/>
                <w:color w:val="auto"/>
              </w:rPr>
            </w:pPr>
            <w:r>
              <w:rPr>
                <w:rFonts w:ascii="Arial" w:cs="Arial" w:eastAsia="Arial" w:hAnsi="Arial"/>
                <w:sz w:val="11"/>
                <w:szCs w:val="11"/>
                <w:color w:val="auto"/>
              </w:rPr>
              <w:t>24</w:t>
            </w:r>
          </w:p>
        </w:tc>
        <w:tc>
          <w:tcPr>
            <w:tcW w:w="24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64</w:t>
            </w:r>
          </w:p>
        </w:tc>
        <w:tc>
          <w:tcPr>
            <w:tcW w:w="38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2,688</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2,761</w:t>
            </w:r>
          </w:p>
        </w:tc>
        <w:tc>
          <w:tcPr>
            <w:tcW w:w="100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r>
      <w:tr>
        <w:trPr>
          <w:trHeight w:val="156"/>
        </w:trPr>
        <w:tc>
          <w:tcPr>
            <w:tcW w:w="2420" w:type="dxa"/>
            <w:vAlign w:val="bottom"/>
            <w:gridSpan w:val="2"/>
          </w:tcPr>
          <w:p>
            <w:pPr>
              <w:spacing w:after="0"/>
              <w:rPr>
                <w:sz w:val="20"/>
                <w:szCs w:val="20"/>
                <w:color w:val="auto"/>
              </w:rPr>
            </w:pPr>
            <w:r>
              <w:rPr>
                <w:rFonts w:ascii="Arial" w:cs="Arial" w:eastAsia="Arial" w:hAnsi="Arial"/>
                <w:sz w:val="11"/>
                <w:szCs w:val="11"/>
                <w:color w:val="auto"/>
              </w:rPr>
              <w:t>Net charge-off/(recovery) rate</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Banking &amp; Wealth Management (d)</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1.28</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1.35</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1.01</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1.07</w:t>
            </w:r>
          </w:p>
        </w:tc>
        <w:tc>
          <w:tcPr>
            <w:tcW w:w="2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0.91</w:t>
            </w:r>
          </w:p>
        </w:tc>
        <w:tc>
          <w:tcPr>
            <w:tcW w:w="240" w:type="dxa"/>
            <w:vAlign w:val="bottom"/>
          </w:tcPr>
          <w:p>
            <w:pPr>
              <w:jc w:val="right"/>
              <w:ind w:right="86"/>
              <w:spacing w:after="0"/>
              <w:rPr>
                <w:sz w:val="20"/>
                <w:szCs w:val="20"/>
                <w:color w:val="auto"/>
              </w:rPr>
            </w:pPr>
            <w:r>
              <w:rPr>
                <w:rFonts w:ascii="Arial" w:cs="Arial" w:eastAsia="Arial" w:hAnsi="Arial"/>
                <w:sz w:val="11"/>
                <w:szCs w:val="11"/>
                <w:color w:val="auto"/>
                <w:w w:val="81"/>
              </w:rPr>
              <w: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1.17</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0.64</w:t>
            </w:r>
          </w:p>
        </w:tc>
        <w:tc>
          <w:tcPr>
            <w:tcW w:w="240" w:type="dxa"/>
            <w:vAlign w:val="bottom"/>
          </w:tcPr>
          <w:p>
            <w:pPr>
              <w:jc w:val="right"/>
              <w:ind w:right="86"/>
              <w:spacing w:after="0"/>
              <w:rPr>
                <w:sz w:val="20"/>
                <w:szCs w:val="20"/>
                <w:color w:val="auto"/>
              </w:rPr>
            </w:pPr>
            <w:r>
              <w:rPr>
                <w:rFonts w:ascii="Arial" w:cs="Arial" w:eastAsia="Arial" w:hAnsi="Arial"/>
                <w:sz w:val="11"/>
                <w:szCs w:val="11"/>
                <w:color w:val="auto"/>
                <w:w w:val="81"/>
              </w:rPr>
              <w:t>%</w:t>
            </w:r>
          </w:p>
        </w:tc>
        <w:tc>
          <w:tcPr>
            <w:tcW w:w="760" w:type="dxa"/>
            <w:vAlign w:val="bottom"/>
          </w:tcPr>
          <w:p>
            <w:pPr>
              <w:spacing w:after="0"/>
              <w:rPr>
                <w:sz w:val="14"/>
                <w:szCs w:val="14"/>
                <w:color w:val="auto"/>
              </w:rPr>
            </w:pPr>
          </w:p>
        </w:tc>
      </w:tr>
      <w:tr>
        <w:trPr>
          <w:trHeight w:val="16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Home Lending</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(0.08)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(0.16)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(0.17)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(0.17)</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(0.17)</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Card Services</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1.62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1.37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1.28</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1.94</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0.34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0.24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0.11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0.16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0.12</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0.21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0.05</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2420" w:type="dxa"/>
            <w:vAlign w:val="bottom"/>
            <w:gridSpan w:val="2"/>
          </w:tcPr>
          <w:p>
            <w:pPr>
              <w:ind w:left="340"/>
              <w:spacing w:after="0"/>
              <w:rPr>
                <w:sz w:val="20"/>
                <w:szCs w:val="20"/>
                <w:color w:val="auto"/>
              </w:rPr>
            </w:pPr>
            <w:r>
              <w:rPr>
                <w:rFonts w:ascii="Arial" w:cs="Arial" w:eastAsia="Arial" w:hAnsi="Arial"/>
                <w:sz w:val="11"/>
                <w:szCs w:val="11"/>
                <w:b w:val="1"/>
                <w:bCs w:val="1"/>
                <w:color w:val="auto"/>
              </w:rPr>
              <w:t>Total net charge-off/(recovery) rate</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0.75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0.62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0.57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0.54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0.49</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0.62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0.66</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0"/>
        </w:trPr>
        <w:tc>
          <w:tcPr>
            <w:tcW w:w="2420" w:type="dxa"/>
            <w:vAlign w:val="bottom"/>
            <w:gridSpan w:val="2"/>
          </w:tcPr>
          <w:p>
            <w:pPr>
              <w:spacing w:after="0"/>
              <w:rPr>
                <w:sz w:val="20"/>
                <w:szCs w:val="20"/>
                <w:color w:val="auto"/>
              </w:rPr>
            </w:pPr>
            <w:r>
              <w:rPr>
                <w:rFonts w:ascii="Arial" w:cs="Arial" w:eastAsia="Arial" w:hAnsi="Arial"/>
                <w:sz w:val="11"/>
                <w:szCs w:val="11"/>
                <w:color w:val="auto"/>
              </w:rPr>
              <w:t>30+ day delinquency rate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6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Home Lending (e)(f)</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0.83</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0.78</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0.85</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1.03</w:t>
            </w:r>
          </w:p>
        </w:tc>
        <w:tc>
          <w:tcPr>
            <w:tcW w:w="2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1.25</w:t>
            </w:r>
          </w:p>
        </w:tc>
        <w:tc>
          <w:tcPr>
            <w:tcW w:w="240" w:type="dxa"/>
            <w:vAlign w:val="bottom"/>
          </w:tcPr>
          <w:p>
            <w:pPr>
              <w:jc w:val="right"/>
              <w:ind w:right="86"/>
              <w:spacing w:after="0"/>
              <w:rPr>
                <w:sz w:val="20"/>
                <w:szCs w:val="20"/>
                <w:color w:val="auto"/>
              </w:rPr>
            </w:pPr>
            <w:r>
              <w:rPr>
                <w:rFonts w:ascii="Arial" w:cs="Arial" w:eastAsia="Arial" w:hAnsi="Arial"/>
                <w:sz w:val="11"/>
                <w:szCs w:val="11"/>
                <w:color w:val="auto"/>
                <w:w w:val="81"/>
              </w:rPr>
              <w: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0.83</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1.25</w:t>
            </w:r>
          </w:p>
        </w:tc>
        <w:tc>
          <w:tcPr>
            <w:tcW w:w="240" w:type="dxa"/>
            <w:vAlign w:val="bottom"/>
          </w:tcPr>
          <w:p>
            <w:pPr>
              <w:jc w:val="right"/>
              <w:ind w:right="86"/>
              <w:spacing w:after="0"/>
              <w:rPr>
                <w:sz w:val="20"/>
                <w:szCs w:val="20"/>
                <w:color w:val="auto"/>
              </w:rPr>
            </w:pPr>
            <w:r>
              <w:rPr>
                <w:rFonts w:ascii="Arial" w:cs="Arial" w:eastAsia="Arial" w:hAnsi="Arial"/>
                <w:sz w:val="11"/>
                <w:szCs w:val="11"/>
                <w:color w:val="auto"/>
                <w:w w:val="81"/>
              </w:rPr>
              <w:t>%</w:t>
            </w:r>
          </w:p>
        </w:tc>
        <w:tc>
          <w:tcPr>
            <w:tcW w:w="760" w:type="dxa"/>
            <w:vAlign w:val="bottom"/>
          </w:tcPr>
          <w:p>
            <w:pPr>
              <w:spacing w:after="0"/>
              <w:rPr>
                <w:sz w:val="14"/>
                <w:szCs w:val="14"/>
                <w:color w:val="auto"/>
              </w:rPr>
            </w:pPr>
          </w:p>
        </w:tc>
      </w:tr>
      <w:tr>
        <w:trPr>
          <w:trHeight w:val="16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Card Services</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1.09</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1.04</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1.04</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0.75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0.69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0.57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0.64</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0.64</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1"/>
                <w:szCs w:val="11"/>
                <w:color w:val="auto"/>
              </w:rPr>
              <w:t>90+ day delinquency rate - Card Services</w:t>
            </w:r>
          </w:p>
        </w:tc>
        <w:tc>
          <w:tcPr>
            <w:tcW w:w="120" w:type="dxa"/>
            <w:vAlign w:val="bottom"/>
          </w:tcPr>
          <w:p>
            <w:pPr>
              <w:spacing w:after="0"/>
              <w:rPr>
                <w:sz w:val="18"/>
                <w:szCs w:val="18"/>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0.68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0.57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0.51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0.54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0.50</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0.68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0.50</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1"/>
                <w:szCs w:val="11"/>
                <w:color w:val="auto"/>
              </w:rPr>
              <w:t>Allowance for loan losses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6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Banking &amp; Wealth Management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722</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722</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697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697</w:t>
            </w: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697</w:t>
            </w:r>
          </w:p>
        </w:tc>
        <w:tc>
          <w:tcPr>
            <w:tcW w:w="24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38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722</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697</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r>
      <w:tr>
        <w:trPr>
          <w:trHeight w:val="16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Home Lending</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867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667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785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785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660</w:t>
            </w:r>
          </w:p>
        </w:tc>
        <w:tc>
          <w:tcPr>
            <w:tcW w:w="800" w:type="dxa"/>
            <w:vAlign w:val="bottom"/>
            <w:gridSpan w:val="2"/>
          </w:tcPr>
          <w:p>
            <w:pPr>
              <w:jc w:val="right"/>
              <w:ind w:right="86"/>
              <w:spacing w:after="0"/>
              <w:rPr>
                <w:sz w:val="20"/>
                <w:szCs w:val="20"/>
                <w:color w:val="auto"/>
              </w:rPr>
            </w:pPr>
            <w:r>
              <w:rPr>
                <w:rFonts w:ascii="Arial" w:cs="Arial" w:eastAsia="Arial" w:hAnsi="Arial"/>
                <w:sz w:val="11"/>
                <w:szCs w:val="11"/>
                <w:color w:val="auto"/>
              </w:rPr>
              <w:t>30</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31</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867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660</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31</w:t>
            </w:r>
          </w:p>
        </w:tc>
      </w:tr>
      <w:tr>
        <w:trPr>
          <w:trHeight w:val="16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Card Services</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11,200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10,400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10,400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10,250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10,250</w:t>
            </w:r>
          </w:p>
        </w:tc>
        <w:tc>
          <w:tcPr>
            <w:tcW w:w="80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11,200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10,250</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9</w:t>
            </w:r>
          </w:p>
        </w:tc>
      </w:tr>
      <w:tr>
        <w:trPr>
          <w:trHeight w:val="175"/>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715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715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740</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738</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733</w:t>
            </w:r>
          </w:p>
        </w:tc>
        <w:tc>
          <w:tcPr>
            <w:tcW w:w="240" w:type="dxa"/>
            <w:vAlign w:val="bottom"/>
          </w:tcPr>
          <w:p>
            <w:pPr>
              <w:spacing w:after="0"/>
              <w:rPr>
                <w:sz w:val="15"/>
                <w:szCs w:val="15"/>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715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733</w:t>
            </w:r>
          </w:p>
        </w:tc>
        <w:tc>
          <w:tcPr>
            <w:tcW w:w="100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r>
      <w:tr>
        <w:trPr>
          <w:trHeight w:val="156"/>
        </w:trPr>
        <w:tc>
          <w:tcPr>
            <w:tcW w:w="2420" w:type="dxa"/>
            <w:vAlign w:val="bottom"/>
            <w:gridSpan w:val="2"/>
          </w:tcPr>
          <w:p>
            <w:pPr>
              <w:ind w:left="200"/>
              <w:spacing w:after="0"/>
              <w:rPr>
                <w:sz w:val="20"/>
                <w:szCs w:val="20"/>
                <w:color w:val="auto"/>
              </w:rPr>
            </w:pPr>
            <w:r>
              <w:rPr>
                <w:rFonts w:ascii="Arial" w:cs="Arial" w:eastAsia="Arial" w:hAnsi="Arial"/>
                <w:sz w:val="11"/>
                <w:szCs w:val="11"/>
                <w:b w:val="1"/>
                <w:bCs w:val="1"/>
                <w:color w:val="auto"/>
              </w:rPr>
              <w:t>Total allowance for loan losses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13,504</w:t>
            </w:r>
          </w:p>
        </w:tc>
        <w:tc>
          <w:tcPr>
            <w:tcW w:w="24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12,504</w:t>
            </w:r>
          </w:p>
        </w:tc>
        <w:tc>
          <w:tcPr>
            <w:tcW w:w="24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12,622</w:t>
            </w:r>
          </w:p>
        </w:tc>
        <w:tc>
          <w:tcPr>
            <w:tcW w:w="24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12,470</w:t>
            </w:r>
          </w:p>
        </w:tc>
        <w:tc>
          <w:tcPr>
            <w:tcW w:w="26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12,340</w:t>
            </w:r>
          </w:p>
        </w:tc>
        <w:tc>
          <w:tcPr>
            <w:tcW w:w="80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380" w:type="dxa"/>
            <w:vAlign w:val="bottom"/>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13,504</w:t>
            </w:r>
          </w:p>
        </w:tc>
        <w:tc>
          <w:tcPr>
            <w:tcW w:w="24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12,340</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5430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372" w:lineRule="exact"/>
        <w:rPr>
          <w:sz w:val="20"/>
          <w:szCs w:val="20"/>
          <w:color w:val="auto"/>
        </w:rPr>
      </w:pPr>
    </w:p>
    <w:p>
      <w:pPr>
        <w:ind w:left="180" w:right="40" w:hanging="172"/>
        <w:spacing w:after="0" w:line="253" w:lineRule="auto"/>
        <w:tabs>
          <w:tab w:leader="none" w:pos="177" w:val="left"/>
        </w:tabs>
        <w:numPr>
          <w:ilvl w:val="0"/>
          <w:numId w:val="24"/>
        </w:numPr>
        <w:rPr>
          <w:rFonts w:ascii="Arial" w:cs="Arial" w:eastAsia="Arial" w:hAnsi="Arial"/>
          <w:sz w:val="11"/>
          <w:szCs w:val="11"/>
          <w:color w:val="auto"/>
        </w:rPr>
      </w:pPr>
      <w:r>
        <w:rPr>
          <w:rFonts w:ascii="Arial" w:cs="Arial" w:eastAsia="Arial" w:hAnsi="Arial"/>
          <w:sz w:val="11"/>
          <w:szCs w:val="11"/>
          <w:color w:val="auto"/>
        </w:rPr>
        <w:t>At December 31, 2022, September 30, 2022, June 30, 2022, March 31, 2022 and December 31, 2021, nonaccrual loans excluded mortgage loans 90 or more days past due and insured by U.S. government agencies of $187 million, $219 million, $257 million, $315 million and $342 million, respectively. These amounts have been excluded based upon the government guarantee. In addition, the Firm’s policy is generally to exempt credit card loans from being placed on nonaccrual status as permitted by regulatory guidance.</w:t>
      </w:r>
    </w:p>
    <w:p>
      <w:pPr>
        <w:spacing w:after="0" w:line="1" w:lineRule="exact"/>
        <w:rPr>
          <w:rFonts w:ascii="Arial" w:cs="Arial" w:eastAsia="Arial" w:hAnsi="Arial"/>
          <w:sz w:val="11"/>
          <w:szCs w:val="11"/>
          <w:color w:val="auto"/>
        </w:rPr>
      </w:pPr>
    </w:p>
    <w:p>
      <w:pPr>
        <w:ind w:left="180" w:right="200" w:hanging="172"/>
        <w:spacing w:after="0" w:line="243" w:lineRule="auto"/>
        <w:tabs>
          <w:tab w:leader="none" w:pos="177" w:val="left"/>
        </w:tabs>
        <w:numPr>
          <w:ilvl w:val="0"/>
          <w:numId w:val="24"/>
        </w:numPr>
        <w:rPr>
          <w:rFonts w:ascii="Arial" w:cs="Arial" w:eastAsia="Arial" w:hAnsi="Arial"/>
          <w:sz w:val="11"/>
          <w:szCs w:val="11"/>
          <w:color w:val="auto"/>
        </w:rPr>
      </w:pPr>
      <w:r>
        <w:rPr>
          <w:rFonts w:ascii="Arial" w:cs="Arial" w:eastAsia="Arial" w:hAnsi="Arial"/>
          <w:sz w:val="11"/>
          <w:szCs w:val="11"/>
          <w:color w:val="auto"/>
        </w:rPr>
        <w:t>At December 31, 2022, September 30, 2022, June 30, 2022, March 31, 2022 and December 31, 2021, nonaccrual loans excluded $101 million, $57 million, $86 million, $179 million and $506 million of PPP loans 90 or more days past due and guaranteed by the SBA, respectively.</w:t>
      </w:r>
    </w:p>
    <w:p>
      <w:pPr>
        <w:ind w:left="180" w:right="240" w:hanging="172"/>
        <w:spacing w:after="0" w:line="243" w:lineRule="auto"/>
        <w:tabs>
          <w:tab w:leader="none" w:pos="171" w:val="left"/>
        </w:tabs>
        <w:numPr>
          <w:ilvl w:val="0"/>
          <w:numId w:val="24"/>
        </w:numPr>
        <w:rPr>
          <w:rFonts w:ascii="Arial" w:cs="Arial" w:eastAsia="Arial" w:hAnsi="Arial"/>
          <w:sz w:val="11"/>
          <w:szCs w:val="11"/>
          <w:color w:val="auto"/>
        </w:rPr>
      </w:pPr>
      <w:r>
        <w:rPr>
          <w:rFonts w:ascii="Arial" w:cs="Arial" w:eastAsia="Arial" w:hAnsi="Arial"/>
          <w:sz w:val="11"/>
          <w:szCs w:val="11"/>
          <w:color w:val="auto"/>
        </w:rPr>
        <w:t>Generally excludes loans that were under payment deferral programs offered in response to the COVID-19 pandemic. Includes loans to customers that have exited COVID-19 payment deferral programs and are 90 or more days past due, predominantly all of which were considered collateral-dependent at time of exit.</w:t>
      </w:r>
    </w:p>
    <w:p>
      <w:pPr>
        <w:ind w:left="180" w:right="40" w:hanging="172"/>
        <w:spacing w:after="0" w:line="253" w:lineRule="auto"/>
        <w:tabs>
          <w:tab w:leader="none" w:pos="177" w:val="left"/>
        </w:tabs>
        <w:numPr>
          <w:ilvl w:val="0"/>
          <w:numId w:val="24"/>
        </w:numPr>
        <w:rPr>
          <w:rFonts w:ascii="Arial" w:cs="Arial" w:eastAsia="Arial" w:hAnsi="Arial"/>
          <w:sz w:val="11"/>
          <w:szCs w:val="11"/>
          <w:color w:val="auto"/>
        </w:rPr>
      </w:pPr>
      <w:r>
        <w:rPr>
          <w:rFonts w:ascii="Arial" w:cs="Arial" w:eastAsia="Arial" w:hAnsi="Arial"/>
          <w:sz w:val="11"/>
          <w:szCs w:val="11"/>
          <w:color w:val="auto"/>
        </w:rPr>
        <w:t>At December 31, 2022, September 30, 2022, June 30, 2022, March 31, 2022 and December 31, 2021 included $350 million, $791 million, $1.5 billion, $2.9 billion and $5.4 billion of loans, respectively, under the PPP. Given that PPP loans are guaranteed by the SBA, the Firm does not expect to realize material credit losses on these loans. Refer to page 109 of the Firm’s 2021 Form 10-K for further information on the PPP.</w:t>
      </w:r>
    </w:p>
    <w:p>
      <w:pPr>
        <w:ind w:left="180" w:right="340" w:hanging="172"/>
        <w:spacing w:after="0" w:line="243" w:lineRule="auto"/>
        <w:tabs>
          <w:tab w:leader="none" w:pos="177" w:val="left"/>
        </w:tabs>
        <w:numPr>
          <w:ilvl w:val="0"/>
          <w:numId w:val="24"/>
        </w:numPr>
        <w:rPr>
          <w:rFonts w:ascii="Arial" w:cs="Arial" w:eastAsia="Arial" w:hAnsi="Arial"/>
          <w:sz w:val="11"/>
          <w:szCs w:val="11"/>
          <w:color w:val="auto"/>
        </w:rPr>
      </w:pPr>
      <w:r>
        <w:rPr>
          <w:rFonts w:ascii="Arial" w:cs="Arial" w:eastAsia="Arial" w:hAnsi="Arial"/>
          <w:sz w:val="11"/>
          <w:szCs w:val="11"/>
          <w:color w:val="auto"/>
        </w:rPr>
        <w:t>At December 31, 2022, September 30, 2022, June 30, 2022, March 31, 2022 and December 31, 2021, the principal balance of loans under payment deferral programs offered in response to the COVID-19 pandemic was $449 million, $454 million, $513 million, $728 million and $1.1 billion in Home Lending, respectively. Loans that are performing according to their modified terms are generally not considered delinquent.</w:t>
      </w:r>
    </w:p>
    <w:p>
      <w:pPr>
        <w:ind w:left="180" w:right="260" w:hanging="172"/>
        <w:spacing w:after="0" w:line="246" w:lineRule="auto"/>
        <w:tabs>
          <w:tab w:leader="none" w:pos="174" w:val="left"/>
        </w:tabs>
        <w:numPr>
          <w:ilvl w:val="0"/>
          <w:numId w:val="24"/>
        </w:numPr>
        <w:rPr>
          <w:rFonts w:ascii="Arial" w:cs="Arial" w:eastAsia="Arial" w:hAnsi="Arial"/>
          <w:sz w:val="11"/>
          <w:szCs w:val="11"/>
          <w:color w:val="auto"/>
        </w:rPr>
      </w:pPr>
      <w:r>
        <w:rPr>
          <w:rFonts w:ascii="Arial" w:cs="Arial" w:eastAsia="Arial" w:hAnsi="Arial"/>
          <w:sz w:val="11"/>
          <w:szCs w:val="11"/>
          <w:color w:val="auto"/>
        </w:rPr>
        <w:t>At December 31, 2022, September 30, 2022, June 30, 2022, March 31, 2022 and December 31, 2021, excluded mortgage loans 30 or more days past due and insured by U.S. government agencies of $258 million, $284 million, $315 million, $370 million and $405 million, respectively. These amounts have been excluded based upon the government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14</w:t>
      </w:r>
    </w:p>
    <w:p>
      <w:pPr>
        <w:sectPr>
          <w:pgSz w:w="11900" w:h="16838" w:orient="portrait"/>
          <w:cols w:equalWidth="0" w:num="1">
            <w:col w:w="11240"/>
          </w:cols>
          <w:pgMar w:left="320" w:top="1031" w:right="339" w:bottom="1440" w:gutter="0" w:footer="0" w:header="0"/>
        </w:sectPr>
      </w:pPr>
    </w:p>
    <w:bookmarkStart w:id="26" w:name="page27"/>
    <w:bookmarkEnd w:id="26"/>
    <w:p>
      <w:pPr>
        <w:ind w:left="352"/>
        <w:spacing w:after="0"/>
        <w:rPr>
          <w:sz w:val="20"/>
          <w:szCs w:val="20"/>
          <w:color w:val="auto"/>
        </w:rPr>
      </w:pPr>
      <w:r>
        <w:rPr>
          <w:rFonts w:ascii="Arial" w:cs="Arial" w:eastAsia="Arial" w:hAnsi="Arial"/>
          <w:sz w:val="11"/>
          <w:szCs w:val="11"/>
          <w:b w:val="1"/>
          <w:bCs w:val="1"/>
          <w:color w:val="auto"/>
        </w:rPr>
        <w:t>JPMORGAN CHASE &amp; CO.</w:t>
      </w:r>
    </w:p>
    <w:p>
      <w:pPr>
        <w:spacing w:after="0" w:line="40" w:lineRule="exact"/>
        <w:rPr>
          <w:sz w:val="20"/>
          <w:szCs w:val="20"/>
          <w:color w:val="auto"/>
        </w:rPr>
      </w:pPr>
    </w:p>
    <w:p>
      <w:pPr>
        <w:ind w:left="352"/>
        <w:spacing w:after="0"/>
        <w:rPr>
          <w:sz w:val="20"/>
          <w:szCs w:val="20"/>
          <w:color w:val="auto"/>
        </w:rPr>
      </w:pPr>
      <w:r>
        <w:rPr>
          <w:rFonts w:ascii="Arial" w:cs="Arial" w:eastAsia="Arial" w:hAnsi="Arial"/>
          <w:sz w:val="14"/>
          <w:szCs w:val="14"/>
          <w:b w:val="1"/>
          <w:bCs w:val="1"/>
          <w:color w:val="auto"/>
        </w:rPr>
        <w:t>CONSUMER &amp;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-27305</wp:posOffset>
            </wp:positionV>
            <wp:extent cx="237426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ind w:left="352"/>
        <w:spacing w:after="0"/>
        <w:rPr>
          <w:sz w:val="20"/>
          <w:szCs w:val="20"/>
          <w:color w:val="auto"/>
        </w:rPr>
      </w:pPr>
      <w:r>
        <w:rPr>
          <w:rFonts w:ascii="Arial" w:cs="Arial" w:eastAsia="Arial" w:hAnsi="Arial"/>
          <w:sz w:val="14"/>
          <w:szCs w:val="14"/>
          <w:b w:val="1"/>
          <w:bCs w:val="1"/>
          <w:color w:val="auto"/>
        </w:rPr>
        <w:t>BANKING</w:t>
      </w:r>
    </w:p>
    <w:p>
      <w:pPr>
        <w:spacing w:after="0" w:line="20" w:lineRule="exact"/>
        <w:rPr>
          <w:sz w:val="20"/>
          <w:szCs w:val="20"/>
          <w:color w:val="auto"/>
        </w:rPr>
      </w:pPr>
    </w:p>
    <w:p>
      <w:pPr>
        <w:ind w:left="352"/>
        <w:spacing w:after="0"/>
        <w:rPr>
          <w:sz w:val="20"/>
          <w:szCs w:val="20"/>
          <w:color w:val="auto"/>
        </w:rPr>
      </w:pPr>
      <w:r>
        <w:rPr>
          <w:rFonts w:ascii="Arial" w:cs="Arial" w:eastAsia="Arial" w:hAnsi="Arial"/>
          <w:sz w:val="11"/>
          <w:szCs w:val="11"/>
          <w:b w:val="1"/>
          <w:bCs w:val="1"/>
          <w:color w:val="auto"/>
        </w:rPr>
        <w:t>FINANCIAL HIGHLIGHTS, CONTINUED</w:t>
      </w:r>
    </w:p>
    <w:p>
      <w:pPr>
        <w:spacing w:after="0" w:line="17" w:lineRule="exact"/>
        <w:rPr>
          <w:sz w:val="20"/>
          <w:szCs w:val="20"/>
          <w:color w:val="auto"/>
        </w:rPr>
      </w:pPr>
    </w:p>
    <w:p>
      <w:pPr>
        <w:ind w:left="352"/>
        <w:spacing w:after="0"/>
        <w:rPr>
          <w:sz w:val="20"/>
          <w:szCs w:val="20"/>
          <w:color w:val="auto"/>
        </w:rPr>
      </w:pPr>
      <w:r>
        <w:rPr>
          <w:rFonts w:ascii="Arial" w:cs="Arial" w:eastAsia="Arial" w:hAnsi="Arial"/>
          <w:sz w:val="11"/>
          <w:szCs w:val="11"/>
          <w:b w:val="1"/>
          <w:bCs w:val="1"/>
          <w:color w:val="auto"/>
        </w:rPr>
        <w:t>(in millions, except ratio data and where</w:t>
      </w:r>
    </w:p>
    <w:p>
      <w:pPr>
        <w:ind w:left="352"/>
        <w:spacing w:after="0"/>
        <w:rPr>
          <w:sz w:val="20"/>
          <w:szCs w:val="20"/>
          <w:color w:val="auto"/>
        </w:rPr>
      </w:pPr>
      <w:r>
        <w:rPr>
          <w:rFonts w:ascii="Arial" w:cs="Arial" w:eastAsia="Arial" w:hAnsi="Arial"/>
          <w:sz w:val="11"/>
          <w:szCs w:val="11"/>
          <w:b w:val="1"/>
          <w:bCs w:val="1"/>
          <w:color w:val="auto"/>
        </w:rPr>
        <w:t>otherwise noted)</w:t>
      </w:r>
    </w:p>
    <w:p>
      <w:pPr>
        <w:spacing w:after="0" w:line="188" w:lineRule="exact"/>
        <w:rPr>
          <w:sz w:val="20"/>
          <w:szCs w:val="20"/>
          <w:color w:val="auto"/>
        </w:rPr>
      </w:pPr>
    </w:p>
    <w:tbl>
      <w:tblPr>
        <w:tblLayout w:type="fixed"/>
        <w:tblInd w:w="332" w:type="dxa"/>
        <w:tblCellMar>
          <w:top w:w="0" w:type="dxa"/>
          <w:left w:w="0" w:type="dxa"/>
          <w:bottom w:w="0" w:type="dxa"/>
          <w:right w:w="0" w:type="dxa"/>
        </w:tblCellMar>
      </w:tblPr>
      <w:tr>
        <w:trPr>
          <w:trHeight w:val="155"/>
        </w:trPr>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1"/>
                <w:szCs w:val="11"/>
                <w:b w:val="1"/>
                <w:bCs w:val="1"/>
                <w:color w:val="auto"/>
                <w:w w:val="95"/>
              </w:rPr>
              <w:t>QUARTERLY TRENDS</w:t>
            </w:r>
          </w:p>
        </w:tc>
        <w:tc>
          <w:tcPr>
            <w:tcW w:w="5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46"/>
              <w:spacing w:after="0"/>
              <w:rPr>
                <w:sz w:val="20"/>
                <w:szCs w:val="20"/>
                <w:color w:val="auto"/>
              </w:rPr>
            </w:pPr>
            <w:r>
              <w:rPr>
                <w:rFonts w:ascii="Arial" w:cs="Arial" w:eastAsia="Arial" w:hAnsi="Arial"/>
                <w:sz w:val="11"/>
                <w:szCs w:val="11"/>
                <w:b w:val="1"/>
                <w:bCs w:val="1"/>
                <w:color w:val="auto"/>
              </w:rPr>
              <w:t>FULL YEAR</w:t>
            </w: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Borders>
              <w:bottom w:val="single" w:sz="8" w:color="auto"/>
            </w:tcBorders>
            <w:gridSpan w:val="3"/>
          </w:tcPr>
          <w:p>
            <w:pPr>
              <w:jc w:val="right"/>
              <w:ind w:right="246"/>
              <w:spacing w:after="0"/>
              <w:rPr>
                <w:sz w:val="20"/>
                <w:szCs w:val="20"/>
                <w:color w:val="auto"/>
              </w:rPr>
            </w:pPr>
            <w:r>
              <w:rPr>
                <w:rFonts w:ascii="Arial" w:cs="Arial" w:eastAsia="Arial" w:hAnsi="Arial"/>
                <w:sz w:val="11"/>
                <w:szCs w:val="11"/>
                <w:b w:val="1"/>
                <w:bCs w:val="1"/>
                <w:color w:val="auto"/>
              </w:rPr>
              <w:t>4Q22 Change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 Change</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4Q22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3Q22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2Q22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1Q22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4Q21</w:t>
            </w:r>
          </w:p>
        </w:tc>
        <w:tc>
          <w:tcPr>
            <w:tcW w:w="40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3Q22</w:t>
            </w: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4Q21</w:t>
            </w:r>
          </w:p>
        </w:tc>
        <w:tc>
          <w:tcPr>
            <w:tcW w:w="100" w:type="dxa"/>
            <w:vAlign w:val="bottom"/>
          </w:tcPr>
          <w:p>
            <w:pPr>
              <w:spacing w:after="0"/>
              <w:rPr>
                <w:sz w:val="13"/>
                <w:szCs w:val="13"/>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2022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66"/>
              <w:spacing w:after="0"/>
              <w:rPr>
                <w:sz w:val="20"/>
                <w:szCs w:val="20"/>
                <w:color w:val="auto"/>
              </w:rPr>
            </w:pPr>
            <w:r>
              <w:rPr>
                <w:rFonts w:ascii="Arial" w:cs="Arial" w:eastAsia="Arial" w:hAnsi="Arial"/>
                <w:sz w:val="11"/>
                <w:szCs w:val="11"/>
                <w:b w:val="1"/>
                <w:bCs w:val="1"/>
                <w:color w:val="auto"/>
              </w:rPr>
              <w:t>2021</w:t>
            </w:r>
          </w:p>
        </w:tc>
        <w:tc>
          <w:tcPr>
            <w:tcW w:w="400" w:type="dxa"/>
            <w:vAlign w:val="bottom"/>
          </w:tcPr>
          <w:p>
            <w:pPr>
              <w:spacing w:after="0"/>
              <w:rPr>
                <w:sz w:val="13"/>
                <w:szCs w:val="13"/>
                <w:color w:val="auto"/>
              </w:rPr>
            </w:pPr>
          </w:p>
        </w:tc>
        <w:tc>
          <w:tcPr>
            <w:tcW w:w="740" w:type="dxa"/>
            <w:vAlign w:val="bottom"/>
          </w:tcPr>
          <w:p>
            <w:pPr>
              <w:jc w:val="right"/>
              <w:ind w:right="206"/>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08"/>
        </w:trPr>
        <w:tc>
          <w:tcPr>
            <w:tcW w:w="1080" w:type="dxa"/>
            <w:vAlign w:val="bottom"/>
            <w:tcBorders>
              <w:bottom w:val="single" w:sz="8" w:color="auto"/>
            </w:tcBorders>
          </w:tcPr>
          <w:p>
            <w:pPr>
              <w:ind w:left="20"/>
              <w:spacing w:after="0" w:line="108" w:lineRule="exact"/>
              <w:rPr>
                <w:sz w:val="20"/>
                <w:szCs w:val="20"/>
                <w:color w:val="auto"/>
              </w:rPr>
            </w:pPr>
            <w:r>
              <w:rPr>
                <w:rFonts w:ascii="Arial" w:cs="Arial" w:eastAsia="Arial" w:hAnsi="Arial"/>
                <w:sz w:val="11"/>
                <w:szCs w:val="11"/>
                <w:b w:val="1"/>
                <w:bCs w:val="1"/>
                <w:color w:val="auto"/>
                <w:w w:val="95"/>
              </w:rPr>
              <w:t>BUSINESS METRICS</w:t>
            </w:r>
          </w:p>
        </w:tc>
        <w:tc>
          <w:tcPr>
            <w:tcW w:w="1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20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00" w:type="dxa"/>
            <w:vAlign w:val="bottom"/>
            <w:gridSpan w:val="2"/>
          </w:tcPr>
          <w:p>
            <w:pPr>
              <w:ind w:left="140"/>
              <w:spacing w:after="0"/>
              <w:rPr>
                <w:sz w:val="20"/>
                <w:szCs w:val="20"/>
                <w:color w:val="auto"/>
              </w:rPr>
            </w:pPr>
            <w:r>
              <w:rPr>
                <w:rFonts w:ascii="Arial" w:cs="Arial" w:eastAsia="Arial" w:hAnsi="Arial"/>
                <w:sz w:val="11"/>
                <w:szCs w:val="11"/>
                <w:color w:val="auto"/>
              </w:rPr>
              <w:t>Branches</w:t>
            </w:r>
          </w:p>
        </w:tc>
        <w:tc>
          <w:tcPr>
            <w:tcW w:w="8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4,787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4,802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4,822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4,810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4,790</w:t>
            </w:r>
          </w:p>
        </w:tc>
        <w:tc>
          <w:tcPr>
            <w:tcW w:w="400" w:type="dxa"/>
            <w:vAlign w:val="bottom"/>
          </w:tcPr>
          <w:p>
            <w:pPr>
              <w:spacing w:after="0"/>
              <w:rPr>
                <w:sz w:val="13"/>
                <w:szCs w:val="13"/>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 %</w:t>
            </w:r>
          </w:p>
        </w:tc>
        <w:tc>
          <w:tcPr>
            <w:tcW w:w="940" w:type="dxa"/>
            <w:vAlign w:val="bottom"/>
            <w:gridSpan w:val="2"/>
          </w:tcPr>
          <w:p>
            <w:pPr>
              <w:ind w:left="280"/>
              <w:spacing w:after="0"/>
              <w:rPr>
                <w:sz w:val="20"/>
                <w:szCs w:val="20"/>
                <w:color w:val="auto"/>
              </w:rPr>
            </w:pPr>
            <w:r>
              <w:rPr>
                <w:rFonts w:ascii="Arial" w:cs="Arial" w:eastAsia="Arial" w:hAnsi="Arial"/>
                <w:sz w:val="11"/>
                <w:szCs w:val="11"/>
                <w:color w:val="auto"/>
              </w:rPr>
              <w:t>— %</w:t>
            </w: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4,787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4,790</w:t>
            </w:r>
          </w:p>
        </w:tc>
        <w:tc>
          <w:tcPr>
            <w:tcW w:w="4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62"/>
        </w:trPr>
        <w:tc>
          <w:tcPr>
            <w:tcW w:w="2200" w:type="dxa"/>
            <w:vAlign w:val="bottom"/>
            <w:gridSpan w:val="2"/>
          </w:tcPr>
          <w:p>
            <w:pPr>
              <w:ind w:left="140"/>
              <w:spacing w:after="0"/>
              <w:rPr>
                <w:sz w:val="20"/>
                <w:szCs w:val="20"/>
                <w:color w:val="auto"/>
              </w:rPr>
            </w:pPr>
            <w:r>
              <w:rPr>
                <w:rFonts w:ascii="Arial" w:cs="Arial" w:eastAsia="Arial" w:hAnsi="Arial"/>
                <w:sz w:val="11"/>
                <w:szCs w:val="11"/>
                <w:color w:val="auto"/>
                <w:w w:val="99"/>
              </w:rPr>
              <w:t>Active digital customers (in thousands) (a)</w:t>
            </w: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63,136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61,985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60,735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60,286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58,857</w:t>
            </w:r>
          </w:p>
        </w:tc>
        <w:tc>
          <w:tcPr>
            <w:tcW w:w="4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63,136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58,857</w:t>
            </w:r>
          </w:p>
        </w:tc>
        <w:tc>
          <w:tcPr>
            <w:tcW w:w="40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28"/>
        </w:trPr>
        <w:tc>
          <w:tcPr>
            <w:tcW w:w="2200" w:type="dxa"/>
            <w:vAlign w:val="bottom"/>
            <w:gridSpan w:val="2"/>
          </w:tcPr>
          <w:p>
            <w:pPr>
              <w:ind w:left="140"/>
              <w:spacing w:after="0"/>
              <w:rPr>
                <w:sz w:val="20"/>
                <w:szCs w:val="20"/>
                <w:color w:val="auto"/>
              </w:rPr>
            </w:pPr>
            <w:r>
              <w:rPr>
                <w:rFonts w:ascii="Arial" w:cs="Arial" w:eastAsia="Arial" w:hAnsi="Arial"/>
                <w:sz w:val="11"/>
                <w:szCs w:val="11"/>
                <w:color w:val="auto"/>
              </w:rPr>
              <w:t>Active mobile customers (in thousands)</w:t>
            </w:r>
          </w:p>
        </w:tc>
        <w:tc>
          <w:tcPr>
            <w:tcW w:w="8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49,710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48,904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47,436</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46,527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45,452</w:t>
            </w:r>
          </w:p>
        </w:tc>
        <w:tc>
          <w:tcPr>
            <w:tcW w:w="40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9</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49,710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45,452</w:t>
            </w:r>
          </w:p>
        </w:tc>
        <w:tc>
          <w:tcPr>
            <w:tcW w:w="400" w:type="dxa"/>
            <w:vAlign w:val="bottom"/>
          </w:tcPr>
          <w:p>
            <w:pPr>
              <w:spacing w:after="0"/>
              <w:rPr>
                <w:sz w:val="11"/>
                <w:szCs w:val="11"/>
                <w:color w:val="auto"/>
              </w:rPr>
            </w:pPr>
          </w:p>
        </w:tc>
        <w:tc>
          <w:tcPr>
            <w:tcW w:w="740" w:type="dxa"/>
            <w:vAlign w:val="bottom"/>
            <w:vMerge w:val="restart"/>
          </w:tcPr>
          <w:p>
            <w:pPr>
              <w:jc w:val="right"/>
              <w:ind w:right="10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42"/>
        </w:trPr>
        <w:tc>
          <w:tcPr>
            <w:tcW w:w="2200" w:type="dxa"/>
            <w:vAlign w:val="bottom"/>
            <w:gridSpan w:val="2"/>
          </w:tcPr>
          <w:p>
            <w:pPr>
              <w:ind w:left="140"/>
              <w:spacing w:after="0"/>
              <w:rPr>
                <w:sz w:val="20"/>
                <w:szCs w:val="20"/>
                <w:color w:val="auto"/>
              </w:rPr>
            </w:pPr>
            <w:r>
              <w:rPr>
                <w:rFonts w:ascii="Arial" w:cs="Arial" w:eastAsia="Arial" w:hAnsi="Arial"/>
                <w:sz w:val="11"/>
                <w:szCs w:val="11"/>
                <w:color w:val="auto"/>
              </w:rPr>
              <w:t>(b)</w:t>
            </w: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Debit and credit card sales volume (in</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411.1</w:t>
            </w:r>
          </w:p>
        </w:tc>
        <w:tc>
          <w:tcPr>
            <w:tcW w:w="18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395.8</w:t>
            </w:r>
          </w:p>
        </w:tc>
        <w:tc>
          <w:tcPr>
            <w:tcW w:w="18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397.0</w:t>
            </w:r>
          </w:p>
        </w:tc>
        <w:tc>
          <w:tcPr>
            <w:tcW w:w="340" w:type="dxa"/>
            <w:vAlign w:val="bottom"/>
            <w:gridSpan w:val="3"/>
            <w:vMerge w:val="restart"/>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351.5</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376.2</w:t>
            </w:r>
          </w:p>
        </w:tc>
        <w:tc>
          <w:tcPr>
            <w:tcW w:w="400" w:type="dxa"/>
            <w:vAlign w:val="bottom"/>
          </w:tcPr>
          <w:p>
            <w:pPr>
              <w:spacing w:after="0"/>
              <w:rPr>
                <w:sz w:val="24"/>
                <w:szCs w:val="24"/>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24"/>
                <w:szCs w:val="24"/>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9</w:t>
            </w:r>
          </w:p>
        </w:tc>
        <w:tc>
          <w:tcPr>
            <w:tcW w:w="40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1,555.4</w:t>
            </w:r>
          </w:p>
        </w:tc>
        <w:tc>
          <w:tcPr>
            <w:tcW w:w="22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1,360.7</w:t>
            </w:r>
          </w:p>
        </w:tc>
        <w:tc>
          <w:tcPr>
            <w:tcW w:w="400" w:type="dxa"/>
            <w:vAlign w:val="bottom"/>
          </w:tcPr>
          <w:p>
            <w:pPr>
              <w:spacing w:after="0"/>
              <w:rPr>
                <w:sz w:val="24"/>
                <w:szCs w:val="24"/>
                <w:color w:val="auto"/>
              </w:rPr>
            </w:pPr>
          </w:p>
        </w:tc>
        <w:tc>
          <w:tcPr>
            <w:tcW w:w="740" w:type="dxa"/>
            <w:vAlign w:val="bottom"/>
            <w:vMerge w:val="restart"/>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4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billions)</w:t>
            </w:r>
          </w:p>
        </w:tc>
        <w:tc>
          <w:tcPr>
            <w:tcW w:w="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340" w:type="dxa"/>
            <w:vAlign w:val="bottom"/>
            <w:gridSpan w:val="3"/>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Total payments transaction volume (in</w:t>
            </w:r>
          </w:p>
        </w:tc>
        <w:tc>
          <w:tcPr>
            <w:tcW w:w="8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1.5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1.4</w:t>
            </w:r>
          </w:p>
        </w:tc>
        <w:tc>
          <w:tcPr>
            <w:tcW w:w="400" w:type="dxa"/>
            <w:vAlign w:val="bottom"/>
          </w:tcPr>
          <w:p>
            <w:pPr>
              <w:spacing w:after="0"/>
              <w:rPr>
                <w:sz w:val="11"/>
                <w:szCs w:val="11"/>
                <w:color w:val="auto"/>
              </w:rPr>
            </w:pPr>
          </w:p>
        </w:tc>
        <w:tc>
          <w:tcPr>
            <w:tcW w:w="74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auto"/>
              </w:rPr>
              <w:t>—</w:t>
            </w:r>
          </w:p>
        </w:tc>
        <w:tc>
          <w:tcPr>
            <w:tcW w:w="940" w:type="dxa"/>
            <w:vAlign w:val="bottom"/>
            <w:gridSpan w:val="2"/>
            <w:vMerge w:val="restart"/>
          </w:tcPr>
          <w:p>
            <w:pPr>
              <w:jc w:val="right"/>
              <w:ind w:right="5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5.6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5.0</w:t>
            </w:r>
          </w:p>
        </w:tc>
        <w:tc>
          <w:tcPr>
            <w:tcW w:w="400" w:type="dxa"/>
            <w:vAlign w:val="bottom"/>
          </w:tcPr>
          <w:p>
            <w:pPr>
              <w:spacing w:after="0"/>
              <w:rPr>
                <w:sz w:val="11"/>
                <w:szCs w:val="11"/>
                <w:color w:val="auto"/>
              </w:rPr>
            </w:pPr>
          </w:p>
        </w:tc>
        <w:tc>
          <w:tcPr>
            <w:tcW w:w="740" w:type="dxa"/>
            <w:vAlign w:val="bottom"/>
            <w:vMerge w:val="restart"/>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4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trillions) (c)</w:t>
            </w: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0"/>
        </w:trPr>
        <w:tc>
          <w:tcPr>
            <w:tcW w:w="2200" w:type="dxa"/>
            <w:vAlign w:val="bottom"/>
            <w:gridSpan w:val="2"/>
          </w:tcPr>
          <w:p>
            <w:pPr>
              <w:ind w:left="20"/>
              <w:spacing w:after="0"/>
              <w:rPr>
                <w:sz w:val="20"/>
                <w:szCs w:val="20"/>
                <w:color w:val="auto"/>
              </w:rPr>
            </w:pPr>
            <w:r>
              <w:rPr>
                <w:rFonts w:ascii="Arial" w:cs="Arial" w:eastAsia="Arial" w:hAnsi="Arial"/>
                <w:sz w:val="11"/>
                <w:szCs w:val="11"/>
                <w:b w:val="1"/>
                <w:bCs w:val="1"/>
                <w:color w:val="auto"/>
              </w:rPr>
              <w:t>Banking &amp; Wealth Management</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Average deposits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1,126,420</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1,156,933</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w w:val="97"/>
              </w:rPr>
              <w:t>1,163,423</w:t>
            </w:r>
          </w:p>
        </w:tc>
        <w:tc>
          <w:tcPr>
            <w:tcW w:w="34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1,136,115</w:t>
            </w:r>
          </w:p>
        </w:tc>
        <w:tc>
          <w:tcPr>
            <w:tcW w:w="2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1,094,442</w:t>
            </w:r>
          </w:p>
        </w:tc>
        <w:tc>
          <w:tcPr>
            <w:tcW w:w="400" w:type="dxa"/>
            <w:vAlign w:val="bottom"/>
          </w:tcPr>
          <w:p>
            <w:pPr>
              <w:spacing w:after="0"/>
              <w:rPr>
                <w:sz w:val="13"/>
                <w:szCs w:val="13"/>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1,145,727</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1,035,379</w:t>
            </w:r>
          </w:p>
        </w:tc>
        <w:tc>
          <w:tcPr>
            <w:tcW w:w="400" w:type="dxa"/>
            <w:vAlign w:val="bottom"/>
          </w:tcPr>
          <w:p>
            <w:pPr>
              <w:spacing w:after="0"/>
              <w:rPr>
                <w:sz w:val="13"/>
                <w:szCs w:val="13"/>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Deposit margin</w:t>
            </w: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2.48</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1.83</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1.31</w:t>
            </w: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1.22</w:t>
            </w:r>
          </w:p>
        </w:tc>
        <w:tc>
          <w:tcPr>
            <w:tcW w:w="180" w:type="dxa"/>
            <w:vAlign w:val="bottom"/>
          </w:tcPr>
          <w:p>
            <w:pPr>
              <w:jc w:val="right"/>
              <w:ind w:right="26"/>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1.22</w:t>
            </w:r>
          </w:p>
        </w:tc>
        <w:tc>
          <w:tcPr>
            <w:tcW w:w="400" w:type="dxa"/>
            <w:vAlign w:val="bottom"/>
          </w:tcPr>
          <w:p>
            <w:pPr>
              <w:ind w:left="2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1.71</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1.27</w:t>
            </w:r>
          </w:p>
        </w:tc>
        <w:tc>
          <w:tcPr>
            <w:tcW w:w="400" w:type="dxa"/>
            <w:vAlign w:val="bottom"/>
          </w:tcPr>
          <w:p>
            <w:pPr>
              <w:jc w:val="right"/>
              <w:ind w:right="246"/>
              <w:spacing w:after="0"/>
              <w:rPr>
                <w:sz w:val="20"/>
                <w:szCs w:val="20"/>
                <w:color w:val="auto"/>
              </w:rPr>
            </w:pPr>
            <w:r>
              <w:rPr>
                <w:rFonts w:ascii="Arial" w:cs="Arial" w:eastAsia="Arial" w:hAnsi="Arial"/>
                <w:sz w:val="11"/>
                <w:szCs w:val="11"/>
                <w:color w:val="auto"/>
                <w:w w:val="81"/>
              </w:rPr>
              <w:t>%</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Business Banking average loans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20,467</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21,263</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22,769</w:t>
            </w:r>
          </w:p>
        </w:tc>
        <w:tc>
          <w:tcPr>
            <w:tcW w:w="34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24,816</w:t>
            </w:r>
          </w:p>
        </w:tc>
        <w:tc>
          <w:tcPr>
            <w:tcW w:w="2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28,919</w:t>
            </w:r>
          </w:p>
        </w:tc>
        <w:tc>
          <w:tcPr>
            <w:tcW w:w="4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(29)</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22,314</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37,548</w:t>
            </w:r>
          </w:p>
        </w:tc>
        <w:tc>
          <w:tcPr>
            <w:tcW w:w="4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(41)</w:t>
            </w:r>
          </w:p>
        </w:tc>
        <w:tc>
          <w:tcPr>
            <w:tcW w:w="0" w:type="dxa"/>
            <w:vAlign w:val="bottom"/>
          </w:tcPr>
          <w:p>
            <w:pPr>
              <w:spacing w:after="0"/>
              <w:rPr>
                <w:sz w:val="1"/>
                <w:szCs w:val="1"/>
                <w:color w:val="auto"/>
              </w:rPr>
            </w:pPr>
          </w:p>
        </w:tc>
      </w:tr>
      <w:tr>
        <w:trPr>
          <w:trHeight w:val="16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Business Banking origination volume</w:t>
            </w: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1,081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977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1,196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1,028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866</w:t>
            </w:r>
          </w:p>
        </w:tc>
        <w:tc>
          <w:tcPr>
            <w:tcW w:w="4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25</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4,282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13,916</w:t>
            </w:r>
          </w:p>
        </w:tc>
        <w:tc>
          <w:tcPr>
            <w:tcW w:w="400" w:type="dxa"/>
            <w:vAlign w:val="bottom"/>
          </w:tcPr>
          <w:p>
            <w:pPr>
              <w:jc w:val="right"/>
              <w:ind w:right="206"/>
              <w:spacing w:after="0"/>
              <w:rPr>
                <w:sz w:val="20"/>
                <w:szCs w:val="20"/>
                <w:color w:val="auto"/>
              </w:rPr>
            </w:pPr>
            <w:r>
              <w:rPr>
                <w:rFonts w:ascii="Arial" w:cs="Arial" w:eastAsia="Arial" w:hAnsi="Arial"/>
                <w:sz w:val="11"/>
                <w:szCs w:val="11"/>
                <w:color w:val="auto"/>
                <w:w w:val="88"/>
              </w:rPr>
              <w:t>(g)</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16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Client investment assets (d)</w:t>
            </w: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647,120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615,048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628,479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696,316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718,051</w:t>
            </w:r>
          </w:p>
        </w:tc>
        <w:tc>
          <w:tcPr>
            <w:tcW w:w="4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647,120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718,051</w:t>
            </w:r>
          </w:p>
        </w:tc>
        <w:tc>
          <w:tcPr>
            <w:tcW w:w="4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Number of client advisors</w:t>
            </w: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5,029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5,017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4,890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4,816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4,725</w:t>
            </w:r>
          </w:p>
        </w:tc>
        <w:tc>
          <w:tcPr>
            <w:tcW w:w="40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5,029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4,725</w:t>
            </w:r>
          </w:p>
        </w:tc>
        <w:tc>
          <w:tcPr>
            <w:tcW w:w="40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330"/>
        </w:trPr>
        <w:tc>
          <w:tcPr>
            <w:tcW w:w="2200" w:type="dxa"/>
            <w:vAlign w:val="bottom"/>
            <w:gridSpan w:val="2"/>
          </w:tcPr>
          <w:p>
            <w:pPr>
              <w:ind w:left="20"/>
              <w:spacing w:after="0"/>
              <w:rPr>
                <w:sz w:val="20"/>
                <w:szCs w:val="20"/>
                <w:color w:val="auto"/>
              </w:rPr>
            </w:pPr>
            <w:r>
              <w:rPr>
                <w:rFonts w:ascii="Arial" w:cs="Arial" w:eastAsia="Arial" w:hAnsi="Arial"/>
                <w:sz w:val="11"/>
                <w:szCs w:val="11"/>
                <w:b w:val="1"/>
                <w:bCs w:val="1"/>
                <w:color w:val="auto"/>
              </w:rPr>
              <w:t>Home Lending (in billions)</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Mortgage origination volume by channel</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00" w:type="dxa"/>
            <w:vAlign w:val="bottom"/>
            <w:gridSpan w:val="2"/>
          </w:tcPr>
          <w:p>
            <w:pPr>
              <w:ind w:left="140"/>
              <w:spacing w:after="0"/>
              <w:rPr>
                <w:sz w:val="20"/>
                <w:szCs w:val="20"/>
                <w:color w:val="auto"/>
              </w:rPr>
            </w:pPr>
            <w:r>
              <w:rPr>
                <w:rFonts w:ascii="Arial" w:cs="Arial" w:eastAsia="Arial" w:hAnsi="Arial"/>
                <w:sz w:val="11"/>
                <w:szCs w:val="11"/>
                <w:color w:val="auto"/>
              </w:rPr>
              <w:t>Retail</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4.6</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7.8</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11.0</w:t>
            </w:r>
          </w:p>
        </w:tc>
        <w:tc>
          <w:tcPr>
            <w:tcW w:w="34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15.1</w:t>
            </w:r>
          </w:p>
        </w:tc>
        <w:tc>
          <w:tcPr>
            <w:tcW w:w="2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22.4</w:t>
            </w:r>
          </w:p>
        </w:tc>
        <w:tc>
          <w:tcPr>
            <w:tcW w:w="4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(41)</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(79)</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38.5</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91.8</w:t>
            </w:r>
          </w:p>
        </w:tc>
        <w:tc>
          <w:tcPr>
            <w:tcW w:w="4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(58)</w:t>
            </w:r>
          </w:p>
        </w:tc>
        <w:tc>
          <w:tcPr>
            <w:tcW w:w="0" w:type="dxa"/>
            <w:vAlign w:val="bottom"/>
          </w:tcPr>
          <w:p>
            <w:pPr>
              <w:spacing w:after="0"/>
              <w:rPr>
                <w:sz w:val="1"/>
                <w:szCs w:val="1"/>
                <w:color w:val="auto"/>
              </w:rPr>
            </w:pPr>
          </w:p>
        </w:tc>
      </w:tr>
      <w:tr>
        <w:trPr>
          <w:trHeight w:val="175"/>
        </w:trPr>
        <w:tc>
          <w:tcPr>
            <w:tcW w:w="2200" w:type="dxa"/>
            <w:vAlign w:val="bottom"/>
            <w:gridSpan w:val="2"/>
          </w:tcPr>
          <w:p>
            <w:pPr>
              <w:ind w:left="140"/>
              <w:spacing w:after="0"/>
              <w:rPr>
                <w:sz w:val="20"/>
                <w:szCs w:val="20"/>
                <w:color w:val="auto"/>
              </w:rPr>
            </w:pPr>
            <w:r>
              <w:rPr>
                <w:rFonts w:ascii="Arial" w:cs="Arial" w:eastAsia="Arial" w:hAnsi="Arial"/>
                <w:sz w:val="11"/>
                <w:szCs w:val="11"/>
                <w:color w:val="auto"/>
              </w:rPr>
              <w:t>Correspondent</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2.1</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4.3</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w:t>
            </w:r>
          </w:p>
        </w:tc>
        <w:tc>
          <w:tcPr>
            <w:tcW w:w="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19.8</w:t>
            </w:r>
          </w:p>
        </w:tc>
        <w:tc>
          <w:tcPr>
            <w:tcW w:w="400" w:type="dxa"/>
            <w:vAlign w:val="bottom"/>
          </w:tcPr>
          <w:p>
            <w:pPr>
              <w:spacing w:after="0"/>
              <w:rPr>
                <w:sz w:val="15"/>
                <w:szCs w:val="15"/>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(51)</w:t>
            </w:r>
          </w:p>
        </w:tc>
        <w:tc>
          <w:tcPr>
            <w:tcW w:w="200" w:type="dxa"/>
            <w:vAlign w:val="bottom"/>
          </w:tcPr>
          <w:p>
            <w:pPr>
              <w:spacing w:after="0"/>
              <w:rPr>
                <w:sz w:val="15"/>
                <w:szCs w:val="15"/>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(89)</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26.9</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70.9</w:t>
            </w:r>
          </w:p>
        </w:tc>
        <w:tc>
          <w:tcPr>
            <w:tcW w:w="400" w:type="dxa"/>
            <w:vAlign w:val="bottom"/>
          </w:tcPr>
          <w:p>
            <w:pPr>
              <w:spacing w:after="0"/>
              <w:rPr>
                <w:sz w:val="15"/>
                <w:szCs w:val="15"/>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(62)</w:t>
            </w:r>
          </w:p>
        </w:tc>
        <w:tc>
          <w:tcPr>
            <w:tcW w:w="0" w:type="dxa"/>
            <w:vAlign w:val="bottom"/>
          </w:tcPr>
          <w:p>
            <w:pPr>
              <w:spacing w:after="0"/>
              <w:rPr>
                <w:sz w:val="1"/>
                <w:szCs w:val="1"/>
                <w:color w:val="auto"/>
              </w:rPr>
            </w:pPr>
          </w:p>
        </w:tc>
      </w:tr>
      <w:tr>
        <w:trPr>
          <w:trHeight w:val="148"/>
        </w:trPr>
        <w:tc>
          <w:tcPr>
            <w:tcW w:w="2200" w:type="dxa"/>
            <w:vAlign w:val="bottom"/>
            <w:gridSpan w:val="2"/>
          </w:tcPr>
          <w:p>
            <w:pPr>
              <w:ind w:left="220"/>
              <w:spacing w:after="0"/>
              <w:rPr>
                <w:sz w:val="20"/>
                <w:szCs w:val="20"/>
                <w:color w:val="auto"/>
              </w:rPr>
            </w:pPr>
            <w:r>
              <w:rPr>
                <w:rFonts w:ascii="Arial" w:cs="Arial" w:eastAsia="Arial" w:hAnsi="Arial"/>
                <w:sz w:val="11"/>
                <w:szCs w:val="11"/>
                <w:b w:val="1"/>
                <w:bCs w:val="1"/>
                <w:color w:val="auto"/>
                <w:w w:val="99"/>
              </w:rPr>
              <w:t>Total mortgage origination volume (e)</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6.7</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12.1</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rPr>
              <w:t>21.9</w:t>
            </w:r>
          </w:p>
        </w:tc>
        <w:tc>
          <w:tcPr>
            <w:tcW w:w="34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24.7</w:t>
            </w:r>
          </w:p>
        </w:tc>
        <w:tc>
          <w:tcPr>
            <w:tcW w:w="28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42.2</w:t>
            </w:r>
          </w:p>
        </w:tc>
        <w:tc>
          <w:tcPr>
            <w:tcW w:w="40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(45)</w:t>
            </w:r>
          </w:p>
        </w:tc>
        <w:tc>
          <w:tcPr>
            <w:tcW w:w="20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(84)</w:t>
            </w:r>
          </w:p>
        </w:tc>
        <w:tc>
          <w:tcPr>
            <w:tcW w:w="4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65.4</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162.7</w:t>
            </w:r>
          </w:p>
        </w:tc>
        <w:tc>
          <w:tcPr>
            <w:tcW w:w="400" w:type="dxa"/>
            <w:vAlign w:val="bottom"/>
          </w:tcPr>
          <w:p>
            <w:pPr>
              <w:spacing w:after="0"/>
              <w:rPr>
                <w:sz w:val="12"/>
                <w:szCs w:val="12"/>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22"/>
        </w:trPr>
        <w:tc>
          <w:tcPr>
            <w:tcW w:w="2200" w:type="dxa"/>
            <w:vAlign w:val="bottom"/>
            <w:gridSpan w:val="2"/>
          </w:tcPr>
          <w:p>
            <w:pPr>
              <w:ind w:left="20"/>
              <w:spacing w:after="0" w:line="122" w:lineRule="exact"/>
              <w:rPr>
                <w:sz w:val="20"/>
                <w:szCs w:val="20"/>
                <w:color w:val="auto"/>
              </w:rPr>
            </w:pPr>
            <w:r>
              <w:rPr>
                <w:rFonts w:ascii="Arial" w:cs="Arial" w:eastAsia="Arial" w:hAnsi="Arial"/>
                <w:sz w:val="11"/>
                <w:szCs w:val="11"/>
                <w:color w:val="auto"/>
                <w:w w:val="99"/>
              </w:rPr>
              <w:t>Third-party mortgage loans serviced (period-</w:t>
            </w:r>
          </w:p>
        </w:tc>
        <w:tc>
          <w:tcPr>
            <w:tcW w:w="8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584.3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586.7</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575.6</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575.4</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519.2</w:t>
            </w:r>
          </w:p>
        </w:tc>
        <w:tc>
          <w:tcPr>
            <w:tcW w:w="400" w:type="dxa"/>
            <w:vAlign w:val="bottom"/>
            <w:vMerge w:val="restart"/>
          </w:tcPr>
          <w:p>
            <w:pPr>
              <w:ind w:left="20"/>
              <w:spacing w:after="0"/>
              <w:rPr>
                <w:sz w:val="20"/>
                <w:szCs w:val="20"/>
                <w:color w:val="auto"/>
              </w:rPr>
            </w:pPr>
            <w:r>
              <w:rPr>
                <w:rFonts w:ascii="Arial" w:cs="Arial" w:eastAsia="Arial" w:hAnsi="Arial"/>
                <w:sz w:val="11"/>
                <w:szCs w:val="11"/>
                <w:color w:val="auto"/>
              </w:rPr>
              <w:t>(f)</w:t>
            </w:r>
          </w:p>
        </w:tc>
        <w:tc>
          <w:tcPr>
            <w:tcW w:w="74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13</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584.3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519.2</w:t>
            </w:r>
          </w:p>
        </w:tc>
        <w:tc>
          <w:tcPr>
            <w:tcW w:w="400" w:type="dxa"/>
            <w:vAlign w:val="bottom"/>
            <w:vMerge w:val="restart"/>
          </w:tcPr>
          <w:p>
            <w:pPr>
              <w:jc w:val="right"/>
              <w:ind w:right="226"/>
              <w:spacing w:after="0"/>
              <w:rPr>
                <w:sz w:val="20"/>
                <w:szCs w:val="20"/>
                <w:color w:val="auto"/>
              </w:rPr>
            </w:pPr>
            <w:r>
              <w:rPr>
                <w:rFonts w:ascii="Arial" w:cs="Arial" w:eastAsia="Arial" w:hAnsi="Arial"/>
                <w:sz w:val="11"/>
                <w:szCs w:val="11"/>
                <w:color w:val="auto"/>
                <w:w w:val="95"/>
              </w:rPr>
              <w:t>(f)</w:t>
            </w:r>
          </w:p>
        </w:tc>
        <w:tc>
          <w:tcPr>
            <w:tcW w:w="740" w:type="dxa"/>
            <w:vAlign w:val="bottom"/>
            <w:vMerge w:val="restart"/>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4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end)</w:t>
            </w: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MSR carrying value (period-end)</w:t>
            </w: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8.0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8.1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5.5</w:t>
            </w:r>
          </w:p>
        </w:tc>
        <w:tc>
          <w:tcPr>
            <w:tcW w:w="4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45</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8.0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5.5</w:t>
            </w:r>
          </w:p>
        </w:tc>
        <w:tc>
          <w:tcPr>
            <w:tcW w:w="40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330"/>
        </w:trPr>
        <w:tc>
          <w:tcPr>
            <w:tcW w:w="2200" w:type="dxa"/>
            <w:vAlign w:val="bottom"/>
            <w:gridSpan w:val="2"/>
          </w:tcPr>
          <w:p>
            <w:pPr>
              <w:ind w:left="20"/>
              <w:spacing w:after="0"/>
              <w:rPr>
                <w:sz w:val="20"/>
                <w:szCs w:val="20"/>
                <w:color w:val="auto"/>
              </w:rPr>
            </w:pPr>
            <w:r>
              <w:rPr>
                <w:rFonts w:ascii="Arial" w:cs="Arial" w:eastAsia="Arial" w:hAnsi="Arial"/>
                <w:sz w:val="11"/>
                <w:szCs w:val="11"/>
                <w:b w:val="1"/>
                <w:bCs w:val="1"/>
                <w:color w:val="auto"/>
              </w:rPr>
              <w:t>Card Services</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2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Sales volume, excluding Commercial Card</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284.8</w:t>
            </w:r>
          </w:p>
        </w:tc>
        <w:tc>
          <w:tcPr>
            <w:tcW w:w="1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272.3</w:t>
            </w:r>
          </w:p>
        </w:tc>
        <w:tc>
          <w:tcPr>
            <w:tcW w:w="1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271.2</w:t>
            </w:r>
          </w:p>
        </w:tc>
        <w:tc>
          <w:tcPr>
            <w:tcW w:w="340" w:type="dxa"/>
            <w:vAlign w:val="bottom"/>
            <w:gridSpan w:val="3"/>
            <w:vMerge w:val="restart"/>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236.4</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254.1</w:t>
            </w:r>
          </w:p>
        </w:tc>
        <w:tc>
          <w:tcPr>
            <w:tcW w:w="400" w:type="dxa"/>
            <w:vAlign w:val="bottom"/>
          </w:tcPr>
          <w:p>
            <w:pPr>
              <w:spacing w:after="0"/>
              <w:rPr>
                <w:sz w:val="10"/>
                <w:szCs w:val="10"/>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0"/>
                <w:szCs w:val="10"/>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12</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1,064.7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893.5</w:t>
            </w:r>
          </w:p>
        </w:tc>
        <w:tc>
          <w:tcPr>
            <w:tcW w:w="400" w:type="dxa"/>
            <w:vAlign w:val="bottom"/>
          </w:tcPr>
          <w:p>
            <w:pPr>
              <w:spacing w:after="0"/>
              <w:rPr>
                <w:sz w:val="10"/>
                <w:szCs w:val="10"/>
                <w:color w:val="auto"/>
              </w:rPr>
            </w:pPr>
          </w:p>
        </w:tc>
        <w:tc>
          <w:tcPr>
            <w:tcW w:w="740" w:type="dxa"/>
            <w:vAlign w:val="bottom"/>
            <w:vMerge w:val="restart"/>
          </w:tcPr>
          <w:p>
            <w:pPr>
              <w:jc w:val="right"/>
              <w:ind w:right="10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4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(in billions)</w:t>
            </w:r>
          </w:p>
        </w:tc>
        <w:tc>
          <w:tcPr>
            <w:tcW w:w="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340" w:type="dxa"/>
            <w:vAlign w:val="bottom"/>
            <w:gridSpan w:val="3"/>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Net revenue rate</w:t>
            </w: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10.06</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9.92</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9.59</w:t>
            </w: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9.87</w:t>
            </w:r>
          </w:p>
        </w:tc>
        <w:tc>
          <w:tcPr>
            <w:tcW w:w="180" w:type="dxa"/>
            <w:vAlign w:val="bottom"/>
          </w:tcPr>
          <w:p>
            <w:pPr>
              <w:jc w:val="right"/>
              <w:ind w:right="26"/>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9.61</w:t>
            </w:r>
          </w:p>
        </w:tc>
        <w:tc>
          <w:tcPr>
            <w:tcW w:w="400" w:type="dxa"/>
            <w:vAlign w:val="bottom"/>
          </w:tcPr>
          <w:p>
            <w:pPr>
              <w:ind w:left="2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9.87</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10.51</w:t>
            </w:r>
          </w:p>
        </w:tc>
        <w:tc>
          <w:tcPr>
            <w:tcW w:w="400" w:type="dxa"/>
            <w:vAlign w:val="bottom"/>
          </w:tcPr>
          <w:p>
            <w:pPr>
              <w:jc w:val="right"/>
              <w:ind w:right="246"/>
              <w:spacing w:after="0"/>
              <w:rPr>
                <w:sz w:val="20"/>
                <w:szCs w:val="20"/>
                <w:color w:val="auto"/>
              </w:rPr>
            </w:pPr>
            <w:r>
              <w:rPr>
                <w:rFonts w:ascii="Arial" w:cs="Arial" w:eastAsia="Arial" w:hAnsi="Arial"/>
                <w:sz w:val="11"/>
                <w:szCs w:val="11"/>
                <w:color w:val="auto"/>
                <w:w w:val="81"/>
              </w:rPr>
              <w:t>%</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Net yield on average loans</w:t>
            </w: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9.78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9.81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9.50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9.99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9.67</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9.77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9.88</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220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2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Loan and lease origination volume (in</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7.5</w:t>
            </w:r>
          </w:p>
        </w:tc>
        <w:tc>
          <w:tcPr>
            <w:tcW w:w="1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7.5</w:t>
            </w:r>
          </w:p>
        </w:tc>
        <w:tc>
          <w:tcPr>
            <w:tcW w:w="1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7.0</w:t>
            </w:r>
          </w:p>
        </w:tc>
        <w:tc>
          <w:tcPr>
            <w:tcW w:w="340" w:type="dxa"/>
            <w:vAlign w:val="bottom"/>
            <w:gridSpan w:val="3"/>
            <w:vMerge w:val="restart"/>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8.4</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8.5</w:t>
            </w:r>
          </w:p>
        </w:tc>
        <w:tc>
          <w:tcPr>
            <w:tcW w:w="400" w:type="dxa"/>
            <w:vAlign w:val="bottom"/>
          </w:tcPr>
          <w:p>
            <w:pPr>
              <w:spacing w:after="0"/>
              <w:rPr>
                <w:sz w:val="10"/>
                <w:szCs w:val="10"/>
                <w:color w:val="auto"/>
              </w:rPr>
            </w:pPr>
          </w:p>
        </w:tc>
        <w:tc>
          <w:tcPr>
            <w:tcW w:w="74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ind w:right="66"/>
              <w:spacing w:after="0"/>
              <w:rPr>
                <w:sz w:val="20"/>
                <w:szCs w:val="20"/>
                <w:color w:val="auto"/>
              </w:rPr>
            </w:pPr>
            <w:r>
              <w:rPr>
                <w:rFonts w:ascii="Arial" w:cs="Arial" w:eastAsia="Arial" w:hAnsi="Arial"/>
                <w:sz w:val="11"/>
                <w:szCs w:val="11"/>
                <w:color w:val="auto"/>
              </w:rPr>
              <w:t>(12)</w:t>
            </w:r>
          </w:p>
        </w:tc>
        <w:tc>
          <w:tcPr>
            <w:tcW w:w="4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30.4</w:t>
            </w:r>
          </w:p>
        </w:tc>
        <w:tc>
          <w:tcPr>
            <w:tcW w:w="2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43.6</w:t>
            </w:r>
          </w:p>
        </w:tc>
        <w:tc>
          <w:tcPr>
            <w:tcW w:w="400" w:type="dxa"/>
            <w:vAlign w:val="bottom"/>
          </w:tcPr>
          <w:p>
            <w:pPr>
              <w:spacing w:after="0"/>
              <w:rPr>
                <w:sz w:val="10"/>
                <w:szCs w:val="10"/>
                <w:color w:val="auto"/>
              </w:rPr>
            </w:pPr>
          </w:p>
        </w:tc>
        <w:tc>
          <w:tcPr>
            <w:tcW w:w="740" w:type="dxa"/>
            <w:vAlign w:val="bottom"/>
            <w:vMerge w:val="restart"/>
          </w:tcPr>
          <w:p>
            <w:pPr>
              <w:jc w:val="right"/>
              <w:ind w:right="66"/>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4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billions)</w:t>
            </w:r>
          </w:p>
        </w:tc>
        <w:tc>
          <w:tcPr>
            <w:tcW w:w="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340" w:type="dxa"/>
            <w:vAlign w:val="bottom"/>
            <w:gridSpan w:val="3"/>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Average auto operating lease assets</w:t>
            </w: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12,333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13,466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14,866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16,423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17,629</w:t>
            </w:r>
          </w:p>
        </w:tc>
        <w:tc>
          <w:tcPr>
            <w:tcW w:w="4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14,259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19,064</w:t>
            </w:r>
          </w:p>
        </w:tc>
        <w:tc>
          <w:tcPr>
            <w:tcW w:w="4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218440</wp:posOffset>
            </wp:positionV>
            <wp:extent cx="13970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52" w:hanging="152"/>
        <w:spacing w:after="0"/>
        <w:tabs>
          <w:tab w:leader="none" w:pos="152" w:val="left"/>
        </w:tabs>
        <w:numPr>
          <w:ilvl w:val="0"/>
          <w:numId w:val="25"/>
        </w:numPr>
        <w:rPr>
          <w:rFonts w:ascii="Arial" w:cs="Arial" w:eastAsia="Arial" w:hAnsi="Arial"/>
          <w:sz w:val="11"/>
          <w:szCs w:val="11"/>
          <w:color w:val="auto"/>
        </w:rPr>
      </w:pPr>
      <w:r>
        <w:rPr>
          <w:rFonts w:ascii="Arial" w:cs="Arial" w:eastAsia="Arial" w:hAnsi="Arial"/>
          <w:sz w:val="11"/>
          <w:szCs w:val="11"/>
          <w:color w:val="auto"/>
        </w:rPr>
        <w:t>Users of all web and/or mobile platforms who have logged in within the past 90 days.</w:t>
      </w:r>
    </w:p>
    <w:p>
      <w:pPr>
        <w:spacing w:after="0" w:line="5" w:lineRule="exact"/>
        <w:rPr>
          <w:rFonts w:ascii="Arial" w:cs="Arial" w:eastAsia="Arial" w:hAnsi="Arial"/>
          <w:sz w:val="11"/>
          <w:szCs w:val="11"/>
          <w:color w:val="auto"/>
        </w:rPr>
      </w:pPr>
    </w:p>
    <w:p>
      <w:pPr>
        <w:ind w:left="152" w:hanging="152"/>
        <w:spacing w:after="0"/>
        <w:tabs>
          <w:tab w:leader="none" w:pos="152" w:val="left"/>
        </w:tabs>
        <w:numPr>
          <w:ilvl w:val="0"/>
          <w:numId w:val="25"/>
        </w:numPr>
        <w:rPr>
          <w:rFonts w:ascii="Arial" w:cs="Arial" w:eastAsia="Arial" w:hAnsi="Arial"/>
          <w:sz w:val="11"/>
          <w:szCs w:val="11"/>
          <w:color w:val="auto"/>
        </w:rPr>
      </w:pPr>
      <w:r>
        <w:rPr>
          <w:rFonts w:ascii="Arial" w:cs="Arial" w:eastAsia="Arial" w:hAnsi="Arial"/>
          <w:sz w:val="11"/>
          <w:szCs w:val="11"/>
          <w:color w:val="auto"/>
        </w:rPr>
        <w:t>Users of all mobile platforms who have logged in within the past 90 days.</w:t>
      </w:r>
    </w:p>
    <w:p>
      <w:pPr>
        <w:spacing w:after="0" w:line="5" w:lineRule="exact"/>
        <w:rPr>
          <w:rFonts w:ascii="Arial" w:cs="Arial" w:eastAsia="Arial" w:hAnsi="Arial"/>
          <w:sz w:val="11"/>
          <w:szCs w:val="11"/>
          <w:color w:val="auto"/>
        </w:rPr>
      </w:pPr>
    </w:p>
    <w:p>
      <w:pPr>
        <w:ind w:left="152" w:hanging="152"/>
        <w:spacing w:after="0" w:line="236" w:lineRule="auto"/>
        <w:tabs>
          <w:tab w:leader="none" w:pos="152" w:val="left"/>
        </w:tabs>
        <w:numPr>
          <w:ilvl w:val="0"/>
          <w:numId w:val="25"/>
        </w:numPr>
        <w:rPr>
          <w:rFonts w:ascii="Arial" w:cs="Arial" w:eastAsia="Arial" w:hAnsi="Arial"/>
          <w:sz w:val="11"/>
          <w:szCs w:val="11"/>
          <w:color w:val="auto"/>
        </w:rPr>
      </w:pPr>
      <w:r>
        <w:rPr>
          <w:rFonts w:ascii="Arial" w:cs="Arial" w:eastAsia="Arial" w:hAnsi="Arial"/>
          <w:sz w:val="11"/>
          <w:szCs w:val="11"/>
          <w:color w:val="auto"/>
        </w:rPr>
        <w:t>Total payments transaction volume includes debit and credit card sales volume and gross ACH, ATM, teller, wires, BillPay, PayChase, Zelle, person-to-person, cash and checks.</w:t>
      </w:r>
    </w:p>
    <w:p>
      <w:pPr>
        <w:ind w:left="152" w:hanging="152"/>
        <w:spacing w:after="0"/>
        <w:tabs>
          <w:tab w:leader="none" w:pos="152" w:val="left"/>
        </w:tabs>
        <w:numPr>
          <w:ilvl w:val="0"/>
          <w:numId w:val="25"/>
        </w:numPr>
        <w:rPr>
          <w:rFonts w:ascii="Arial" w:cs="Arial" w:eastAsia="Arial" w:hAnsi="Arial"/>
          <w:sz w:val="11"/>
          <w:szCs w:val="11"/>
          <w:color w:val="auto"/>
        </w:rPr>
      </w:pPr>
      <w:r>
        <w:rPr>
          <w:rFonts w:ascii="Arial" w:cs="Arial" w:eastAsia="Arial" w:hAnsi="Arial"/>
          <w:sz w:val="11"/>
          <w:szCs w:val="11"/>
          <w:color w:val="auto"/>
        </w:rPr>
        <w:t>Includes assets invested in managed accounts and J.P. Morgan mutual funds where AWM is the investment manager. Refer to AWM segment results on pages 20-22 for additional information.</w:t>
      </w:r>
    </w:p>
    <w:p>
      <w:pPr>
        <w:spacing w:after="0" w:line="5" w:lineRule="exact"/>
        <w:rPr>
          <w:rFonts w:ascii="Arial" w:cs="Arial" w:eastAsia="Arial" w:hAnsi="Arial"/>
          <w:sz w:val="11"/>
          <w:szCs w:val="11"/>
          <w:color w:val="auto"/>
        </w:rPr>
      </w:pPr>
    </w:p>
    <w:p>
      <w:pPr>
        <w:ind w:left="172" w:right="160" w:hanging="172"/>
        <w:spacing w:after="0" w:line="246" w:lineRule="auto"/>
        <w:tabs>
          <w:tab w:leader="none" w:pos="169" w:val="left"/>
        </w:tabs>
        <w:numPr>
          <w:ilvl w:val="0"/>
          <w:numId w:val="25"/>
        </w:numPr>
        <w:rPr>
          <w:rFonts w:ascii="Arial" w:cs="Arial" w:eastAsia="Arial" w:hAnsi="Arial"/>
          <w:sz w:val="11"/>
          <w:szCs w:val="11"/>
          <w:color w:val="auto"/>
        </w:rPr>
      </w:pPr>
      <w:r>
        <w:rPr>
          <w:rFonts w:ascii="Arial" w:cs="Arial" w:eastAsia="Arial" w:hAnsi="Arial"/>
          <w:sz w:val="11"/>
          <w:szCs w:val="11"/>
          <w:color w:val="auto"/>
        </w:rPr>
        <w:t>Firmwide mortgage origination volume was $8.5 billion, $15.2 billion, $27.9 billion, $30.2 billion and $48.2 billion for the three months ended December 31, 2022, September 30, 2022, June 30, 2022, March 31, 2022 and December 31, 2021, respectively, and $81.8 billion and $182.4 billion for the full year 2022 and 2021, respectively.</w:t>
      </w:r>
    </w:p>
    <w:p>
      <w:pPr>
        <w:ind w:left="152" w:hanging="152"/>
        <w:spacing w:after="0"/>
        <w:tabs>
          <w:tab w:leader="none" w:pos="152" w:val="left"/>
        </w:tabs>
        <w:numPr>
          <w:ilvl w:val="0"/>
          <w:numId w:val="25"/>
        </w:numPr>
        <w:rPr>
          <w:rFonts w:ascii="Arial" w:cs="Arial" w:eastAsia="Arial" w:hAnsi="Arial"/>
          <w:sz w:val="11"/>
          <w:szCs w:val="11"/>
          <w:color w:val="auto"/>
        </w:rPr>
      </w:pPr>
      <w:r>
        <w:rPr>
          <w:rFonts w:ascii="Arial" w:cs="Arial" w:eastAsia="Arial" w:hAnsi="Arial"/>
          <w:sz w:val="11"/>
          <w:szCs w:val="11"/>
          <w:color w:val="auto"/>
        </w:rPr>
        <w:t>Prior-period amount has been revised to conform with the current presentation.</w:t>
      </w:r>
    </w:p>
    <w:p>
      <w:pPr>
        <w:spacing w:after="0" w:line="5" w:lineRule="exact"/>
        <w:rPr>
          <w:rFonts w:ascii="Arial" w:cs="Arial" w:eastAsia="Arial" w:hAnsi="Arial"/>
          <w:sz w:val="11"/>
          <w:szCs w:val="11"/>
          <w:color w:val="auto"/>
        </w:rPr>
      </w:pPr>
    </w:p>
    <w:p>
      <w:pPr>
        <w:ind w:left="152" w:hanging="152"/>
        <w:spacing w:after="0"/>
        <w:tabs>
          <w:tab w:leader="none" w:pos="152" w:val="left"/>
        </w:tabs>
        <w:numPr>
          <w:ilvl w:val="0"/>
          <w:numId w:val="25"/>
        </w:numPr>
        <w:rPr>
          <w:rFonts w:ascii="Arial" w:cs="Arial" w:eastAsia="Arial" w:hAnsi="Arial"/>
          <w:sz w:val="11"/>
          <w:szCs w:val="11"/>
          <w:color w:val="auto"/>
        </w:rPr>
      </w:pPr>
      <w:r>
        <w:rPr>
          <w:rFonts w:ascii="Arial" w:cs="Arial" w:eastAsia="Arial" w:hAnsi="Arial"/>
          <w:sz w:val="11"/>
          <w:szCs w:val="11"/>
          <w:color w:val="auto"/>
        </w:rPr>
        <w:t>Included $10.6 billion of origination volume under the PPP for the full year 2021. The program ended on May 31, 2021 for new applications.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832"/>
        <w:spacing w:after="0"/>
        <w:rPr>
          <w:sz w:val="20"/>
          <w:szCs w:val="20"/>
          <w:color w:val="auto"/>
        </w:rPr>
      </w:pPr>
      <w:r>
        <w:rPr>
          <w:rFonts w:ascii="Arial" w:cs="Arial" w:eastAsia="Arial" w:hAnsi="Arial"/>
          <w:sz w:val="11"/>
          <w:szCs w:val="11"/>
          <w:color w:val="auto"/>
        </w:rPr>
        <w:t>Page 15</w:t>
      </w:r>
    </w:p>
    <w:p>
      <w:pPr>
        <w:sectPr>
          <w:pgSz w:w="11900" w:h="16838" w:orient="portrait"/>
          <w:cols w:equalWidth="0" w:num="1">
            <w:col w:w="11272"/>
          </w:cols>
          <w:pgMar w:left="328" w:top="936" w:right="299" w:bottom="1440" w:gutter="0" w:footer="0" w:header="0"/>
        </w:sectPr>
      </w:pPr>
    </w:p>
    <w:bookmarkStart w:id="27" w:name="page28"/>
    <w:bookmarkEnd w:id="27"/>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13970</wp:posOffset>
            </wp:positionV>
            <wp:extent cx="237426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CORPORATE &amp; INVESTMENT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BANK</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2100" w:type="dxa"/>
            <w:vAlign w:val="bottom"/>
            <w:gridSpan w:val="4"/>
          </w:tcPr>
          <w:p>
            <w:pPr>
              <w:spacing w:after="0"/>
              <w:rPr>
                <w:sz w:val="20"/>
                <w:szCs w:val="20"/>
                <w:color w:val="auto"/>
              </w:rPr>
            </w:pPr>
            <w:r>
              <w:rPr>
                <w:rFonts w:ascii="Arial" w:cs="Arial" w:eastAsia="Arial" w:hAnsi="Arial"/>
                <w:sz w:val="11"/>
                <w:szCs w:val="11"/>
                <w:b w:val="1"/>
                <w:bCs w:val="1"/>
                <w:color w:val="auto"/>
              </w:rPr>
              <w:t>(in millions, except ratio data)</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380"/>
              <w:spacing w:after="0"/>
              <w:rPr>
                <w:sz w:val="20"/>
                <w:szCs w:val="20"/>
                <w:color w:val="auto"/>
              </w:rPr>
            </w:pPr>
            <w:r>
              <w:rPr>
                <w:rFonts w:ascii="Arial" w:cs="Arial" w:eastAsia="Arial" w:hAnsi="Arial"/>
                <w:sz w:val="11"/>
                <w:szCs w:val="11"/>
                <w:b w:val="1"/>
                <w:bCs w:val="1"/>
                <w:color w:val="auto"/>
              </w:rPr>
              <w:t>QUARTERLY TRENDS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FULL YEAR</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Borders>
              <w:bottom w:val="single" w:sz="8" w:color="auto"/>
            </w:tcBorders>
            <w:gridSpan w:val="3"/>
          </w:tcPr>
          <w:p>
            <w:pPr>
              <w:jc w:val="right"/>
              <w:ind w:right="246"/>
              <w:spacing w:after="0"/>
              <w:rPr>
                <w:sz w:val="20"/>
                <w:szCs w:val="20"/>
                <w:color w:val="auto"/>
              </w:rPr>
            </w:pPr>
            <w:r>
              <w:rPr>
                <w:rFonts w:ascii="Arial" w:cs="Arial" w:eastAsia="Arial" w:hAnsi="Arial"/>
                <w:sz w:val="11"/>
                <w:szCs w:val="11"/>
                <w:b w:val="1"/>
                <w:bCs w:val="1"/>
                <w:color w:val="auto"/>
              </w:rPr>
              <w:t>4Q22 Change</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 Change</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4Q22</w:t>
            </w:r>
          </w:p>
        </w:tc>
        <w:tc>
          <w:tcPr>
            <w:tcW w:w="14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3Q22</w:t>
            </w:r>
          </w:p>
        </w:tc>
        <w:tc>
          <w:tcPr>
            <w:tcW w:w="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2Q22</w:t>
            </w:r>
          </w:p>
        </w:tc>
        <w:tc>
          <w:tcPr>
            <w:tcW w:w="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1Q22</w:t>
            </w:r>
          </w:p>
        </w:tc>
        <w:tc>
          <w:tcPr>
            <w:tcW w:w="140" w:type="dxa"/>
            <w:vAlign w:val="bottom"/>
          </w:tcPr>
          <w:p>
            <w:pPr>
              <w:spacing w:after="0"/>
              <w:rPr>
                <w:sz w:val="13"/>
                <w:szCs w:val="13"/>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b w:val="1"/>
                <w:bCs w:val="1"/>
                <w:color w:val="auto"/>
              </w:rPr>
              <w:t>4Q21</w:t>
            </w:r>
          </w:p>
        </w:tc>
        <w:tc>
          <w:tcPr>
            <w:tcW w:w="22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3Q22</w:t>
            </w: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4Q21</w:t>
            </w:r>
          </w:p>
        </w:tc>
        <w:tc>
          <w:tcPr>
            <w:tcW w:w="140" w:type="dxa"/>
            <w:vAlign w:val="bottom"/>
          </w:tcPr>
          <w:p>
            <w:pPr>
              <w:spacing w:after="0"/>
              <w:rPr>
                <w:sz w:val="13"/>
                <w:szCs w:val="13"/>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b w:val="1"/>
                <w:bCs w:val="1"/>
                <w:color w:val="auto"/>
              </w:rPr>
              <w:t>2022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b w:val="1"/>
                <w:bCs w:val="1"/>
                <w:color w:val="auto"/>
              </w:rPr>
              <w:t>2021</w:t>
            </w:r>
          </w:p>
        </w:tc>
        <w:tc>
          <w:tcPr>
            <w:tcW w:w="94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08"/>
        </w:trPr>
        <w:tc>
          <w:tcPr>
            <w:tcW w:w="1120" w:type="dxa"/>
            <w:vAlign w:val="bottom"/>
            <w:tcBorders>
              <w:bottom w:val="single" w:sz="8" w:color="auto"/>
            </w:tcBorders>
            <w:gridSpan w:val="2"/>
          </w:tcPr>
          <w:p>
            <w:pPr>
              <w:spacing w:after="0" w:line="108" w:lineRule="exact"/>
              <w:rPr>
                <w:sz w:val="20"/>
                <w:szCs w:val="20"/>
                <w:color w:val="auto"/>
              </w:rPr>
            </w:pPr>
            <w:r>
              <w:rPr>
                <w:rFonts w:ascii="Arial" w:cs="Arial" w:eastAsia="Arial" w:hAnsi="Arial"/>
                <w:sz w:val="11"/>
                <w:szCs w:val="11"/>
                <w:b w:val="1"/>
                <w:bCs w:val="1"/>
                <w:color w:val="auto"/>
                <w:w w:val="96"/>
              </w:rPr>
              <w:t>INCOME STATEMENT</w:t>
            </w:r>
          </w:p>
        </w:tc>
        <w:tc>
          <w:tcPr>
            <w:tcW w:w="980" w:type="dxa"/>
            <w:vAlign w:val="bottom"/>
            <w:gridSpan w:val="2"/>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100" w:type="dxa"/>
            <w:vAlign w:val="bottom"/>
            <w:gridSpan w:val="4"/>
          </w:tcPr>
          <w:p>
            <w:pPr>
              <w:spacing w:after="0"/>
              <w:rPr>
                <w:sz w:val="20"/>
                <w:szCs w:val="20"/>
                <w:color w:val="auto"/>
              </w:rPr>
            </w:pPr>
            <w:r>
              <w:rPr>
                <w:rFonts w:ascii="Arial" w:cs="Arial" w:eastAsia="Arial" w:hAnsi="Arial"/>
                <w:sz w:val="11"/>
                <w:szCs w:val="11"/>
                <w:b w:val="1"/>
                <w:bCs w:val="1"/>
                <w:color w:val="auto"/>
              </w:rPr>
              <w:t>REVENUE</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00" w:type="dxa"/>
            <w:vAlign w:val="bottom"/>
            <w:gridSpan w:val="4"/>
          </w:tcPr>
          <w:p>
            <w:pPr>
              <w:spacing w:after="0"/>
              <w:rPr>
                <w:sz w:val="20"/>
                <w:szCs w:val="20"/>
                <w:color w:val="auto"/>
              </w:rPr>
            </w:pPr>
            <w:r>
              <w:rPr>
                <w:rFonts w:ascii="Arial" w:cs="Arial" w:eastAsia="Arial" w:hAnsi="Arial"/>
                <w:sz w:val="11"/>
                <w:szCs w:val="11"/>
                <w:color w:val="auto"/>
              </w:rPr>
              <w:t>Investment banking fees</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1,467</w:t>
            </w:r>
          </w:p>
        </w:tc>
        <w:tc>
          <w:tcPr>
            <w:tcW w:w="2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1,762</w:t>
            </w:r>
          </w:p>
        </w:tc>
        <w:tc>
          <w:tcPr>
            <w:tcW w:w="2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1,650</w:t>
            </w:r>
          </w:p>
        </w:tc>
        <w:tc>
          <w:tcPr>
            <w:tcW w:w="2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2,050</w:t>
            </w:r>
          </w:p>
        </w:tc>
        <w:tc>
          <w:tcPr>
            <w:tcW w:w="2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3,502</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w:t>
            </w: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(58)%</w:t>
            </w:r>
          </w:p>
        </w:tc>
        <w:tc>
          <w:tcPr>
            <w:tcW w:w="4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6,929</w:t>
            </w:r>
          </w:p>
        </w:tc>
        <w:tc>
          <w:tcPr>
            <w:tcW w:w="2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13,359</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162"/>
        </w:trPr>
        <w:tc>
          <w:tcPr>
            <w:tcW w:w="2100" w:type="dxa"/>
            <w:vAlign w:val="bottom"/>
            <w:gridSpan w:val="4"/>
          </w:tcPr>
          <w:p>
            <w:pPr>
              <w:spacing w:after="0"/>
              <w:rPr>
                <w:sz w:val="20"/>
                <w:szCs w:val="20"/>
                <w:color w:val="auto"/>
              </w:rPr>
            </w:pPr>
            <w:r>
              <w:rPr>
                <w:rFonts w:ascii="Arial" w:cs="Arial" w:eastAsia="Arial" w:hAnsi="Arial"/>
                <w:sz w:val="11"/>
                <w:szCs w:val="11"/>
                <w:color w:val="auto"/>
              </w:rPr>
              <w:t>Principal transactions</w:t>
            </w: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4,397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5,258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5,048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5,223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2,116</w:t>
            </w:r>
          </w:p>
        </w:tc>
        <w:tc>
          <w:tcPr>
            <w:tcW w:w="2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2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108</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19,926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15,764</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62"/>
        </w:trPr>
        <w:tc>
          <w:tcPr>
            <w:tcW w:w="2100" w:type="dxa"/>
            <w:vAlign w:val="bottom"/>
            <w:gridSpan w:val="4"/>
          </w:tcPr>
          <w:p>
            <w:pPr>
              <w:spacing w:after="0"/>
              <w:rPr>
                <w:sz w:val="20"/>
                <w:szCs w:val="20"/>
                <w:color w:val="auto"/>
              </w:rPr>
            </w:pPr>
            <w:r>
              <w:rPr>
                <w:rFonts w:ascii="Arial" w:cs="Arial" w:eastAsia="Arial" w:hAnsi="Arial"/>
                <w:sz w:val="11"/>
                <w:szCs w:val="11"/>
                <w:color w:val="auto"/>
              </w:rPr>
              <w:t>Lending- and deposit-related fees</w:t>
            </w: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548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589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641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641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654</w:t>
            </w:r>
          </w:p>
        </w:tc>
        <w:tc>
          <w:tcPr>
            <w:tcW w:w="2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2,419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2,514</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8"/>
        </w:trPr>
        <w:tc>
          <w:tcPr>
            <w:tcW w:w="2100" w:type="dxa"/>
            <w:vAlign w:val="bottom"/>
            <w:gridSpan w:val="4"/>
          </w:tcPr>
          <w:p>
            <w:pPr>
              <w:spacing w:after="0"/>
              <w:rPr>
                <w:sz w:val="20"/>
                <w:szCs w:val="20"/>
                <w:color w:val="auto"/>
              </w:rPr>
            </w:pPr>
            <w:r>
              <w:rPr>
                <w:rFonts w:ascii="Arial" w:cs="Arial" w:eastAsia="Arial" w:hAnsi="Arial"/>
                <w:sz w:val="11"/>
                <w:szCs w:val="11"/>
                <w:color w:val="auto"/>
              </w:rPr>
              <w:t>Asset management, administration and</w:t>
            </w:r>
          </w:p>
        </w:tc>
        <w:tc>
          <w:tcPr>
            <w:tcW w:w="14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1,198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1,198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1,330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1,339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1,252</w:t>
            </w:r>
          </w:p>
        </w:tc>
        <w:tc>
          <w:tcPr>
            <w:tcW w:w="220" w:type="dxa"/>
            <w:vAlign w:val="bottom"/>
          </w:tcPr>
          <w:p>
            <w:pPr>
              <w:spacing w:after="0"/>
              <w:rPr>
                <w:sz w:val="11"/>
                <w:szCs w:val="11"/>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ind w:right="66"/>
              <w:spacing w:after="0"/>
              <w:rPr>
                <w:sz w:val="20"/>
                <w:szCs w:val="20"/>
                <w:color w:val="auto"/>
              </w:rPr>
            </w:pPr>
            <w:r>
              <w:rPr>
                <w:rFonts w:ascii="Arial" w:cs="Arial" w:eastAsia="Arial" w:hAnsi="Arial"/>
                <w:sz w:val="11"/>
                <w:szCs w:val="11"/>
                <w:color w:val="auto"/>
              </w:rPr>
              <w:t>(4)</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5,065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5,024</w:t>
            </w:r>
          </w:p>
        </w:tc>
        <w:tc>
          <w:tcPr>
            <w:tcW w:w="94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2"/>
        </w:trPr>
        <w:tc>
          <w:tcPr>
            <w:tcW w:w="2100" w:type="dxa"/>
            <w:vAlign w:val="bottom"/>
            <w:gridSpan w:val="4"/>
          </w:tcPr>
          <w:p>
            <w:pPr>
              <w:spacing w:after="0"/>
              <w:rPr>
                <w:sz w:val="20"/>
                <w:szCs w:val="20"/>
                <w:color w:val="auto"/>
              </w:rPr>
            </w:pPr>
            <w:r>
              <w:rPr>
                <w:rFonts w:ascii="Arial" w:cs="Arial" w:eastAsia="Arial" w:hAnsi="Arial"/>
                <w:sz w:val="11"/>
                <w:szCs w:val="11"/>
                <w:color w:val="auto"/>
              </w:rPr>
              <w:t>commissions</w:t>
            </w: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100" w:type="dxa"/>
            <w:vAlign w:val="bottom"/>
            <w:gridSpan w:val="4"/>
          </w:tcPr>
          <w:p>
            <w:pPr>
              <w:spacing w:after="0"/>
              <w:rPr>
                <w:sz w:val="20"/>
                <w:szCs w:val="20"/>
                <w:color w:val="auto"/>
              </w:rPr>
            </w:pPr>
            <w:r>
              <w:rPr>
                <w:rFonts w:ascii="Arial" w:cs="Arial" w:eastAsia="Arial" w:hAnsi="Arial"/>
                <w:sz w:val="11"/>
                <w:szCs w:val="11"/>
                <w:color w:val="auto"/>
              </w:rPr>
              <w:t>All other income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452</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424</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80</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704</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624</w:t>
            </w:r>
          </w:p>
        </w:tc>
        <w:tc>
          <w:tcPr>
            <w:tcW w:w="22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5"/>
                <w:szCs w:val="15"/>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(28)</w:t>
            </w: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1,660</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1,548</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8"/>
        </w:trPr>
        <w:tc>
          <w:tcPr>
            <w:tcW w:w="2100" w:type="dxa"/>
            <w:vAlign w:val="bottom"/>
            <w:gridSpan w:val="4"/>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1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8,062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9,231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8,749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9,957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8,148</w:t>
            </w:r>
          </w:p>
        </w:tc>
        <w:tc>
          <w:tcPr>
            <w:tcW w:w="22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20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35,999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38,209</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70"/>
        </w:trPr>
        <w:tc>
          <w:tcPr>
            <w:tcW w:w="2100" w:type="dxa"/>
            <w:vAlign w:val="bottom"/>
            <w:gridSpan w:val="4"/>
          </w:tcPr>
          <w:p>
            <w:pPr>
              <w:spacing w:after="0"/>
              <w:rPr>
                <w:sz w:val="20"/>
                <w:szCs w:val="20"/>
                <w:color w:val="auto"/>
              </w:rPr>
            </w:pPr>
            <w:r>
              <w:rPr>
                <w:rFonts w:ascii="Arial" w:cs="Arial" w:eastAsia="Arial" w:hAnsi="Arial"/>
                <w:sz w:val="11"/>
                <w:szCs w:val="11"/>
                <w:color w:val="auto"/>
              </w:rPr>
              <w:t>Net interest income</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2,486</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2,644</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3,198</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3,572</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3,386</w:t>
            </w:r>
          </w:p>
        </w:tc>
        <w:tc>
          <w:tcPr>
            <w:tcW w:w="2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(27)</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11,900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13,540</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48"/>
        </w:trPr>
        <w:tc>
          <w:tcPr>
            <w:tcW w:w="21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NET REVENUE (a)</w:t>
            </w:r>
          </w:p>
        </w:tc>
        <w:tc>
          <w:tcPr>
            <w:tcW w:w="1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10,548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11,875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11,947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13,529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11,534</w:t>
            </w:r>
          </w:p>
        </w:tc>
        <w:tc>
          <w:tcPr>
            <w:tcW w:w="22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47,899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51,749</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64"/>
        </w:trPr>
        <w:tc>
          <w:tcPr>
            <w:tcW w:w="2100" w:type="dxa"/>
            <w:vAlign w:val="bottom"/>
            <w:gridSpan w:val="4"/>
          </w:tcPr>
          <w:p>
            <w:pPr>
              <w:spacing w:after="0"/>
              <w:rPr>
                <w:sz w:val="20"/>
                <w:szCs w:val="20"/>
                <w:color w:val="auto"/>
              </w:rPr>
            </w:pPr>
            <w:r>
              <w:rPr>
                <w:rFonts w:ascii="Arial" w:cs="Arial" w:eastAsia="Arial" w:hAnsi="Arial"/>
                <w:sz w:val="11"/>
                <w:szCs w:val="11"/>
                <w:color w:val="auto"/>
              </w:rPr>
              <w:t>Provision for credit losses</w:t>
            </w:r>
          </w:p>
        </w:tc>
        <w:tc>
          <w:tcPr>
            <w:tcW w:w="140" w:type="dxa"/>
            <w:vAlign w:val="bottom"/>
          </w:tcPr>
          <w:p>
            <w:pPr>
              <w:spacing w:after="0"/>
              <w:rPr>
                <w:sz w:val="22"/>
                <w:szCs w:val="2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141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513</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59</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445</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(126)</w:t>
            </w:r>
          </w:p>
        </w:tc>
        <w:tc>
          <w:tcPr>
            <w:tcW w:w="220" w:type="dxa"/>
            <w:vAlign w:val="bottom"/>
          </w:tcPr>
          <w:p>
            <w:pPr>
              <w:spacing w:after="0"/>
              <w:rPr>
                <w:sz w:val="22"/>
                <w:szCs w:val="2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(73)</w:t>
            </w:r>
          </w:p>
        </w:tc>
        <w:tc>
          <w:tcPr>
            <w:tcW w:w="200" w:type="dxa"/>
            <w:vAlign w:val="bottom"/>
          </w:tcPr>
          <w:p>
            <w:pPr>
              <w:spacing w:after="0"/>
              <w:rPr>
                <w:sz w:val="22"/>
                <w:szCs w:val="22"/>
                <w:color w:val="auto"/>
              </w:rPr>
            </w:pPr>
          </w:p>
        </w:tc>
        <w:tc>
          <w:tcPr>
            <w:tcW w:w="940" w:type="dxa"/>
            <w:vAlign w:val="bottom"/>
            <w:gridSpan w:val="2"/>
          </w:tcPr>
          <w:p>
            <w:pPr>
              <w:ind w:left="360"/>
              <w:spacing w:after="0"/>
              <w:rPr>
                <w:sz w:val="20"/>
                <w:szCs w:val="20"/>
                <w:color w:val="auto"/>
              </w:rPr>
            </w:pPr>
            <w:r>
              <w:rPr>
                <w:rFonts w:ascii="Arial" w:cs="Arial" w:eastAsia="Arial" w:hAnsi="Arial"/>
                <w:sz w:val="11"/>
                <w:szCs w:val="11"/>
                <w:color w:val="auto"/>
              </w:rPr>
              <w:t>NM</w:t>
            </w:r>
          </w:p>
        </w:tc>
        <w:tc>
          <w:tcPr>
            <w:tcW w:w="140" w:type="dxa"/>
            <w:vAlign w:val="bottom"/>
          </w:tcPr>
          <w:p>
            <w:pPr>
              <w:spacing w:after="0"/>
              <w:rPr>
                <w:sz w:val="22"/>
                <w:szCs w:val="2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1,158</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(1,174)</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276"/>
        </w:trPr>
        <w:tc>
          <w:tcPr>
            <w:tcW w:w="2100" w:type="dxa"/>
            <w:vAlign w:val="bottom"/>
            <w:gridSpan w:val="4"/>
          </w:tcPr>
          <w:p>
            <w:pPr>
              <w:spacing w:after="0"/>
              <w:rPr>
                <w:sz w:val="20"/>
                <w:szCs w:val="20"/>
                <w:color w:val="auto"/>
              </w:rPr>
            </w:pPr>
            <w:r>
              <w:rPr>
                <w:rFonts w:ascii="Arial" w:cs="Arial" w:eastAsia="Arial" w:hAnsi="Arial"/>
                <w:sz w:val="11"/>
                <w:szCs w:val="11"/>
                <w:b w:val="1"/>
                <w:bCs w:val="1"/>
                <w:color w:val="auto"/>
              </w:rPr>
              <w:t>NONINTEREST EXPENSE</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100" w:type="dxa"/>
            <w:vAlign w:val="bottom"/>
            <w:gridSpan w:val="4"/>
          </w:tcPr>
          <w:p>
            <w:pPr>
              <w:spacing w:after="0"/>
              <w:rPr>
                <w:sz w:val="20"/>
                <w:szCs w:val="20"/>
                <w:color w:val="auto"/>
              </w:rPr>
            </w:pPr>
            <w:r>
              <w:rPr>
                <w:rFonts w:ascii="Arial" w:cs="Arial" w:eastAsia="Arial" w:hAnsi="Arial"/>
                <w:sz w:val="11"/>
                <w:szCs w:val="11"/>
                <w:color w:val="auto"/>
              </w:rPr>
              <w:t>Compensation expense</w:t>
            </w:r>
          </w:p>
        </w:tc>
        <w:tc>
          <w:tcPr>
            <w:tcW w:w="14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3,091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3,311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3,510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4,006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2,358</w:t>
            </w:r>
          </w:p>
        </w:tc>
        <w:tc>
          <w:tcPr>
            <w:tcW w:w="220" w:type="dxa"/>
            <w:vAlign w:val="bottom"/>
          </w:tcPr>
          <w:p>
            <w:pPr>
              <w:spacing w:after="0"/>
              <w:rPr>
                <w:sz w:val="13"/>
                <w:szCs w:val="13"/>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13,918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13,096</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75"/>
        </w:trPr>
        <w:tc>
          <w:tcPr>
            <w:tcW w:w="2100" w:type="dxa"/>
            <w:vAlign w:val="bottom"/>
            <w:gridSpan w:val="4"/>
          </w:tcPr>
          <w:p>
            <w:pPr>
              <w:spacing w:after="0"/>
              <w:rPr>
                <w:sz w:val="20"/>
                <w:szCs w:val="20"/>
                <w:color w:val="auto"/>
              </w:rPr>
            </w:pPr>
            <w:r>
              <w:rPr>
                <w:rFonts w:ascii="Arial" w:cs="Arial" w:eastAsia="Arial" w:hAnsi="Arial"/>
                <w:sz w:val="11"/>
                <w:szCs w:val="11"/>
                <w:color w:val="auto"/>
              </w:rPr>
              <w:t>Noncompensation expense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3,335</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3,307</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3,235</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3,292</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3,469</w:t>
            </w:r>
          </w:p>
        </w:tc>
        <w:tc>
          <w:tcPr>
            <w:tcW w:w="22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5"/>
                <w:szCs w:val="15"/>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13,169</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12,229</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56"/>
        </w:trPr>
        <w:tc>
          <w:tcPr>
            <w:tcW w:w="21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NONINTEREST EXPENSE</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6,426</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6,618</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6,745</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7,298</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5,827</w:t>
            </w:r>
          </w:p>
        </w:tc>
        <w:tc>
          <w:tcPr>
            <w:tcW w:w="220" w:type="dxa"/>
            <w:vAlign w:val="bottom"/>
          </w:tcPr>
          <w:p>
            <w:pPr>
              <w:spacing w:after="0"/>
              <w:rPr>
                <w:sz w:val="13"/>
                <w:szCs w:val="13"/>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10</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27,087</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25,325</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83"/>
        </w:trPr>
        <w:tc>
          <w:tcPr>
            <w:tcW w:w="2100" w:type="dxa"/>
            <w:vAlign w:val="bottom"/>
            <w:gridSpan w:val="4"/>
          </w:tcPr>
          <w:p>
            <w:pPr>
              <w:spacing w:after="0"/>
              <w:rPr>
                <w:sz w:val="20"/>
                <w:szCs w:val="20"/>
                <w:color w:val="auto"/>
              </w:rPr>
            </w:pPr>
            <w:r>
              <w:rPr>
                <w:rFonts w:ascii="Arial" w:cs="Arial" w:eastAsia="Arial" w:hAnsi="Arial"/>
                <w:sz w:val="11"/>
                <w:szCs w:val="11"/>
                <w:b w:val="1"/>
                <w:bCs w:val="1"/>
                <w:color w:val="auto"/>
              </w:rPr>
              <w:t>Income before income tax expense</w:t>
            </w:r>
          </w:p>
        </w:tc>
        <w:tc>
          <w:tcPr>
            <w:tcW w:w="140" w:type="dxa"/>
            <w:vAlign w:val="bottom"/>
          </w:tcPr>
          <w:p>
            <w:pPr>
              <w:spacing w:after="0"/>
              <w:rPr>
                <w:sz w:val="24"/>
                <w:szCs w:val="2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3,981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4,744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5,143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5,786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5,833</w:t>
            </w:r>
          </w:p>
        </w:tc>
        <w:tc>
          <w:tcPr>
            <w:tcW w:w="220" w:type="dxa"/>
            <w:vAlign w:val="bottom"/>
          </w:tcPr>
          <w:p>
            <w:pPr>
              <w:spacing w:after="0"/>
              <w:rPr>
                <w:sz w:val="24"/>
                <w:szCs w:val="2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200" w:type="dxa"/>
            <w:vAlign w:val="bottom"/>
          </w:tcPr>
          <w:p>
            <w:pPr>
              <w:spacing w:after="0"/>
              <w:rPr>
                <w:sz w:val="24"/>
                <w:szCs w:val="2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(32)</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19,654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27,598</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70"/>
        </w:trPr>
        <w:tc>
          <w:tcPr>
            <w:tcW w:w="2100" w:type="dxa"/>
            <w:vAlign w:val="bottom"/>
            <w:gridSpan w:val="4"/>
          </w:tcPr>
          <w:p>
            <w:pPr>
              <w:spacing w:after="0"/>
              <w:rPr>
                <w:sz w:val="20"/>
                <w:szCs w:val="20"/>
                <w:color w:val="auto"/>
              </w:rPr>
            </w:pPr>
            <w:r>
              <w:rPr>
                <w:rFonts w:ascii="Arial" w:cs="Arial" w:eastAsia="Arial" w:hAnsi="Arial"/>
                <w:sz w:val="11"/>
                <w:szCs w:val="11"/>
                <w:color w:val="auto"/>
              </w:rPr>
              <w:t>Income tax expense</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653</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1,212</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1,418</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1,401</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1,290</w:t>
            </w:r>
          </w:p>
        </w:tc>
        <w:tc>
          <w:tcPr>
            <w:tcW w:w="220" w:type="dxa"/>
            <w:vAlign w:val="bottom"/>
          </w:tcPr>
          <w:p>
            <w:pPr>
              <w:jc w:val="right"/>
              <w:spacing w:after="0"/>
              <w:rPr>
                <w:sz w:val="20"/>
                <w:szCs w:val="20"/>
                <w:color w:val="auto"/>
              </w:rPr>
            </w:pPr>
            <w:r>
              <w:rPr>
                <w:rFonts w:ascii="Arial" w:cs="Arial" w:eastAsia="Arial" w:hAnsi="Arial"/>
                <w:sz w:val="11"/>
                <w:szCs w:val="11"/>
                <w:color w:val="auto"/>
              </w:rPr>
              <w:t>(c)</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(46)</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(49)</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4,684</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6,464</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69"/>
        </w:trPr>
        <w:tc>
          <w:tcPr>
            <w:tcW w:w="2100" w:type="dxa"/>
            <w:vAlign w:val="bottom"/>
            <w:gridSpan w:val="4"/>
          </w:tcPr>
          <w:p>
            <w:pPr>
              <w:spacing w:after="0"/>
              <w:rPr>
                <w:sz w:val="20"/>
                <w:szCs w:val="20"/>
                <w:color w:val="auto"/>
              </w:rPr>
            </w:pPr>
            <w:r>
              <w:rPr>
                <w:rFonts w:ascii="Arial" w:cs="Arial" w:eastAsia="Arial" w:hAnsi="Arial"/>
                <w:sz w:val="11"/>
                <w:szCs w:val="11"/>
                <w:b w:val="1"/>
                <w:bCs w:val="1"/>
                <w:color w:val="auto"/>
              </w:rPr>
              <w:t>NET INCOME</w:t>
            </w: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3,328</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3,532</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3,725</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4,385</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4,543</w:t>
            </w:r>
          </w:p>
        </w:tc>
        <w:tc>
          <w:tcPr>
            <w:tcW w:w="220" w:type="dxa"/>
            <w:vAlign w:val="bottom"/>
          </w:tcPr>
          <w:p>
            <w:pPr>
              <w:jc w:val="right"/>
              <w:spacing w:after="0"/>
              <w:rPr>
                <w:sz w:val="20"/>
                <w:szCs w:val="20"/>
                <w:color w:val="auto"/>
              </w:rPr>
            </w:pPr>
            <w:r>
              <w:rPr>
                <w:rFonts w:ascii="Arial" w:cs="Arial" w:eastAsia="Arial" w:hAnsi="Arial"/>
                <w:sz w:val="11"/>
                <w:szCs w:val="11"/>
                <w:color w:val="auto"/>
              </w:rPr>
              <w:t>(c)</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(27)</w:t>
            </w:r>
          </w:p>
        </w:tc>
        <w:tc>
          <w:tcPr>
            <w:tcW w:w="4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14,970</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21,134</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257"/>
        </w:trPr>
        <w:tc>
          <w:tcPr>
            <w:tcW w:w="10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6"/>
              </w:rPr>
              <w:t>FINANCIAL RATIOS</w:t>
            </w:r>
          </w:p>
        </w:tc>
        <w:tc>
          <w:tcPr>
            <w:tcW w:w="1080" w:type="dxa"/>
            <w:vAlign w:val="bottom"/>
            <w:gridSpan w:val="3"/>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100" w:type="dxa"/>
            <w:vAlign w:val="bottom"/>
            <w:gridSpan w:val="4"/>
          </w:tcPr>
          <w:p>
            <w:pPr>
              <w:spacing w:after="0"/>
              <w:rPr>
                <w:sz w:val="20"/>
                <w:szCs w:val="20"/>
                <w:color w:val="auto"/>
              </w:rPr>
            </w:pPr>
            <w:r>
              <w:rPr>
                <w:rFonts w:ascii="Arial" w:cs="Arial" w:eastAsia="Arial" w:hAnsi="Arial"/>
                <w:sz w:val="11"/>
                <w:szCs w:val="11"/>
                <w:color w:val="auto"/>
              </w:rPr>
              <w:t>ROE</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12 %</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13 %</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14 %</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17 %</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21 % (c)</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14 %</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25 %</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gridSpan w:val="4"/>
          </w:tcPr>
          <w:p>
            <w:pPr>
              <w:spacing w:after="0"/>
              <w:rPr>
                <w:sz w:val="20"/>
                <w:szCs w:val="20"/>
                <w:color w:val="auto"/>
              </w:rPr>
            </w:pPr>
            <w:r>
              <w:rPr>
                <w:rFonts w:ascii="Arial" w:cs="Arial" w:eastAsia="Arial" w:hAnsi="Arial"/>
                <w:sz w:val="11"/>
                <w:szCs w:val="11"/>
                <w:color w:val="auto"/>
              </w:rPr>
              <w:t>Overhead ratio</w:t>
            </w: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51</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49</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100" w:type="dxa"/>
            <w:vAlign w:val="bottom"/>
            <w:gridSpan w:val="4"/>
          </w:tcPr>
          <w:p>
            <w:pPr>
              <w:spacing w:after="0"/>
              <w:rPr>
                <w:sz w:val="20"/>
                <w:szCs w:val="20"/>
                <w:color w:val="auto"/>
              </w:rPr>
            </w:pPr>
            <w:r>
              <w:rPr>
                <w:rFonts w:ascii="Arial" w:cs="Arial" w:eastAsia="Arial" w:hAnsi="Arial"/>
                <w:sz w:val="11"/>
                <w:szCs w:val="11"/>
                <w:color w:val="auto"/>
              </w:rPr>
              <w:t>Compensation expense as percentage of</w:t>
            </w:r>
          </w:p>
        </w:tc>
        <w:tc>
          <w:tcPr>
            <w:tcW w:w="14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29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28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29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30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20</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29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25</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00" w:type="dxa"/>
            <w:vAlign w:val="bottom"/>
            <w:gridSpan w:val="4"/>
          </w:tcPr>
          <w:p>
            <w:pPr>
              <w:spacing w:after="0"/>
              <w:rPr>
                <w:sz w:val="20"/>
                <w:szCs w:val="20"/>
                <w:color w:val="auto"/>
              </w:rPr>
            </w:pPr>
            <w:r>
              <w:rPr>
                <w:rFonts w:ascii="Arial" w:cs="Arial" w:eastAsia="Arial" w:hAnsi="Arial"/>
                <w:sz w:val="11"/>
                <w:szCs w:val="11"/>
                <w:color w:val="auto"/>
              </w:rPr>
              <w:t>total net revenue</w:t>
            </w: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7"/>
              </w:rPr>
              <w:t>REVENUE BY BUSINESS</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100" w:type="dxa"/>
            <w:vAlign w:val="bottom"/>
            <w:gridSpan w:val="4"/>
          </w:tcPr>
          <w:p>
            <w:pPr>
              <w:spacing w:after="0"/>
              <w:rPr>
                <w:sz w:val="20"/>
                <w:szCs w:val="20"/>
                <w:color w:val="auto"/>
              </w:rPr>
            </w:pPr>
            <w:r>
              <w:rPr>
                <w:rFonts w:ascii="Arial" w:cs="Arial" w:eastAsia="Arial" w:hAnsi="Arial"/>
                <w:sz w:val="11"/>
                <w:szCs w:val="11"/>
                <w:color w:val="auto"/>
              </w:rPr>
              <w:t>Investment Banking</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1,389</w:t>
            </w:r>
          </w:p>
        </w:tc>
        <w:tc>
          <w:tcPr>
            <w:tcW w:w="20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1,713</w:t>
            </w:r>
          </w:p>
        </w:tc>
        <w:tc>
          <w:tcPr>
            <w:tcW w:w="20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1,351</w:t>
            </w:r>
          </w:p>
        </w:tc>
        <w:tc>
          <w:tcPr>
            <w:tcW w:w="20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2,057</w:t>
            </w:r>
          </w:p>
        </w:tc>
        <w:tc>
          <w:tcPr>
            <w:tcW w:w="20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3,206</w:t>
            </w:r>
          </w:p>
        </w:tc>
        <w:tc>
          <w:tcPr>
            <w:tcW w:w="2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(57)</w:t>
            </w:r>
          </w:p>
        </w:tc>
        <w:tc>
          <w:tcPr>
            <w:tcW w:w="40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6,510</w:t>
            </w:r>
          </w:p>
        </w:tc>
        <w:tc>
          <w:tcPr>
            <w:tcW w:w="20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12,506</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162"/>
        </w:trPr>
        <w:tc>
          <w:tcPr>
            <w:tcW w:w="2100" w:type="dxa"/>
            <w:vAlign w:val="bottom"/>
            <w:gridSpan w:val="4"/>
          </w:tcPr>
          <w:p>
            <w:pPr>
              <w:spacing w:after="0"/>
              <w:rPr>
                <w:sz w:val="20"/>
                <w:szCs w:val="20"/>
                <w:color w:val="auto"/>
              </w:rPr>
            </w:pPr>
            <w:r>
              <w:rPr>
                <w:rFonts w:ascii="Arial" w:cs="Arial" w:eastAsia="Arial" w:hAnsi="Arial"/>
                <w:sz w:val="11"/>
                <w:szCs w:val="11"/>
                <w:color w:val="auto"/>
              </w:rPr>
              <w:t>Payments</w:t>
            </w: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2,070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1,989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1,463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1,854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1,801</w:t>
            </w:r>
          </w:p>
        </w:tc>
        <w:tc>
          <w:tcPr>
            <w:tcW w:w="2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15</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7,376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6,270</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75"/>
        </w:trPr>
        <w:tc>
          <w:tcPr>
            <w:tcW w:w="2100" w:type="dxa"/>
            <w:vAlign w:val="bottom"/>
            <w:gridSpan w:val="4"/>
          </w:tcPr>
          <w:p>
            <w:pPr>
              <w:spacing w:after="0"/>
              <w:rPr>
                <w:sz w:val="20"/>
                <w:szCs w:val="20"/>
                <w:color w:val="auto"/>
              </w:rPr>
            </w:pPr>
            <w:r>
              <w:rPr>
                <w:rFonts w:ascii="Arial" w:cs="Arial" w:eastAsia="Arial" w:hAnsi="Arial"/>
                <w:sz w:val="11"/>
                <w:szCs w:val="11"/>
                <w:color w:val="auto"/>
              </w:rPr>
              <w:t>Lending</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323</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323</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410</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321</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263</w:t>
            </w:r>
          </w:p>
        </w:tc>
        <w:tc>
          <w:tcPr>
            <w:tcW w:w="220" w:type="dxa"/>
            <w:vAlign w:val="bottom"/>
          </w:tcPr>
          <w:p>
            <w:pPr>
              <w:spacing w:after="0"/>
              <w:rPr>
                <w:sz w:val="15"/>
                <w:szCs w:val="15"/>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23</w:t>
            </w: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1,377</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1,001</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48"/>
        </w:trPr>
        <w:tc>
          <w:tcPr>
            <w:tcW w:w="21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Banking</w:t>
            </w:r>
          </w:p>
        </w:tc>
        <w:tc>
          <w:tcPr>
            <w:tcW w:w="1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3,782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4,025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3,224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4,232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5,270</w:t>
            </w:r>
          </w:p>
        </w:tc>
        <w:tc>
          <w:tcPr>
            <w:tcW w:w="22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(28)</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15,263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19,777</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56"/>
        </w:trPr>
        <w:tc>
          <w:tcPr>
            <w:tcW w:w="2100" w:type="dxa"/>
            <w:vAlign w:val="bottom"/>
            <w:gridSpan w:val="4"/>
          </w:tcPr>
          <w:p>
            <w:pPr>
              <w:spacing w:after="0"/>
              <w:rPr>
                <w:sz w:val="20"/>
                <w:szCs w:val="20"/>
                <w:color w:val="auto"/>
              </w:rPr>
            </w:pPr>
            <w:r>
              <w:rPr>
                <w:rFonts w:ascii="Arial" w:cs="Arial" w:eastAsia="Arial" w:hAnsi="Arial"/>
                <w:sz w:val="11"/>
                <w:szCs w:val="11"/>
                <w:color w:val="auto"/>
              </w:rPr>
              <w:t>Fixed Income Markets</w:t>
            </w:r>
          </w:p>
        </w:tc>
        <w:tc>
          <w:tcPr>
            <w:tcW w:w="14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3,739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4,469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4,711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5,698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3,334</w:t>
            </w:r>
          </w:p>
        </w:tc>
        <w:tc>
          <w:tcPr>
            <w:tcW w:w="220" w:type="dxa"/>
            <w:vAlign w:val="bottom"/>
          </w:tcPr>
          <w:p>
            <w:pPr>
              <w:spacing w:after="0"/>
              <w:rPr>
                <w:sz w:val="13"/>
                <w:szCs w:val="13"/>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20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18,617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16,865</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2100" w:type="dxa"/>
            <w:vAlign w:val="bottom"/>
            <w:gridSpan w:val="4"/>
          </w:tcPr>
          <w:p>
            <w:pPr>
              <w:spacing w:after="0"/>
              <w:rPr>
                <w:sz w:val="20"/>
                <w:szCs w:val="20"/>
                <w:color w:val="auto"/>
              </w:rPr>
            </w:pPr>
            <w:r>
              <w:rPr>
                <w:rFonts w:ascii="Arial" w:cs="Arial" w:eastAsia="Arial" w:hAnsi="Arial"/>
                <w:sz w:val="11"/>
                <w:szCs w:val="11"/>
                <w:color w:val="auto"/>
              </w:rPr>
              <w:t>Equity Markets</w:t>
            </w: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1,931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2,302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3,079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3,055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1,954</w:t>
            </w:r>
          </w:p>
        </w:tc>
        <w:tc>
          <w:tcPr>
            <w:tcW w:w="2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10,367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10,529</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2100" w:type="dxa"/>
            <w:vAlign w:val="bottom"/>
            <w:gridSpan w:val="4"/>
          </w:tcPr>
          <w:p>
            <w:pPr>
              <w:spacing w:after="0"/>
              <w:rPr>
                <w:sz w:val="20"/>
                <w:szCs w:val="20"/>
                <w:color w:val="auto"/>
              </w:rPr>
            </w:pPr>
            <w:r>
              <w:rPr>
                <w:rFonts w:ascii="Arial" w:cs="Arial" w:eastAsia="Arial" w:hAnsi="Arial"/>
                <w:sz w:val="11"/>
                <w:szCs w:val="11"/>
                <w:color w:val="auto"/>
              </w:rPr>
              <w:t>Securities Services</w:t>
            </w: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1,159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1,110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1,151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1,068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1,064</w:t>
            </w:r>
          </w:p>
        </w:tc>
        <w:tc>
          <w:tcPr>
            <w:tcW w:w="2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9</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4,488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4,328</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75"/>
        </w:trPr>
        <w:tc>
          <w:tcPr>
            <w:tcW w:w="2100" w:type="dxa"/>
            <w:vAlign w:val="bottom"/>
            <w:gridSpan w:val="4"/>
          </w:tcPr>
          <w:p>
            <w:pPr>
              <w:spacing w:after="0"/>
              <w:rPr>
                <w:sz w:val="20"/>
                <w:szCs w:val="20"/>
                <w:color w:val="auto"/>
              </w:rPr>
            </w:pPr>
            <w:r>
              <w:rPr>
                <w:rFonts w:ascii="Arial" w:cs="Arial" w:eastAsia="Arial" w:hAnsi="Arial"/>
                <w:sz w:val="11"/>
                <w:szCs w:val="11"/>
                <w:color w:val="auto"/>
              </w:rPr>
              <w:t>Credit Adjustments &amp; Other (b)</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(63)</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(31)</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(218)</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(524)</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(88)</w:t>
            </w:r>
          </w:p>
        </w:tc>
        <w:tc>
          <w:tcPr>
            <w:tcW w:w="220" w:type="dxa"/>
            <w:vAlign w:val="bottom"/>
          </w:tcPr>
          <w:p>
            <w:pPr>
              <w:spacing w:after="0"/>
              <w:rPr>
                <w:sz w:val="15"/>
                <w:szCs w:val="15"/>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(103)</w:t>
            </w:r>
          </w:p>
        </w:tc>
        <w:tc>
          <w:tcPr>
            <w:tcW w:w="20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28</w:t>
            </w: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(836)</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250</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55"/>
        </w:trPr>
        <w:tc>
          <w:tcPr>
            <w:tcW w:w="21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Markets &amp; Securities Services</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6,766</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7,850</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8,723</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9,297</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6,264</w:t>
            </w:r>
          </w:p>
        </w:tc>
        <w:tc>
          <w:tcPr>
            <w:tcW w:w="220" w:type="dxa"/>
            <w:vAlign w:val="bottom"/>
          </w:tcPr>
          <w:p>
            <w:pPr>
              <w:spacing w:after="0"/>
              <w:rPr>
                <w:sz w:val="13"/>
                <w:szCs w:val="13"/>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32,636</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31,972</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9"/>
        </w:trPr>
        <w:tc>
          <w:tcPr>
            <w:tcW w:w="21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10,548</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11,875</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11,947</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13,529</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11,534</w:t>
            </w:r>
          </w:p>
        </w:tc>
        <w:tc>
          <w:tcPr>
            <w:tcW w:w="2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4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47,899</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51,749</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3455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385" w:lineRule="exact"/>
        <w:rPr>
          <w:sz w:val="20"/>
          <w:szCs w:val="20"/>
          <w:color w:val="auto"/>
        </w:rPr>
      </w:pPr>
    </w:p>
    <w:p>
      <w:pPr>
        <w:ind w:left="180" w:right="100" w:hanging="172"/>
        <w:spacing w:after="0" w:line="245" w:lineRule="auto"/>
        <w:tabs>
          <w:tab w:leader="none" w:pos="177" w:val="left"/>
        </w:tabs>
        <w:numPr>
          <w:ilvl w:val="0"/>
          <w:numId w:val="26"/>
        </w:numPr>
        <w:rPr>
          <w:rFonts w:ascii="Arial" w:cs="Arial" w:eastAsia="Arial" w:hAnsi="Arial"/>
          <w:sz w:val="11"/>
          <w:szCs w:val="11"/>
          <w:color w:val="auto"/>
        </w:rPr>
      </w:pPr>
      <w:r>
        <w:rPr>
          <w:rFonts w:ascii="Arial" w:cs="Arial" w:eastAsia="Arial" w:hAnsi="Arial"/>
          <w:sz w:val="11"/>
          <w:szCs w:val="11"/>
          <w:color w:val="auto"/>
        </w:rPr>
        <w:t>Includes tax-equivalent adjustments, predominantly due to income tax credits and other tax benefits related to alternative energy investments; income tax credits and amortization of the cost of investments in affordable housing projects; and tax-exempt income from municipal bonds of $854 million, $626 million, $772 million, $737 million and $923 million for the three months ended December 31, 2022, September 30, 2022, June 30, 2022, March 31, 2022 and December 31, 2021, respectively, and $3.0 billion for both the full year 2022 and 2021.</w:t>
      </w:r>
    </w:p>
    <w:p>
      <w:pPr>
        <w:ind w:left="180" w:right="20" w:hanging="172"/>
        <w:spacing w:after="0" w:line="253" w:lineRule="auto"/>
        <w:tabs>
          <w:tab w:leader="none" w:pos="177" w:val="left"/>
        </w:tabs>
        <w:numPr>
          <w:ilvl w:val="0"/>
          <w:numId w:val="26"/>
        </w:numPr>
        <w:rPr>
          <w:rFonts w:ascii="Arial" w:cs="Arial" w:eastAsia="Arial" w:hAnsi="Arial"/>
          <w:sz w:val="11"/>
          <w:szCs w:val="11"/>
          <w:color w:val="auto"/>
        </w:rPr>
      </w:pPr>
      <w:r>
        <w:rPr>
          <w:rFonts w:ascii="Arial" w:cs="Arial" w:eastAsia="Arial" w:hAnsi="Arial"/>
          <w:sz w:val="11"/>
          <w:szCs w:val="11"/>
          <w:color w:val="auto"/>
        </w:rPr>
        <w:t>Consists primarily of centrally managed credit valuation adjustments (“CVA”), funding valuation adjustments (“FVA”) on derivatives, other valuation adjustments, and certain components of fair value option elected liabilities, which are primarily reported in principal transactions revenue. Results are presented net of associated hedging activities and net of CVA and FVA amounts allocated to Fixed Income Markets and Equity Markets.</w:t>
      </w:r>
    </w:p>
    <w:p>
      <w:pPr>
        <w:ind w:left="160" w:hanging="152"/>
        <w:spacing w:after="0"/>
        <w:tabs>
          <w:tab w:leader="none" w:pos="160" w:val="left"/>
        </w:tabs>
        <w:numPr>
          <w:ilvl w:val="0"/>
          <w:numId w:val="26"/>
        </w:numPr>
        <w:rPr>
          <w:rFonts w:ascii="Arial" w:cs="Arial" w:eastAsia="Arial" w:hAnsi="Arial"/>
          <w:sz w:val="11"/>
          <w:szCs w:val="11"/>
          <w:color w:val="auto"/>
        </w:rPr>
      </w:pPr>
      <w:r>
        <w:rPr>
          <w:rFonts w:ascii="Arial" w:cs="Arial" w:eastAsia="Arial" w:hAnsi="Arial"/>
          <w:sz w:val="11"/>
          <w:szCs w:val="11"/>
          <w:color w:val="auto"/>
        </w:rPr>
        <w:t>In the first quarter of 2022, the Firm changed its methodology for allocating income taxes to the LOBs, with no impact to Firmwide net income. Prior-period amounts have been revised to conform with the current presentation.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16</w:t>
      </w:r>
    </w:p>
    <w:p>
      <w:pPr>
        <w:sectPr>
          <w:pgSz w:w="11900" w:h="16838" w:orient="portrait"/>
          <w:cols w:equalWidth="0" w:num="1">
            <w:col w:w="11240"/>
          </w:cols>
          <w:pgMar w:left="320" w:top="936"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CORPORATE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-78740</wp:posOffset>
            </wp:positionV>
            <wp:extent cx="237426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INVESTMENT BANK</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ind w:left="20"/>
        <w:spacing w:after="0"/>
        <w:rPr>
          <w:sz w:val="20"/>
          <w:szCs w:val="20"/>
          <w:color w:val="auto"/>
        </w:rPr>
      </w:pPr>
      <w:r>
        <w:rPr>
          <w:rFonts w:ascii="Arial" w:cs="Arial" w:eastAsia="Arial" w:hAnsi="Arial"/>
          <w:sz w:val="11"/>
          <w:szCs w:val="11"/>
          <w:b w:val="1"/>
          <w:bCs w:val="1"/>
          <w:color w:val="auto"/>
        </w:rPr>
        <w:t>CONTINUED</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and</w:t>
      </w:r>
    </w:p>
    <w:p>
      <w:pPr>
        <w:ind w:left="20"/>
        <w:spacing w:after="0"/>
        <w:rPr>
          <w:sz w:val="20"/>
          <w:szCs w:val="20"/>
          <w:color w:val="auto"/>
        </w:rPr>
      </w:pPr>
      <w:r>
        <w:rPr>
          <w:rFonts w:ascii="Arial" w:cs="Arial" w:eastAsia="Arial" w:hAnsi="Arial"/>
          <w:sz w:val="11"/>
          <w:szCs w:val="11"/>
          <w:b w:val="1"/>
          <w:bCs w:val="1"/>
          <w:color w:val="auto"/>
        </w:rPr>
        <w:t>headcount data)</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5"/>
          </w:tcPr>
          <w:p>
            <w:pPr>
              <w:ind w:left="420"/>
              <w:spacing w:after="0"/>
              <w:rPr>
                <w:sz w:val="20"/>
                <w:szCs w:val="20"/>
                <w:color w:val="auto"/>
              </w:rPr>
            </w:pPr>
            <w:r>
              <w:rPr>
                <w:rFonts w:ascii="Arial" w:cs="Arial" w:eastAsia="Arial" w:hAnsi="Arial"/>
                <w:sz w:val="11"/>
                <w:szCs w:val="11"/>
                <w:b w:val="1"/>
                <w:bCs w:val="1"/>
                <w:color w:val="auto"/>
              </w:rPr>
              <w:t>QUARTERLY TRENDS</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1"/>
                <w:szCs w:val="11"/>
                <w:b w:val="1"/>
                <w:bCs w:val="1"/>
                <w:color w:val="auto"/>
              </w:rPr>
              <w:t>FULL YEAR</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Borders>
              <w:bottom w:val="single" w:sz="8" w:color="auto"/>
            </w:tcBorders>
            <w:gridSpan w:val="3"/>
          </w:tcPr>
          <w:p>
            <w:pPr>
              <w:jc w:val="right"/>
              <w:ind w:right="186"/>
              <w:spacing w:after="0"/>
              <w:rPr>
                <w:sz w:val="20"/>
                <w:szCs w:val="20"/>
                <w:color w:val="auto"/>
              </w:rPr>
            </w:pPr>
            <w:r>
              <w:rPr>
                <w:rFonts w:ascii="Arial" w:cs="Arial" w:eastAsia="Arial" w:hAnsi="Arial"/>
                <w:sz w:val="11"/>
                <w:szCs w:val="11"/>
                <w:b w:val="1"/>
                <w:bCs w:val="1"/>
                <w:color w:val="auto"/>
              </w:rPr>
              <w:t>4Q22 Change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2022 Change</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4Q22</w:t>
            </w:r>
          </w:p>
        </w:tc>
        <w:tc>
          <w:tcPr>
            <w:tcW w:w="10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3Q22</w:t>
            </w:r>
          </w:p>
        </w:tc>
        <w:tc>
          <w:tcPr>
            <w:tcW w:w="80" w:type="dxa"/>
            <w:vAlign w:val="bottom"/>
          </w:tcPr>
          <w:p>
            <w:pPr>
              <w:spacing w:after="0"/>
              <w:rPr>
                <w:sz w:val="13"/>
                <w:szCs w:val="13"/>
                <w:color w:val="auto"/>
              </w:rPr>
            </w:pPr>
          </w:p>
        </w:tc>
        <w:tc>
          <w:tcPr>
            <w:tcW w:w="840" w:type="dxa"/>
            <w:vAlign w:val="bottom"/>
            <w:gridSpan w:val="2"/>
          </w:tcPr>
          <w:p>
            <w:pPr>
              <w:ind w:left="160"/>
              <w:spacing w:after="0"/>
              <w:rPr>
                <w:sz w:val="20"/>
                <w:szCs w:val="20"/>
                <w:color w:val="auto"/>
              </w:rPr>
            </w:pPr>
            <w:r>
              <w:rPr>
                <w:rFonts w:ascii="Arial" w:cs="Arial" w:eastAsia="Arial" w:hAnsi="Arial"/>
                <w:sz w:val="11"/>
                <w:szCs w:val="11"/>
                <w:b w:val="1"/>
                <w:bCs w:val="1"/>
                <w:color w:val="auto"/>
              </w:rPr>
              <w:t>2Q22</w:t>
            </w:r>
          </w:p>
        </w:tc>
        <w:tc>
          <w:tcPr>
            <w:tcW w:w="80" w:type="dxa"/>
            <w:vAlign w:val="bottom"/>
          </w:tcPr>
          <w:p>
            <w:pPr>
              <w:spacing w:after="0"/>
              <w:rPr>
                <w:sz w:val="13"/>
                <w:szCs w:val="13"/>
                <w:color w:val="auto"/>
              </w:rPr>
            </w:pPr>
          </w:p>
        </w:tc>
        <w:tc>
          <w:tcPr>
            <w:tcW w:w="840" w:type="dxa"/>
            <w:vAlign w:val="bottom"/>
            <w:gridSpan w:val="2"/>
          </w:tcPr>
          <w:p>
            <w:pPr>
              <w:ind w:left="160"/>
              <w:spacing w:after="0"/>
              <w:rPr>
                <w:sz w:val="20"/>
                <w:szCs w:val="20"/>
                <w:color w:val="auto"/>
              </w:rPr>
            </w:pPr>
            <w:r>
              <w:rPr>
                <w:rFonts w:ascii="Arial" w:cs="Arial" w:eastAsia="Arial" w:hAnsi="Arial"/>
                <w:sz w:val="11"/>
                <w:szCs w:val="11"/>
                <w:b w:val="1"/>
                <w:bCs w:val="1"/>
                <w:color w:val="auto"/>
              </w:rPr>
              <w:t>1Q22</w:t>
            </w:r>
          </w:p>
        </w:tc>
        <w:tc>
          <w:tcPr>
            <w:tcW w:w="10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4Q21</w:t>
            </w:r>
          </w:p>
        </w:tc>
        <w:tc>
          <w:tcPr>
            <w:tcW w:w="200" w:type="dxa"/>
            <w:vAlign w:val="bottom"/>
          </w:tcPr>
          <w:p>
            <w:pPr>
              <w:spacing w:after="0"/>
              <w:rPr>
                <w:sz w:val="13"/>
                <w:szCs w:val="13"/>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3Q22</w:t>
            </w: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4Q21</w:t>
            </w:r>
          </w:p>
        </w:tc>
        <w:tc>
          <w:tcPr>
            <w:tcW w:w="10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2022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206"/>
              <w:spacing w:after="0"/>
              <w:rPr>
                <w:sz w:val="20"/>
                <w:szCs w:val="20"/>
                <w:color w:val="auto"/>
              </w:rPr>
            </w:pPr>
            <w:r>
              <w:rPr>
                <w:rFonts w:ascii="Arial" w:cs="Arial" w:eastAsia="Arial" w:hAnsi="Arial"/>
                <w:sz w:val="11"/>
                <w:szCs w:val="11"/>
                <w:b w:val="1"/>
                <w:bCs w:val="1"/>
                <w:color w:val="auto"/>
              </w:rPr>
              <w:t>2021</w:t>
            </w:r>
          </w:p>
        </w:tc>
        <w:tc>
          <w:tcPr>
            <w:tcW w:w="880" w:type="dxa"/>
            <w:vAlign w:val="bottom"/>
            <w:gridSpan w:val="2"/>
          </w:tcPr>
          <w:p>
            <w:pPr>
              <w:jc w:val="right"/>
              <w:ind w:right="166"/>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08"/>
        </w:trPr>
        <w:tc>
          <w:tcPr>
            <w:tcW w:w="1960" w:type="dxa"/>
            <w:vAlign w:val="bottom"/>
            <w:gridSpan w:val="6"/>
          </w:tcPr>
          <w:p>
            <w:pPr>
              <w:spacing w:after="0" w:line="108" w:lineRule="exact"/>
              <w:rPr>
                <w:sz w:val="20"/>
                <w:szCs w:val="20"/>
                <w:color w:val="auto"/>
              </w:rPr>
            </w:pPr>
            <w:r>
              <w:rPr>
                <w:rFonts w:ascii="Arial" w:cs="Arial" w:eastAsia="Arial" w:hAnsi="Arial"/>
                <w:sz w:val="11"/>
                <w:szCs w:val="11"/>
                <w:b w:val="1"/>
                <w:bCs w:val="1"/>
                <w:color w:val="auto"/>
              </w:rPr>
              <w:t>SELECTED BALANCE SHEET DATA</w:t>
            </w: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40" w:type="dxa"/>
            <w:vAlign w:val="bottom"/>
            <w:tcBorders>
              <w:top w:val="single" w:sz="8" w:color="auto"/>
              <w:bottom w:val="single" w:sz="8" w:color="auto"/>
            </w:tcBorders>
            <w:gridSpan w:val="3"/>
          </w:tcPr>
          <w:p>
            <w:pPr>
              <w:spacing w:after="0" w:line="88" w:lineRule="exact"/>
              <w:rPr>
                <w:sz w:val="20"/>
                <w:szCs w:val="20"/>
                <w:color w:val="auto"/>
              </w:rPr>
            </w:pPr>
            <w:r>
              <w:rPr>
                <w:rFonts w:ascii="Arial" w:cs="Arial" w:eastAsia="Arial" w:hAnsi="Arial"/>
                <w:sz w:val="10"/>
                <w:szCs w:val="10"/>
                <w:b w:val="1"/>
                <w:bCs w:val="1"/>
                <w:color w:val="auto"/>
              </w:rPr>
              <w:t>(period-end)</w:t>
            </w:r>
          </w:p>
        </w:tc>
        <w:tc>
          <w:tcPr>
            <w:tcW w:w="1200" w:type="dxa"/>
            <w:vAlign w:val="bottom"/>
            <w:tcBorders>
              <w:top w:val="single" w:sz="8" w:color="auto"/>
            </w:tcBorders>
            <w:gridSpan w:val="2"/>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1960" w:type="dxa"/>
            <w:vAlign w:val="bottom"/>
            <w:gridSpan w:val="6"/>
          </w:tcPr>
          <w:p>
            <w:pPr>
              <w:spacing w:after="0"/>
              <w:rPr>
                <w:sz w:val="20"/>
                <w:szCs w:val="20"/>
                <w:color w:val="auto"/>
              </w:rPr>
            </w:pPr>
            <w:r>
              <w:rPr>
                <w:rFonts w:ascii="Arial" w:cs="Arial" w:eastAsia="Arial" w:hAnsi="Arial"/>
                <w:sz w:val="11"/>
                <w:szCs w:val="11"/>
                <w:color w:val="auto"/>
              </w:rPr>
              <w:t>Total assets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1,334,296</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1,384,618</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1,403,558</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1,460,463</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1,259,896</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6 %</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1,334,296</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1,259,896</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6 %</w:t>
            </w:r>
          </w:p>
        </w:tc>
        <w:tc>
          <w:tcPr>
            <w:tcW w:w="0" w:type="dxa"/>
            <w:vAlign w:val="bottom"/>
          </w:tcPr>
          <w:p>
            <w:pPr>
              <w:spacing w:after="0"/>
              <w:rPr>
                <w:sz w:val="1"/>
                <w:szCs w:val="1"/>
                <w:color w:val="auto"/>
              </w:rPr>
            </w:pPr>
          </w:p>
        </w:tc>
      </w:tr>
      <w:tr>
        <w:trPr>
          <w:trHeight w:val="162"/>
        </w:trPr>
        <w:tc>
          <w:tcPr>
            <w:tcW w:w="1960" w:type="dxa"/>
            <w:vAlign w:val="bottom"/>
            <w:gridSpan w:val="6"/>
          </w:tcPr>
          <w:p>
            <w:pPr>
              <w:spacing w:after="0"/>
              <w:rPr>
                <w:sz w:val="20"/>
                <w:szCs w:val="20"/>
                <w:color w:val="auto"/>
              </w:rPr>
            </w:pPr>
            <w:r>
              <w:rPr>
                <w:rFonts w:ascii="Arial" w:cs="Arial" w:eastAsia="Arial" w:hAnsi="Arial"/>
                <w:sz w:val="11"/>
                <w:szCs w:val="11"/>
                <w:color w:val="auto"/>
              </w:rPr>
              <w:t>Loans: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gridSpan w:val="6"/>
          </w:tcPr>
          <w:p>
            <w:pPr>
              <w:ind w:left="120"/>
              <w:spacing w:after="0"/>
              <w:rPr>
                <w:sz w:val="20"/>
                <w:szCs w:val="20"/>
                <w:color w:val="auto"/>
              </w:rPr>
            </w:pPr>
            <w:r>
              <w:rPr>
                <w:rFonts w:ascii="Arial" w:cs="Arial" w:eastAsia="Arial" w:hAnsi="Arial"/>
                <w:sz w:val="11"/>
                <w:szCs w:val="11"/>
                <w:color w:val="auto"/>
              </w:rPr>
              <w:t>Loans retained (a)</w:t>
            </w: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187,642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180,604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171,219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167,791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159,786</w:t>
            </w:r>
          </w:p>
        </w:tc>
        <w:tc>
          <w:tcPr>
            <w:tcW w:w="68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17</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187,642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159,786</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28"/>
        </w:trPr>
        <w:tc>
          <w:tcPr>
            <w:tcW w:w="1960" w:type="dxa"/>
            <w:vAlign w:val="bottom"/>
            <w:gridSpan w:val="6"/>
          </w:tcPr>
          <w:p>
            <w:pPr>
              <w:ind w:left="120"/>
              <w:spacing w:after="0"/>
              <w:rPr>
                <w:sz w:val="20"/>
                <w:szCs w:val="20"/>
                <w:color w:val="auto"/>
              </w:rPr>
            </w:pPr>
            <w:r>
              <w:rPr>
                <w:rFonts w:ascii="Arial" w:cs="Arial" w:eastAsia="Arial" w:hAnsi="Arial"/>
                <w:sz w:val="11"/>
                <w:szCs w:val="11"/>
                <w:color w:val="auto"/>
              </w:rPr>
              <w:t>Loans held-for-sale and loans at fair</w:t>
            </w: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42,304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40,357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46,032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47,260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50,386</w:t>
            </w:r>
          </w:p>
        </w:tc>
        <w:tc>
          <w:tcPr>
            <w:tcW w:w="68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1"/>
                <w:szCs w:val="11"/>
                <w:color w:val="auto"/>
              </w:rPr>
            </w:pPr>
          </w:p>
        </w:tc>
        <w:tc>
          <w:tcPr>
            <w:tcW w:w="500" w:type="dxa"/>
            <w:vAlign w:val="bottom"/>
            <w:vMerge w:val="restart"/>
          </w:tcPr>
          <w:p>
            <w:pPr>
              <w:jc w:val="right"/>
              <w:ind w:right="66"/>
              <w:spacing w:after="0"/>
              <w:rPr>
                <w:sz w:val="20"/>
                <w:szCs w:val="20"/>
                <w:color w:val="auto"/>
              </w:rPr>
            </w:pPr>
            <w:r>
              <w:rPr>
                <w:rFonts w:ascii="Arial" w:cs="Arial" w:eastAsia="Arial" w:hAnsi="Arial"/>
                <w:sz w:val="11"/>
                <w:szCs w:val="11"/>
                <w:color w:val="auto"/>
              </w:rPr>
              <w:t>(16)</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42,304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50,386</w:t>
            </w:r>
          </w:p>
        </w:tc>
        <w:tc>
          <w:tcPr>
            <w:tcW w:w="88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55"/>
        </w:trPr>
        <w:tc>
          <w:tcPr>
            <w:tcW w:w="1960" w:type="dxa"/>
            <w:vAlign w:val="bottom"/>
            <w:gridSpan w:val="6"/>
          </w:tcPr>
          <w:p>
            <w:pPr>
              <w:ind w:left="120"/>
              <w:spacing w:after="0"/>
              <w:rPr>
                <w:sz w:val="20"/>
                <w:szCs w:val="20"/>
                <w:color w:val="auto"/>
              </w:rPr>
            </w:pPr>
            <w:r>
              <w:rPr>
                <w:rFonts w:ascii="Arial" w:cs="Arial" w:eastAsia="Arial" w:hAnsi="Arial"/>
                <w:sz w:val="11"/>
                <w:szCs w:val="11"/>
                <w:color w:val="auto"/>
              </w:rPr>
              <w:t>value (b)</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60" w:type="dxa"/>
            <w:vAlign w:val="bottom"/>
            <w:gridSpan w:val="6"/>
          </w:tcPr>
          <w:p>
            <w:pPr>
              <w:ind w:left="200"/>
              <w:spacing w:after="0"/>
              <w:rPr>
                <w:sz w:val="20"/>
                <w:szCs w:val="20"/>
                <w:color w:val="auto"/>
              </w:rPr>
            </w:pPr>
            <w:r>
              <w:rPr>
                <w:rFonts w:ascii="Arial" w:cs="Arial" w:eastAsia="Arial" w:hAnsi="Arial"/>
                <w:sz w:val="11"/>
                <w:szCs w:val="11"/>
                <w:b w:val="1"/>
                <w:bCs w:val="1"/>
                <w:color w:val="auto"/>
              </w:rPr>
              <w:t>Total loans</w:t>
            </w: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229,946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rPr>
              <w:t>220,961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217,251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215,051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210,172</w:t>
            </w:r>
          </w:p>
        </w:tc>
        <w:tc>
          <w:tcPr>
            <w:tcW w:w="68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9</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229,946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210,172</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0"/>
        </w:trPr>
        <w:tc>
          <w:tcPr>
            <w:tcW w:w="1960" w:type="dxa"/>
            <w:vAlign w:val="bottom"/>
            <w:gridSpan w:val="6"/>
          </w:tcPr>
          <w:p>
            <w:pPr>
              <w:spacing w:after="0"/>
              <w:rPr>
                <w:sz w:val="20"/>
                <w:szCs w:val="20"/>
                <w:color w:val="auto"/>
              </w:rPr>
            </w:pPr>
            <w:r>
              <w:rPr>
                <w:rFonts w:ascii="Arial" w:cs="Arial" w:eastAsia="Arial" w:hAnsi="Arial"/>
                <w:sz w:val="11"/>
                <w:szCs w:val="11"/>
                <w:color w:val="auto"/>
              </w:rPr>
              <w:t>Equity</w:t>
            </w: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103,000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103,000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103,000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103,000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83,000</w:t>
            </w:r>
          </w:p>
        </w:tc>
        <w:tc>
          <w:tcPr>
            <w:tcW w:w="20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103,000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83,000</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95"/>
        </w:trPr>
        <w:tc>
          <w:tcPr>
            <w:tcW w:w="1960" w:type="dxa"/>
            <w:vAlign w:val="bottom"/>
            <w:gridSpan w:val="6"/>
          </w:tcPr>
          <w:p>
            <w:pPr>
              <w:spacing w:after="0"/>
              <w:rPr>
                <w:sz w:val="20"/>
                <w:szCs w:val="20"/>
                <w:color w:val="auto"/>
              </w:rPr>
            </w:pPr>
            <w:r>
              <w:rPr>
                <w:rFonts w:ascii="Arial" w:cs="Arial" w:eastAsia="Arial" w:hAnsi="Arial"/>
                <w:sz w:val="11"/>
                <w:szCs w:val="11"/>
                <w:b w:val="1"/>
                <w:bCs w:val="1"/>
                <w:color w:val="auto"/>
              </w:rPr>
              <w:t>SELECTED BALANCE SHEET DATA</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1840" w:type="dxa"/>
            <w:vAlign w:val="bottom"/>
            <w:tcBorders>
              <w:top w:val="single" w:sz="8" w:color="auto"/>
            </w:tcBorders>
            <w:gridSpan w:val="5"/>
          </w:tcPr>
          <w:p>
            <w:pPr>
              <w:spacing w:after="0" w:line="88" w:lineRule="exact"/>
              <w:rPr>
                <w:sz w:val="20"/>
                <w:szCs w:val="20"/>
                <w:color w:val="auto"/>
              </w:rPr>
            </w:pPr>
            <w:r>
              <w:rPr>
                <w:rFonts w:ascii="Arial" w:cs="Arial" w:eastAsia="Arial" w:hAnsi="Arial"/>
                <w:sz w:val="10"/>
                <w:szCs w:val="10"/>
                <w:b w:val="1"/>
                <w:bCs w:val="1"/>
                <w:color w:val="auto"/>
              </w:rPr>
              <w:t>(average)</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60" w:type="dxa"/>
            <w:vAlign w:val="bottom"/>
            <w:gridSpan w:val="6"/>
          </w:tcPr>
          <w:p>
            <w:pPr>
              <w:spacing w:after="0"/>
              <w:rPr>
                <w:sz w:val="20"/>
                <w:szCs w:val="20"/>
                <w:color w:val="auto"/>
              </w:rPr>
            </w:pPr>
            <w:r>
              <w:rPr>
                <w:rFonts w:ascii="Arial" w:cs="Arial" w:eastAsia="Arial" w:hAnsi="Arial"/>
                <w:sz w:val="11"/>
                <w:szCs w:val="11"/>
                <w:color w:val="auto"/>
              </w:rPr>
              <w:t>Total assets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1,384,255</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1,403,247</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1,429,953</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1,407,835</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1,341,267</w:t>
            </w:r>
          </w:p>
        </w:tc>
        <w:tc>
          <w:tcPr>
            <w:tcW w:w="68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1,406,250</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1,334,518</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28"/>
        </w:trPr>
        <w:tc>
          <w:tcPr>
            <w:tcW w:w="1960" w:type="dxa"/>
            <w:vAlign w:val="bottom"/>
            <w:gridSpan w:val="6"/>
          </w:tcPr>
          <w:p>
            <w:pPr>
              <w:spacing w:after="0"/>
              <w:rPr>
                <w:sz w:val="20"/>
                <w:szCs w:val="20"/>
                <w:color w:val="auto"/>
              </w:rPr>
            </w:pPr>
            <w:r>
              <w:rPr>
                <w:rFonts w:ascii="Arial" w:cs="Arial" w:eastAsia="Arial" w:hAnsi="Arial"/>
                <w:sz w:val="11"/>
                <w:szCs w:val="11"/>
                <w:color w:val="auto"/>
              </w:rPr>
              <w:t>Trading assets - debt and equity</w:t>
            </w: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406,692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386,895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411,079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419,346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407,656</w:t>
            </w:r>
          </w:p>
        </w:tc>
        <w:tc>
          <w:tcPr>
            <w:tcW w:w="68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1"/>
                <w:szCs w:val="11"/>
                <w:color w:val="auto"/>
              </w:rPr>
            </w:pPr>
          </w:p>
        </w:tc>
        <w:tc>
          <w:tcPr>
            <w:tcW w:w="880" w:type="dxa"/>
            <w:vAlign w:val="bottom"/>
            <w:gridSpan w:val="2"/>
            <w:vMerge w:val="restart"/>
          </w:tcPr>
          <w:p>
            <w:pPr>
              <w:jc w:val="right"/>
              <w:ind w:right="5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405,916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448,099</w:t>
            </w:r>
          </w:p>
        </w:tc>
        <w:tc>
          <w:tcPr>
            <w:tcW w:w="88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42"/>
        </w:trPr>
        <w:tc>
          <w:tcPr>
            <w:tcW w:w="1960" w:type="dxa"/>
            <w:vAlign w:val="bottom"/>
            <w:gridSpan w:val="6"/>
          </w:tcPr>
          <w:p>
            <w:pPr>
              <w:spacing w:after="0"/>
              <w:rPr>
                <w:sz w:val="20"/>
                <w:szCs w:val="20"/>
                <w:color w:val="auto"/>
              </w:rPr>
            </w:pPr>
            <w:r>
              <w:rPr>
                <w:rFonts w:ascii="Arial" w:cs="Arial" w:eastAsia="Arial" w:hAnsi="Arial"/>
                <w:sz w:val="11"/>
                <w:szCs w:val="11"/>
                <w:color w:val="auto"/>
              </w:rPr>
              <w:t>instruments</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60" w:type="dxa"/>
            <w:vAlign w:val="bottom"/>
            <w:gridSpan w:val="6"/>
          </w:tcPr>
          <w:p>
            <w:pPr>
              <w:spacing w:after="0"/>
              <w:rPr>
                <w:sz w:val="20"/>
                <w:szCs w:val="20"/>
                <w:color w:val="auto"/>
              </w:rPr>
            </w:pPr>
            <w:r>
              <w:rPr>
                <w:rFonts w:ascii="Arial" w:cs="Arial" w:eastAsia="Arial" w:hAnsi="Arial"/>
                <w:sz w:val="11"/>
                <w:szCs w:val="11"/>
                <w:color w:val="auto"/>
              </w:rPr>
              <w:t>Trading assets - derivative receivables</w:t>
            </w: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77,669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83,084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83,582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66,692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65,365</w:t>
            </w:r>
          </w:p>
        </w:tc>
        <w:tc>
          <w:tcPr>
            <w:tcW w:w="680" w:type="dxa"/>
            <w:vAlign w:val="bottom"/>
            <w:gridSpan w:val="2"/>
          </w:tcPr>
          <w:p>
            <w:pPr>
              <w:jc w:val="right"/>
              <w:ind w:right="66"/>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77,802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68,203</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2"/>
        </w:trPr>
        <w:tc>
          <w:tcPr>
            <w:tcW w:w="1960" w:type="dxa"/>
            <w:vAlign w:val="bottom"/>
            <w:gridSpan w:val="6"/>
          </w:tcPr>
          <w:p>
            <w:pPr>
              <w:spacing w:after="0"/>
              <w:rPr>
                <w:sz w:val="20"/>
                <w:szCs w:val="20"/>
                <w:color w:val="auto"/>
              </w:rPr>
            </w:pPr>
            <w:r>
              <w:rPr>
                <w:rFonts w:ascii="Arial" w:cs="Arial" w:eastAsia="Arial" w:hAnsi="Arial"/>
                <w:sz w:val="11"/>
                <w:szCs w:val="11"/>
                <w:color w:val="auto"/>
              </w:rPr>
              <w:t>Loans: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gridSpan w:val="6"/>
          </w:tcPr>
          <w:p>
            <w:pPr>
              <w:ind w:left="120"/>
              <w:spacing w:after="0"/>
              <w:rPr>
                <w:sz w:val="20"/>
                <w:szCs w:val="20"/>
                <w:color w:val="auto"/>
              </w:rPr>
            </w:pPr>
            <w:r>
              <w:rPr>
                <w:rFonts w:ascii="Arial" w:cs="Arial" w:eastAsia="Arial" w:hAnsi="Arial"/>
                <w:sz w:val="11"/>
                <w:szCs w:val="11"/>
                <w:color w:val="auto"/>
              </w:rPr>
              <w:t>Loans retained (a)</w:t>
            </w: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182,873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176,469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169,909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160,976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153,595</w:t>
            </w:r>
          </w:p>
        </w:tc>
        <w:tc>
          <w:tcPr>
            <w:tcW w:w="68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172,627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145,137</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28"/>
        </w:trPr>
        <w:tc>
          <w:tcPr>
            <w:tcW w:w="1960" w:type="dxa"/>
            <w:vAlign w:val="bottom"/>
            <w:gridSpan w:val="6"/>
          </w:tcPr>
          <w:p>
            <w:pPr>
              <w:ind w:left="120"/>
              <w:spacing w:after="0"/>
              <w:rPr>
                <w:sz w:val="20"/>
                <w:szCs w:val="20"/>
                <w:color w:val="auto"/>
              </w:rPr>
            </w:pPr>
            <w:r>
              <w:rPr>
                <w:rFonts w:ascii="Arial" w:cs="Arial" w:eastAsia="Arial" w:hAnsi="Arial"/>
                <w:sz w:val="11"/>
                <w:szCs w:val="11"/>
                <w:color w:val="auto"/>
              </w:rPr>
              <w:t>Loans held-for-sale and loans at fair</w:t>
            </w: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42,895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45,150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48,048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51,398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52,429</w:t>
            </w:r>
          </w:p>
        </w:tc>
        <w:tc>
          <w:tcPr>
            <w:tcW w:w="68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1"/>
                <w:szCs w:val="11"/>
                <w:color w:val="auto"/>
              </w:rPr>
            </w:pPr>
          </w:p>
        </w:tc>
        <w:tc>
          <w:tcPr>
            <w:tcW w:w="500" w:type="dxa"/>
            <w:vAlign w:val="bottom"/>
            <w:vMerge w:val="restart"/>
          </w:tcPr>
          <w:p>
            <w:pPr>
              <w:jc w:val="right"/>
              <w:ind w:right="66"/>
              <w:spacing w:after="0"/>
              <w:rPr>
                <w:sz w:val="20"/>
                <w:szCs w:val="20"/>
                <w:color w:val="auto"/>
              </w:rPr>
            </w:pPr>
            <w:r>
              <w:rPr>
                <w:rFonts w:ascii="Arial" w:cs="Arial" w:eastAsia="Arial" w:hAnsi="Arial"/>
                <w:sz w:val="11"/>
                <w:szCs w:val="11"/>
                <w:color w:val="auto"/>
              </w:rPr>
              <w:t>(18)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46,846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51,072</w:t>
            </w:r>
          </w:p>
        </w:tc>
        <w:tc>
          <w:tcPr>
            <w:tcW w:w="88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55"/>
        </w:trPr>
        <w:tc>
          <w:tcPr>
            <w:tcW w:w="1960" w:type="dxa"/>
            <w:vAlign w:val="bottom"/>
            <w:gridSpan w:val="6"/>
          </w:tcPr>
          <w:p>
            <w:pPr>
              <w:ind w:left="120"/>
              <w:spacing w:after="0"/>
              <w:rPr>
                <w:sz w:val="20"/>
                <w:szCs w:val="20"/>
                <w:color w:val="auto"/>
              </w:rPr>
            </w:pPr>
            <w:r>
              <w:rPr>
                <w:rFonts w:ascii="Arial" w:cs="Arial" w:eastAsia="Arial" w:hAnsi="Arial"/>
                <w:sz w:val="11"/>
                <w:szCs w:val="11"/>
                <w:color w:val="auto"/>
              </w:rPr>
              <w:t>value (b)</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60" w:type="dxa"/>
            <w:vAlign w:val="bottom"/>
            <w:gridSpan w:val="6"/>
          </w:tcPr>
          <w:p>
            <w:pPr>
              <w:ind w:left="200"/>
              <w:spacing w:after="0"/>
              <w:rPr>
                <w:sz w:val="20"/>
                <w:szCs w:val="20"/>
                <w:color w:val="auto"/>
              </w:rPr>
            </w:pPr>
            <w:r>
              <w:rPr>
                <w:rFonts w:ascii="Arial" w:cs="Arial" w:eastAsia="Arial" w:hAnsi="Arial"/>
                <w:sz w:val="11"/>
                <w:szCs w:val="11"/>
                <w:b w:val="1"/>
                <w:bCs w:val="1"/>
                <w:color w:val="auto"/>
              </w:rPr>
              <w:t>Total loans</w:t>
            </w: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225,768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rPr>
              <w:t>221,619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217,957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212,374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206,024</w:t>
            </w:r>
          </w:p>
        </w:tc>
        <w:tc>
          <w:tcPr>
            <w:tcW w:w="68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219,473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196,209</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10"/>
        </w:trPr>
        <w:tc>
          <w:tcPr>
            <w:tcW w:w="1960" w:type="dxa"/>
            <w:vAlign w:val="bottom"/>
            <w:gridSpan w:val="6"/>
          </w:tcPr>
          <w:p>
            <w:pPr>
              <w:spacing w:after="0"/>
              <w:rPr>
                <w:sz w:val="20"/>
                <w:szCs w:val="20"/>
                <w:color w:val="auto"/>
              </w:rPr>
            </w:pPr>
            <w:r>
              <w:rPr>
                <w:rFonts w:ascii="Arial" w:cs="Arial" w:eastAsia="Arial" w:hAnsi="Arial"/>
                <w:sz w:val="11"/>
                <w:szCs w:val="11"/>
                <w:color w:val="auto"/>
              </w:rPr>
              <w:t>Equity</w:t>
            </w: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103,000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103,000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103,000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103,000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83,000</w:t>
            </w:r>
          </w:p>
        </w:tc>
        <w:tc>
          <w:tcPr>
            <w:tcW w:w="20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103,000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83,000</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384"/>
        </w:trPr>
        <w:tc>
          <w:tcPr>
            <w:tcW w:w="1960" w:type="dxa"/>
            <w:vAlign w:val="bottom"/>
            <w:gridSpan w:val="6"/>
          </w:tcPr>
          <w:p>
            <w:pPr>
              <w:spacing w:after="0"/>
              <w:rPr>
                <w:sz w:val="20"/>
                <w:szCs w:val="20"/>
                <w:color w:val="auto"/>
              </w:rPr>
            </w:pPr>
            <w:r>
              <w:rPr>
                <w:rFonts w:ascii="Arial" w:cs="Arial" w:eastAsia="Arial" w:hAnsi="Arial"/>
                <w:sz w:val="11"/>
                <w:szCs w:val="11"/>
                <w:b w:val="1"/>
                <w:bCs w:val="1"/>
                <w:color w:val="auto"/>
              </w:rPr>
              <w:t>Headcount</w:t>
            </w:r>
          </w:p>
        </w:tc>
        <w:tc>
          <w:tcPr>
            <w:tcW w:w="100" w:type="dxa"/>
            <w:vAlign w:val="bottom"/>
          </w:tcPr>
          <w:p>
            <w:pPr>
              <w:spacing w:after="0"/>
              <w:rPr>
                <w:sz w:val="24"/>
                <w:szCs w:val="2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73,452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71,797</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69,447</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68,292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67,546</w:t>
            </w:r>
          </w:p>
        </w:tc>
        <w:tc>
          <w:tcPr>
            <w:tcW w:w="68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24"/>
                <w:szCs w:val="2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9</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73,452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67,546</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90"/>
        </w:trPr>
        <w:tc>
          <w:tcPr>
            <w:tcW w:w="1960" w:type="dxa"/>
            <w:vAlign w:val="bottom"/>
            <w:gridSpan w:val="6"/>
          </w:tcPr>
          <w:p>
            <w:pPr>
              <w:spacing w:after="0"/>
              <w:rPr>
                <w:sz w:val="20"/>
                <w:szCs w:val="20"/>
                <w:color w:val="auto"/>
              </w:rPr>
            </w:pPr>
            <w:r>
              <w:rPr>
                <w:rFonts w:ascii="Arial" w:cs="Arial" w:eastAsia="Arial" w:hAnsi="Arial"/>
                <w:sz w:val="11"/>
                <w:szCs w:val="11"/>
                <w:b w:val="1"/>
                <w:bCs w:val="1"/>
                <w:color w:val="auto"/>
              </w:rPr>
              <w:t>CREDIT DATA AND QUALITY</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620" w:type="dxa"/>
            <w:vAlign w:val="bottom"/>
            <w:tcBorders>
              <w:top w:val="single" w:sz="8" w:color="auto"/>
              <w:bottom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STATISTICS</w:t>
            </w:r>
          </w:p>
        </w:tc>
        <w:tc>
          <w:tcPr>
            <w:tcW w:w="860" w:type="dxa"/>
            <w:vAlign w:val="bottom"/>
            <w:tcBorders>
              <w:top w:val="single" w:sz="8" w:color="auto"/>
            </w:tcBorders>
            <w:gridSpan w:val="2"/>
          </w:tcPr>
          <w:p>
            <w:pPr>
              <w:spacing w:after="0"/>
              <w:rPr>
                <w:sz w:val="7"/>
                <w:szCs w:val="7"/>
                <w:color w:val="auto"/>
              </w:rPr>
            </w:pPr>
          </w:p>
        </w:tc>
        <w:tc>
          <w:tcPr>
            <w:tcW w:w="48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1960" w:type="dxa"/>
            <w:vAlign w:val="bottom"/>
            <w:gridSpan w:val="6"/>
          </w:tcPr>
          <w:p>
            <w:pPr>
              <w:spacing w:after="0"/>
              <w:rPr>
                <w:sz w:val="20"/>
                <w:szCs w:val="20"/>
                <w:color w:val="auto"/>
              </w:rPr>
            </w:pPr>
            <w:r>
              <w:rPr>
                <w:rFonts w:ascii="Arial" w:cs="Arial" w:eastAsia="Arial" w:hAnsi="Arial"/>
                <w:sz w:val="11"/>
                <w:szCs w:val="11"/>
                <w:color w:val="auto"/>
              </w:rPr>
              <w:t>Net charge-offs/(recoveries)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38</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23</w:t>
            </w:r>
          </w:p>
        </w:tc>
        <w:tc>
          <w:tcPr>
            <w:tcW w:w="680" w:type="dxa"/>
            <w:vAlign w:val="bottom"/>
            <w:gridSpan w:val="2"/>
          </w:tcPr>
          <w:p>
            <w:pPr>
              <w:jc w:val="right"/>
              <w:ind w:right="66"/>
              <w:spacing w:after="0"/>
              <w:rPr>
                <w:sz w:val="20"/>
                <w:szCs w:val="20"/>
                <w:color w:val="auto"/>
              </w:rPr>
            </w:pPr>
            <w:r>
              <w:rPr>
                <w:rFonts w:ascii="Arial" w:cs="Arial" w:eastAsia="Arial" w:hAnsi="Arial"/>
                <w:sz w:val="11"/>
                <w:szCs w:val="11"/>
                <w:color w:val="auto"/>
              </w:rPr>
              <w:t>(59)</w:t>
            </w:r>
          </w:p>
        </w:tc>
        <w:tc>
          <w:tcPr>
            <w:tcW w:w="2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(70)</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82</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1960" w:type="dxa"/>
            <w:vAlign w:val="bottom"/>
            <w:gridSpan w:val="6"/>
          </w:tcPr>
          <w:p>
            <w:pPr>
              <w:spacing w:after="0"/>
              <w:rPr>
                <w:sz w:val="20"/>
                <w:szCs w:val="20"/>
                <w:color w:val="auto"/>
              </w:rPr>
            </w:pPr>
            <w:r>
              <w:rPr>
                <w:rFonts w:ascii="Arial" w:cs="Arial" w:eastAsia="Arial" w:hAnsi="Arial"/>
                <w:sz w:val="11"/>
                <w:szCs w:val="11"/>
                <w:color w:val="auto"/>
              </w:rPr>
              <w:t>Nonperforming assets: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gridSpan w:val="6"/>
          </w:tcPr>
          <w:p>
            <w:pPr>
              <w:ind w:left="120"/>
              <w:spacing w:after="0"/>
              <w:rPr>
                <w:sz w:val="20"/>
                <w:szCs w:val="20"/>
                <w:color w:val="auto"/>
              </w:rPr>
            </w:pPr>
            <w:r>
              <w:rPr>
                <w:rFonts w:ascii="Arial" w:cs="Arial" w:eastAsia="Arial" w:hAnsi="Arial"/>
                <w:sz w:val="11"/>
                <w:szCs w:val="11"/>
                <w:color w:val="auto"/>
              </w:rPr>
              <w:t>Nonaccrual loans: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gridSpan w:val="6"/>
          </w:tcPr>
          <w:p>
            <w:pPr>
              <w:ind w:left="200"/>
              <w:spacing w:after="0"/>
              <w:rPr>
                <w:sz w:val="20"/>
                <w:szCs w:val="20"/>
                <w:color w:val="auto"/>
              </w:rPr>
            </w:pPr>
            <w:r>
              <w:rPr>
                <w:rFonts w:ascii="Arial" w:cs="Arial" w:eastAsia="Arial" w:hAnsi="Arial"/>
                <w:sz w:val="11"/>
                <w:szCs w:val="11"/>
                <w:color w:val="auto"/>
              </w:rPr>
              <w:t>Nonaccrual loans retained (c)</w:t>
            </w: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718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583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697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871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584</w:t>
            </w:r>
          </w:p>
        </w:tc>
        <w:tc>
          <w:tcPr>
            <w:tcW w:w="680" w:type="dxa"/>
            <w:vAlign w:val="bottom"/>
            <w:gridSpan w:val="2"/>
          </w:tcPr>
          <w:p>
            <w:pPr>
              <w:jc w:val="right"/>
              <w:ind w:right="86"/>
              <w:spacing w:after="0"/>
              <w:rPr>
                <w:sz w:val="20"/>
                <w:szCs w:val="20"/>
                <w:color w:val="auto"/>
              </w:rPr>
            </w:pPr>
            <w:r>
              <w:rPr>
                <w:rFonts w:ascii="Arial" w:cs="Arial" w:eastAsia="Arial" w:hAnsi="Arial"/>
                <w:sz w:val="11"/>
                <w:szCs w:val="11"/>
                <w:color w:val="auto"/>
              </w:rPr>
              <w:t>23</w:t>
            </w:r>
          </w:p>
        </w:tc>
        <w:tc>
          <w:tcPr>
            <w:tcW w:w="2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718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584</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28"/>
        </w:trPr>
        <w:tc>
          <w:tcPr>
            <w:tcW w:w="1960" w:type="dxa"/>
            <w:vAlign w:val="bottom"/>
            <w:gridSpan w:val="6"/>
          </w:tcPr>
          <w:p>
            <w:pPr>
              <w:ind w:left="200"/>
              <w:spacing w:after="0"/>
              <w:rPr>
                <w:sz w:val="20"/>
                <w:szCs w:val="20"/>
                <w:color w:val="auto"/>
              </w:rPr>
            </w:pPr>
            <w:r>
              <w:rPr>
                <w:rFonts w:ascii="Arial" w:cs="Arial" w:eastAsia="Arial" w:hAnsi="Arial"/>
                <w:sz w:val="11"/>
                <w:szCs w:val="11"/>
                <w:color w:val="auto"/>
              </w:rPr>
              <w:t>Nonaccrual loans held-for-sale and</w:t>
            </w: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848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824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840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949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844</w:t>
            </w:r>
          </w:p>
        </w:tc>
        <w:tc>
          <w:tcPr>
            <w:tcW w:w="68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1"/>
                <w:szCs w:val="11"/>
                <w:color w:val="auto"/>
              </w:rPr>
            </w:pPr>
          </w:p>
        </w:tc>
        <w:tc>
          <w:tcPr>
            <w:tcW w:w="880" w:type="dxa"/>
            <w:vAlign w:val="bottom"/>
            <w:gridSpan w:val="2"/>
            <w:vMerge w:val="restart"/>
          </w:tcPr>
          <w:p>
            <w:pPr>
              <w:jc w:val="right"/>
              <w:ind w:right="5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848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844</w:t>
            </w:r>
          </w:p>
        </w:tc>
        <w:tc>
          <w:tcPr>
            <w:tcW w:w="180" w:type="dxa"/>
            <w:vAlign w:val="bottom"/>
          </w:tcPr>
          <w:p>
            <w:pPr>
              <w:spacing w:after="0"/>
              <w:rPr>
                <w:sz w:val="11"/>
                <w:szCs w:val="11"/>
                <w:color w:val="auto"/>
              </w:rPr>
            </w:pP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960" w:type="dxa"/>
            <w:vAlign w:val="bottom"/>
            <w:gridSpan w:val="6"/>
          </w:tcPr>
          <w:p>
            <w:pPr>
              <w:ind w:left="200"/>
              <w:spacing w:after="0"/>
              <w:rPr>
                <w:sz w:val="20"/>
                <w:szCs w:val="20"/>
                <w:color w:val="auto"/>
              </w:rPr>
            </w:pPr>
            <w:r>
              <w:rPr>
                <w:rFonts w:ascii="Arial" w:cs="Arial" w:eastAsia="Arial" w:hAnsi="Arial"/>
                <w:sz w:val="11"/>
                <w:szCs w:val="11"/>
                <w:color w:val="auto"/>
              </w:rPr>
              <w:t>loans at fair value (d)</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60" w:type="dxa"/>
            <w:vAlign w:val="bottom"/>
            <w:gridSpan w:val="6"/>
          </w:tcPr>
          <w:p>
            <w:pPr>
              <w:ind w:left="200"/>
              <w:spacing w:after="0"/>
              <w:rPr>
                <w:sz w:val="20"/>
                <w:szCs w:val="20"/>
                <w:color w:val="auto"/>
              </w:rPr>
            </w:pPr>
            <w:r>
              <w:rPr>
                <w:rFonts w:ascii="Arial" w:cs="Arial" w:eastAsia="Arial" w:hAnsi="Arial"/>
                <w:sz w:val="11"/>
                <w:szCs w:val="11"/>
                <w:b w:val="1"/>
                <w:bCs w:val="1"/>
                <w:color w:val="auto"/>
              </w:rPr>
              <w:t>Total nonaccrual loans</w:t>
            </w: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1,566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rPr>
              <w:t>1,407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1,537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1,820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1,428</w:t>
            </w:r>
          </w:p>
        </w:tc>
        <w:tc>
          <w:tcPr>
            <w:tcW w:w="680" w:type="dxa"/>
            <w:vAlign w:val="bottom"/>
            <w:gridSpan w:val="2"/>
          </w:tcPr>
          <w:p>
            <w:pPr>
              <w:jc w:val="right"/>
              <w:ind w:right="86"/>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1,566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1,428</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10"/>
        </w:trPr>
        <w:tc>
          <w:tcPr>
            <w:tcW w:w="1960" w:type="dxa"/>
            <w:vAlign w:val="bottom"/>
            <w:gridSpan w:val="6"/>
          </w:tcPr>
          <w:p>
            <w:pPr>
              <w:ind w:left="120"/>
              <w:spacing w:after="0"/>
              <w:rPr>
                <w:sz w:val="20"/>
                <w:szCs w:val="20"/>
                <w:color w:val="auto"/>
              </w:rPr>
            </w:pPr>
            <w:r>
              <w:rPr>
                <w:rFonts w:ascii="Arial" w:cs="Arial" w:eastAsia="Arial" w:hAnsi="Arial"/>
                <w:sz w:val="11"/>
                <w:szCs w:val="11"/>
                <w:color w:val="auto"/>
              </w:rPr>
              <w:t>Derivative receivables</w:t>
            </w: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339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447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597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316</w:t>
            </w:r>
          </w:p>
        </w:tc>
        <w:tc>
          <w:tcPr>
            <w:tcW w:w="680" w:type="dxa"/>
            <w:vAlign w:val="bottom"/>
            <w:gridSpan w:val="2"/>
          </w:tcPr>
          <w:p>
            <w:pPr>
              <w:jc w:val="right"/>
              <w:ind w:right="66"/>
              <w:spacing w:after="0"/>
              <w:rPr>
                <w:sz w:val="20"/>
                <w:szCs w:val="20"/>
                <w:color w:val="auto"/>
              </w:rPr>
            </w:pPr>
            <w:r>
              <w:rPr>
                <w:rFonts w:ascii="Arial" w:cs="Arial" w:eastAsia="Arial" w:hAnsi="Arial"/>
                <w:sz w:val="11"/>
                <w:szCs w:val="11"/>
                <w:color w:val="auto"/>
              </w:rPr>
              <w:t>(13)</w:t>
            </w:r>
          </w:p>
        </w:tc>
        <w:tc>
          <w:tcPr>
            <w:tcW w:w="200" w:type="dxa"/>
            <w:vAlign w:val="bottom"/>
          </w:tcPr>
          <w:p>
            <w:pPr>
              <w:spacing w:after="0"/>
              <w:rPr>
                <w:sz w:val="18"/>
                <w:szCs w:val="18"/>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316</w:t>
            </w:r>
          </w:p>
        </w:tc>
        <w:tc>
          <w:tcPr>
            <w:tcW w:w="880" w:type="dxa"/>
            <w:vAlign w:val="bottom"/>
            <w:gridSpan w:val="2"/>
          </w:tcPr>
          <w:p>
            <w:pPr>
              <w:jc w:val="right"/>
              <w:ind w:right="6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75"/>
        </w:trPr>
        <w:tc>
          <w:tcPr>
            <w:tcW w:w="1960" w:type="dxa"/>
            <w:vAlign w:val="bottom"/>
            <w:gridSpan w:val="6"/>
          </w:tcPr>
          <w:p>
            <w:pPr>
              <w:ind w:left="120"/>
              <w:spacing w:after="0"/>
              <w:rPr>
                <w:sz w:val="20"/>
                <w:szCs w:val="20"/>
                <w:color w:val="auto"/>
              </w:rPr>
            </w:pPr>
            <w:r>
              <w:rPr>
                <w:rFonts w:ascii="Arial" w:cs="Arial" w:eastAsia="Arial" w:hAnsi="Arial"/>
                <w:sz w:val="11"/>
                <w:szCs w:val="11"/>
                <w:color w:val="auto"/>
              </w:rPr>
              <w:t>Assets acquired in loan satisfactions</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87</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85</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84</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91</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91</w:t>
            </w:r>
          </w:p>
        </w:tc>
        <w:tc>
          <w:tcPr>
            <w:tcW w:w="68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5"/>
                <w:szCs w:val="15"/>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87</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91</w:t>
            </w:r>
          </w:p>
        </w:tc>
        <w:tc>
          <w:tcPr>
            <w:tcW w:w="88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8"/>
        </w:trPr>
        <w:tc>
          <w:tcPr>
            <w:tcW w:w="1960" w:type="dxa"/>
            <w:vAlign w:val="bottom"/>
            <w:gridSpan w:val="6"/>
          </w:tcPr>
          <w:p>
            <w:pPr>
              <w:ind w:left="200"/>
              <w:spacing w:after="0"/>
              <w:rPr>
                <w:sz w:val="20"/>
                <w:szCs w:val="20"/>
                <w:color w:val="auto"/>
              </w:rPr>
            </w:pPr>
            <w:r>
              <w:rPr>
                <w:rFonts w:ascii="Arial" w:cs="Arial" w:eastAsia="Arial" w:hAnsi="Arial"/>
                <w:sz w:val="11"/>
                <w:szCs w:val="11"/>
                <w:b w:val="1"/>
                <w:bCs w:val="1"/>
                <w:color w:val="auto"/>
              </w:rPr>
              <w:t>Total nonperforming assets</w:t>
            </w: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1,949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rPr>
              <w:t>1,831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2,068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2,508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1,835</w:t>
            </w:r>
          </w:p>
        </w:tc>
        <w:tc>
          <w:tcPr>
            <w:tcW w:w="68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1,949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1,835</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6"/>
        </w:trPr>
        <w:tc>
          <w:tcPr>
            <w:tcW w:w="1960" w:type="dxa"/>
            <w:vAlign w:val="bottom"/>
            <w:gridSpan w:val="6"/>
          </w:tcPr>
          <w:p>
            <w:pPr>
              <w:spacing w:after="0"/>
              <w:rPr>
                <w:sz w:val="20"/>
                <w:szCs w:val="20"/>
                <w:color w:val="auto"/>
              </w:rPr>
            </w:pPr>
            <w:r>
              <w:rPr>
                <w:rFonts w:ascii="Arial" w:cs="Arial" w:eastAsia="Arial" w:hAnsi="Arial"/>
                <w:sz w:val="11"/>
                <w:szCs w:val="11"/>
                <w:color w:val="auto"/>
              </w:rPr>
              <w:t>Allowance for credit losses: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60" w:type="dxa"/>
            <w:vAlign w:val="bottom"/>
            <w:gridSpan w:val="6"/>
          </w:tcPr>
          <w:p>
            <w:pPr>
              <w:ind w:left="120"/>
              <w:spacing w:after="0"/>
              <w:rPr>
                <w:sz w:val="20"/>
                <w:szCs w:val="20"/>
                <w:color w:val="auto"/>
              </w:rPr>
            </w:pPr>
            <w:r>
              <w:rPr>
                <w:rFonts w:ascii="Arial" w:cs="Arial" w:eastAsia="Arial" w:hAnsi="Arial"/>
                <w:sz w:val="11"/>
                <w:szCs w:val="11"/>
                <w:color w:val="auto"/>
              </w:rPr>
              <w:t>Allowance for loan losses</w:t>
            </w: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2,292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2,032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1,809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1,687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1,348</w:t>
            </w:r>
          </w:p>
        </w:tc>
        <w:tc>
          <w:tcPr>
            <w:tcW w:w="680" w:type="dxa"/>
            <w:vAlign w:val="bottom"/>
            <w:gridSpan w:val="2"/>
          </w:tcPr>
          <w:p>
            <w:pPr>
              <w:jc w:val="right"/>
              <w:ind w:right="86"/>
              <w:spacing w:after="0"/>
              <w:rPr>
                <w:sz w:val="20"/>
                <w:szCs w:val="20"/>
                <w:color w:val="auto"/>
              </w:rPr>
            </w:pPr>
            <w:r>
              <w:rPr>
                <w:rFonts w:ascii="Arial" w:cs="Arial" w:eastAsia="Arial" w:hAnsi="Arial"/>
                <w:sz w:val="11"/>
                <w:szCs w:val="11"/>
                <w:color w:val="auto"/>
              </w:rPr>
              <w:t>13</w:t>
            </w:r>
          </w:p>
        </w:tc>
        <w:tc>
          <w:tcPr>
            <w:tcW w:w="2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70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2,292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1,348</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128"/>
        </w:trPr>
        <w:tc>
          <w:tcPr>
            <w:tcW w:w="1960" w:type="dxa"/>
            <w:vAlign w:val="bottom"/>
            <w:gridSpan w:val="6"/>
          </w:tcPr>
          <w:p>
            <w:pPr>
              <w:ind w:left="120"/>
              <w:spacing w:after="0"/>
              <w:rPr>
                <w:sz w:val="20"/>
                <w:szCs w:val="20"/>
                <w:color w:val="auto"/>
              </w:rPr>
            </w:pPr>
            <w:r>
              <w:rPr>
                <w:rFonts w:ascii="Arial" w:cs="Arial" w:eastAsia="Arial" w:hAnsi="Arial"/>
                <w:sz w:val="11"/>
                <w:szCs w:val="11"/>
                <w:color w:val="auto"/>
              </w:rPr>
              <w:t>Allowance for lending-related</w:t>
            </w: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1,448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1,582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1,358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1,459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1,372</w:t>
            </w:r>
          </w:p>
        </w:tc>
        <w:tc>
          <w:tcPr>
            <w:tcW w:w="68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(8)</w:t>
            </w:r>
          </w:p>
        </w:tc>
        <w:tc>
          <w:tcPr>
            <w:tcW w:w="200" w:type="dxa"/>
            <w:vAlign w:val="bottom"/>
          </w:tcPr>
          <w:p>
            <w:pPr>
              <w:spacing w:after="0"/>
              <w:rPr>
                <w:sz w:val="11"/>
                <w:szCs w:val="11"/>
                <w:color w:val="auto"/>
              </w:rPr>
            </w:pPr>
          </w:p>
        </w:tc>
        <w:tc>
          <w:tcPr>
            <w:tcW w:w="500" w:type="dxa"/>
            <w:vAlign w:val="bottom"/>
            <w:vMerge w:val="restart"/>
          </w:tcPr>
          <w:p>
            <w:pPr>
              <w:jc w:val="right"/>
              <w:ind w:right="86"/>
              <w:spacing w:after="0"/>
              <w:rPr>
                <w:sz w:val="20"/>
                <w:szCs w:val="20"/>
                <w:color w:val="auto"/>
              </w:rPr>
            </w:pPr>
            <w:r>
              <w:rPr>
                <w:rFonts w:ascii="Arial" w:cs="Arial" w:eastAsia="Arial" w:hAnsi="Arial"/>
                <w:sz w:val="11"/>
                <w:szCs w:val="11"/>
                <w:color w:val="auto"/>
              </w:rPr>
              <w:t>6</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1,448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1,372</w:t>
            </w:r>
          </w:p>
        </w:tc>
        <w:tc>
          <w:tcPr>
            <w:tcW w:w="88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5"/>
        </w:trPr>
        <w:tc>
          <w:tcPr>
            <w:tcW w:w="1960" w:type="dxa"/>
            <w:vAlign w:val="bottom"/>
            <w:gridSpan w:val="6"/>
          </w:tcPr>
          <w:p>
            <w:pPr>
              <w:ind w:left="120"/>
              <w:spacing w:after="0"/>
              <w:rPr>
                <w:sz w:val="20"/>
                <w:szCs w:val="20"/>
                <w:color w:val="auto"/>
              </w:rPr>
            </w:pPr>
            <w:r>
              <w:rPr>
                <w:rFonts w:ascii="Arial" w:cs="Arial" w:eastAsia="Arial" w:hAnsi="Arial"/>
                <w:sz w:val="11"/>
                <w:szCs w:val="11"/>
                <w:color w:val="auto"/>
              </w:rPr>
              <w:t>commitments</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60" w:type="dxa"/>
            <w:vAlign w:val="bottom"/>
            <w:gridSpan w:val="6"/>
          </w:tcPr>
          <w:p>
            <w:pPr>
              <w:ind w:left="200"/>
              <w:spacing w:after="0"/>
              <w:rPr>
                <w:sz w:val="20"/>
                <w:szCs w:val="20"/>
                <w:color w:val="auto"/>
              </w:rPr>
            </w:pPr>
            <w:r>
              <w:rPr>
                <w:rFonts w:ascii="Arial" w:cs="Arial" w:eastAsia="Arial" w:hAnsi="Arial"/>
                <w:sz w:val="11"/>
                <w:szCs w:val="11"/>
                <w:b w:val="1"/>
                <w:bCs w:val="1"/>
                <w:color w:val="auto"/>
              </w:rPr>
              <w:t>Total allowance for credit losses</w:t>
            </w: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3,740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rPr>
              <w:t>3,614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3,167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3,146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2,720</w:t>
            </w:r>
          </w:p>
        </w:tc>
        <w:tc>
          <w:tcPr>
            <w:tcW w:w="68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38</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3,740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2,720</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210"/>
        </w:trPr>
        <w:tc>
          <w:tcPr>
            <w:tcW w:w="1960" w:type="dxa"/>
            <w:vAlign w:val="bottom"/>
            <w:gridSpan w:val="6"/>
          </w:tcPr>
          <w:p>
            <w:pPr>
              <w:spacing w:after="0"/>
              <w:rPr>
                <w:sz w:val="20"/>
                <w:szCs w:val="20"/>
                <w:color w:val="auto"/>
              </w:rPr>
            </w:pPr>
            <w:r>
              <w:rPr>
                <w:rFonts w:ascii="Arial" w:cs="Arial" w:eastAsia="Arial" w:hAnsi="Arial"/>
                <w:sz w:val="11"/>
                <w:szCs w:val="11"/>
                <w:color w:val="auto"/>
              </w:rPr>
              <w:t>Net charge-off/(recovery) rate (a)(e)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0.02 %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0.04 %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0.09 %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0.05 %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0.06 %</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0.05 %</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 %</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960" w:type="dxa"/>
            <w:vAlign w:val="bottom"/>
            <w:gridSpan w:val="6"/>
          </w:tcPr>
          <w:p>
            <w:pPr>
              <w:spacing w:after="0"/>
              <w:rPr>
                <w:sz w:val="20"/>
                <w:szCs w:val="20"/>
                <w:color w:val="auto"/>
              </w:rPr>
            </w:pPr>
            <w:r>
              <w:rPr>
                <w:rFonts w:ascii="Arial" w:cs="Arial" w:eastAsia="Arial" w:hAnsi="Arial"/>
                <w:sz w:val="11"/>
                <w:szCs w:val="11"/>
                <w:color w:val="auto"/>
              </w:rPr>
              <w:t>Allowance for loan losses to period-end</w:t>
            </w: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1.22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1.13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1.06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1.01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0.84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1.22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0.84</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60" w:type="dxa"/>
            <w:vAlign w:val="bottom"/>
            <w:gridSpan w:val="6"/>
          </w:tcPr>
          <w:p>
            <w:pPr>
              <w:spacing w:after="0"/>
              <w:rPr>
                <w:sz w:val="20"/>
                <w:szCs w:val="20"/>
                <w:color w:val="auto"/>
              </w:rPr>
            </w:pPr>
            <w:r>
              <w:rPr>
                <w:rFonts w:ascii="Arial" w:cs="Arial" w:eastAsia="Arial" w:hAnsi="Arial"/>
                <w:sz w:val="11"/>
                <w:szCs w:val="11"/>
                <w:color w:val="auto"/>
              </w:rPr>
              <w:t>loans retained (a)</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60" w:type="dxa"/>
            <w:vAlign w:val="bottom"/>
            <w:gridSpan w:val="6"/>
          </w:tcPr>
          <w:p>
            <w:pPr>
              <w:spacing w:after="0"/>
              <w:rPr>
                <w:sz w:val="20"/>
                <w:szCs w:val="20"/>
                <w:color w:val="auto"/>
              </w:rPr>
            </w:pPr>
            <w:r>
              <w:rPr>
                <w:rFonts w:ascii="Arial" w:cs="Arial" w:eastAsia="Arial" w:hAnsi="Arial"/>
                <w:sz w:val="11"/>
                <w:szCs w:val="11"/>
                <w:color w:val="auto"/>
              </w:rPr>
              <w:t>Allowance for loan losses to period-end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60" w:type="dxa"/>
            <w:vAlign w:val="bottom"/>
            <w:gridSpan w:val="6"/>
          </w:tcPr>
          <w:p>
            <w:pPr>
              <w:spacing w:after="0"/>
              <w:rPr>
                <w:sz w:val="20"/>
                <w:szCs w:val="20"/>
                <w:color w:val="auto"/>
              </w:rPr>
            </w:pPr>
            <w:r>
              <w:rPr>
                <w:rFonts w:ascii="Arial" w:cs="Arial" w:eastAsia="Arial" w:hAnsi="Arial"/>
                <w:sz w:val="11"/>
                <w:szCs w:val="11"/>
                <w:color w:val="auto"/>
              </w:rPr>
              <w:t>loans retained,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60" w:type="dxa"/>
            <w:vAlign w:val="bottom"/>
            <w:gridSpan w:val="6"/>
          </w:tcPr>
          <w:p>
            <w:pPr>
              <w:ind w:left="120"/>
              <w:spacing w:after="0"/>
              <w:rPr>
                <w:sz w:val="20"/>
                <w:szCs w:val="20"/>
                <w:color w:val="auto"/>
              </w:rPr>
            </w:pPr>
            <w:r>
              <w:rPr>
                <w:rFonts w:ascii="Arial" w:cs="Arial" w:eastAsia="Arial" w:hAnsi="Arial"/>
                <w:sz w:val="11"/>
                <w:szCs w:val="11"/>
                <w:color w:val="auto"/>
              </w:rPr>
              <w:t>excluding trade finance and conduits</w:t>
            </w: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1.67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1.49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1.38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1.31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1.12</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1.67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1.12</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60" w:type="dxa"/>
            <w:vAlign w:val="bottom"/>
            <w:gridSpan w:val="6"/>
          </w:tcPr>
          <w:p>
            <w:pPr>
              <w:ind w:left="120"/>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60" w:type="dxa"/>
            <w:vAlign w:val="bottom"/>
            <w:gridSpan w:val="6"/>
          </w:tcPr>
          <w:p>
            <w:pPr>
              <w:spacing w:after="0"/>
              <w:rPr>
                <w:sz w:val="20"/>
                <w:szCs w:val="20"/>
                <w:color w:val="auto"/>
              </w:rPr>
            </w:pPr>
            <w:r>
              <w:rPr>
                <w:rFonts w:ascii="Arial" w:cs="Arial" w:eastAsia="Arial" w:hAnsi="Arial"/>
                <w:sz w:val="11"/>
                <w:szCs w:val="11"/>
                <w:color w:val="auto"/>
              </w:rPr>
              <w:t>Allowance for loan losses to nonaccrual</w:t>
            </w: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319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349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260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194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231</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319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231</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60" w:type="dxa"/>
            <w:vAlign w:val="bottom"/>
            <w:gridSpan w:val="6"/>
          </w:tcPr>
          <w:p>
            <w:pPr>
              <w:spacing w:after="0"/>
              <w:rPr>
                <w:sz w:val="20"/>
                <w:szCs w:val="20"/>
                <w:color w:val="auto"/>
              </w:rPr>
            </w:pPr>
            <w:r>
              <w:rPr>
                <w:rFonts w:ascii="Arial" w:cs="Arial" w:eastAsia="Arial" w:hAnsi="Arial"/>
                <w:sz w:val="11"/>
                <w:szCs w:val="11"/>
                <w:color w:val="auto"/>
              </w:rPr>
              <w:t>loans retained (a)(c)</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60" w:type="dxa"/>
            <w:vAlign w:val="bottom"/>
            <w:gridSpan w:val="6"/>
          </w:tcPr>
          <w:p>
            <w:pPr>
              <w:spacing w:after="0"/>
              <w:rPr>
                <w:sz w:val="20"/>
                <w:szCs w:val="20"/>
                <w:color w:val="auto"/>
              </w:rPr>
            </w:pPr>
            <w:r>
              <w:rPr>
                <w:rFonts w:ascii="Arial" w:cs="Arial" w:eastAsia="Arial" w:hAnsi="Arial"/>
                <w:sz w:val="11"/>
                <w:szCs w:val="11"/>
                <w:color w:val="auto"/>
              </w:rPr>
              <w:t>Nonaccrual loans to total period-end</w:t>
            </w: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0.68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0.64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0.71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0.85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0.68</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0.68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0.68</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60" w:type="dxa"/>
            <w:vAlign w:val="bottom"/>
            <w:gridSpan w:val="6"/>
          </w:tcPr>
          <w:p>
            <w:pPr>
              <w:spacing w:after="0"/>
              <w:rPr>
                <w:sz w:val="20"/>
                <w:szCs w:val="20"/>
                <w:color w:val="auto"/>
              </w:rPr>
            </w:pPr>
            <w:r>
              <w:rPr>
                <w:rFonts w:ascii="Arial" w:cs="Arial" w:eastAsia="Arial" w:hAnsi="Arial"/>
                <w:sz w:val="11"/>
                <w:szCs w:val="11"/>
                <w:color w:val="auto"/>
              </w:rPr>
              <w:t>loans</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2515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243" w:lineRule="exact"/>
        <w:rPr>
          <w:sz w:val="20"/>
          <w:szCs w:val="20"/>
          <w:color w:val="auto"/>
        </w:rPr>
      </w:pPr>
    </w:p>
    <w:p>
      <w:pPr>
        <w:ind w:left="160" w:hanging="152"/>
        <w:spacing w:after="0"/>
        <w:tabs>
          <w:tab w:leader="none" w:pos="160" w:val="left"/>
        </w:tabs>
        <w:numPr>
          <w:ilvl w:val="0"/>
          <w:numId w:val="27"/>
        </w:numPr>
        <w:rPr>
          <w:rFonts w:ascii="Arial" w:cs="Arial" w:eastAsia="Arial" w:hAnsi="Arial"/>
          <w:sz w:val="11"/>
          <w:szCs w:val="11"/>
          <w:color w:val="auto"/>
        </w:rPr>
      </w:pPr>
      <w:r>
        <w:rPr>
          <w:rFonts w:ascii="Arial" w:cs="Arial" w:eastAsia="Arial" w:hAnsi="Arial"/>
          <w:sz w:val="11"/>
          <w:szCs w:val="11"/>
          <w:color w:val="auto"/>
        </w:rPr>
        <w:t>Loans retained includes credit portfolio loans, loans held by consolidated Firm-administered multi-seller conduits, trade finance loans, other held-for-investment loans and overdrafts.</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27"/>
        </w:numPr>
        <w:rPr>
          <w:rFonts w:ascii="Arial" w:cs="Arial" w:eastAsia="Arial" w:hAnsi="Arial"/>
          <w:sz w:val="11"/>
          <w:szCs w:val="11"/>
          <w:color w:val="auto"/>
        </w:rPr>
      </w:pPr>
      <w:r>
        <w:rPr>
          <w:rFonts w:ascii="Arial" w:cs="Arial" w:eastAsia="Arial" w:hAnsi="Arial"/>
          <w:sz w:val="11"/>
          <w:szCs w:val="11"/>
          <w:color w:val="auto"/>
        </w:rPr>
        <w:t>Loans held-for-sale and loans at fair value primarily reflect lending related positions originated and purchased in CIB Markets, including loans held for securitization.</w:t>
      </w:r>
    </w:p>
    <w:p>
      <w:pPr>
        <w:spacing w:after="0" w:line="5" w:lineRule="exact"/>
        <w:rPr>
          <w:rFonts w:ascii="Arial" w:cs="Arial" w:eastAsia="Arial" w:hAnsi="Arial"/>
          <w:sz w:val="11"/>
          <w:szCs w:val="11"/>
          <w:color w:val="auto"/>
        </w:rPr>
      </w:pPr>
    </w:p>
    <w:p>
      <w:pPr>
        <w:ind w:left="180" w:right="40" w:hanging="172"/>
        <w:spacing w:after="0" w:line="243" w:lineRule="auto"/>
        <w:tabs>
          <w:tab w:leader="none" w:pos="171" w:val="left"/>
        </w:tabs>
        <w:numPr>
          <w:ilvl w:val="0"/>
          <w:numId w:val="27"/>
        </w:numPr>
        <w:rPr>
          <w:rFonts w:ascii="Arial" w:cs="Arial" w:eastAsia="Arial" w:hAnsi="Arial"/>
          <w:sz w:val="11"/>
          <w:szCs w:val="11"/>
          <w:color w:val="auto"/>
        </w:rPr>
      </w:pPr>
      <w:r>
        <w:rPr>
          <w:rFonts w:ascii="Arial" w:cs="Arial" w:eastAsia="Arial" w:hAnsi="Arial"/>
          <w:sz w:val="11"/>
          <w:szCs w:val="11"/>
          <w:color w:val="auto"/>
        </w:rPr>
        <w:t>Allowance for loan losses of $104 million, $111 million, $130 million, $226 million and $58 million were held against these nonaccrual loans at December 31, 2022, September 30, 2022, June 30, 2022, March 31, 2022 and December 31, 2021, respectively.</w:t>
      </w:r>
    </w:p>
    <w:p>
      <w:pPr>
        <w:ind w:left="180" w:right="60" w:hanging="172"/>
        <w:spacing w:after="0" w:line="246" w:lineRule="auto"/>
        <w:tabs>
          <w:tab w:leader="none" w:pos="177" w:val="left"/>
        </w:tabs>
        <w:numPr>
          <w:ilvl w:val="0"/>
          <w:numId w:val="27"/>
        </w:numPr>
        <w:rPr>
          <w:rFonts w:ascii="Arial" w:cs="Arial" w:eastAsia="Arial" w:hAnsi="Arial"/>
          <w:sz w:val="11"/>
          <w:szCs w:val="11"/>
          <w:color w:val="auto"/>
        </w:rPr>
      </w:pPr>
      <w:r>
        <w:rPr>
          <w:rFonts w:ascii="Arial" w:cs="Arial" w:eastAsia="Arial" w:hAnsi="Arial"/>
          <w:sz w:val="11"/>
          <w:szCs w:val="11"/>
          <w:color w:val="auto"/>
        </w:rPr>
        <w:t>At December 31, 2022, September 30, 2022, June 30, 2022, March 31, 2022 and December 31, 2021, nonaccrual loans excluded mortgage loans 90 or more days past due and insured by U.S. government agencies of $115 million, $143 million, $196 million, $283 million and $281 million, respectively. These amounts have been excluded based upon the government guarantee.</w:t>
      </w:r>
    </w:p>
    <w:p>
      <w:pPr>
        <w:ind w:left="160" w:hanging="152"/>
        <w:spacing w:after="0"/>
        <w:tabs>
          <w:tab w:leader="none" w:pos="160" w:val="left"/>
        </w:tabs>
        <w:numPr>
          <w:ilvl w:val="0"/>
          <w:numId w:val="27"/>
        </w:numPr>
        <w:rPr>
          <w:rFonts w:ascii="Arial" w:cs="Arial" w:eastAsia="Arial" w:hAnsi="Arial"/>
          <w:sz w:val="11"/>
          <w:szCs w:val="11"/>
          <w:color w:val="auto"/>
        </w:rPr>
      </w:pPr>
      <w:r>
        <w:rPr>
          <w:rFonts w:ascii="Arial" w:cs="Arial" w:eastAsia="Arial" w:hAnsi="Arial"/>
          <w:sz w:val="11"/>
          <w:szCs w:val="11"/>
          <w:color w:val="auto"/>
        </w:rPr>
        <w:t>Loans held-for-sale and loans at fair value were excluded when calculating the net charge-off/(recovery) rate.</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27"/>
        </w:numPr>
        <w:rPr>
          <w:rFonts w:ascii="Arial" w:cs="Arial" w:eastAsia="Arial" w:hAnsi="Arial"/>
          <w:sz w:val="11"/>
          <w:szCs w:val="11"/>
          <w:color w:val="auto"/>
        </w:rPr>
      </w:pPr>
      <w:r>
        <w:rPr>
          <w:rFonts w:ascii="Arial" w:cs="Arial" w:eastAsia="Arial" w:hAnsi="Arial"/>
          <w:sz w:val="11"/>
          <w:szCs w:val="11"/>
          <w:color w:val="auto"/>
        </w:rPr>
        <w:t>Management uses allowance for loan losses to period-end loans retained, excluding trade finance and conduits, a non-GAAP financial measure, to provide a more meaningful assessment of CIB’s allowance coverage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17</w:t>
      </w:r>
    </w:p>
    <w:p>
      <w:pPr>
        <w:sectPr>
          <w:pgSz w:w="11900" w:h="16838" w:orient="portrait"/>
          <w:cols w:equalWidth="0" w:num="1">
            <w:col w:w="11240"/>
          </w:cols>
          <w:pgMar w:left="320" w:top="936"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13970</wp:posOffset>
            </wp:positionV>
            <wp:extent cx="237426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CORPORATE &amp; INVESTMENT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BANK</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2340" w:type="dxa"/>
            <w:vAlign w:val="bottom"/>
            <w:gridSpan w:val="4"/>
          </w:tcPr>
          <w:p>
            <w:pPr>
              <w:spacing w:after="0"/>
              <w:rPr>
                <w:sz w:val="20"/>
                <w:szCs w:val="20"/>
                <w:color w:val="auto"/>
              </w:rPr>
            </w:pPr>
            <w:r>
              <w:rPr>
                <w:rFonts w:ascii="Arial" w:cs="Arial" w:eastAsia="Arial" w:hAnsi="Arial"/>
                <w:sz w:val="11"/>
                <w:szCs w:val="11"/>
                <w:b w:val="1"/>
                <w:bCs w:val="1"/>
                <w:color w:val="auto"/>
              </w:rPr>
              <w:t>(in millions, except where otherwise noted)</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jc w:val="center"/>
              <w:ind w:left="286"/>
              <w:spacing w:after="0"/>
              <w:rPr>
                <w:sz w:val="20"/>
                <w:szCs w:val="20"/>
                <w:color w:val="auto"/>
              </w:rPr>
            </w:pPr>
            <w:r>
              <w:rPr>
                <w:rFonts w:ascii="Arial" w:cs="Arial" w:eastAsia="Arial" w:hAnsi="Arial"/>
                <w:sz w:val="11"/>
                <w:szCs w:val="11"/>
                <w:b w:val="1"/>
                <w:bCs w:val="1"/>
                <w:color w:val="auto"/>
                <w:w w:val="97"/>
              </w:rPr>
              <w:t>QUARTERLY TRENDS</w:t>
            </w: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FULL YEAR</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Borders>
              <w:bottom w:val="single" w:sz="8" w:color="auto"/>
            </w:tcBorders>
            <w:gridSpan w:val="3"/>
          </w:tcPr>
          <w:p>
            <w:pPr>
              <w:jc w:val="right"/>
              <w:ind w:right="266"/>
              <w:spacing w:after="0"/>
              <w:rPr>
                <w:sz w:val="20"/>
                <w:szCs w:val="20"/>
                <w:color w:val="auto"/>
              </w:rPr>
            </w:pPr>
            <w:r>
              <w:rPr>
                <w:rFonts w:ascii="Arial" w:cs="Arial" w:eastAsia="Arial" w:hAnsi="Arial"/>
                <w:sz w:val="11"/>
                <w:szCs w:val="11"/>
                <w:b w:val="1"/>
                <w:bCs w:val="1"/>
                <w:color w:val="auto"/>
              </w:rPr>
              <w:t>4Q22 Change</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 Change</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4Q22</w:t>
            </w:r>
          </w:p>
        </w:tc>
        <w:tc>
          <w:tcPr>
            <w:tcW w:w="10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3Q22</w:t>
            </w:r>
          </w:p>
        </w:tc>
        <w:tc>
          <w:tcPr>
            <w:tcW w:w="10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2Q22</w:t>
            </w:r>
          </w:p>
        </w:tc>
        <w:tc>
          <w:tcPr>
            <w:tcW w:w="100" w:type="dxa"/>
            <w:vAlign w:val="bottom"/>
          </w:tcPr>
          <w:p>
            <w:pPr>
              <w:spacing w:after="0"/>
              <w:rPr>
                <w:sz w:val="13"/>
                <w:szCs w:val="13"/>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6"/>
              </w:rPr>
              <w:t>1Q22</w:t>
            </w:r>
          </w:p>
        </w:tc>
        <w:tc>
          <w:tcPr>
            <w:tcW w:w="10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4Q21</w:t>
            </w:r>
          </w:p>
        </w:tc>
        <w:tc>
          <w:tcPr>
            <w:tcW w:w="220" w:type="dxa"/>
            <w:vAlign w:val="bottom"/>
          </w:tcPr>
          <w:p>
            <w:pPr>
              <w:spacing w:after="0"/>
              <w:rPr>
                <w:sz w:val="13"/>
                <w:szCs w:val="13"/>
                <w:color w:val="auto"/>
              </w:rPr>
            </w:pP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3Q22</w:t>
            </w:r>
          </w:p>
        </w:tc>
        <w:tc>
          <w:tcPr>
            <w:tcW w:w="100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4Q21</w:t>
            </w: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2022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2021</w:t>
            </w:r>
          </w:p>
        </w:tc>
        <w:tc>
          <w:tcPr>
            <w:tcW w:w="220" w:type="dxa"/>
            <w:vAlign w:val="bottom"/>
          </w:tcPr>
          <w:p>
            <w:pPr>
              <w:spacing w:after="0"/>
              <w:rPr>
                <w:sz w:val="13"/>
                <w:szCs w:val="13"/>
                <w:color w:val="auto"/>
              </w:rPr>
            </w:pPr>
          </w:p>
        </w:tc>
        <w:tc>
          <w:tcPr>
            <w:tcW w:w="740" w:type="dxa"/>
            <w:vAlign w:val="bottom"/>
          </w:tcPr>
          <w:p>
            <w:pPr>
              <w:jc w:val="right"/>
              <w:ind w:right="186"/>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08"/>
        </w:trPr>
        <w:tc>
          <w:tcPr>
            <w:tcW w:w="1080" w:type="dxa"/>
            <w:vAlign w:val="bottom"/>
            <w:tcBorders>
              <w:bottom w:val="single" w:sz="8" w:color="auto"/>
            </w:tcBorders>
            <w:gridSpan w:val="2"/>
          </w:tcPr>
          <w:p>
            <w:pPr>
              <w:spacing w:after="0" w:line="108" w:lineRule="exact"/>
              <w:rPr>
                <w:sz w:val="20"/>
                <w:szCs w:val="20"/>
                <w:color w:val="auto"/>
              </w:rPr>
            </w:pPr>
            <w:r>
              <w:rPr>
                <w:rFonts w:ascii="Arial" w:cs="Arial" w:eastAsia="Arial" w:hAnsi="Arial"/>
                <w:sz w:val="11"/>
                <w:szCs w:val="11"/>
                <w:b w:val="1"/>
                <w:bCs w:val="1"/>
                <w:color w:val="auto"/>
                <w:w w:val="97"/>
              </w:rPr>
              <w:t>BUSINESS METRICS</w:t>
            </w:r>
          </w:p>
        </w:tc>
        <w:tc>
          <w:tcPr>
            <w:tcW w:w="1260" w:type="dxa"/>
            <w:vAlign w:val="bottom"/>
            <w:gridSpan w:val="2"/>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340" w:type="dxa"/>
            <w:vAlign w:val="bottom"/>
            <w:gridSpan w:val="4"/>
          </w:tcPr>
          <w:p>
            <w:pPr>
              <w:spacing w:after="0"/>
              <w:rPr>
                <w:sz w:val="20"/>
                <w:szCs w:val="20"/>
                <w:color w:val="auto"/>
              </w:rPr>
            </w:pPr>
            <w:r>
              <w:rPr>
                <w:rFonts w:ascii="Arial" w:cs="Arial" w:eastAsia="Arial" w:hAnsi="Arial"/>
                <w:sz w:val="11"/>
                <w:szCs w:val="11"/>
                <w:color w:val="auto"/>
              </w:rPr>
              <w:t>Advisory</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738</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848</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664</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801</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1,557</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(13)%</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(53)%</w:t>
            </w:r>
          </w:p>
        </w:tc>
        <w:tc>
          <w:tcPr>
            <w:tcW w:w="4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3,051</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4,381</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62"/>
        </w:trPr>
        <w:tc>
          <w:tcPr>
            <w:tcW w:w="2340" w:type="dxa"/>
            <w:vAlign w:val="bottom"/>
            <w:gridSpan w:val="4"/>
          </w:tcPr>
          <w:p>
            <w:pPr>
              <w:spacing w:after="0"/>
              <w:rPr>
                <w:sz w:val="20"/>
                <w:szCs w:val="20"/>
                <w:color w:val="auto"/>
              </w:rPr>
            </w:pPr>
            <w:r>
              <w:rPr>
                <w:rFonts w:ascii="Arial" w:cs="Arial" w:eastAsia="Arial" w:hAnsi="Arial"/>
                <w:sz w:val="11"/>
                <w:szCs w:val="11"/>
                <w:color w:val="auto"/>
              </w:rPr>
              <w:t>Equity underwriting</w:t>
            </w: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250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290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245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249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802</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(69)</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1,034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3,953</w:t>
            </w:r>
          </w:p>
        </w:tc>
        <w:tc>
          <w:tcPr>
            <w:tcW w:w="22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(74)</w:t>
            </w:r>
          </w:p>
        </w:tc>
        <w:tc>
          <w:tcPr>
            <w:tcW w:w="0" w:type="dxa"/>
            <w:vAlign w:val="bottom"/>
          </w:tcPr>
          <w:p>
            <w:pPr>
              <w:spacing w:after="0"/>
              <w:rPr>
                <w:sz w:val="1"/>
                <w:szCs w:val="1"/>
                <w:color w:val="auto"/>
              </w:rPr>
            </w:pPr>
          </w:p>
        </w:tc>
      </w:tr>
      <w:tr>
        <w:trPr>
          <w:trHeight w:val="175"/>
        </w:trPr>
        <w:tc>
          <w:tcPr>
            <w:tcW w:w="2340" w:type="dxa"/>
            <w:vAlign w:val="bottom"/>
            <w:gridSpan w:val="4"/>
          </w:tcPr>
          <w:p>
            <w:pPr>
              <w:spacing w:after="0"/>
              <w:rPr>
                <w:sz w:val="20"/>
                <w:szCs w:val="20"/>
                <w:color w:val="auto"/>
              </w:rPr>
            </w:pPr>
            <w:r>
              <w:rPr>
                <w:rFonts w:ascii="Arial" w:cs="Arial" w:eastAsia="Arial" w:hAnsi="Arial"/>
                <w:sz w:val="11"/>
                <w:szCs w:val="11"/>
                <w:color w:val="auto"/>
              </w:rPr>
              <w:t>Debt underwriting</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479</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624</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741</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1,000</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1,143</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(23)</w:t>
            </w:r>
          </w:p>
        </w:tc>
        <w:tc>
          <w:tcPr>
            <w:tcW w:w="200" w:type="dxa"/>
            <w:vAlign w:val="bottom"/>
          </w:tcPr>
          <w:p>
            <w:pPr>
              <w:spacing w:after="0"/>
              <w:rPr>
                <w:sz w:val="15"/>
                <w:szCs w:val="15"/>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(58)</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2,844</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5,025</w:t>
            </w:r>
          </w:p>
        </w:tc>
        <w:tc>
          <w:tcPr>
            <w:tcW w:w="220" w:type="dxa"/>
            <w:vAlign w:val="bottom"/>
          </w:tcPr>
          <w:p>
            <w:pPr>
              <w:spacing w:after="0"/>
              <w:rPr>
                <w:sz w:val="15"/>
                <w:szCs w:val="15"/>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48"/>
        </w:trPr>
        <w:tc>
          <w:tcPr>
            <w:tcW w:w="234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investment banking fees</w:t>
            </w: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1,467</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1,762</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1,650</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2,050</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3,502</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(17)</w:t>
            </w:r>
          </w:p>
        </w:tc>
        <w:tc>
          <w:tcPr>
            <w:tcW w:w="200" w:type="dxa"/>
            <w:vAlign w:val="bottom"/>
          </w:tcPr>
          <w:p>
            <w:pPr>
              <w:spacing w:after="0"/>
              <w:rPr>
                <w:sz w:val="12"/>
                <w:szCs w:val="12"/>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(58)</w:t>
            </w:r>
          </w:p>
        </w:tc>
        <w:tc>
          <w:tcPr>
            <w:tcW w:w="4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6,929</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13,359</w:t>
            </w:r>
          </w:p>
        </w:tc>
        <w:tc>
          <w:tcPr>
            <w:tcW w:w="220" w:type="dxa"/>
            <w:vAlign w:val="bottom"/>
          </w:tcPr>
          <w:p>
            <w:pPr>
              <w:spacing w:after="0"/>
              <w:rPr>
                <w:sz w:val="12"/>
                <w:szCs w:val="12"/>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284"/>
        </w:trPr>
        <w:tc>
          <w:tcPr>
            <w:tcW w:w="2340" w:type="dxa"/>
            <w:vAlign w:val="bottom"/>
            <w:gridSpan w:val="4"/>
          </w:tcPr>
          <w:p>
            <w:pPr>
              <w:spacing w:after="0"/>
              <w:rPr>
                <w:sz w:val="20"/>
                <w:szCs w:val="20"/>
                <w:color w:val="auto"/>
              </w:rPr>
            </w:pPr>
            <w:r>
              <w:rPr>
                <w:rFonts w:ascii="Arial" w:cs="Arial" w:eastAsia="Arial" w:hAnsi="Arial"/>
                <w:sz w:val="11"/>
                <w:szCs w:val="11"/>
                <w:color w:val="auto"/>
              </w:rPr>
              <w:t>Client deposits and other third-party liabilities</w:t>
            </w:r>
          </w:p>
        </w:tc>
        <w:tc>
          <w:tcPr>
            <w:tcW w:w="100" w:type="dxa"/>
            <w:vAlign w:val="bottom"/>
          </w:tcPr>
          <w:p>
            <w:pPr>
              <w:spacing w:after="0"/>
              <w:rPr>
                <w:sz w:val="24"/>
                <w:szCs w:val="24"/>
                <w:color w:val="auto"/>
              </w:rPr>
            </w:pP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w w:val="95"/>
              </w:rPr>
              <w:t>649,694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669,215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w w:val="95"/>
              </w:rPr>
              <w:t>722,388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w w:val="95"/>
              </w:rPr>
              <w:t>709,121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717,496</w:t>
            </w:r>
          </w:p>
        </w:tc>
        <w:tc>
          <w:tcPr>
            <w:tcW w:w="78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24"/>
                <w:szCs w:val="24"/>
                <w:color w:val="auto"/>
              </w:rPr>
            </w:pPr>
          </w:p>
        </w:tc>
        <w:tc>
          <w:tcPr>
            <w:tcW w:w="580" w:type="dxa"/>
            <w:vAlign w:val="bottom"/>
            <w:vMerge w:val="restart"/>
          </w:tcPr>
          <w:p>
            <w:pPr>
              <w:jc w:val="right"/>
              <w:ind w:right="66"/>
              <w:spacing w:after="0"/>
              <w:rPr>
                <w:sz w:val="20"/>
                <w:szCs w:val="20"/>
                <w:color w:val="auto"/>
              </w:rPr>
            </w:pPr>
            <w:r>
              <w:rPr>
                <w:rFonts w:ascii="Arial" w:cs="Arial" w:eastAsia="Arial" w:hAnsi="Arial"/>
                <w:sz w:val="11"/>
                <w:szCs w:val="11"/>
                <w:color w:val="auto"/>
              </w:rPr>
              <w:t>(9)</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687,391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714,910</w:t>
            </w:r>
          </w:p>
        </w:tc>
        <w:tc>
          <w:tcPr>
            <w:tcW w:w="220" w:type="dxa"/>
            <w:vAlign w:val="bottom"/>
          </w:tcPr>
          <w:p>
            <w:pPr>
              <w:spacing w:after="0"/>
              <w:rPr>
                <w:sz w:val="24"/>
                <w:szCs w:val="24"/>
                <w:color w:val="auto"/>
              </w:rPr>
            </w:pPr>
          </w:p>
        </w:tc>
        <w:tc>
          <w:tcPr>
            <w:tcW w:w="740" w:type="dxa"/>
            <w:vAlign w:val="bottom"/>
            <w:vMerge w:val="restart"/>
          </w:tcPr>
          <w:p>
            <w:pPr>
              <w:jc w:val="right"/>
              <w:ind w:right="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2"/>
        </w:trPr>
        <w:tc>
          <w:tcPr>
            <w:tcW w:w="2340" w:type="dxa"/>
            <w:vAlign w:val="bottom"/>
            <w:gridSpan w:val="4"/>
          </w:tcPr>
          <w:p>
            <w:pPr>
              <w:spacing w:after="0"/>
              <w:rPr>
                <w:sz w:val="20"/>
                <w:szCs w:val="20"/>
                <w:color w:val="auto"/>
              </w:rPr>
            </w:pPr>
            <w:r>
              <w:rPr>
                <w:rFonts w:ascii="Arial" w:cs="Arial" w:eastAsia="Arial" w:hAnsi="Arial"/>
                <w:sz w:val="11"/>
                <w:szCs w:val="11"/>
                <w:color w:val="auto"/>
              </w:rPr>
              <w:t>(average) (a)</w:t>
            </w: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2340" w:type="dxa"/>
            <w:vAlign w:val="bottom"/>
            <w:gridSpan w:val="4"/>
          </w:tcPr>
          <w:p>
            <w:pPr>
              <w:spacing w:after="0"/>
              <w:rPr>
                <w:sz w:val="20"/>
                <w:szCs w:val="20"/>
                <w:color w:val="auto"/>
              </w:rPr>
            </w:pPr>
            <w:r>
              <w:rPr>
                <w:rFonts w:ascii="Arial" w:cs="Arial" w:eastAsia="Arial" w:hAnsi="Arial"/>
                <w:sz w:val="11"/>
                <w:szCs w:val="11"/>
                <w:color w:val="auto"/>
              </w:rPr>
              <w:t>Merchant processing volume (in billions) (b)</w:t>
            </w:r>
          </w:p>
        </w:tc>
        <w:tc>
          <w:tcPr>
            <w:tcW w:w="10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583.2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545.4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539.6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490.2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514.9</w:t>
            </w:r>
          </w:p>
        </w:tc>
        <w:tc>
          <w:tcPr>
            <w:tcW w:w="780" w:type="dxa"/>
            <w:vAlign w:val="bottom"/>
            <w:gridSpan w:val="2"/>
          </w:tcPr>
          <w:p>
            <w:pPr>
              <w:jc w:val="right"/>
              <w:ind w:right="106"/>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24"/>
                <w:szCs w:val="2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2,158.4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1,886.7</w:t>
            </w:r>
          </w:p>
        </w:tc>
        <w:tc>
          <w:tcPr>
            <w:tcW w:w="220" w:type="dxa"/>
            <w:vAlign w:val="bottom"/>
          </w:tcPr>
          <w:p>
            <w:pPr>
              <w:spacing w:after="0"/>
              <w:rPr>
                <w:sz w:val="24"/>
                <w:szCs w:val="24"/>
                <w:color w:val="auto"/>
              </w:rPr>
            </w:pP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290"/>
        </w:trPr>
        <w:tc>
          <w:tcPr>
            <w:tcW w:w="2340" w:type="dxa"/>
            <w:vAlign w:val="bottom"/>
            <w:gridSpan w:val="4"/>
          </w:tcPr>
          <w:p>
            <w:pPr>
              <w:spacing w:after="0"/>
              <w:rPr>
                <w:sz w:val="20"/>
                <w:szCs w:val="20"/>
                <w:color w:val="auto"/>
              </w:rPr>
            </w:pPr>
            <w:r>
              <w:rPr>
                <w:rFonts w:ascii="Arial" w:cs="Arial" w:eastAsia="Arial" w:hAnsi="Arial"/>
                <w:sz w:val="11"/>
                <w:szCs w:val="11"/>
                <w:color w:val="auto"/>
              </w:rPr>
              <w:t>Assets under custody (“AUC”) (period-end) (in</w:t>
            </w: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28,635</w:t>
            </w:r>
          </w:p>
        </w:tc>
        <w:tc>
          <w:tcPr>
            <w:tcW w:w="22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27,157</w:t>
            </w:r>
          </w:p>
        </w:tc>
        <w:tc>
          <w:tcPr>
            <w:tcW w:w="24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28,579</w:t>
            </w:r>
          </w:p>
        </w:tc>
        <w:tc>
          <w:tcPr>
            <w:tcW w:w="22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31,571</w:t>
            </w:r>
          </w:p>
        </w:tc>
        <w:tc>
          <w:tcPr>
            <w:tcW w:w="22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33,221</w:t>
            </w:r>
          </w:p>
        </w:tc>
        <w:tc>
          <w:tcPr>
            <w:tcW w:w="78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24"/>
                <w:szCs w:val="24"/>
                <w:color w:val="auto"/>
              </w:rPr>
            </w:pPr>
          </w:p>
        </w:tc>
        <w:tc>
          <w:tcPr>
            <w:tcW w:w="580" w:type="dxa"/>
            <w:vAlign w:val="bottom"/>
            <w:vMerge w:val="restart"/>
          </w:tcPr>
          <w:p>
            <w:pPr>
              <w:jc w:val="right"/>
              <w:ind w:right="66"/>
              <w:spacing w:after="0"/>
              <w:rPr>
                <w:sz w:val="20"/>
                <w:szCs w:val="20"/>
                <w:color w:val="auto"/>
              </w:rPr>
            </w:pPr>
            <w:r>
              <w:rPr>
                <w:rFonts w:ascii="Arial" w:cs="Arial" w:eastAsia="Arial" w:hAnsi="Arial"/>
                <w:sz w:val="11"/>
                <w:szCs w:val="11"/>
                <w:color w:val="auto"/>
              </w:rPr>
              <w:t>(14)</w:t>
            </w:r>
          </w:p>
        </w:tc>
        <w:tc>
          <w:tcPr>
            <w:tcW w:w="42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28,635</w:t>
            </w:r>
          </w:p>
        </w:tc>
        <w:tc>
          <w:tcPr>
            <w:tcW w:w="22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33,221</w:t>
            </w:r>
          </w:p>
        </w:tc>
        <w:tc>
          <w:tcPr>
            <w:tcW w:w="220" w:type="dxa"/>
            <w:vAlign w:val="bottom"/>
          </w:tcPr>
          <w:p>
            <w:pPr>
              <w:spacing w:after="0"/>
              <w:rPr>
                <w:sz w:val="24"/>
                <w:szCs w:val="24"/>
                <w:color w:val="auto"/>
              </w:rPr>
            </w:pPr>
          </w:p>
        </w:tc>
        <w:tc>
          <w:tcPr>
            <w:tcW w:w="740" w:type="dxa"/>
            <w:vAlign w:val="bottom"/>
            <w:vMerge w:val="restart"/>
          </w:tcPr>
          <w:p>
            <w:pPr>
              <w:jc w:val="right"/>
              <w:ind w:right="6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42"/>
        </w:trPr>
        <w:tc>
          <w:tcPr>
            <w:tcW w:w="2340" w:type="dxa"/>
            <w:vAlign w:val="bottom"/>
            <w:gridSpan w:val="4"/>
          </w:tcPr>
          <w:p>
            <w:pPr>
              <w:spacing w:after="0"/>
              <w:rPr>
                <w:sz w:val="20"/>
                <w:szCs w:val="20"/>
                <w:color w:val="auto"/>
              </w:rPr>
            </w:pPr>
            <w:r>
              <w:rPr>
                <w:rFonts w:ascii="Arial" w:cs="Arial" w:eastAsia="Arial" w:hAnsi="Arial"/>
                <w:sz w:val="11"/>
                <w:szCs w:val="11"/>
                <w:color w:val="auto"/>
              </w:rPr>
              <w:t>billions)</w:t>
            </w:r>
          </w:p>
        </w:tc>
        <w:tc>
          <w:tcPr>
            <w:tcW w:w="10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340" w:type="dxa"/>
            <w:vAlign w:val="bottom"/>
            <w:gridSpan w:val="4"/>
          </w:tcPr>
          <w:p>
            <w:pPr>
              <w:spacing w:after="0"/>
              <w:rPr>
                <w:sz w:val="20"/>
                <w:szCs w:val="20"/>
                <w:color w:val="auto"/>
              </w:rPr>
            </w:pPr>
            <w:r>
              <w:rPr>
                <w:rFonts w:ascii="Arial" w:cs="Arial" w:eastAsia="Arial" w:hAnsi="Arial"/>
                <w:sz w:val="11"/>
                <w:szCs w:val="11"/>
                <w:b w:val="1"/>
                <w:bCs w:val="1"/>
                <w:color w:val="auto"/>
              </w:rPr>
              <w:t>95% Confidence Level - Total CIB VaR</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94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10"/>
                <w:szCs w:val="10"/>
                <w:b w:val="1"/>
                <w:bCs w:val="1"/>
                <w:color w:val="auto"/>
              </w:rPr>
              <w:t>(average)</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340" w:type="dxa"/>
            <w:vAlign w:val="bottom"/>
            <w:gridSpan w:val="4"/>
          </w:tcPr>
          <w:p>
            <w:pPr>
              <w:spacing w:after="0"/>
              <w:rPr>
                <w:sz w:val="20"/>
                <w:szCs w:val="20"/>
                <w:color w:val="auto"/>
              </w:rPr>
            </w:pPr>
            <w:r>
              <w:rPr>
                <w:rFonts w:ascii="Arial" w:cs="Arial" w:eastAsia="Arial" w:hAnsi="Arial"/>
                <w:sz w:val="11"/>
                <w:szCs w:val="11"/>
                <w:b w:val="1"/>
                <w:bCs w:val="1"/>
                <w:color w:val="auto"/>
              </w:rPr>
              <w:t>CIB trading VaR by risk type: (c)</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40" w:type="dxa"/>
            <w:vAlign w:val="bottom"/>
            <w:gridSpan w:val="4"/>
          </w:tcPr>
          <w:p>
            <w:pPr>
              <w:spacing w:after="0"/>
              <w:rPr>
                <w:sz w:val="20"/>
                <w:szCs w:val="20"/>
                <w:color w:val="auto"/>
              </w:rPr>
            </w:pPr>
            <w:r>
              <w:rPr>
                <w:rFonts w:ascii="Arial" w:cs="Arial" w:eastAsia="Arial" w:hAnsi="Arial"/>
                <w:sz w:val="11"/>
                <w:szCs w:val="11"/>
                <w:color w:val="auto"/>
              </w:rPr>
              <w:t>Fixed income</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66</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64</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60</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47</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39</w:t>
            </w:r>
          </w:p>
        </w:tc>
        <w:tc>
          <w:tcPr>
            <w:tcW w:w="780" w:type="dxa"/>
            <w:vAlign w:val="bottom"/>
            <w:gridSpan w:val="2"/>
          </w:tcPr>
          <w:p>
            <w:pPr>
              <w:jc w:val="right"/>
              <w:ind w:right="10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69</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40" w:type="dxa"/>
            <w:vAlign w:val="bottom"/>
            <w:gridSpan w:val="4"/>
          </w:tcPr>
          <w:p>
            <w:pPr>
              <w:spacing w:after="0"/>
              <w:rPr>
                <w:sz w:val="20"/>
                <w:szCs w:val="20"/>
                <w:color w:val="auto"/>
              </w:rPr>
            </w:pPr>
            <w:r>
              <w:rPr>
                <w:rFonts w:ascii="Arial" w:cs="Arial" w:eastAsia="Arial" w:hAnsi="Arial"/>
                <w:sz w:val="11"/>
                <w:szCs w:val="11"/>
                <w:color w:val="auto"/>
              </w:rPr>
              <w:t>Foreign exchange</w:t>
            </w: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780" w:type="dxa"/>
            <w:vAlign w:val="bottom"/>
            <w:gridSpan w:val="2"/>
          </w:tcPr>
          <w:p>
            <w:pPr>
              <w:jc w:val="right"/>
              <w:ind w:right="106"/>
              <w:spacing w:after="0"/>
              <w:rPr>
                <w:sz w:val="20"/>
                <w:szCs w:val="20"/>
                <w:color w:val="auto"/>
              </w:rPr>
            </w:pPr>
            <w:r>
              <w:rPr>
                <w:rFonts w:ascii="Arial" w:cs="Arial" w:eastAsia="Arial" w:hAnsi="Arial"/>
                <w:sz w:val="11"/>
                <w:szCs w:val="11"/>
                <w:color w:val="auto"/>
              </w:rPr>
              <w:t>22</w:t>
            </w: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175</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gridSpan w:val="4"/>
          </w:tcPr>
          <w:p>
            <w:pPr>
              <w:spacing w:after="0"/>
              <w:rPr>
                <w:sz w:val="20"/>
                <w:szCs w:val="20"/>
                <w:color w:val="auto"/>
              </w:rPr>
            </w:pPr>
            <w:r>
              <w:rPr>
                <w:rFonts w:ascii="Arial" w:cs="Arial" w:eastAsia="Arial" w:hAnsi="Arial"/>
                <w:sz w:val="11"/>
                <w:szCs w:val="11"/>
                <w:color w:val="auto"/>
              </w:rPr>
              <w:t>Equities</w:t>
            </w: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780" w:type="dxa"/>
            <w:vAlign w:val="bottom"/>
            <w:gridSpan w:val="2"/>
          </w:tcPr>
          <w:p>
            <w:pPr>
              <w:jc w:val="right"/>
              <w:ind w:right="106"/>
              <w:spacing w:after="0"/>
              <w:rPr>
                <w:sz w:val="20"/>
                <w:szCs w:val="20"/>
                <w:color w:val="auto"/>
              </w:rPr>
            </w:pPr>
            <w:r>
              <w:rPr>
                <w:rFonts w:ascii="Arial" w:cs="Arial" w:eastAsia="Arial" w:hAnsi="Arial"/>
                <w:sz w:val="11"/>
                <w:szCs w:val="11"/>
                <w:color w:val="auto"/>
              </w:rPr>
              <w:t>18</w:t>
            </w: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gridSpan w:val="4"/>
          </w:tcPr>
          <w:p>
            <w:pPr>
              <w:spacing w:after="0"/>
              <w:rPr>
                <w:sz w:val="20"/>
                <w:szCs w:val="20"/>
                <w:color w:val="auto"/>
              </w:rPr>
            </w:pPr>
            <w:r>
              <w:rPr>
                <w:rFonts w:ascii="Arial" w:cs="Arial" w:eastAsia="Arial" w:hAnsi="Arial"/>
                <w:sz w:val="11"/>
                <w:szCs w:val="11"/>
                <w:color w:val="auto"/>
              </w:rPr>
              <w:t>Commodities and other</w:t>
            </w: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780" w:type="dxa"/>
            <w:vAlign w:val="bottom"/>
            <w:gridSpan w:val="2"/>
          </w:tcPr>
          <w:p>
            <w:pPr>
              <w:jc w:val="right"/>
              <w:ind w:right="106"/>
              <w:spacing w:after="0"/>
              <w:rPr>
                <w:sz w:val="20"/>
                <w:szCs w:val="20"/>
                <w:color w:val="auto"/>
              </w:rPr>
            </w:pPr>
            <w:r>
              <w:rPr>
                <w:rFonts w:ascii="Arial" w:cs="Arial" w:eastAsia="Arial" w:hAnsi="Arial"/>
                <w:sz w:val="11"/>
                <w:szCs w:val="11"/>
                <w:color w:val="auto"/>
              </w:rPr>
              <w:t>29</w:t>
            </w: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40" w:type="dxa"/>
            <w:vAlign w:val="bottom"/>
            <w:gridSpan w:val="4"/>
          </w:tcPr>
          <w:p>
            <w:pPr>
              <w:spacing w:after="0"/>
              <w:rPr>
                <w:sz w:val="20"/>
                <w:szCs w:val="20"/>
                <w:color w:val="auto"/>
              </w:rPr>
            </w:pPr>
            <w:r>
              <w:rPr>
                <w:rFonts w:ascii="Arial" w:cs="Arial" w:eastAsia="Arial" w:hAnsi="Arial"/>
                <w:sz w:val="11"/>
                <w:szCs w:val="11"/>
                <w:color w:val="auto"/>
              </w:rPr>
              <w:t>Diversification benefit to CIB trading VaR (d)</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5"/>
                <w:szCs w:val="15"/>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(61)</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40" w:type="dxa"/>
            <w:vAlign w:val="bottom"/>
            <w:gridSpan w:val="4"/>
          </w:tcPr>
          <w:p>
            <w:pPr>
              <w:ind w:left="120"/>
              <w:spacing w:after="0"/>
              <w:rPr>
                <w:sz w:val="20"/>
                <w:szCs w:val="20"/>
                <w:color w:val="auto"/>
              </w:rPr>
            </w:pPr>
            <w:r>
              <w:rPr>
                <w:rFonts w:ascii="Arial" w:cs="Arial" w:eastAsia="Arial" w:hAnsi="Arial"/>
                <w:sz w:val="11"/>
                <w:szCs w:val="11"/>
                <w:b w:val="1"/>
                <w:bCs w:val="1"/>
                <w:color w:val="auto"/>
              </w:rPr>
              <w:t>CIB trading VaR (c)</w:t>
            </w:r>
          </w:p>
        </w:tc>
        <w:tc>
          <w:tcPr>
            <w:tcW w:w="10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58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51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36</w:t>
            </w:r>
          </w:p>
        </w:tc>
        <w:tc>
          <w:tcPr>
            <w:tcW w:w="780" w:type="dxa"/>
            <w:vAlign w:val="bottom"/>
            <w:gridSpan w:val="2"/>
          </w:tcPr>
          <w:p>
            <w:pPr>
              <w:jc w:val="right"/>
              <w:ind w:right="106"/>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40" w:type="dxa"/>
            <w:vAlign w:val="bottom"/>
            <w:gridSpan w:val="4"/>
          </w:tcPr>
          <w:p>
            <w:pPr>
              <w:spacing w:after="0"/>
              <w:rPr>
                <w:sz w:val="20"/>
                <w:szCs w:val="20"/>
                <w:color w:val="auto"/>
              </w:rPr>
            </w:pPr>
            <w:r>
              <w:rPr>
                <w:rFonts w:ascii="Arial" w:cs="Arial" w:eastAsia="Arial" w:hAnsi="Arial"/>
                <w:sz w:val="11"/>
                <w:szCs w:val="11"/>
                <w:color w:val="auto"/>
              </w:rPr>
              <w:t>Credit Portfolio VaR (e)</w:t>
            </w:r>
          </w:p>
        </w:tc>
        <w:tc>
          <w:tcPr>
            <w:tcW w:w="10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100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40" w:type="dxa"/>
            <w:vAlign w:val="bottom"/>
            <w:gridSpan w:val="4"/>
          </w:tcPr>
          <w:p>
            <w:pPr>
              <w:spacing w:after="0"/>
              <w:rPr>
                <w:sz w:val="20"/>
                <w:szCs w:val="20"/>
                <w:color w:val="auto"/>
              </w:rPr>
            </w:pPr>
            <w:r>
              <w:rPr>
                <w:rFonts w:ascii="Arial" w:cs="Arial" w:eastAsia="Arial" w:hAnsi="Arial"/>
                <w:sz w:val="11"/>
                <w:szCs w:val="11"/>
                <w:color w:val="auto"/>
              </w:rPr>
              <w:t>Diversification benefit to CIB VaR (d)</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(100)</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340" w:type="dxa"/>
            <w:vAlign w:val="bottom"/>
            <w:gridSpan w:val="4"/>
          </w:tcPr>
          <w:p>
            <w:pPr>
              <w:ind w:left="120"/>
              <w:spacing w:after="0"/>
              <w:rPr>
                <w:sz w:val="20"/>
                <w:szCs w:val="20"/>
                <w:color w:val="auto"/>
              </w:rPr>
            </w:pPr>
            <w:r>
              <w:rPr>
                <w:rFonts w:ascii="Arial" w:cs="Arial" w:eastAsia="Arial" w:hAnsi="Arial"/>
                <w:sz w:val="11"/>
                <w:szCs w:val="11"/>
                <w:b w:val="1"/>
                <w:bCs w:val="1"/>
                <w:color w:val="auto"/>
              </w:rPr>
              <w:t>CIB VaR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60</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53</w:t>
            </w:r>
          </w:p>
        </w:tc>
        <w:tc>
          <w:tcPr>
            <w:tcW w:w="24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52</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64</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37</w:t>
            </w:r>
          </w:p>
        </w:tc>
        <w:tc>
          <w:tcPr>
            <w:tcW w:w="780" w:type="dxa"/>
            <w:vAlign w:val="bottom"/>
            <w:gridSpan w:val="2"/>
          </w:tcPr>
          <w:p>
            <w:pPr>
              <w:jc w:val="right"/>
              <w:ind w:right="106"/>
              <w:spacing w:after="0"/>
              <w:rPr>
                <w:sz w:val="20"/>
                <w:szCs w:val="20"/>
                <w:color w:val="auto"/>
              </w:rPr>
            </w:pPr>
            <w:r>
              <w:rPr>
                <w:rFonts w:ascii="Arial" w:cs="Arial" w:eastAsia="Arial" w:hAnsi="Arial"/>
                <w:sz w:val="11"/>
                <w:szCs w:val="11"/>
                <w:color w:val="auto"/>
              </w:rPr>
              <w:t>13</w:t>
            </w:r>
          </w:p>
        </w:tc>
        <w:tc>
          <w:tcPr>
            <w:tcW w:w="20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62</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4916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85" w:lineRule="exact"/>
        <w:rPr>
          <w:sz w:val="20"/>
          <w:szCs w:val="20"/>
          <w:color w:val="auto"/>
        </w:rPr>
      </w:pPr>
    </w:p>
    <w:p>
      <w:pPr>
        <w:ind w:left="160" w:hanging="152"/>
        <w:spacing w:after="0"/>
        <w:tabs>
          <w:tab w:leader="none" w:pos="1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Client deposits and other third-party liabilities pertain to the Payments and Securities Services businesses.</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Represents total merchant processing volume across CIB, CCB and CB.</w:t>
      </w:r>
    </w:p>
    <w:p>
      <w:pPr>
        <w:spacing w:after="0" w:line="5" w:lineRule="exact"/>
        <w:rPr>
          <w:rFonts w:ascii="Arial" w:cs="Arial" w:eastAsia="Arial" w:hAnsi="Arial"/>
          <w:sz w:val="11"/>
          <w:szCs w:val="11"/>
          <w:color w:val="auto"/>
        </w:rPr>
      </w:pPr>
    </w:p>
    <w:p>
      <w:pPr>
        <w:ind w:left="180" w:right="180" w:hanging="172"/>
        <w:spacing w:after="0" w:line="243" w:lineRule="auto"/>
        <w:tabs>
          <w:tab w:leader="none" w:pos="171" w:val="left"/>
        </w:tabs>
        <w:numPr>
          <w:ilvl w:val="0"/>
          <w:numId w:val="28"/>
        </w:numPr>
        <w:rPr>
          <w:rFonts w:ascii="Arial" w:cs="Arial" w:eastAsia="Arial" w:hAnsi="Arial"/>
          <w:sz w:val="11"/>
          <w:szCs w:val="11"/>
          <w:color w:val="auto"/>
        </w:rPr>
      </w:pPr>
      <w:r>
        <w:rPr>
          <w:rFonts w:ascii="Arial" w:cs="Arial" w:eastAsia="Arial" w:hAnsi="Arial"/>
          <w:sz w:val="11"/>
          <w:szCs w:val="11"/>
          <w:color w:val="auto"/>
        </w:rPr>
        <w:t>CIB trading VaR includes substantially all market-making and client-driven activities, as well as certain risk management activities in CIB, including credit spread sensitivity to CVA. Refer to VaR measurement on pages 135–137 of the Firm’s 2021 Form 10-K, and pages 77–79 of the Firm’s Quarterly Report on Form 10-Q for the quarterly period ended September 30, 2022 for further information.</w:t>
      </w:r>
    </w:p>
    <w:p>
      <w:pPr>
        <w:ind w:left="160" w:hanging="152"/>
        <w:spacing w:after="0"/>
        <w:tabs>
          <w:tab w:leader="none" w:pos="1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Diversification benefit represents the difference between the portfolio VaR and the sum of its individual components. This reflects the non-additive nature of VaR due to imperfect correlation across CIB risks.</w:t>
      </w:r>
    </w:p>
    <w:p>
      <w:pPr>
        <w:spacing w:after="0" w:line="8" w:lineRule="exact"/>
        <w:rPr>
          <w:rFonts w:ascii="Arial" w:cs="Arial" w:eastAsia="Arial" w:hAnsi="Arial"/>
          <w:sz w:val="11"/>
          <w:szCs w:val="11"/>
          <w:color w:val="auto"/>
        </w:rPr>
      </w:pPr>
    </w:p>
    <w:p>
      <w:pPr>
        <w:ind w:left="180" w:right="80" w:hanging="172"/>
        <w:spacing w:after="0" w:line="251" w:lineRule="auto"/>
        <w:tabs>
          <w:tab w:leader="none" w:pos="177" w:val="left"/>
        </w:tabs>
        <w:numPr>
          <w:ilvl w:val="0"/>
          <w:numId w:val="28"/>
        </w:numPr>
        <w:rPr>
          <w:rFonts w:ascii="Arial" w:cs="Arial" w:eastAsia="Arial" w:hAnsi="Arial"/>
          <w:sz w:val="11"/>
          <w:szCs w:val="11"/>
          <w:color w:val="auto"/>
        </w:rPr>
      </w:pPr>
      <w:r>
        <w:rPr>
          <w:rFonts w:ascii="Arial" w:cs="Arial" w:eastAsia="Arial" w:hAnsi="Arial"/>
          <w:sz w:val="11"/>
          <w:szCs w:val="11"/>
          <w:color w:val="auto"/>
        </w:rPr>
        <w:t>Credit portfolio VaR includes the derivative CVA, hedges of the CVA and hedges of the retained loan portfolio, which are reported in principal transactions revenue. This VaR does not include the retained loan portfolio, which is not reported at fair value. In the first quarter of 2022, in line with the Firm's internal model governance, the credit risk component of CVA related to certain counterparties was removed from Credit Portfolio VaR due to the widening of the credit spreads for those counterparties to elevated levels. The related hedges were also removed to maintain consistency. This exposure is now reflected in other sensitivity-based measures.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18</w:t>
      </w:r>
    </w:p>
    <w:p>
      <w:pPr>
        <w:sectPr>
          <w:pgSz w:w="11900" w:h="16838" w:orient="portrait"/>
          <w:cols w:equalWidth="0" w:num="1">
            <w:col w:w="11240"/>
          </w:cols>
          <w:pgMar w:left="320" w:top="936" w:right="339" w:bottom="1440" w:gutter="0" w:footer="0" w:header="0"/>
        </w:sectPr>
      </w:pPr>
    </w:p>
    <w:bookmarkStart w:id="30" w:name="page31"/>
    <w:bookmarkEnd w:id="30"/>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-28575</wp:posOffset>
            </wp:positionV>
            <wp:extent cx="237426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COMMERCIAL BANKING</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ind w:left="340"/>
              <w:spacing w:after="0"/>
              <w:rPr>
                <w:sz w:val="20"/>
                <w:szCs w:val="20"/>
                <w:color w:val="auto"/>
              </w:rPr>
            </w:pPr>
            <w:r>
              <w:rPr>
                <w:rFonts w:ascii="Arial" w:cs="Arial" w:eastAsia="Arial" w:hAnsi="Arial"/>
                <w:sz w:val="11"/>
                <w:szCs w:val="11"/>
                <w:b w:val="1"/>
                <w:bCs w:val="1"/>
                <w:color w:val="auto"/>
              </w:rPr>
              <w:t>QUARTERLY TRENDS</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right"/>
              <w:ind w:right="826"/>
              <w:spacing w:after="0"/>
              <w:rPr>
                <w:sz w:val="20"/>
                <w:szCs w:val="20"/>
                <w:color w:val="auto"/>
              </w:rPr>
            </w:pPr>
            <w:r>
              <w:rPr>
                <w:rFonts w:ascii="Arial" w:cs="Arial" w:eastAsia="Arial" w:hAnsi="Arial"/>
                <w:sz w:val="11"/>
                <w:szCs w:val="11"/>
                <w:b w:val="1"/>
                <w:bCs w:val="1"/>
                <w:color w:val="auto"/>
              </w:rPr>
              <w:t>FULL YEAR</w:t>
            </w: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Borders>
              <w:bottom w:val="single" w:sz="8" w:color="auto"/>
            </w:tcBorders>
            <w:gridSpan w:val="3"/>
          </w:tcPr>
          <w:p>
            <w:pPr>
              <w:jc w:val="right"/>
              <w:ind w:right="246"/>
              <w:spacing w:after="0"/>
              <w:rPr>
                <w:sz w:val="20"/>
                <w:szCs w:val="20"/>
                <w:color w:val="auto"/>
              </w:rPr>
            </w:pPr>
            <w:r>
              <w:rPr>
                <w:rFonts w:ascii="Arial" w:cs="Arial" w:eastAsia="Arial" w:hAnsi="Arial"/>
                <w:sz w:val="11"/>
                <w:szCs w:val="11"/>
                <w:b w:val="1"/>
                <w:bCs w:val="1"/>
                <w:color w:val="auto"/>
              </w:rPr>
              <w:t>4Q22 Change</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2022 Change</w:t>
            </w: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4Q22</w:t>
            </w:r>
          </w:p>
        </w:tc>
        <w:tc>
          <w:tcPr>
            <w:tcW w:w="1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3Q22</w:t>
            </w:r>
          </w:p>
        </w:tc>
        <w:tc>
          <w:tcPr>
            <w:tcW w:w="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2Q22</w:t>
            </w:r>
          </w:p>
        </w:tc>
        <w:tc>
          <w:tcPr>
            <w:tcW w:w="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1Q22</w:t>
            </w:r>
          </w:p>
        </w:tc>
        <w:tc>
          <w:tcPr>
            <w:tcW w:w="140" w:type="dxa"/>
            <w:vAlign w:val="bottom"/>
          </w:tcPr>
          <w:p>
            <w:pPr>
              <w:spacing w:after="0"/>
              <w:rPr>
                <w:sz w:val="13"/>
                <w:szCs w:val="13"/>
                <w:color w:val="auto"/>
              </w:rPr>
            </w:pPr>
          </w:p>
        </w:tc>
        <w:tc>
          <w:tcPr>
            <w:tcW w:w="520" w:type="dxa"/>
            <w:vAlign w:val="bottom"/>
          </w:tcPr>
          <w:p>
            <w:pPr>
              <w:jc w:val="right"/>
              <w:ind w:right="146"/>
              <w:spacing w:after="0"/>
              <w:rPr>
                <w:sz w:val="20"/>
                <w:szCs w:val="20"/>
                <w:color w:val="auto"/>
              </w:rPr>
            </w:pPr>
            <w:r>
              <w:rPr>
                <w:rFonts w:ascii="Arial" w:cs="Arial" w:eastAsia="Arial" w:hAnsi="Arial"/>
                <w:sz w:val="11"/>
                <w:szCs w:val="11"/>
                <w:b w:val="1"/>
                <w:bCs w:val="1"/>
                <w:color w:val="auto"/>
              </w:rPr>
              <w:t>4Q21</w:t>
            </w:r>
          </w:p>
        </w:tc>
        <w:tc>
          <w:tcPr>
            <w:tcW w:w="240" w:type="dxa"/>
            <w:vAlign w:val="bottom"/>
          </w:tcPr>
          <w:p>
            <w:pPr>
              <w:spacing w:after="0"/>
              <w:rPr>
                <w:sz w:val="13"/>
                <w:szCs w:val="13"/>
                <w:color w:val="auto"/>
              </w:rPr>
            </w:pP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3Q22</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4Q21</w:t>
            </w:r>
          </w:p>
        </w:tc>
        <w:tc>
          <w:tcPr>
            <w:tcW w:w="140" w:type="dxa"/>
            <w:vAlign w:val="bottom"/>
          </w:tcPr>
          <w:p>
            <w:pPr>
              <w:spacing w:after="0"/>
              <w:rPr>
                <w:sz w:val="13"/>
                <w:szCs w:val="13"/>
                <w:color w:val="auto"/>
              </w:rPr>
            </w:pPr>
          </w:p>
        </w:tc>
        <w:tc>
          <w:tcPr>
            <w:tcW w:w="460" w:type="dxa"/>
            <w:vAlign w:val="bottom"/>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126"/>
              <w:spacing w:after="0"/>
              <w:rPr>
                <w:sz w:val="20"/>
                <w:szCs w:val="20"/>
                <w:color w:val="auto"/>
              </w:rPr>
            </w:pPr>
            <w:r>
              <w:rPr>
                <w:rFonts w:ascii="Arial" w:cs="Arial" w:eastAsia="Arial" w:hAnsi="Arial"/>
                <w:sz w:val="11"/>
                <w:szCs w:val="11"/>
                <w:b w:val="1"/>
                <w:bCs w:val="1"/>
                <w:color w:val="auto"/>
              </w:rPr>
              <w:t>2021</w:t>
            </w:r>
          </w:p>
        </w:tc>
        <w:tc>
          <w:tcPr>
            <w:tcW w:w="960" w:type="dxa"/>
            <w:vAlign w:val="bottom"/>
            <w:gridSpan w:val="2"/>
          </w:tcPr>
          <w:p>
            <w:pPr>
              <w:jc w:val="right"/>
              <w:ind w:right="186"/>
              <w:spacing w:after="0"/>
              <w:rPr>
                <w:sz w:val="20"/>
                <w:szCs w:val="20"/>
                <w:color w:val="auto"/>
              </w:rPr>
            </w:pPr>
            <w:r>
              <w:rPr>
                <w:rFonts w:ascii="Arial" w:cs="Arial" w:eastAsia="Arial" w:hAnsi="Arial"/>
                <w:sz w:val="11"/>
                <w:szCs w:val="11"/>
                <w:b w:val="1"/>
                <w:bCs w:val="1"/>
                <w:color w:val="auto"/>
              </w:rPr>
              <w:t>2021</w:t>
            </w:r>
          </w:p>
        </w:tc>
      </w:tr>
      <w:tr>
        <w:trPr>
          <w:trHeight w:val="108"/>
        </w:trPr>
        <w:tc>
          <w:tcPr>
            <w:tcW w:w="1120" w:type="dxa"/>
            <w:vAlign w:val="bottom"/>
            <w:tcBorders>
              <w:bottom w:val="single" w:sz="8" w:color="auto"/>
            </w:tcBorders>
            <w:gridSpan w:val="2"/>
          </w:tcPr>
          <w:p>
            <w:pPr>
              <w:spacing w:after="0" w:line="108" w:lineRule="exact"/>
              <w:rPr>
                <w:sz w:val="20"/>
                <w:szCs w:val="20"/>
                <w:color w:val="auto"/>
              </w:rPr>
            </w:pPr>
            <w:r>
              <w:rPr>
                <w:rFonts w:ascii="Arial" w:cs="Arial" w:eastAsia="Arial" w:hAnsi="Arial"/>
                <w:sz w:val="11"/>
                <w:szCs w:val="11"/>
                <w:b w:val="1"/>
                <w:bCs w:val="1"/>
                <w:color w:val="auto"/>
                <w:w w:val="96"/>
              </w:rPr>
              <w:t>INCOME STATEMENT</w:t>
            </w:r>
          </w:p>
        </w:tc>
        <w:tc>
          <w:tcPr>
            <w:tcW w:w="1080" w:type="dxa"/>
            <w:vAlign w:val="bottom"/>
            <w:gridSpan w:val="3"/>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r>
      <w:tr>
        <w:trPr>
          <w:trHeight w:val="168"/>
        </w:trPr>
        <w:tc>
          <w:tcPr>
            <w:tcW w:w="2200" w:type="dxa"/>
            <w:vAlign w:val="bottom"/>
            <w:gridSpan w:val="5"/>
          </w:tcPr>
          <w:p>
            <w:pPr>
              <w:spacing w:after="0"/>
              <w:rPr>
                <w:sz w:val="20"/>
                <w:szCs w:val="20"/>
                <w:color w:val="auto"/>
              </w:rPr>
            </w:pPr>
            <w:r>
              <w:rPr>
                <w:rFonts w:ascii="Arial" w:cs="Arial" w:eastAsia="Arial" w:hAnsi="Arial"/>
                <w:sz w:val="11"/>
                <w:szCs w:val="11"/>
                <w:b w:val="1"/>
                <w:bCs w:val="1"/>
                <w:color w:val="auto"/>
              </w:rPr>
              <w:t>REVENUE</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56"/>
        </w:trPr>
        <w:tc>
          <w:tcPr>
            <w:tcW w:w="2200" w:type="dxa"/>
            <w:vAlign w:val="bottom"/>
            <w:gridSpan w:val="5"/>
          </w:tcPr>
          <w:p>
            <w:pPr>
              <w:spacing w:after="0"/>
              <w:rPr>
                <w:sz w:val="20"/>
                <w:szCs w:val="20"/>
                <w:color w:val="auto"/>
              </w:rPr>
            </w:pPr>
            <w:r>
              <w:rPr>
                <w:rFonts w:ascii="Arial" w:cs="Arial" w:eastAsia="Arial" w:hAnsi="Arial"/>
                <w:sz w:val="11"/>
                <w:szCs w:val="11"/>
                <w:color w:val="auto"/>
              </w:rPr>
              <w:t>Lending- and deposit-related fees</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243</w:t>
            </w:r>
          </w:p>
        </w:tc>
        <w:tc>
          <w:tcPr>
            <w:tcW w:w="2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288</w:t>
            </w:r>
          </w:p>
        </w:tc>
        <w:tc>
          <w:tcPr>
            <w:tcW w:w="28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348</w:t>
            </w:r>
          </w:p>
        </w:tc>
        <w:tc>
          <w:tcPr>
            <w:tcW w:w="2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364</w:t>
            </w:r>
          </w:p>
        </w:tc>
        <w:tc>
          <w:tcPr>
            <w:tcW w:w="2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356</w:t>
            </w:r>
          </w:p>
        </w:tc>
        <w:tc>
          <w:tcPr>
            <w:tcW w:w="2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(32)%</w:t>
            </w:r>
          </w:p>
        </w:tc>
        <w:tc>
          <w:tcPr>
            <w:tcW w:w="42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1,243</w:t>
            </w:r>
          </w:p>
        </w:tc>
        <w:tc>
          <w:tcPr>
            <w:tcW w:w="22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1,392</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(11)%</w:t>
            </w:r>
          </w:p>
        </w:tc>
      </w:tr>
      <w:tr>
        <w:trPr>
          <w:trHeight w:val="175"/>
        </w:trPr>
        <w:tc>
          <w:tcPr>
            <w:tcW w:w="2200" w:type="dxa"/>
            <w:vAlign w:val="bottom"/>
            <w:gridSpan w:val="5"/>
          </w:tcPr>
          <w:p>
            <w:pPr>
              <w:spacing w:after="0"/>
              <w:rPr>
                <w:sz w:val="20"/>
                <w:szCs w:val="20"/>
                <w:color w:val="auto"/>
              </w:rPr>
            </w:pPr>
            <w:r>
              <w:rPr>
                <w:rFonts w:ascii="Arial" w:cs="Arial" w:eastAsia="Arial" w:hAnsi="Arial"/>
                <w:sz w:val="11"/>
                <w:szCs w:val="11"/>
                <w:color w:val="auto"/>
              </w:rPr>
              <w:t>All other income</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486</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548</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556</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503</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718</w:t>
            </w:r>
          </w:p>
        </w:tc>
        <w:tc>
          <w:tcPr>
            <w:tcW w:w="240" w:type="dxa"/>
            <w:vAlign w:val="bottom"/>
          </w:tcPr>
          <w:p>
            <w:pPr>
              <w:spacing w:after="0"/>
              <w:rPr>
                <w:sz w:val="15"/>
                <w:szCs w:val="15"/>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220" w:type="dxa"/>
            <w:vAlign w:val="bottom"/>
          </w:tcPr>
          <w:p>
            <w:pPr>
              <w:spacing w:after="0"/>
              <w:rPr>
                <w:sz w:val="15"/>
                <w:szCs w:val="15"/>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(32)</w:t>
            </w: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2,093</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2,537</w:t>
            </w:r>
          </w:p>
        </w:tc>
        <w:tc>
          <w:tcPr>
            <w:tcW w:w="960" w:type="dxa"/>
            <w:vAlign w:val="bottom"/>
            <w:gridSpan w:val="2"/>
          </w:tcPr>
          <w:p>
            <w:pPr>
              <w:jc w:val="right"/>
              <w:ind w:right="66"/>
              <w:spacing w:after="0"/>
              <w:rPr>
                <w:sz w:val="20"/>
                <w:szCs w:val="20"/>
                <w:color w:val="auto"/>
              </w:rPr>
            </w:pPr>
            <w:r>
              <w:rPr>
                <w:rFonts w:ascii="Arial" w:cs="Arial" w:eastAsia="Arial" w:hAnsi="Arial"/>
                <w:sz w:val="11"/>
                <w:szCs w:val="11"/>
                <w:color w:val="auto"/>
              </w:rPr>
              <w:t>(18)</w:t>
            </w:r>
          </w:p>
        </w:tc>
      </w:tr>
      <w:tr>
        <w:trPr>
          <w:trHeight w:val="148"/>
        </w:trPr>
        <w:tc>
          <w:tcPr>
            <w:tcW w:w="2200" w:type="dxa"/>
            <w:vAlign w:val="bottom"/>
            <w:gridSpan w:val="5"/>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729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836</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904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867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1,074</w:t>
            </w:r>
          </w:p>
        </w:tc>
        <w:tc>
          <w:tcPr>
            <w:tcW w:w="24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22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(32)</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3,336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3,929</w:t>
            </w:r>
          </w:p>
        </w:tc>
        <w:tc>
          <w:tcPr>
            <w:tcW w:w="960" w:type="dxa"/>
            <w:vAlign w:val="bottom"/>
            <w:gridSpan w:val="2"/>
          </w:tcPr>
          <w:p>
            <w:pPr>
              <w:jc w:val="right"/>
              <w:ind w:right="66"/>
              <w:spacing w:after="0"/>
              <w:rPr>
                <w:sz w:val="20"/>
                <w:szCs w:val="20"/>
                <w:color w:val="auto"/>
              </w:rPr>
            </w:pPr>
            <w:r>
              <w:rPr>
                <w:rFonts w:ascii="Arial" w:cs="Arial" w:eastAsia="Arial" w:hAnsi="Arial"/>
                <w:sz w:val="11"/>
                <w:szCs w:val="11"/>
                <w:color w:val="auto"/>
              </w:rPr>
              <w:t>(15)</w:t>
            </w:r>
          </w:p>
        </w:tc>
      </w:tr>
      <w:tr>
        <w:trPr>
          <w:trHeight w:val="169"/>
        </w:trPr>
        <w:tc>
          <w:tcPr>
            <w:tcW w:w="2200" w:type="dxa"/>
            <w:vAlign w:val="bottom"/>
            <w:gridSpan w:val="5"/>
          </w:tcPr>
          <w:p>
            <w:pPr>
              <w:spacing w:after="0"/>
              <w:rPr>
                <w:sz w:val="20"/>
                <w:szCs w:val="20"/>
                <w:color w:val="auto"/>
              </w:rPr>
            </w:pPr>
            <w:r>
              <w:rPr>
                <w:rFonts w:ascii="Arial" w:cs="Arial" w:eastAsia="Arial" w:hAnsi="Arial"/>
                <w:sz w:val="11"/>
                <w:szCs w:val="11"/>
                <w:color w:val="auto"/>
              </w:rPr>
              <w:t>Net interest income</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2,675</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2,212</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1,779</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1,531</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1,538</w:t>
            </w:r>
          </w:p>
        </w:tc>
        <w:tc>
          <w:tcPr>
            <w:tcW w:w="2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21</w:t>
            </w:r>
          </w:p>
        </w:tc>
        <w:tc>
          <w:tcPr>
            <w:tcW w:w="2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74</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8,197</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6,079</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35</w:t>
            </w:r>
          </w:p>
        </w:tc>
      </w:tr>
      <w:tr>
        <w:trPr>
          <w:trHeight w:val="148"/>
        </w:trPr>
        <w:tc>
          <w:tcPr>
            <w:tcW w:w="220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REVENUE (a)</w:t>
            </w: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3,404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3,048</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2,683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2,398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2,612</w:t>
            </w:r>
          </w:p>
        </w:tc>
        <w:tc>
          <w:tcPr>
            <w:tcW w:w="2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30</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11,533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10,008</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15</w:t>
            </w:r>
          </w:p>
        </w:tc>
      </w:tr>
      <w:tr>
        <w:trPr>
          <w:trHeight w:val="318"/>
        </w:trPr>
        <w:tc>
          <w:tcPr>
            <w:tcW w:w="2200" w:type="dxa"/>
            <w:vAlign w:val="bottom"/>
            <w:gridSpan w:val="5"/>
          </w:tcPr>
          <w:p>
            <w:pPr>
              <w:spacing w:after="0"/>
              <w:rPr>
                <w:sz w:val="20"/>
                <w:szCs w:val="20"/>
                <w:color w:val="auto"/>
              </w:rPr>
            </w:pPr>
            <w:r>
              <w:rPr>
                <w:rFonts w:ascii="Arial" w:cs="Arial" w:eastAsia="Arial" w:hAnsi="Arial"/>
                <w:sz w:val="11"/>
                <w:szCs w:val="11"/>
                <w:color w:val="auto"/>
              </w:rPr>
              <w:t>Provision for credit losses</w:t>
            </w:r>
          </w:p>
        </w:tc>
        <w:tc>
          <w:tcPr>
            <w:tcW w:w="140" w:type="dxa"/>
            <w:vAlign w:val="bottom"/>
          </w:tcPr>
          <w:p>
            <w:pPr>
              <w:spacing w:after="0"/>
              <w:rPr>
                <w:sz w:val="24"/>
                <w:szCs w:val="2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284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618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209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157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(89)</w:t>
            </w:r>
          </w:p>
        </w:tc>
        <w:tc>
          <w:tcPr>
            <w:tcW w:w="240" w:type="dxa"/>
            <w:vAlign w:val="bottom"/>
          </w:tcPr>
          <w:p>
            <w:pPr>
              <w:spacing w:after="0"/>
              <w:rPr>
                <w:sz w:val="24"/>
                <w:szCs w:val="2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(54)</w:t>
            </w:r>
          </w:p>
        </w:tc>
        <w:tc>
          <w:tcPr>
            <w:tcW w:w="220" w:type="dxa"/>
            <w:vAlign w:val="bottom"/>
          </w:tcPr>
          <w:p>
            <w:pPr>
              <w:spacing w:after="0"/>
              <w:rPr>
                <w:sz w:val="24"/>
                <w:szCs w:val="24"/>
                <w:color w:val="auto"/>
              </w:rPr>
            </w:pPr>
          </w:p>
        </w:tc>
        <w:tc>
          <w:tcPr>
            <w:tcW w:w="960" w:type="dxa"/>
            <w:vAlign w:val="bottom"/>
            <w:gridSpan w:val="2"/>
          </w:tcPr>
          <w:p>
            <w:pPr>
              <w:ind w:left="340"/>
              <w:spacing w:after="0"/>
              <w:rPr>
                <w:sz w:val="20"/>
                <w:szCs w:val="20"/>
                <w:color w:val="auto"/>
              </w:rPr>
            </w:pPr>
            <w:r>
              <w:rPr>
                <w:rFonts w:ascii="Arial" w:cs="Arial" w:eastAsia="Arial" w:hAnsi="Arial"/>
                <w:sz w:val="11"/>
                <w:szCs w:val="11"/>
                <w:color w:val="auto"/>
              </w:rPr>
              <w:t>NM</w:t>
            </w:r>
          </w:p>
        </w:tc>
        <w:tc>
          <w:tcPr>
            <w:tcW w:w="14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1,268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(947)</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330"/>
        </w:trPr>
        <w:tc>
          <w:tcPr>
            <w:tcW w:w="2200" w:type="dxa"/>
            <w:vAlign w:val="bottom"/>
            <w:gridSpan w:val="5"/>
          </w:tcPr>
          <w:p>
            <w:pPr>
              <w:spacing w:after="0"/>
              <w:rPr>
                <w:sz w:val="20"/>
                <w:szCs w:val="20"/>
                <w:color w:val="auto"/>
              </w:rPr>
            </w:pPr>
            <w:r>
              <w:rPr>
                <w:rFonts w:ascii="Arial" w:cs="Arial" w:eastAsia="Arial" w:hAnsi="Arial"/>
                <w:sz w:val="11"/>
                <w:szCs w:val="11"/>
                <w:b w:val="1"/>
                <w:bCs w:val="1"/>
                <w:color w:val="auto"/>
              </w:rPr>
              <w:t>NONINTEREST EXPENSE</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56"/>
        </w:trPr>
        <w:tc>
          <w:tcPr>
            <w:tcW w:w="2200" w:type="dxa"/>
            <w:vAlign w:val="bottom"/>
            <w:gridSpan w:val="5"/>
          </w:tcPr>
          <w:p>
            <w:pPr>
              <w:spacing w:after="0"/>
              <w:rPr>
                <w:sz w:val="20"/>
                <w:szCs w:val="20"/>
                <w:color w:val="auto"/>
              </w:rPr>
            </w:pPr>
            <w:r>
              <w:rPr>
                <w:rFonts w:ascii="Arial" w:cs="Arial" w:eastAsia="Arial" w:hAnsi="Arial"/>
                <w:sz w:val="11"/>
                <w:szCs w:val="11"/>
                <w:color w:val="auto"/>
              </w:rPr>
              <w:t>Compensation expense</w:t>
            </w:r>
          </w:p>
        </w:tc>
        <w:tc>
          <w:tcPr>
            <w:tcW w:w="140" w:type="dxa"/>
            <w:vAlign w:val="bottom"/>
          </w:tcPr>
          <w:p>
            <w:pPr>
              <w:spacing w:after="0"/>
              <w:rPr>
                <w:sz w:val="13"/>
                <w:szCs w:val="13"/>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607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577</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559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553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496</w:t>
            </w:r>
          </w:p>
        </w:tc>
        <w:tc>
          <w:tcPr>
            <w:tcW w:w="24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22</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2,296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1,973</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16</w:t>
            </w:r>
          </w:p>
        </w:tc>
      </w:tr>
      <w:tr>
        <w:trPr>
          <w:trHeight w:val="176"/>
        </w:trPr>
        <w:tc>
          <w:tcPr>
            <w:tcW w:w="2200" w:type="dxa"/>
            <w:vAlign w:val="bottom"/>
            <w:gridSpan w:val="5"/>
          </w:tcPr>
          <w:p>
            <w:pPr>
              <w:spacing w:after="0"/>
              <w:rPr>
                <w:sz w:val="20"/>
                <w:szCs w:val="20"/>
                <w:color w:val="auto"/>
              </w:rPr>
            </w:pPr>
            <w:r>
              <w:rPr>
                <w:rFonts w:ascii="Arial" w:cs="Arial" w:eastAsia="Arial" w:hAnsi="Arial"/>
                <w:sz w:val="11"/>
                <w:szCs w:val="11"/>
                <w:color w:val="auto"/>
              </w:rPr>
              <w:t>Noncompensation expense</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647</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603</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597</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576</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563</w:t>
            </w:r>
          </w:p>
        </w:tc>
        <w:tc>
          <w:tcPr>
            <w:tcW w:w="24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15</w:t>
            </w: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2,423</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2,068</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17</w:t>
            </w:r>
          </w:p>
        </w:tc>
      </w:tr>
      <w:tr>
        <w:trPr>
          <w:trHeight w:val="148"/>
        </w:trPr>
        <w:tc>
          <w:tcPr>
            <w:tcW w:w="220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NONINTEREST EXPENSE</w:t>
            </w: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1,254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1,180</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1,156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1,129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1,059</w:t>
            </w:r>
          </w:p>
        </w:tc>
        <w:tc>
          <w:tcPr>
            <w:tcW w:w="2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18</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4,719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4,041</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17</w:t>
            </w:r>
          </w:p>
        </w:tc>
      </w:tr>
      <w:tr>
        <w:trPr>
          <w:trHeight w:val="324"/>
        </w:trPr>
        <w:tc>
          <w:tcPr>
            <w:tcW w:w="2200" w:type="dxa"/>
            <w:vAlign w:val="bottom"/>
            <w:gridSpan w:val="5"/>
          </w:tcPr>
          <w:p>
            <w:pPr>
              <w:spacing w:after="0"/>
              <w:rPr>
                <w:sz w:val="20"/>
                <w:szCs w:val="20"/>
                <w:color w:val="auto"/>
              </w:rPr>
            </w:pPr>
            <w:r>
              <w:rPr>
                <w:rFonts w:ascii="Arial" w:cs="Arial" w:eastAsia="Arial" w:hAnsi="Arial"/>
                <w:sz w:val="11"/>
                <w:szCs w:val="11"/>
                <w:b w:val="1"/>
                <w:bCs w:val="1"/>
                <w:color w:val="auto"/>
              </w:rPr>
              <w:t>Income before income tax expense</w:t>
            </w:r>
          </w:p>
        </w:tc>
        <w:tc>
          <w:tcPr>
            <w:tcW w:w="140" w:type="dxa"/>
            <w:vAlign w:val="bottom"/>
          </w:tcPr>
          <w:p>
            <w:pPr>
              <w:spacing w:after="0"/>
              <w:rPr>
                <w:sz w:val="24"/>
                <w:szCs w:val="2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1,866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1,250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1,318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1,112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1,642</w:t>
            </w:r>
          </w:p>
        </w:tc>
        <w:tc>
          <w:tcPr>
            <w:tcW w:w="240" w:type="dxa"/>
            <w:vAlign w:val="bottom"/>
          </w:tcPr>
          <w:p>
            <w:pPr>
              <w:spacing w:after="0"/>
              <w:rPr>
                <w:sz w:val="24"/>
                <w:szCs w:val="2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49</w:t>
            </w:r>
          </w:p>
        </w:tc>
        <w:tc>
          <w:tcPr>
            <w:tcW w:w="220" w:type="dxa"/>
            <w:vAlign w:val="bottom"/>
          </w:tcPr>
          <w:p>
            <w:pPr>
              <w:spacing w:after="0"/>
              <w:rPr>
                <w:sz w:val="24"/>
                <w:szCs w:val="2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5,546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6,914</w:t>
            </w:r>
          </w:p>
        </w:tc>
        <w:tc>
          <w:tcPr>
            <w:tcW w:w="960" w:type="dxa"/>
            <w:vAlign w:val="bottom"/>
            <w:gridSpan w:val="2"/>
          </w:tcPr>
          <w:p>
            <w:pPr>
              <w:jc w:val="right"/>
              <w:ind w:right="66"/>
              <w:spacing w:after="0"/>
              <w:rPr>
                <w:sz w:val="20"/>
                <w:szCs w:val="20"/>
                <w:color w:val="auto"/>
              </w:rPr>
            </w:pPr>
            <w:r>
              <w:rPr>
                <w:rFonts w:ascii="Arial" w:cs="Arial" w:eastAsia="Arial" w:hAnsi="Arial"/>
                <w:sz w:val="11"/>
                <w:szCs w:val="11"/>
                <w:color w:val="auto"/>
              </w:rPr>
              <w:t>(20)</w:t>
            </w:r>
          </w:p>
        </w:tc>
      </w:tr>
      <w:tr>
        <w:trPr>
          <w:trHeight w:val="170"/>
        </w:trPr>
        <w:tc>
          <w:tcPr>
            <w:tcW w:w="2200" w:type="dxa"/>
            <w:vAlign w:val="bottom"/>
            <w:gridSpan w:val="5"/>
          </w:tcPr>
          <w:p>
            <w:pPr>
              <w:spacing w:after="0"/>
              <w:rPr>
                <w:sz w:val="20"/>
                <w:szCs w:val="20"/>
                <w:color w:val="auto"/>
              </w:rPr>
            </w:pPr>
            <w:r>
              <w:rPr>
                <w:rFonts w:ascii="Arial" w:cs="Arial" w:eastAsia="Arial" w:hAnsi="Arial"/>
                <w:sz w:val="11"/>
                <w:szCs w:val="11"/>
                <w:color w:val="auto"/>
              </w:rPr>
              <w:t>Income tax expense</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443</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304</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324</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262</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408</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(e)</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46</w:t>
            </w:r>
          </w:p>
        </w:tc>
        <w:tc>
          <w:tcPr>
            <w:tcW w:w="2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1,333</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1,668</w:t>
            </w:r>
          </w:p>
        </w:tc>
        <w:tc>
          <w:tcPr>
            <w:tcW w:w="960" w:type="dxa"/>
            <w:vAlign w:val="bottom"/>
            <w:gridSpan w:val="2"/>
          </w:tcPr>
          <w:p>
            <w:pPr>
              <w:jc w:val="right"/>
              <w:ind w:right="66"/>
              <w:spacing w:after="0"/>
              <w:rPr>
                <w:sz w:val="20"/>
                <w:szCs w:val="20"/>
                <w:color w:val="auto"/>
              </w:rPr>
            </w:pPr>
            <w:r>
              <w:rPr>
                <w:rFonts w:ascii="Arial" w:cs="Arial" w:eastAsia="Arial" w:hAnsi="Arial"/>
                <w:sz w:val="11"/>
                <w:szCs w:val="11"/>
                <w:color w:val="auto"/>
              </w:rPr>
              <w:t>(20)</w:t>
            </w:r>
          </w:p>
        </w:tc>
      </w:tr>
      <w:tr>
        <w:trPr>
          <w:trHeight w:val="169"/>
        </w:trPr>
        <w:tc>
          <w:tcPr>
            <w:tcW w:w="2200" w:type="dxa"/>
            <w:vAlign w:val="bottom"/>
            <w:gridSpan w:val="5"/>
          </w:tcPr>
          <w:p>
            <w:pPr>
              <w:ind w:left="120"/>
              <w:spacing w:after="0"/>
              <w:rPr>
                <w:sz w:val="20"/>
                <w:szCs w:val="20"/>
                <w:color w:val="auto"/>
              </w:rPr>
            </w:pPr>
            <w:r>
              <w:rPr>
                <w:rFonts w:ascii="Arial" w:cs="Arial" w:eastAsia="Arial" w:hAnsi="Arial"/>
                <w:sz w:val="11"/>
                <w:szCs w:val="11"/>
                <w:b w:val="1"/>
                <w:bCs w:val="1"/>
                <w:color w:val="auto"/>
              </w:rPr>
              <w:t>NET INCOME</w:t>
            </w: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1,423</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946</w:t>
            </w:r>
          </w:p>
        </w:tc>
        <w:tc>
          <w:tcPr>
            <w:tcW w:w="28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994</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850</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1,234</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(e)</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50</w:t>
            </w:r>
          </w:p>
        </w:tc>
        <w:tc>
          <w:tcPr>
            <w:tcW w:w="2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15</w:t>
            </w:r>
          </w:p>
        </w:tc>
        <w:tc>
          <w:tcPr>
            <w:tcW w:w="42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4,213</w:t>
            </w:r>
          </w:p>
        </w:tc>
        <w:tc>
          <w:tcPr>
            <w:tcW w:w="22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5,246</w:t>
            </w:r>
          </w:p>
        </w:tc>
        <w:tc>
          <w:tcPr>
            <w:tcW w:w="960" w:type="dxa"/>
            <w:vAlign w:val="bottom"/>
            <w:gridSpan w:val="2"/>
          </w:tcPr>
          <w:p>
            <w:pPr>
              <w:jc w:val="right"/>
              <w:ind w:right="66"/>
              <w:spacing w:after="0"/>
              <w:rPr>
                <w:sz w:val="20"/>
                <w:szCs w:val="20"/>
                <w:color w:val="auto"/>
              </w:rPr>
            </w:pPr>
            <w:r>
              <w:rPr>
                <w:rFonts w:ascii="Arial" w:cs="Arial" w:eastAsia="Arial" w:hAnsi="Arial"/>
                <w:sz w:val="11"/>
                <w:szCs w:val="11"/>
                <w:color w:val="auto"/>
              </w:rPr>
              <w:t>(20)</w:t>
            </w:r>
          </w:p>
        </w:tc>
      </w:tr>
      <w:tr>
        <w:trPr>
          <w:trHeight w:val="270"/>
        </w:trPr>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7"/>
              </w:rPr>
              <w:t>REVENUE BY PRODUCT</w:t>
            </w:r>
          </w:p>
        </w:tc>
        <w:tc>
          <w:tcPr>
            <w:tcW w:w="92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163"/>
        </w:trPr>
        <w:tc>
          <w:tcPr>
            <w:tcW w:w="2200" w:type="dxa"/>
            <w:vAlign w:val="bottom"/>
            <w:gridSpan w:val="5"/>
          </w:tcPr>
          <w:p>
            <w:pPr>
              <w:spacing w:after="0"/>
              <w:rPr>
                <w:sz w:val="20"/>
                <w:szCs w:val="20"/>
                <w:color w:val="auto"/>
              </w:rPr>
            </w:pPr>
            <w:r>
              <w:rPr>
                <w:rFonts w:ascii="Arial" w:cs="Arial" w:eastAsia="Arial" w:hAnsi="Arial"/>
                <w:sz w:val="11"/>
                <w:szCs w:val="11"/>
                <w:color w:val="auto"/>
              </w:rPr>
              <w:t>Lending</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1,185</w:t>
            </w:r>
          </w:p>
        </w:tc>
        <w:tc>
          <w:tcPr>
            <w:tcW w:w="20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1,176</w:t>
            </w:r>
          </w:p>
        </w:tc>
        <w:tc>
          <w:tcPr>
            <w:tcW w:w="28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1,058</w:t>
            </w:r>
          </w:p>
        </w:tc>
        <w:tc>
          <w:tcPr>
            <w:tcW w:w="20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1,105</w:t>
            </w:r>
          </w:p>
        </w:tc>
        <w:tc>
          <w:tcPr>
            <w:tcW w:w="20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1,151</w:t>
            </w:r>
          </w:p>
        </w:tc>
        <w:tc>
          <w:tcPr>
            <w:tcW w:w="2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42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4,524</w:t>
            </w:r>
          </w:p>
        </w:tc>
        <w:tc>
          <w:tcPr>
            <w:tcW w:w="22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4,629</w:t>
            </w:r>
          </w:p>
        </w:tc>
        <w:tc>
          <w:tcPr>
            <w:tcW w:w="96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r>
      <w:tr>
        <w:trPr>
          <w:trHeight w:val="162"/>
        </w:trPr>
        <w:tc>
          <w:tcPr>
            <w:tcW w:w="2200" w:type="dxa"/>
            <w:vAlign w:val="bottom"/>
            <w:gridSpan w:val="5"/>
          </w:tcPr>
          <w:p>
            <w:pPr>
              <w:spacing w:after="0"/>
              <w:rPr>
                <w:sz w:val="20"/>
                <w:szCs w:val="20"/>
                <w:color w:val="auto"/>
              </w:rPr>
            </w:pPr>
            <w:r>
              <w:rPr>
                <w:rFonts w:ascii="Arial" w:cs="Arial" w:eastAsia="Arial" w:hAnsi="Arial"/>
                <w:sz w:val="11"/>
                <w:szCs w:val="11"/>
                <w:color w:val="auto"/>
              </w:rPr>
              <w:t>Payments (b)</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1,989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1,618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1,253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1,022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989</w:t>
            </w:r>
          </w:p>
        </w:tc>
        <w:tc>
          <w:tcPr>
            <w:tcW w:w="2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23</w:t>
            </w:r>
          </w:p>
        </w:tc>
        <w:tc>
          <w:tcPr>
            <w:tcW w:w="2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101</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5,882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3,791</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55</w:t>
            </w:r>
          </w:p>
        </w:tc>
      </w:tr>
      <w:tr>
        <w:trPr>
          <w:trHeight w:val="162"/>
        </w:trPr>
        <w:tc>
          <w:tcPr>
            <w:tcW w:w="2200" w:type="dxa"/>
            <w:vAlign w:val="bottom"/>
            <w:gridSpan w:val="5"/>
          </w:tcPr>
          <w:p>
            <w:pPr>
              <w:spacing w:after="0"/>
              <w:rPr>
                <w:sz w:val="20"/>
                <w:szCs w:val="20"/>
                <w:color w:val="auto"/>
              </w:rPr>
            </w:pPr>
            <w:r>
              <w:rPr>
                <w:rFonts w:ascii="Arial" w:cs="Arial" w:eastAsia="Arial" w:hAnsi="Arial"/>
                <w:sz w:val="11"/>
                <w:szCs w:val="11"/>
                <w:color w:val="auto"/>
              </w:rPr>
              <w:t>Investment banking (b)(c)</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196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224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234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219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435</w:t>
            </w:r>
          </w:p>
        </w:tc>
        <w:tc>
          <w:tcPr>
            <w:tcW w:w="24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2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(55)</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873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1,473</w:t>
            </w:r>
          </w:p>
        </w:tc>
        <w:tc>
          <w:tcPr>
            <w:tcW w:w="960" w:type="dxa"/>
            <w:vAlign w:val="bottom"/>
            <w:gridSpan w:val="2"/>
          </w:tcPr>
          <w:p>
            <w:pPr>
              <w:jc w:val="right"/>
              <w:ind w:right="66"/>
              <w:spacing w:after="0"/>
              <w:rPr>
                <w:sz w:val="20"/>
                <w:szCs w:val="20"/>
                <w:color w:val="auto"/>
              </w:rPr>
            </w:pPr>
            <w:r>
              <w:rPr>
                <w:rFonts w:ascii="Arial" w:cs="Arial" w:eastAsia="Arial" w:hAnsi="Arial"/>
                <w:sz w:val="11"/>
                <w:szCs w:val="11"/>
                <w:color w:val="auto"/>
              </w:rPr>
              <w:t>(41)</w:t>
            </w:r>
          </w:p>
        </w:tc>
      </w:tr>
      <w:tr>
        <w:trPr>
          <w:trHeight w:val="176"/>
        </w:trPr>
        <w:tc>
          <w:tcPr>
            <w:tcW w:w="2200" w:type="dxa"/>
            <w:vAlign w:val="bottom"/>
            <w:gridSpan w:val="5"/>
          </w:tcPr>
          <w:p>
            <w:pPr>
              <w:spacing w:after="0"/>
              <w:rPr>
                <w:sz w:val="20"/>
                <w:szCs w:val="20"/>
                <w:color w:val="auto"/>
              </w:rPr>
            </w:pPr>
            <w:r>
              <w:rPr>
                <w:rFonts w:ascii="Arial" w:cs="Arial" w:eastAsia="Arial" w:hAnsi="Arial"/>
                <w:sz w:val="11"/>
                <w:szCs w:val="11"/>
                <w:color w:val="auto"/>
              </w:rPr>
              <w:t>Other</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34</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30</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138</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52</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37</w:t>
            </w:r>
          </w:p>
        </w:tc>
        <w:tc>
          <w:tcPr>
            <w:tcW w:w="24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13</w:t>
            </w:r>
          </w:p>
        </w:tc>
        <w:tc>
          <w:tcPr>
            <w:tcW w:w="220" w:type="dxa"/>
            <w:vAlign w:val="bottom"/>
          </w:tcPr>
          <w:p>
            <w:pPr>
              <w:spacing w:after="0"/>
              <w:rPr>
                <w:sz w:val="15"/>
                <w:szCs w:val="15"/>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254</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115</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121</w:t>
            </w:r>
          </w:p>
        </w:tc>
      </w:tr>
      <w:tr>
        <w:trPr>
          <w:trHeight w:val="169"/>
        </w:trPr>
        <w:tc>
          <w:tcPr>
            <w:tcW w:w="220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REVENUE (a)</w:t>
            </w: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3,404</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3,048</w:t>
            </w:r>
          </w:p>
        </w:tc>
        <w:tc>
          <w:tcPr>
            <w:tcW w:w="28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2,683</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2,398</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2,612</w:t>
            </w:r>
          </w:p>
        </w:tc>
        <w:tc>
          <w:tcPr>
            <w:tcW w:w="2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30</w:t>
            </w:r>
          </w:p>
        </w:tc>
        <w:tc>
          <w:tcPr>
            <w:tcW w:w="42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11,533</w:t>
            </w:r>
          </w:p>
        </w:tc>
        <w:tc>
          <w:tcPr>
            <w:tcW w:w="22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10,008</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15</w:t>
            </w:r>
          </w:p>
        </w:tc>
      </w:tr>
      <w:tr>
        <w:trPr>
          <w:trHeight w:val="291"/>
        </w:trPr>
        <w:tc>
          <w:tcPr>
            <w:tcW w:w="2200" w:type="dxa"/>
            <w:vAlign w:val="bottom"/>
            <w:gridSpan w:val="5"/>
          </w:tcPr>
          <w:p>
            <w:pPr>
              <w:spacing w:after="0"/>
              <w:rPr>
                <w:sz w:val="20"/>
                <w:szCs w:val="20"/>
                <w:color w:val="auto"/>
              </w:rPr>
            </w:pPr>
            <w:r>
              <w:rPr>
                <w:rFonts w:ascii="Arial" w:cs="Arial" w:eastAsia="Arial" w:hAnsi="Arial"/>
                <w:sz w:val="11"/>
                <w:szCs w:val="11"/>
                <w:color w:val="auto"/>
              </w:rPr>
              <w:t>Investment banking revenue, gross (d)</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700</w:t>
            </w:r>
          </w:p>
        </w:tc>
        <w:tc>
          <w:tcPr>
            <w:tcW w:w="200" w:type="dxa"/>
            <w:vAlign w:val="bottom"/>
          </w:tcPr>
          <w:p>
            <w:pPr>
              <w:spacing w:after="0"/>
              <w:rPr>
                <w:sz w:val="24"/>
                <w:szCs w:val="2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761</w:t>
            </w:r>
          </w:p>
        </w:tc>
        <w:tc>
          <w:tcPr>
            <w:tcW w:w="280" w:type="dxa"/>
            <w:vAlign w:val="bottom"/>
          </w:tcPr>
          <w:p>
            <w:pPr>
              <w:spacing w:after="0"/>
              <w:rPr>
                <w:sz w:val="24"/>
                <w:szCs w:val="2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788</w:t>
            </w:r>
          </w:p>
        </w:tc>
        <w:tc>
          <w:tcPr>
            <w:tcW w:w="200" w:type="dxa"/>
            <w:vAlign w:val="bottom"/>
          </w:tcPr>
          <w:p>
            <w:pPr>
              <w:spacing w:after="0"/>
              <w:rPr>
                <w:sz w:val="24"/>
                <w:szCs w:val="2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729</w:t>
            </w:r>
          </w:p>
        </w:tc>
        <w:tc>
          <w:tcPr>
            <w:tcW w:w="200" w:type="dxa"/>
            <w:vAlign w:val="bottom"/>
          </w:tcPr>
          <w:p>
            <w:pPr>
              <w:spacing w:after="0"/>
              <w:rPr>
                <w:sz w:val="24"/>
                <w:szCs w:val="2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1,456</w:t>
            </w:r>
          </w:p>
        </w:tc>
        <w:tc>
          <w:tcPr>
            <w:tcW w:w="240" w:type="dxa"/>
            <w:vAlign w:val="bottom"/>
          </w:tcPr>
          <w:p>
            <w:pPr>
              <w:spacing w:after="0"/>
              <w:rPr>
                <w:sz w:val="24"/>
                <w:szCs w:val="2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24"/>
                <w:szCs w:val="2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(52)</w:t>
            </w:r>
          </w:p>
        </w:tc>
        <w:tc>
          <w:tcPr>
            <w:tcW w:w="420" w:type="dxa"/>
            <w:vAlign w:val="bottom"/>
          </w:tcPr>
          <w:p>
            <w:pPr>
              <w:spacing w:after="0"/>
              <w:rPr>
                <w:sz w:val="24"/>
                <w:szCs w:val="2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2,978</w:t>
            </w:r>
          </w:p>
        </w:tc>
        <w:tc>
          <w:tcPr>
            <w:tcW w:w="220" w:type="dxa"/>
            <w:vAlign w:val="bottom"/>
          </w:tcPr>
          <w:p>
            <w:pPr>
              <w:spacing w:after="0"/>
              <w:rPr>
                <w:sz w:val="24"/>
                <w:szCs w:val="2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5,092</w:t>
            </w:r>
          </w:p>
        </w:tc>
        <w:tc>
          <w:tcPr>
            <w:tcW w:w="960" w:type="dxa"/>
            <w:vAlign w:val="bottom"/>
            <w:gridSpan w:val="2"/>
          </w:tcPr>
          <w:p>
            <w:pPr>
              <w:jc w:val="right"/>
              <w:ind w:right="66"/>
              <w:spacing w:after="0"/>
              <w:rPr>
                <w:sz w:val="20"/>
                <w:szCs w:val="20"/>
                <w:color w:val="auto"/>
              </w:rPr>
            </w:pPr>
            <w:r>
              <w:rPr>
                <w:rFonts w:ascii="Arial" w:cs="Arial" w:eastAsia="Arial" w:hAnsi="Arial"/>
                <w:sz w:val="11"/>
                <w:szCs w:val="11"/>
                <w:color w:val="auto"/>
              </w:rPr>
              <w:t>(42)</w:t>
            </w:r>
          </w:p>
        </w:tc>
      </w:tr>
      <w:tr>
        <w:trPr>
          <w:trHeight w:val="303"/>
        </w:trPr>
        <w:tc>
          <w:tcPr>
            <w:tcW w:w="170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7"/>
              </w:rPr>
              <w:t>REVENUE BY CLIENT SEGMENT</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3"/>
        </w:trPr>
        <w:tc>
          <w:tcPr>
            <w:tcW w:w="2200" w:type="dxa"/>
            <w:vAlign w:val="bottom"/>
            <w:gridSpan w:val="5"/>
          </w:tcPr>
          <w:p>
            <w:pPr>
              <w:spacing w:after="0"/>
              <w:rPr>
                <w:sz w:val="20"/>
                <w:szCs w:val="20"/>
                <w:color w:val="auto"/>
              </w:rPr>
            </w:pPr>
            <w:r>
              <w:rPr>
                <w:rFonts w:ascii="Arial" w:cs="Arial" w:eastAsia="Arial" w:hAnsi="Arial"/>
                <w:sz w:val="11"/>
                <w:szCs w:val="11"/>
                <w:color w:val="auto"/>
              </w:rPr>
              <w:t>Middle Market Banking</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1,619</w:t>
            </w:r>
          </w:p>
        </w:tc>
        <w:tc>
          <w:tcPr>
            <w:tcW w:w="20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1,366</w:t>
            </w:r>
          </w:p>
        </w:tc>
        <w:tc>
          <w:tcPr>
            <w:tcW w:w="28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1,169</w:t>
            </w:r>
          </w:p>
        </w:tc>
        <w:tc>
          <w:tcPr>
            <w:tcW w:w="20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980</w:t>
            </w:r>
          </w:p>
        </w:tc>
        <w:tc>
          <w:tcPr>
            <w:tcW w:w="20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1,062</w:t>
            </w:r>
          </w:p>
        </w:tc>
        <w:tc>
          <w:tcPr>
            <w:tcW w:w="2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19</w:t>
            </w:r>
          </w:p>
        </w:tc>
        <w:tc>
          <w:tcPr>
            <w:tcW w:w="2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52</w:t>
            </w:r>
          </w:p>
        </w:tc>
        <w:tc>
          <w:tcPr>
            <w:tcW w:w="42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5,134</w:t>
            </w:r>
          </w:p>
        </w:tc>
        <w:tc>
          <w:tcPr>
            <w:tcW w:w="22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4,004</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28</w:t>
            </w:r>
          </w:p>
        </w:tc>
      </w:tr>
      <w:tr>
        <w:trPr>
          <w:trHeight w:val="162"/>
        </w:trPr>
        <w:tc>
          <w:tcPr>
            <w:tcW w:w="2200" w:type="dxa"/>
            <w:vAlign w:val="bottom"/>
            <w:gridSpan w:val="5"/>
          </w:tcPr>
          <w:p>
            <w:pPr>
              <w:spacing w:after="0"/>
              <w:rPr>
                <w:sz w:val="20"/>
                <w:szCs w:val="20"/>
                <w:color w:val="auto"/>
              </w:rPr>
            </w:pPr>
            <w:r>
              <w:rPr>
                <w:rFonts w:ascii="Arial" w:cs="Arial" w:eastAsia="Arial" w:hAnsi="Arial"/>
                <w:sz w:val="11"/>
                <w:szCs w:val="11"/>
                <w:color w:val="auto"/>
              </w:rPr>
              <w:t>Corporate Client Banking</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1,109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1,052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927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830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928</w:t>
            </w:r>
          </w:p>
        </w:tc>
        <w:tc>
          <w:tcPr>
            <w:tcW w:w="2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3,918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3,508</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12</w:t>
            </w:r>
          </w:p>
        </w:tc>
      </w:tr>
      <w:tr>
        <w:trPr>
          <w:trHeight w:val="162"/>
        </w:trPr>
        <w:tc>
          <w:tcPr>
            <w:tcW w:w="2200" w:type="dxa"/>
            <w:vAlign w:val="bottom"/>
            <w:gridSpan w:val="5"/>
          </w:tcPr>
          <w:p>
            <w:pPr>
              <w:spacing w:after="0"/>
              <w:rPr>
                <w:sz w:val="20"/>
                <w:szCs w:val="20"/>
                <w:color w:val="auto"/>
              </w:rPr>
            </w:pPr>
            <w:r>
              <w:rPr>
                <w:rFonts w:ascii="Arial" w:cs="Arial" w:eastAsia="Arial" w:hAnsi="Arial"/>
                <w:sz w:val="11"/>
                <w:szCs w:val="11"/>
                <w:color w:val="auto"/>
              </w:rPr>
              <w:t>Commercial Real Estate Banking</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666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624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590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581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614</w:t>
            </w:r>
          </w:p>
        </w:tc>
        <w:tc>
          <w:tcPr>
            <w:tcW w:w="2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2,461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2,419</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r>
      <w:tr>
        <w:trPr>
          <w:trHeight w:val="175"/>
        </w:trPr>
        <w:tc>
          <w:tcPr>
            <w:tcW w:w="2200" w:type="dxa"/>
            <w:vAlign w:val="bottom"/>
            <w:gridSpan w:val="5"/>
          </w:tcPr>
          <w:p>
            <w:pPr>
              <w:spacing w:after="0"/>
              <w:rPr>
                <w:sz w:val="20"/>
                <w:szCs w:val="20"/>
                <w:color w:val="auto"/>
              </w:rPr>
            </w:pPr>
            <w:r>
              <w:rPr>
                <w:rFonts w:ascii="Arial" w:cs="Arial" w:eastAsia="Arial" w:hAnsi="Arial"/>
                <w:sz w:val="11"/>
                <w:szCs w:val="11"/>
                <w:color w:val="auto"/>
              </w:rPr>
              <w:t>Other</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10</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67</w:t>
            </w:r>
          </w:p>
        </w:tc>
        <w:tc>
          <w:tcPr>
            <w:tcW w:w="22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25</w:t>
            </w: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77</w:t>
            </w:r>
          </w:p>
        </w:tc>
        <w:tc>
          <w:tcPr>
            <w:tcW w:w="960" w:type="dxa"/>
            <w:vAlign w:val="bottom"/>
            <w:gridSpan w:val="2"/>
          </w:tcPr>
          <w:p>
            <w:pPr>
              <w:jc w:val="right"/>
              <w:ind w:right="66"/>
              <w:spacing w:after="0"/>
              <w:rPr>
                <w:sz w:val="20"/>
                <w:szCs w:val="20"/>
                <w:color w:val="auto"/>
              </w:rPr>
            </w:pPr>
            <w:r>
              <w:rPr>
                <w:rFonts w:ascii="Arial" w:cs="Arial" w:eastAsia="Arial" w:hAnsi="Arial"/>
                <w:sz w:val="11"/>
                <w:szCs w:val="11"/>
                <w:color w:val="auto"/>
              </w:rPr>
              <w:t>(74)</w:t>
            </w:r>
          </w:p>
        </w:tc>
      </w:tr>
      <w:tr>
        <w:trPr>
          <w:trHeight w:val="169"/>
        </w:trPr>
        <w:tc>
          <w:tcPr>
            <w:tcW w:w="220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REVENUE (a)</w:t>
            </w: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3,404</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3,048</w:t>
            </w:r>
          </w:p>
        </w:tc>
        <w:tc>
          <w:tcPr>
            <w:tcW w:w="28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2,683</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2,398</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2,612</w:t>
            </w:r>
          </w:p>
        </w:tc>
        <w:tc>
          <w:tcPr>
            <w:tcW w:w="2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30</w:t>
            </w:r>
          </w:p>
        </w:tc>
        <w:tc>
          <w:tcPr>
            <w:tcW w:w="42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11,533</w:t>
            </w:r>
          </w:p>
        </w:tc>
        <w:tc>
          <w:tcPr>
            <w:tcW w:w="22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10,008</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15</w:t>
            </w:r>
          </w:p>
        </w:tc>
      </w:tr>
      <w:tr>
        <w:trPr>
          <w:trHeight w:val="270"/>
        </w:trPr>
        <w:tc>
          <w:tcPr>
            <w:tcW w:w="10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6"/>
              </w:rPr>
              <w:t>FINANCIAL RATIOS</w:t>
            </w:r>
          </w:p>
        </w:tc>
        <w:tc>
          <w:tcPr>
            <w:tcW w:w="1180" w:type="dxa"/>
            <w:vAlign w:val="bottom"/>
            <w:gridSpan w:val="4"/>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163"/>
        </w:trPr>
        <w:tc>
          <w:tcPr>
            <w:tcW w:w="2200" w:type="dxa"/>
            <w:vAlign w:val="bottom"/>
            <w:gridSpan w:val="5"/>
          </w:tcPr>
          <w:p>
            <w:pPr>
              <w:spacing w:after="0"/>
              <w:rPr>
                <w:sz w:val="20"/>
                <w:szCs w:val="20"/>
                <w:color w:val="auto"/>
              </w:rPr>
            </w:pPr>
            <w:r>
              <w:rPr>
                <w:rFonts w:ascii="Arial" w:cs="Arial" w:eastAsia="Arial" w:hAnsi="Arial"/>
                <w:sz w:val="11"/>
                <w:szCs w:val="11"/>
                <w:color w:val="auto"/>
              </w:rPr>
              <w:t>ROE</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22 %</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14 %</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15 %</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13 %</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6"/>
              <w:spacing w:after="0"/>
              <w:rPr>
                <w:sz w:val="20"/>
                <w:szCs w:val="20"/>
                <w:color w:val="auto"/>
              </w:rPr>
            </w:pPr>
            <w:r>
              <w:rPr>
                <w:rFonts w:ascii="Arial" w:cs="Arial" w:eastAsia="Arial" w:hAnsi="Arial"/>
                <w:sz w:val="11"/>
                <w:szCs w:val="11"/>
                <w:color w:val="auto"/>
              </w:rPr>
              <w:t>19 % (e)</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16</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4"/>
                <w:szCs w:val="14"/>
                <w:color w:val="auto"/>
              </w:rPr>
            </w:pPr>
          </w:p>
        </w:tc>
      </w:tr>
      <w:tr>
        <w:trPr>
          <w:trHeight w:val="162"/>
        </w:trPr>
        <w:tc>
          <w:tcPr>
            <w:tcW w:w="2200" w:type="dxa"/>
            <w:vAlign w:val="bottom"/>
            <w:gridSpan w:val="5"/>
          </w:tcPr>
          <w:p>
            <w:pPr>
              <w:spacing w:after="0"/>
              <w:rPr>
                <w:sz w:val="20"/>
                <w:szCs w:val="20"/>
                <w:color w:val="auto"/>
              </w:rPr>
            </w:pPr>
            <w:r>
              <w:rPr>
                <w:rFonts w:ascii="Arial" w:cs="Arial" w:eastAsia="Arial" w:hAnsi="Arial"/>
                <w:sz w:val="11"/>
                <w:szCs w:val="11"/>
                <w:color w:val="auto"/>
              </w:rPr>
              <w:t>Overhead ratio</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37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39</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43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47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41</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40</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4058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80" w:right="100" w:hanging="172"/>
        <w:spacing w:after="0" w:line="253" w:lineRule="auto"/>
        <w:tabs>
          <w:tab w:leader="none" w:pos="177" w:val="left"/>
        </w:tabs>
        <w:numPr>
          <w:ilvl w:val="0"/>
          <w:numId w:val="29"/>
        </w:numPr>
        <w:rPr>
          <w:rFonts w:ascii="Arial" w:cs="Arial" w:eastAsia="Arial" w:hAnsi="Arial"/>
          <w:sz w:val="11"/>
          <w:szCs w:val="11"/>
          <w:color w:val="auto"/>
        </w:rPr>
      </w:pPr>
      <w:r>
        <w:rPr>
          <w:rFonts w:ascii="Arial" w:cs="Arial" w:eastAsia="Arial" w:hAnsi="Arial"/>
          <w:sz w:val="11"/>
          <w:szCs w:val="11"/>
          <w:color w:val="auto"/>
        </w:rPr>
        <w:t>Total net revenue included tax-equivalent adjustments from income tax credits related to equity investments in designated community development entities and in entities established for rehabilitation of historic properties, as well as tax-exempt income related to municipal financing activities of $100 million, $80 million, $73 million, $69 million and $99 million for the three months ended December 31, 2022, September 30, 2022, June 30, 2022, March 31, 2022 and December 31, 2021, respectively, and $322 million and $330 million for the full year 2022 and 2021, respectively.</w:t>
      </w:r>
    </w:p>
    <w:p>
      <w:pPr>
        <w:spacing w:after="0" w:line="1" w:lineRule="exact"/>
        <w:rPr>
          <w:rFonts w:ascii="Arial" w:cs="Arial" w:eastAsia="Arial" w:hAnsi="Arial"/>
          <w:sz w:val="11"/>
          <w:szCs w:val="11"/>
          <w:color w:val="auto"/>
        </w:rPr>
      </w:pPr>
    </w:p>
    <w:p>
      <w:pPr>
        <w:ind w:left="160" w:hanging="152"/>
        <w:spacing w:after="0"/>
        <w:tabs>
          <w:tab w:leader="none" w:pos="1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In the fourth quarter of 2022, certain revenue from CIB Markets products was reclassified from investment banking to payments. Prior-period amounts have been revised to conform with the current presentation.</w:t>
      </w:r>
    </w:p>
    <w:p>
      <w:pPr>
        <w:spacing w:after="0" w:line="5" w:lineRule="exact"/>
        <w:rPr>
          <w:rFonts w:ascii="Arial" w:cs="Arial" w:eastAsia="Arial" w:hAnsi="Arial"/>
          <w:sz w:val="11"/>
          <w:szCs w:val="11"/>
          <w:color w:val="auto"/>
        </w:rPr>
      </w:pPr>
    </w:p>
    <w:p>
      <w:pPr>
        <w:ind w:left="160" w:hanging="152"/>
        <w:spacing w:after="0" w:line="236" w:lineRule="auto"/>
        <w:tabs>
          <w:tab w:leader="none" w:pos="1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Includes CB’s share of revenue from investment banking products sold to CB clients through the CIB.</w:t>
      </w:r>
    </w:p>
    <w:p>
      <w:pPr>
        <w:ind w:left="180" w:right="280" w:hanging="172"/>
        <w:spacing w:after="0" w:line="243" w:lineRule="auto"/>
        <w:tabs>
          <w:tab w:leader="none" w:pos="177" w:val="left"/>
        </w:tabs>
        <w:numPr>
          <w:ilvl w:val="0"/>
          <w:numId w:val="29"/>
        </w:numPr>
        <w:rPr>
          <w:rFonts w:ascii="Arial" w:cs="Arial" w:eastAsia="Arial" w:hAnsi="Arial"/>
          <w:sz w:val="11"/>
          <w:szCs w:val="11"/>
          <w:color w:val="auto"/>
        </w:rPr>
      </w:pPr>
      <w:r>
        <w:rPr>
          <w:rFonts w:ascii="Arial" w:cs="Arial" w:eastAsia="Arial" w:hAnsi="Arial"/>
          <w:sz w:val="11"/>
          <w:szCs w:val="11"/>
          <w:color w:val="auto"/>
        </w:rPr>
        <w:t>Includes gross revenues earned by the Firm, for investment banking and payments products sold to CB clients, that are subject to a revenue sharing arrangement with the CIB. Refer to page 61 of the Firm’s 2021 Form 10-K for discussion of revenue sharing.</w:t>
      </w:r>
    </w:p>
    <w:p>
      <w:pPr>
        <w:ind w:left="160" w:hanging="152"/>
        <w:spacing w:after="0"/>
        <w:tabs>
          <w:tab w:leader="none" w:pos="1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In the first quarter of 2022, the Firm changed its methodology for allocating income taxes to the LOBs, with no impact to Firmwide net income. Prior-period amounts have been revised to conform with the current presentation.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19</w:t>
      </w:r>
    </w:p>
    <w:p>
      <w:pPr>
        <w:sectPr>
          <w:pgSz w:w="11900" w:h="16838" w:orient="portrait"/>
          <w:cols w:equalWidth="0" w:num="1">
            <w:col w:w="11240"/>
          </w:cols>
          <w:pgMar w:left="320" w:top="666"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-28575</wp:posOffset>
            </wp:positionV>
            <wp:extent cx="237426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COMMERCIAL BANKING</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260" w:type="dxa"/>
            <w:vAlign w:val="bottom"/>
            <w:gridSpan w:val="5"/>
          </w:tcPr>
          <w:p>
            <w:pPr>
              <w:spacing w:after="0"/>
              <w:rPr>
                <w:sz w:val="20"/>
                <w:szCs w:val="20"/>
                <w:color w:val="auto"/>
              </w:rPr>
            </w:pPr>
            <w:r>
              <w:rPr>
                <w:rFonts w:ascii="Arial" w:cs="Arial" w:eastAsia="Arial" w:hAnsi="Arial"/>
                <w:sz w:val="11"/>
                <w:szCs w:val="11"/>
                <w:b w:val="1"/>
                <w:bCs w:val="1"/>
                <w:color w:val="auto"/>
              </w:rPr>
              <w:t>(in millions, except headcount and ratio</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5"/>
            <w:vMerge w:val="restart"/>
          </w:tcPr>
          <w:p>
            <w:pPr>
              <w:jc w:val="right"/>
              <w:spacing w:after="0"/>
              <w:rPr>
                <w:sz w:val="20"/>
                <w:szCs w:val="20"/>
                <w:color w:val="auto"/>
              </w:rPr>
            </w:pPr>
            <w:r>
              <w:rPr>
                <w:rFonts w:ascii="Arial" w:cs="Arial" w:eastAsia="Arial" w:hAnsi="Arial"/>
                <w:sz w:val="11"/>
                <w:szCs w:val="11"/>
                <w:b w:val="1"/>
                <w:bCs w:val="1"/>
                <w:color w:val="auto"/>
              </w:rPr>
              <w:t>QUARTERLY TRENDS</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gridSpan w:val="4"/>
            <w:vMerge w:val="restart"/>
          </w:tcPr>
          <w:p>
            <w:pPr>
              <w:jc w:val="right"/>
              <w:ind w:right="846"/>
              <w:spacing w:after="0"/>
              <w:rPr>
                <w:sz w:val="20"/>
                <w:szCs w:val="20"/>
                <w:color w:val="auto"/>
              </w:rPr>
            </w:pPr>
            <w:r>
              <w:rPr>
                <w:rFonts w:ascii="Arial" w:cs="Arial" w:eastAsia="Arial" w:hAnsi="Arial"/>
                <w:sz w:val="11"/>
                <w:szCs w:val="11"/>
                <w:b w:val="1"/>
                <w:bCs w:val="1"/>
                <w:color w:val="auto"/>
              </w:rPr>
              <w:t>FULL YEAR</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b w:val="1"/>
                <w:bCs w:val="1"/>
                <w:color w:val="auto"/>
              </w:rPr>
              <w:t>data)</w:t>
            </w: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5"/>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Borders>
              <w:bottom w:val="single" w:sz="8" w:color="auto"/>
            </w:tcBorders>
            <w:gridSpan w:val="3"/>
          </w:tcPr>
          <w:p>
            <w:pPr>
              <w:jc w:val="right"/>
              <w:ind w:right="286"/>
              <w:spacing w:after="0"/>
              <w:rPr>
                <w:sz w:val="20"/>
                <w:szCs w:val="20"/>
                <w:color w:val="auto"/>
              </w:rPr>
            </w:pPr>
            <w:r>
              <w:rPr>
                <w:rFonts w:ascii="Arial" w:cs="Arial" w:eastAsia="Arial" w:hAnsi="Arial"/>
                <w:sz w:val="11"/>
                <w:szCs w:val="11"/>
                <w:b w:val="1"/>
                <w:bCs w:val="1"/>
                <w:color w:val="auto"/>
              </w:rPr>
              <w:t>4Q22 Change</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4Q22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3Q22</w:t>
            </w:r>
          </w:p>
        </w:tc>
        <w:tc>
          <w:tcPr>
            <w:tcW w:w="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2Q22</w:t>
            </w:r>
          </w:p>
        </w:tc>
        <w:tc>
          <w:tcPr>
            <w:tcW w:w="12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1Q22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4Q21</w:t>
            </w:r>
          </w:p>
        </w:tc>
        <w:tc>
          <w:tcPr>
            <w:tcW w:w="240" w:type="dxa"/>
            <w:vAlign w:val="bottom"/>
          </w:tcPr>
          <w:p>
            <w:pPr>
              <w:spacing w:after="0"/>
              <w:rPr>
                <w:sz w:val="13"/>
                <w:szCs w:val="13"/>
                <w:color w:val="auto"/>
              </w:rPr>
            </w:pP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3Q22</w:t>
            </w:r>
          </w:p>
        </w:tc>
        <w:tc>
          <w:tcPr>
            <w:tcW w:w="100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4Q21</w:t>
            </w:r>
          </w:p>
        </w:tc>
        <w:tc>
          <w:tcPr>
            <w:tcW w:w="120" w:type="dxa"/>
            <w:vAlign w:val="bottom"/>
          </w:tcPr>
          <w:p>
            <w:pPr>
              <w:spacing w:after="0"/>
              <w:rPr>
                <w:sz w:val="13"/>
                <w:szCs w:val="13"/>
                <w:color w:val="auto"/>
              </w:rPr>
            </w:pPr>
          </w:p>
        </w:tc>
        <w:tc>
          <w:tcPr>
            <w:tcW w:w="500" w:type="dxa"/>
            <w:vAlign w:val="bottom"/>
          </w:tcPr>
          <w:p>
            <w:pPr>
              <w:jc w:val="right"/>
              <w:ind w:right="146"/>
              <w:spacing w:after="0"/>
              <w:rPr>
                <w:sz w:val="20"/>
                <w:szCs w:val="20"/>
                <w:color w:val="auto"/>
              </w:rPr>
            </w:pPr>
            <w:r>
              <w:rPr>
                <w:rFonts w:ascii="Arial" w:cs="Arial" w:eastAsia="Arial" w:hAnsi="Arial"/>
                <w:sz w:val="11"/>
                <w:szCs w:val="11"/>
                <w:b w:val="1"/>
                <w:bCs w:val="1"/>
                <w:color w:val="auto"/>
              </w:rPr>
              <w:t>2022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rPr>
              <w:t>2021</w:t>
            </w:r>
          </w:p>
        </w:tc>
        <w:tc>
          <w:tcPr>
            <w:tcW w:w="98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gridSpan w:val="5"/>
          </w:tcPr>
          <w:p>
            <w:pPr>
              <w:spacing w:after="0" w:line="108" w:lineRule="exact"/>
              <w:rPr>
                <w:sz w:val="20"/>
                <w:szCs w:val="20"/>
                <w:color w:val="auto"/>
              </w:rPr>
            </w:pPr>
            <w:r>
              <w:rPr>
                <w:rFonts w:ascii="Arial" w:cs="Arial" w:eastAsia="Arial" w:hAnsi="Arial"/>
                <w:sz w:val="11"/>
                <w:szCs w:val="11"/>
                <w:b w:val="1"/>
                <w:bCs w:val="1"/>
                <w:color w:val="auto"/>
              </w:rPr>
              <w:t>SELECTED BALANCE SHEET DATA</w:t>
            </w: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40" w:type="dxa"/>
            <w:vAlign w:val="bottom"/>
            <w:tcBorders>
              <w:top w:val="single" w:sz="8" w:color="auto"/>
              <w:bottom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(period-end)</w:t>
            </w:r>
          </w:p>
        </w:tc>
        <w:tc>
          <w:tcPr>
            <w:tcW w:w="12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Total assets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257,106</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247,485</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242,456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235,127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230,776</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4 %</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11 %</w:t>
            </w:r>
          </w:p>
        </w:tc>
        <w:tc>
          <w:tcPr>
            <w:tcW w:w="4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257,106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230,776</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5"/>
          </w:tcPr>
          <w:p>
            <w:pPr>
              <w:ind w:left="120"/>
              <w:spacing w:after="0"/>
              <w:rPr>
                <w:sz w:val="20"/>
                <w:szCs w:val="20"/>
                <w:color w:val="auto"/>
              </w:rPr>
            </w:pPr>
            <w:r>
              <w:rPr>
                <w:rFonts w:ascii="Arial" w:cs="Arial" w:eastAsia="Arial" w:hAnsi="Arial"/>
                <w:sz w:val="11"/>
                <w:szCs w:val="11"/>
                <w:color w:val="auto"/>
              </w:rPr>
              <w:t>Loans retained</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233,879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231,829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223,541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213,073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206,220</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233,879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206,220</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60" w:type="dxa"/>
            <w:vAlign w:val="bottom"/>
            <w:gridSpan w:val="5"/>
          </w:tcPr>
          <w:p>
            <w:pPr>
              <w:ind w:left="120"/>
              <w:spacing w:after="0"/>
              <w:rPr>
                <w:sz w:val="20"/>
                <w:szCs w:val="20"/>
                <w:color w:val="auto"/>
              </w:rPr>
            </w:pPr>
            <w:r>
              <w:rPr>
                <w:rFonts w:ascii="Arial" w:cs="Arial" w:eastAsia="Arial" w:hAnsi="Arial"/>
                <w:sz w:val="11"/>
                <w:szCs w:val="11"/>
                <w:color w:val="auto"/>
              </w:rPr>
              <w:t>Loans held-for-sale and loans at fair value</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707</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137</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566</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1,743</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2,223</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416</w:t>
            </w:r>
          </w:p>
        </w:tc>
        <w:tc>
          <w:tcPr>
            <w:tcW w:w="220" w:type="dxa"/>
            <w:vAlign w:val="bottom"/>
          </w:tcPr>
          <w:p>
            <w:pPr>
              <w:spacing w:after="0"/>
              <w:rPr>
                <w:sz w:val="15"/>
                <w:szCs w:val="15"/>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(68)</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707</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2,223</w:t>
            </w:r>
          </w:p>
        </w:tc>
        <w:tc>
          <w:tcPr>
            <w:tcW w:w="980" w:type="dxa"/>
            <w:vAlign w:val="bottom"/>
            <w:gridSpan w:val="2"/>
          </w:tcPr>
          <w:p>
            <w:pPr>
              <w:jc w:val="right"/>
              <w:ind w:right="66"/>
              <w:spacing w:after="0"/>
              <w:rPr>
                <w:sz w:val="20"/>
                <w:szCs w:val="20"/>
                <w:color w:val="auto"/>
              </w:rPr>
            </w:pPr>
            <w:r>
              <w:rPr>
                <w:rFonts w:ascii="Arial" w:cs="Arial" w:eastAsia="Arial" w:hAnsi="Arial"/>
                <w:sz w:val="11"/>
                <w:szCs w:val="11"/>
                <w:color w:val="auto"/>
              </w:rPr>
              <w:t>(68)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gridSpan w:val="5"/>
          </w:tcPr>
          <w:p>
            <w:pPr>
              <w:ind w:left="200"/>
              <w:spacing w:after="0"/>
              <w:rPr>
                <w:sz w:val="20"/>
                <w:szCs w:val="20"/>
                <w:color w:val="auto"/>
              </w:rPr>
            </w:pPr>
            <w:r>
              <w:rPr>
                <w:rFonts w:ascii="Arial" w:cs="Arial" w:eastAsia="Arial" w:hAnsi="Arial"/>
                <w:sz w:val="11"/>
                <w:szCs w:val="11"/>
                <w:b w:val="1"/>
                <w:bCs w:val="1"/>
                <w:color w:val="auto"/>
              </w:rPr>
              <w:t>Total loans</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234,586</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231,966</w:t>
            </w:r>
          </w:p>
        </w:tc>
        <w:tc>
          <w:tcPr>
            <w:tcW w:w="2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224,107</w:t>
            </w:r>
          </w:p>
        </w:tc>
        <w:tc>
          <w:tcPr>
            <w:tcW w:w="2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214,816</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208,443</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4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234,586</w:t>
            </w:r>
          </w:p>
        </w:tc>
        <w:tc>
          <w:tcPr>
            <w:tcW w:w="2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208,443</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25,000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25,000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25,000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25,000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24,000</w:t>
            </w:r>
          </w:p>
        </w:tc>
        <w:tc>
          <w:tcPr>
            <w:tcW w:w="24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25,000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24,000</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60" w:type="dxa"/>
            <w:vAlign w:val="bottom"/>
            <w:gridSpan w:val="5"/>
          </w:tcPr>
          <w:p>
            <w:pPr>
              <w:spacing w:after="0"/>
              <w:rPr>
                <w:sz w:val="20"/>
                <w:szCs w:val="20"/>
                <w:color w:val="auto"/>
              </w:rPr>
            </w:pPr>
            <w:r>
              <w:rPr>
                <w:rFonts w:ascii="Arial" w:cs="Arial" w:eastAsia="Arial" w:hAnsi="Arial"/>
                <w:sz w:val="11"/>
                <w:szCs w:val="11"/>
                <w:b w:val="1"/>
                <w:bCs w:val="1"/>
                <w:color w:val="auto"/>
              </w:rPr>
              <w:t>Period-end loans by client segment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Middle Market Banking (a)</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72,625</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71,707</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68,535</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64,306</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61,159</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4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72,625</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61,159</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Corporate Client Banking</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53,840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52,940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49,503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46,720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45,315</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53,840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45,315</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Commercial Real Estate Banking</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107,999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107,241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105,982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103,685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101,751</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107,999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101,751</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Other</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122</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78</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87</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218</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56</w:t>
            </w:r>
          </w:p>
        </w:tc>
        <w:tc>
          <w:tcPr>
            <w:tcW w:w="220" w:type="dxa"/>
            <w:vAlign w:val="bottom"/>
          </w:tcPr>
          <w:p>
            <w:pPr>
              <w:spacing w:after="0"/>
              <w:rPr>
                <w:sz w:val="15"/>
                <w:szCs w:val="15"/>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(44)</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218</w:t>
            </w:r>
          </w:p>
        </w:tc>
        <w:tc>
          <w:tcPr>
            <w:tcW w:w="980" w:type="dxa"/>
            <w:vAlign w:val="bottom"/>
            <w:gridSpan w:val="2"/>
          </w:tcPr>
          <w:p>
            <w:pPr>
              <w:jc w:val="right"/>
              <w:ind w:right="66"/>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6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loans (a)</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234,586</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231,966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224,107</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214,816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208,443</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4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234,586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208,443</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Arial" w:cs="Arial" w:eastAsia="Arial" w:hAnsi="Arial"/>
                <w:sz w:val="11"/>
                <w:szCs w:val="11"/>
                <w:b w:val="1"/>
                <w:bCs w:val="1"/>
                <w:color w:val="auto"/>
              </w:rPr>
              <w:t>SELECTED BALANCE SHEET DATA</w:t>
            </w: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84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10"/>
                <w:szCs w:val="10"/>
                <w:b w:val="1"/>
                <w:bCs w:val="1"/>
                <w:color w:val="auto"/>
              </w:rPr>
              <w:t>(average)</w:t>
            </w: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Total assets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253,007</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246,318</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239,381</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233,474</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227,308</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4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243,108</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225,548</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5"/>
          </w:tcPr>
          <w:p>
            <w:pPr>
              <w:ind w:left="120"/>
              <w:spacing w:after="0"/>
              <w:rPr>
                <w:sz w:val="20"/>
                <w:szCs w:val="20"/>
                <w:color w:val="auto"/>
              </w:rPr>
            </w:pPr>
            <w:r>
              <w:rPr>
                <w:rFonts w:ascii="Arial" w:cs="Arial" w:eastAsia="Arial" w:hAnsi="Arial"/>
                <w:sz w:val="11"/>
                <w:szCs w:val="11"/>
                <w:color w:val="auto"/>
              </w:rPr>
              <w:t>Loans retained</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234,654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227,539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218,478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208,540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201,676</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16</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222,388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201,920</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60" w:type="dxa"/>
            <w:vAlign w:val="bottom"/>
            <w:gridSpan w:val="5"/>
          </w:tcPr>
          <w:p>
            <w:pPr>
              <w:ind w:left="120"/>
              <w:spacing w:after="0"/>
              <w:rPr>
                <w:sz w:val="20"/>
                <w:szCs w:val="20"/>
                <w:color w:val="auto"/>
              </w:rPr>
            </w:pPr>
            <w:r>
              <w:rPr>
                <w:rFonts w:ascii="Arial" w:cs="Arial" w:eastAsia="Arial" w:hAnsi="Arial"/>
                <w:sz w:val="11"/>
                <w:szCs w:val="11"/>
                <w:color w:val="auto"/>
              </w:rPr>
              <w:t>Loans held-for-sale and loans at fair value</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673</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1,589</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1,004</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2,147</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3,958</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(58)</w:t>
            </w:r>
          </w:p>
        </w:tc>
        <w:tc>
          <w:tcPr>
            <w:tcW w:w="220" w:type="dxa"/>
            <w:vAlign w:val="bottom"/>
          </w:tcPr>
          <w:p>
            <w:pPr>
              <w:spacing w:after="0"/>
              <w:rPr>
                <w:sz w:val="15"/>
                <w:szCs w:val="15"/>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(83)</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1,350</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3,122</w:t>
            </w:r>
          </w:p>
        </w:tc>
        <w:tc>
          <w:tcPr>
            <w:tcW w:w="980" w:type="dxa"/>
            <w:vAlign w:val="bottom"/>
            <w:gridSpan w:val="2"/>
          </w:tcPr>
          <w:p>
            <w:pPr>
              <w:jc w:val="right"/>
              <w:ind w:right="66"/>
              <w:spacing w:after="0"/>
              <w:rPr>
                <w:sz w:val="20"/>
                <w:szCs w:val="20"/>
                <w:color w:val="auto"/>
              </w:rPr>
            </w:pPr>
            <w:r>
              <w:rPr>
                <w:rFonts w:ascii="Arial" w:cs="Arial" w:eastAsia="Arial" w:hAnsi="Arial"/>
                <w:sz w:val="11"/>
                <w:szCs w:val="11"/>
                <w:color w:val="auto"/>
              </w:rPr>
              <w:t>(57)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gridSpan w:val="5"/>
          </w:tcPr>
          <w:p>
            <w:pPr>
              <w:ind w:left="200"/>
              <w:spacing w:after="0"/>
              <w:rPr>
                <w:sz w:val="20"/>
                <w:szCs w:val="20"/>
                <w:color w:val="auto"/>
              </w:rPr>
            </w:pPr>
            <w:r>
              <w:rPr>
                <w:rFonts w:ascii="Arial" w:cs="Arial" w:eastAsia="Arial" w:hAnsi="Arial"/>
                <w:sz w:val="11"/>
                <w:szCs w:val="11"/>
                <w:b w:val="1"/>
                <w:bCs w:val="1"/>
                <w:color w:val="auto"/>
              </w:rPr>
              <w:t>Total loans</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235,327</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229,128</w:t>
            </w:r>
          </w:p>
        </w:tc>
        <w:tc>
          <w:tcPr>
            <w:tcW w:w="2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219,482</w:t>
            </w:r>
          </w:p>
        </w:tc>
        <w:tc>
          <w:tcPr>
            <w:tcW w:w="2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210,687</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205,634</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4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223,738</w:t>
            </w:r>
          </w:p>
        </w:tc>
        <w:tc>
          <w:tcPr>
            <w:tcW w:w="2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205,042</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Client deposits and other third-party liabilities</w:t>
            </w: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278,924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281,336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300,425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316,921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323,821</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(14)</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294,261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301,502</w:t>
            </w:r>
          </w:p>
        </w:tc>
        <w:tc>
          <w:tcPr>
            <w:tcW w:w="98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25,000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25,000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25,000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25,000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24,000</w:t>
            </w:r>
          </w:p>
        </w:tc>
        <w:tc>
          <w:tcPr>
            <w:tcW w:w="2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25,000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24,000</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60" w:type="dxa"/>
            <w:vAlign w:val="bottom"/>
            <w:gridSpan w:val="5"/>
          </w:tcPr>
          <w:p>
            <w:pPr>
              <w:spacing w:after="0"/>
              <w:rPr>
                <w:sz w:val="20"/>
                <w:szCs w:val="20"/>
                <w:color w:val="auto"/>
              </w:rPr>
            </w:pPr>
            <w:r>
              <w:rPr>
                <w:rFonts w:ascii="Arial" w:cs="Arial" w:eastAsia="Arial" w:hAnsi="Arial"/>
                <w:sz w:val="11"/>
                <w:szCs w:val="11"/>
                <w:b w:val="1"/>
                <w:bCs w:val="1"/>
                <w:color w:val="auto"/>
              </w:rPr>
              <w:t>Average loans by client segment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Middle Market Banking</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72,109</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70,002</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66,640</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62,437</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59,784</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21</w:t>
            </w:r>
          </w:p>
        </w:tc>
        <w:tc>
          <w:tcPr>
            <w:tcW w:w="4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67,830</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60,128</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Corporate Client Banking</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55,137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52,432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47,832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45,595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44,976</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23</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50,281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44,361</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Commercial Real Estate Banking</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107,831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106,546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104,890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102,498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100,682</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105,459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100,331</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Other</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250</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148</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120</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157</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192</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69</w:t>
            </w:r>
          </w:p>
        </w:tc>
        <w:tc>
          <w:tcPr>
            <w:tcW w:w="220" w:type="dxa"/>
            <w:vAlign w:val="bottom"/>
          </w:tcPr>
          <w:p>
            <w:pPr>
              <w:spacing w:after="0"/>
              <w:rPr>
                <w:sz w:val="15"/>
                <w:szCs w:val="15"/>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30</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168</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222</w:t>
            </w:r>
          </w:p>
        </w:tc>
        <w:tc>
          <w:tcPr>
            <w:tcW w:w="980" w:type="dxa"/>
            <w:vAlign w:val="bottom"/>
            <w:gridSpan w:val="2"/>
          </w:tcPr>
          <w:p>
            <w:pPr>
              <w:jc w:val="right"/>
              <w:ind w:right="6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6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loans</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235,327</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229,128</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219,482</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210,687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205,634</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4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223,738</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205,042</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60" w:type="dxa"/>
            <w:vAlign w:val="bottom"/>
            <w:gridSpan w:val="5"/>
          </w:tcPr>
          <w:p>
            <w:pPr>
              <w:spacing w:after="0"/>
              <w:rPr>
                <w:sz w:val="20"/>
                <w:szCs w:val="20"/>
                <w:color w:val="auto"/>
              </w:rPr>
            </w:pPr>
            <w:r>
              <w:rPr>
                <w:rFonts w:ascii="Arial" w:cs="Arial" w:eastAsia="Arial" w:hAnsi="Arial"/>
                <w:sz w:val="11"/>
                <w:szCs w:val="11"/>
                <w:b w:val="1"/>
                <w:bCs w:val="1"/>
                <w:color w:val="auto"/>
              </w:rPr>
              <w:t>Headcount</w:t>
            </w: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14,687</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14,299</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13,811</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13,220</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12,902</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6"/>
                <w:szCs w:val="16"/>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4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14,687</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12,902</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4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6"/>
              </w:rPr>
              <w:t>CREDIT DATA AND QUALITY STATISTICS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Net charge-offs/(recoveries)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42</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(17)</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338</w:t>
            </w:r>
          </w:p>
        </w:tc>
        <w:tc>
          <w:tcPr>
            <w:tcW w:w="4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84</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71</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Arial" w:cs="Arial" w:eastAsia="Arial" w:hAnsi="Arial"/>
                <w:sz w:val="11"/>
                <w:szCs w:val="11"/>
                <w:b w:val="1"/>
                <w:bCs w:val="1"/>
                <w:color w:val="auto"/>
              </w:rPr>
              <w:t>Nonperforming assets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60" w:type="dxa"/>
            <w:vAlign w:val="bottom"/>
            <w:gridSpan w:val="5"/>
          </w:tcPr>
          <w:p>
            <w:pPr>
              <w:ind w:left="120"/>
              <w:spacing w:after="0"/>
              <w:rPr>
                <w:sz w:val="20"/>
                <w:szCs w:val="20"/>
                <w:color w:val="auto"/>
              </w:rPr>
            </w:pPr>
            <w:r>
              <w:rPr>
                <w:rFonts w:ascii="Arial" w:cs="Arial" w:eastAsia="Arial" w:hAnsi="Arial"/>
                <w:sz w:val="11"/>
                <w:szCs w:val="11"/>
                <w:color w:val="auto"/>
              </w:rPr>
              <w:t>Nonaccrual loans: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5"/>
          </w:tcPr>
          <w:p>
            <w:pPr>
              <w:ind w:left="200"/>
              <w:spacing w:after="0"/>
              <w:rPr>
                <w:sz w:val="20"/>
                <w:szCs w:val="20"/>
                <w:color w:val="auto"/>
              </w:rPr>
            </w:pPr>
            <w:r>
              <w:rPr>
                <w:rFonts w:ascii="Arial" w:cs="Arial" w:eastAsia="Arial" w:hAnsi="Arial"/>
                <w:sz w:val="11"/>
                <w:szCs w:val="11"/>
                <w:color w:val="auto"/>
              </w:rPr>
              <w:t>Nonaccrual loans retained (b)(c)</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766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836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761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751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740</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766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740</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60" w:type="dxa"/>
            <w:vAlign w:val="bottom"/>
            <w:gridSpan w:val="5"/>
          </w:tcPr>
          <w:p>
            <w:pPr>
              <w:ind w:left="200"/>
              <w:spacing w:after="0"/>
              <w:rPr>
                <w:sz w:val="20"/>
                <w:szCs w:val="20"/>
                <w:color w:val="auto"/>
              </w:rPr>
            </w:pPr>
            <w:r>
              <w:rPr>
                <w:rFonts w:ascii="Arial" w:cs="Arial" w:eastAsia="Arial" w:hAnsi="Arial"/>
                <w:sz w:val="11"/>
                <w:szCs w:val="11"/>
                <w:color w:val="auto"/>
              </w:rPr>
              <w:t>Nonaccrual loans held-for-sale and loans</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60" w:type="dxa"/>
            <w:vAlign w:val="bottom"/>
            <w:gridSpan w:val="5"/>
          </w:tcPr>
          <w:p>
            <w:pPr>
              <w:ind w:left="340"/>
              <w:spacing w:after="0"/>
              <w:rPr>
                <w:sz w:val="20"/>
                <w:szCs w:val="20"/>
                <w:color w:val="auto"/>
              </w:rPr>
            </w:pPr>
            <w:r>
              <w:rPr>
                <w:rFonts w:ascii="Arial" w:cs="Arial" w:eastAsia="Arial" w:hAnsi="Arial"/>
                <w:sz w:val="11"/>
                <w:szCs w:val="11"/>
                <w:color w:val="auto"/>
              </w:rPr>
              <w:t>at fair value</w:t>
            </w:r>
          </w:p>
        </w:tc>
        <w:tc>
          <w:tcPr>
            <w:tcW w:w="120" w:type="dxa"/>
            <w:vAlign w:val="bottom"/>
          </w:tcPr>
          <w:p>
            <w:pPr>
              <w:spacing w:after="0"/>
              <w:rPr>
                <w:sz w:val="15"/>
                <w:szCs w:val="15"/>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5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gridSpan w:val="5"/>
          </w:tcPr>
          <w:p>
            <w:pPr>
              <w:ind w:left="200"/>
              <w:spacing w:after="0"/>
              <w:rPr>
                <w:sz w:val="20"/>
                <w:szCs w:val="20"/>
                <w:color w:val="auto"/>
              </w:rPr>
            </w:pPr>
            <w:r>
              <w:rPr>
                <w:rFonts w:ascii="Arial" w:cs="Arial" w:eastAsia="Arial" w:hAnsi="Arial"/>
                <w:sz w:val="11"/>
                <w:szCs w:val="11"/>
                <w:b w:val="1"/>
                <w:bCs w:val="1"/>
                <w:color w:val="auto"/>
              </w:rPr>
              <w:t>Total nonaccrual loans</w:t>
            </w: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766</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836</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761</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751</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740</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766</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740</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gridSpan w:val="5"/>
          </w:tcPr>
          <w:p>
            <w:pPr>
              <w:ind w:left="120"/>
              <w:spacing w:after="0"/>
              <w:rPr>
                <w:sz w:val="20"/>
                <w:szCs w:val="20"/>
                <w:color w:val="auto"/>
              </w:rPr>
            </w:pPr>
            <w:r>
              <w:rPr>
                <w:rFonts w:ascii="Arial" w:cs="Arial" w:eastAsia="Arial" w:hAnsi="Arial"/>
                <w:sz w:val="11"/>
                <w:szCs w:val="11"/>
                <w:color w:val="auto"/>
              </w:rPr>
              <w:t>Assets acquired in loan satisfactions</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w:t>
            </w:r>
          </w:p>
        </w:tc>
        <w:tc>
          <w:tcPr>
            <w:tcW w:w="240" w:type="dxa"/>
            <w:vAlign w:val="bottom"/>
          </w:tcPr>
          <w:p>
            <w:pPr>
              <w:spacing w:after="0"/>
              <w:rPr>
                <w:sz w:val="19"/>
                <w:szCs w:val="19"/>
                <w:color w:val="auto"/>
              </w:rPr>
            </w:pPr>
          </w:p>
        </w:tc>
        <w:tc>
          <w:tcPr>
            <w:tcW w:w="760" w:type="dxa"/>
            <w:vAlign w:val="bottom"/>
            <w:gridSpan w:val="2"/>
          </w:tcPr>
          <w:p>
            <w:pPr>
              <w:ind w:left="360"/>
              <w:spacing w:after="0"/>
              <w:rPr>
                <w:sz w:val="20"/>
                <w:szCs w:val="20"/>
                <w:color w:val="auto"/>
              </w:rPr>
            </w:pPr>
            <w:r>
              <w:rPr>
                <w:rFonts w:ascii="Arial" w:cs="Arial" w:eastAsia="Arial" w:hAnsi="Arial"/>
                <w:sz w:val="11"/>
                <w:szCs w:val="11"/>
                <w:color w:val="auto"/>
              </w:rPr>
              <w:t>NM</w:t>
            </w:r>
          </w:p>
        </w:tc>
        <w:tc>
          <w:tcPr>
            <w:tcW w:w="100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gridSpan w:val="5"/>
          </w:tcPr>
          <w:p>
            <w:pPr>
              <w:ind w:left="200"/>
              <w:spacing w:after="0"/>
              <w:rPr>
                <w:sz w:val="20"/>
                <w:szCs w:val="20"/>
                <w:color w:val="auto"/>
              </w:rPr>
            </w:pPr>
            <w:r>
              <w:rPr>
                <w:rFonts w:ascii="Arial" w:cs="Arial" w:eastAsia="Arial" w:hAnsi="Arial"/>
                <w:sz w:val="11"/>
                <w:szCs w:val="11"/>
                <w:b w:val="1"/>
                <w:bCs w:val="1"/>
                <w:color w:val="auto"/>
              </w:rPr>
              <w:t>Total nonperforming assets</w:t>
            </w: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766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843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769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768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757</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766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757</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Allowance for credit losses: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5"/>
          </w:tcPr>
          <w:p>
            <w:pPr>
              <w:ind w:left="120"/>
              <w:spacing w:after="0"/>
              <w:rPr>
                <w:sz w:val="20"/>
                <w:szCs w:val="20"/>
                <w:color w:val="auto"/>
              </w:rPr>
            </w:pPr>
            <w:r>
              <w:rPr>
                <w:rFonts w:ascii="Arial" w:cs="Arial" w:eastAsia="Arial" w:hAnsi="Arial"/>
                <w:sz w:val="11"/>
                <w:szCs w:val="11"/>
                <w:color w:val="auto"/>
              </w:rPr>
              <w:t>Allowance for loan losses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3,324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3,050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2,602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2,357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2,219</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3,324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2,219</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50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60" w:type="dxa"/>
            <w:vAlign w:val="bottom"/>
            <w:gridSpan w:val="5"/>
          </w:tcPr>
          <w:p>
            <w:pPr>
              <w:ind w:left="120"/>
              <w:spacing w:after="0"/>
              <w:rPr>
                <w:sz w:val="20"/>
                <w:szCs w:val="20"/>
                <w:color w:val="auto"/>
              </w:rPr>
            </w:pPr>
            <w:r>
              <w:rPr>
                <w:rFonts w:ascii="Arial" w:cs="Arial" w:eastAsia="Arial" w:hAnsi="Arial"/>
                <w:sz w:val="11"/>
                <w:szCs w:val="11"/>
                <w:color w:val="auto"/>
              </w:rPr>
              <w:t>Allowance for lending-related commitments</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830</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864</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725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762</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749</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5"/>
                <w:szCs w:val="15"/>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830</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749</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gridSpan w:val="5"/>
          </w:tcPr>
          <w:p>
            <w:pPr>
              <w:ind w:left="200"/>
              <w:spacing w:after="0"/>
              <w:rPr>
                <w:sz w:val="20"/>
                <w:szCs w:val="20"/>
                <w:color w:val="auto"/>
              </w:rPr>
            </w:pPr>
            <w:r>
              <w:rPr>
                <w:rFonts w:ascii="Arial" w:cs="Arial" w:eastAsia="Arial" w:hAnsi="Arial"/>
                <w:sz w:val="11"/>
                <w:szCs w:val="11"/>
                <w:b w:val="1"/>
                <w:bCs w:val="1"/>
                <w:color w:val="auto"/>
              </w:rPr>
              <w:t>Total allowance for credit losses</w:t>
            </w: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4,154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3,914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3,327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3,119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2,968</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40</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4,154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2,968</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Net charge-off/(recovery) rate (d)</w:t>
            </w:r>
          </w:p>
        </w:tc>
        <w:tc>
          <w:tcPr>
            <w:tcW w:w="12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0.06</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0.07  %</w:t>
            </w:r>
          </w:p>
        </w:tc>
        <w:tc>
          <w:tcPr>
            <w:tcW w:w="12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1"/>
                <w:szCs w:val="11"/>
                <w:color w:val="auto"/>
              </w:rPr>
              <w:t>—  %</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0.01</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0.02</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0.04</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0.04</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Allowance for loan losses to period-end loans</w:t>
            </w:r>
          </w:p>
        </w:tc>
        <w:tc>
          <w:tcPr>
            <w:tcW w:w="120" w:type="dxa"/>
            <w:vAlign w:val="bottom"/>
          </w:tcPr>
          <w:p>
            <w:pPr>
              <w:spacing w:after="0"/>
              <w:rPr>
                <w:sz w:val="11"/>
                <w:szCs w:val="11"/>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1.42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1.32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1.16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1.11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1.08</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1.42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1.08</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retained</w:t>
            </w: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Allowance for loan losses to nonaccrual loans</w:t>
            </w:r>
          </w:p>
        </w:tc>
        <w:tc>
          <w:tcPr>
            <w:tcW w:w="120" w:type="dxa"/>
            <w:vAlign w:val="bottom"/>
          </w:tcPr>
          <w:p>
            <w:pPr>
              <w:spacing w:after="0"/>
              <w:rPr>
                <w:sz w:val="11"/>
                <w:szCs w:val="11"/>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434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365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342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314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300</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434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300</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retained (b)</w:t>
            </w: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Nonaccrual loans to period-end total loans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0.33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0.36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0.34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0.35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0.36</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0.33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0.36</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80" w:right="120" w:hanging="172"/>
        <w:spacing w:after="0" w:line="249" w:lineRule="auto"/>
        <w:tabs>
          <w:tab w:leader="none" w:pos="177" w:val="left"/>
        </w:tabs>
        <w:numPr>
          <w:ilvl w:val="0"/>
          <w:numId w:val="30"/>
        </w:numPr>
        <w:rPr>
          <w:rFonts w:ascii="Arial" w:cs="Arial" w:eastAsia="Arial" w:hAnsi="Arial"/>
          <w:sz w:val="11"/>
          <w:szCs w:val="11"/>
          <w:color w:val="auto"/>
        </w:rPr>
      </w:pPr>
      <w:r>
        <w:rPr>
          <w:rFonts w:ascii="Arial" w:cs="Arial" w:eastAsia="Arial" w:hAnsi="Arial"/>
          <w:sz w:val="11"/>
          <w:szCs w:val="11"/>
          <w:color w:val="auto"/>
        </w:rPr>
        <w:t>At December 31, 2022, September 30, 2022, June 30, 2022, March 31, 2022 and December 31, 2021, total loans included $132 million, $205 million, $335 million, $640 million, and $1.2 billion of loans, respectively, under the PPP, of which $123 million, $187 million, $306 million, $604 million, and $1.1 billion, were in Middle Market Banking. Refer to page 109 of the Firm’s 2021 Form 10-K for further information on the PPP.</w:t>
      </w:r>
    </w:p>
    <w:p>
      <w:pPr>
        <w:ind w:left="180" w:right="460" w:hanging="172"/>
        <w:spacing w:after="0" w:line="243" w:lineRule="auto"/>
        <w:tabs>
          <w:tab w:leader="none" w:pos="177" w:val="left"/>
        </w:tabs>
        <w:numPr>
          <w:ilvl w:val="0"/>
          <w:numId w:val="30"/>
        </w:numPr>
        <w:rPr>
          <w:rFonts w:ascii="Arial" w:cs="Arial" w:eastAsia="Arial" w:hAnsi="Arial"/>
          <w:sz w:val="11"/>
          <w:szCs w:val="11"/>
          <w:color w:val="auto"/>
        </w:rPr>
      </w:pPr>
      <w:r>
        <w:rPr>
          <w:rFonts w:ascii="Arial" w:cs="Arial" w:eastAsia="Arial" w:hAnsi="Arial"/>
          <w:sz w:val="11"/>
          <w:szCs w:val="11"/>
          <w:color w:val="auto"/>
        </w:rPr>
        <w:t>Allowance for loan losses of $153 million, $150 million, $74 million, $104 million and $124 million was held against nonaccrual loans retained at December 31, 2022, September 30, 2022, June 30, 2022, March 31, 2022 and December 31, 2021, respectively.</w:t>
      </w:r>
    </w:p>
    <w:p>
      <w:pPr>
        <w:ind w:left="180" w:right="40" w:hanging="172"/>
        <w:spacing w:after="0" w:line="246" w:lineRule="auto"/>
        <w:tabs>
          <w:tab w:leader="none" w:pos="171" w:val="left"/>
        </w:tabs>
        <w:numPr>
          <w:ilvl w:val="0"/>
          <w:numId w:val="30"/>
        </w:numPr>
        <w:rPr>
          <w:rFonts w:ascii="Arial" w:cs="Arial" w:eastAsia="Arial" w:hAnsi="Arial"/>
          <w:sz w:val="11"/>
          <w:szCs w:val="11"/>
          <w:color w:val="auto"/>
        </w:rPr>
      </w:pPr>
      <w:r>
        <w:rPr>
          <w:rFonts w:ascii="Arial" w:cs="Arial" w:eastAsia="Arial" w:hAnsi="Arial"/>
          <w:sz w:val="11"/>
          <w:szCs w:val="11"/>
          <w:color w:val="auto"/>
        </w:rPr>
        <w:t>At December 31, 2022, September 30, 2022, June 30, 2022, March 31, 2022, and December 31, 2021, nonaccrual loans excluded PPP loans 90 or more days past due and insured by the SBA of $18 million, $27 million, $32 million, $50 million and $114 million, respectively. These amounts have been excluded based upon the SBA guarantee.</w:t>
      </w:r>
    </w:p>
    <w:p>
      <w:pPr>
        <w:ind w:left="160" w:hanging="152"/>
        <w:spacing w:after="0"/>
        <w:tabs>
          <w:tab w:leader="none" w:pos="1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Loans held-for-sale and loans at fair value were excluded when calculating the net charge-off/(recovery) rate.</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20</w:t>
      </w:r>
    </w:p>
    <w:p>
      <w:pPr>
        <w:sectPr>
          <w:pgSz w:w="11900" w:h="16838" w:orient="portrait"/>
          <w:cols w:equalWidth="0" w:num="1">
            <w:col w:w="11240"/>
          </w:cols>
          <w:pgMar w:left="320" w:top="572"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13970</wp:posOffset>
            </wp:positionV>
            <wp:extent cx="237426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 &amp; WEALTH</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MANAGEMENT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and headcount data)</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1"/>
                <w:szCs w:val="11"/>
                <w:b w:val="1"/>
                <w:bCs w:val="1"/>
                <w:color w:val="auto"/>
                <w:w w:val="95"/>
              </w:rPr>
              <w:t>QUARTERLY TRENDS</w:t>
            </w:r>
          </w:p>
        </w:tc>
        <w:tc>
          <w:tcPr>
            <w:tcW w:w="4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866"/>
              <w:spacing w:after="0"/>
              <w:rPr>
                <w:sz w:val="20"/>
                <w:szCs w:val="20"/>
                <w:color w:val="auto"/>
              </w:rPr>
            </w:pPr>
            <w:r>
              <w:rPr>
                <w:rFonts w:ascii="Arial" w:cs="Arial" w:eastAsia="Arial" w:hAnsi="Arial"/>
                <w:sz w:val="11"/>
                <w:szCs w:val="11"/>
                <w:b w:val="1"/>
                <w:bCs w:val="1"/>
                <w:color w:val="auto"/>
                <w:w w:val="97"/>
              </w:rPr>
              <w:t>FULL YEAR</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Borders>
              <w:bottom w:val="single" w:sz="8" w:color="auto"/>
            </w:tcBorders>
            <w:gridSpan w:val="3"/>
          </w:tcPr>
          <w:p>
            <w:pPr>
              <w:jc w:val="right"/>
              <w:ind w:right="286"/>
              <w:spacing w:after="0"/>
              <w:rPr>
                <w:sz w:val="20"/>
                <w:szCs w:val="20"/>
                <w:color w:val="auto"/>
              </w:rPr>
            </w:pPr>
            <w:r>
              <w:rPr>
                <w:rFonts w:ascii="Arial" w:cs="Arial" w:eastAsia="Arial" w:hAnsi="Arial"/>
                <w:sz w:val="11"/>
                <w:szCs w:val="11"/>
                <w:b w:val="1"/>
                <w:bCs w:val="1"/>
                <w:color w:val="auto"/>
              </w:rPr>
              <w:t>4Q22 Change</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 Change</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4Q22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3Q22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b w:val="1"/>
                <w:bCs w:val="1"/>
                <w:color w:val="auto"/>
              </w:rPr>
              <w:t>2Q22</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1Q22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4Q21</w:t>
            </w:r>
          </w:p>
        </w:tc>
        <w:tc>
          <w:tcPr>
            <w:tcW w:w="28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3Q22</w:t>
            </w:r>
          </w:p>
        </w:tc>
        <w:tc>
          <w:tcPr>
            <w:tcW w:w="100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4Q21</w:t>
            </w:r>
          </w:p>
        </w:tc>
        <w:tc>
          <w:tcPr>
            <w:tcW w:w="140" w:type="dxa"/>
            <w:vAlign w:val="bottom"/>
          </w:tcPr>
          <w:p>
            <w:pPr>
              <w:spacing w:after="0"/>
              <w:rPr>
                <w:sz w:val="13"/>
                <w:szCs w:val="13"/>
                <w:color w:val="auto"/>
              </w:rPr>
            </w:pPr>
          </w:p>
        </w:tc>
        <w:tc>
          <w:tcPr>
            <w:tcW w:w="460" w:type="dxa"/>
            <w:vAlign w:val="bottom"/>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26"/>
              <w:spacing w:after="0"/>
              <w:rPr>
                <w:sz w:val="20"/>
                <w:szCs w:val="20"/>
                <w:color w:val="auto"/>
              </w:rPr>
            </w:pPr>
            <w:r>
              <w:rPr>
                <w:rFonts w:ascii="Arial" w:cs="Arial" w:eastAsia="Arial" w:hAnsi="Arial"/>
                <w:sz w:val="11"/>
                <w:szCs w:val="11"/>
                <w:b w:val="1"/>
                <w:bCs w:val="1"/>
                <w:color w:val="auto"/>
              </w:rPr>
              <w:t>2021</w:t>
            </w:r>
          </w:p>
        </w:tc>
        <w:tc>
          <w:tcPr>
            <w:tcW w:w="102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08"/>
        </w:trPr>
        <w:tc>
          <w:tcPr>
            <w:tcW w:w="1120" w:type="dxa"/>
            <w:vAlign w:val="bottom"/>
            <w:tcBorders>
              <w:bottom w:val="single" w:sz="8" w:color="auto"/>
            </w:tcBorders>
            <w:gridSpan w:val="2"/>
          </w:tcPr>
          <w:p>
            <w:pPr>
              <w:spacing w:after="0" w:line="108" w:lineRule="exact"/>
              <w:rPr>
                <w:sz w:val="20"/>
                <w:szCs w:val="20"/>
                <w:color w:val="auto"/>
              </w:rPr>
            </w:pPr>
            <w:r>
              <w:rPr>
                <w:rFonts w:ascii="Arial" w:cs="Arial" w:eastAsia="Arial" w:hAnsi="Arial"/>
                <w:sz w:val="11"/>
                <w:szCs w:val="11"/>
                <w:b w:val="1"/>
                <w:bCs w:val="1"/>
                <w:color w:val="auto"/>
                <w:w w:val="96"/>
              </w:rPr>
              <w:t>INCOME STATEMENT</w:t>
            </w:r>
          </w:p>
        </w:tc>
        <w:tc>
          <w:tcPr>
            <w:tcW w:w="1240" w:type="dxa"/>
            <w:vAlign w:val="bottom"/>
            <w:gridSpan w:val="2"/>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360" w:type="dxa"/>
            <w:vAlign w:val="bottom"/>
            <w:gridSpan w:val="4"/>
          </w:tcPr>
          <w:p>
            <w:pPr>
              <w:spacing w:after="0"/>
              <w:rPr>
                <w:sz w:val="20"/>
                <w:szCs w:val="20"/>
                <w:color w:val="auto"/>
              </w:rPr>
            </w:pPr>
            <w:r>
              <w:rPr>
                <w:rFonts w:ascii="Arial" w:cs="Arial" w:eastAsia="Arial" w:hAnsi="Arial"/>
                <w:sz w:val="11"/>
                <w:szCs w:val="11"/>
                <w:b w:val="1"/>
                <w:bCs w:val="1"/>
                <w:color w:val="auto"/>
              </w:rPr>
              <w:t>REVENUE</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360" w:type="dxa"/>
            <w:vAlign w:val="bottom"/>
            <w:gridSpan w:val="4"/>
          </w:tcPr>
          <w:p>
            <w:pPr>
              <w:spacing w:after="0" w:line="122" w:lineRule="exact"/>
              <w:rPr>
                <w:sz w:val="20"/>
                <w:szCs w:val="20"/>
                <w:color w:val="auto"/>
              </w:rPr>
            </w:pPr>
            <w:r>
              <w:rPr>
                <w:rFonts w:ascii="Arial" w:cs="Arial" w:eastAsia="Arial" w:hAnsi="Arial"/>
                <w:sz w:val="11"/>
                <w:szCs w:val="11"/>
                <w:color w:val="auto"/>
              </w:rPr>
              <w:t>Asset management, administration and</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2,976</w:t>
            </w:r>
          </w:p>
        </w:tc>
        <w:tc>
          <w:tcPr>
            <w:tcW w:w="24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3,044</w:t>
            </w:r>
          </w:p>
        </w:tc>
        <w:tc>
          <w:tcPr>
            <w:tcW w:w="2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3,037</w:t>
            </w:r>
          </w:p>
        </w:tc>
        <w:tc>
          <w:tcPr>
            <w:tcW w:w="400" w:type="dxa"/>
            <w:vAlign w:val="bottom"/>
            <w:gridSpan w:val="3"/>
            <w:vMerge w:val="restart"/>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3,115</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3,330</w:t>
            </w:r>
          </w:p>
        </w:tc>
        <w:tc>
          <w:tcPr>
            <w:tcW w:w="2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(11)%</w:t>
            </w:r>
          </w:p>
        </w:tc>
        <w:tc>
          <w:tcPr>
            <w:tcW w:w="420" w:type="dxa"/>
            <w:vAlign w:val="bottom"/>
          </w:tcPr>
          <w:p>
            <w:pPr>
              <w:spacing w:after="0"/>
              <w:rPr>
                <w:sz w:val="10"/>
                <w:szCs w:val="10"/>
                <w:color w:val="auto"/>
              </w:rPr>
            </w:pPr>
          </w:p>
        </w:tc>
        <w:tc>
          <w:tcPr>
            <w:tcW w:w="140" w:type="dxa"/>
            <w:vAlign w:val="bottom"/>
            <w:vMerge w:val="restart"/>
          </w:tcPr>
          <w:p>
            <w:pPr>
              <w:jc w:val="right"/>
              <w:ind w:right="6"/>
              <w:spacing w:after="0"/>
              <w:rPr>
                <w:sz w:val="20"/>
                <w:szCs w:val="20"/>
                <w:color w:val="auto"/>
              </w:rPr>
            </w:pPr>
            <w:r>
              <w:rPr>
                <w:rFonts w:ascii="Arial" w:cs="Arial" w:eastAsia="Arial" w:hAnsi="Arial"/>
                <w:sz w:val="11"/>
                <w:szCs w:val="11"/>
                <w:color w:val="auto"/>
                <w:w w:val="97"/>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12,172</w:t>
            </w:r>
          </w:p>
        </w:tc>
        <w:tc>
          <w:tcPr>
            <w:tcW w:w="24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ind w:right="6"/>
              <w:spacing w:after="0"/>
              <w:rPr>
                <w:sz w:val="20"/>
                <w:szCs w:val="20"/>
                <w:color w:val="auto"/>
              </w:rPr>
            </w:pPr>
            <w:r>
              <w:rPr>
                <w:rFonts w:ascii="Arial" w:cs="Arial" w:eastAsia="Arial" w:hAnsi="Arial"/>
                <w:sz w:val="11"/>
                <w:szCs w:val="11"/>
                <w:color w:val="auto"/>
              </w:rPr>
              <w:t>12,333</w:t>
            </w:r>
          </w:p>
        </w:tc>
        <w:tc>
          <w:tcPr>
            <w:tcW w:w="1020" w:type="dxa"/>
            <w:vAlign w:val="bottom"/>
            <w:gridSpan w:val="2"/>
            <w:vMerge w:val="restart"/>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2"/>
        </w:trPr>
        <w:tc>
          <w:tcPr>
            <w:tcW w:w="2360" w:type="dxa"/>
            <w:vAlign w:val="bottom"/>
            <w:gridSpan w:val="4"/>
          </w:tcPr>
          <w:p>
            <w:pPr>
              <w:spacing w:after="0"/>
              <w:rPr>
                <w:sz w:val="20"/>
                <w:szCs w:val="20"/>
                <w:color w:val="auto"/>
              </w:rPr>
            </w:pPr>
            <w:r>
              <w:rPr>
                <w:rFonts w:ascii="Arial" w:cs="Arial" w:eastAsia="Arial" w:hAnsi="Arial"/>
                <w:sz w:val="11"/>
                <w:szCs w:val="11"/>
                <w:color w:val="auto"/>
              </w:rPr>
              <w:t>commissions</w:t>
            </w:r>
          </w:p>
        </w:tc>
        <w:tc>
          <w:tcPr>
            <w:tcW w:w="1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40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60" w:type="dxa"/>
            <w:vAlign w:val="bottom"/>
            <w:gridSpan w:val="4"/>
          </w:tcPr>
          <w:p>
            <w:pPr>
              <w:spacing w:after="0"/>
              <w:rPr>
                <w:sz w:val="20"/>
                <w:szCs w:val="20"/>
                <w:color w:val="auto"/>
              </w:rPr>
            </w:pPr>
            <w:r>
              <w:rPr>
                <w:rFonts w:ascii="Arial" w:cs="Arial" w:eastAsia="Arial" w:hAnsi="Arial"/>
                <w:sz w:val="11"/>
                <w:szCs w:val="11"/>
                <w:color w:val="auto"/>
              </w:rPr>
              <w:t>All other income</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82</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w:t>
            </w:r>
          </w:p>
        </w:tc>
        <w:tc>
          <w:tcPr>
            <w:tcW w:w="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124</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118</w:t>
            </w:r>
          </w:p>
        </w:tc>
        <w:tc>
          <w:tcPr>
            <w:tcW w:w="28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(31)</w:t>
            </w: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335</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738</w:t>
            </w:r>
          </w:p>
        </w:tc>
        <w:tc>
          <w:tcPr>
            <w:tcW w:w="1020" w:type="dxa"/>
            <w:vAlign w:val="bottom"/>
            <w:gridSpan w:val="2"/>
          </w:tcPr>
          <w:p>
            <w:pPr>
              <w:jc w:val="right"/>
              <w:ind w:right="66"/>
              <w:spacing w:after="0"/>
              <w:rPr>
                <w:sz w:val="20"/>
                <w:szCs w:val="20"/>
                <w:color w:val="auto"/>
              </w:rPr>
            </w:pPr>
            <w:r>
              <w:rPr>
                <w:rFonts w:ascii="Arial" w:cs="Arial" w:eastAsia="Arial" w:hAnsi="Arial"/>
                <w:sz w:val="11"/>
                <w:szCs w:val="11"/>
                <w:color w:val="auto"/>
              </w:rPr>
              <w:t>(55)</w:t>
            </w:r>
          </w:p>
        </w:tc>
        <w:tc>
          <w:tcPr>
            <w:tcW w:w="0" w:type="dxa"/>
            <w:vAlign w:val="bottom"/>
          </w:tcPr>
          <w:p>
            <w:pPr>
              <w:spacing w:after="0"/>
              <w:rPr>
                <w:sz w:val="1"/>
                <w:szCs w:val="1"/>
                <w:color w:val="auto"/>
              </w:rPr>
            </w:pPr>
          </w:p>
        </w:tc>
      </w:tr>
      <w:tr>
        <w:trPr>
          <w:trHeight w:val="148"/>
        </w:trPr>
        <w:tc>
          <w:tcPr>
            <w:tcW w:w="2360" w:type="dxa"/>
            <w:vAlign w:val="bottom"/>
            <w:gridSpan w:val="4"/>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3,058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3,126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3,084</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3,239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3,448</w:t>
            </w:r>
          </w:p>
        </w:tc>
        <w:tc>
          <w:tcPr>
            <w:tcW w:w="280" w:type="dxa"/>
            <w:vAlign w:val="bottom"/>
          </w:tcPr>
          <w:p>
            <w:pPr>
              <w:spacing w:after="0"/>
              <w:rPr>
                <w:sz w:val="12"/>
                <w:szCs w:val="12"/>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2"/>
                <w:szCs w:val="12"/>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12,507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13,071</w:t>
            </w:r>
          </w:p>
        </w:tc>
        <w:tc>
          <w:tcPr>
            <w:tcW w:w="102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9"/>
        </w:trPr>
        <w:tc>
          <w:tcPr>
            <w:tcW w:w="2360" w:type="dxa"/>
            <w:vAlign w:val="bottom"/>
            <w:gridSpan w:val="4"/>
          </w:tcPr>
          <w:p>
            <w:pPr>
              <w:spacing w:after="0"/>
              <w:rPr>
                <w:sz w:val="20"/>
                <w:szCs w:val="20"/>
                <w:color w:val="auto"/>
              </w:rPr>
            </w:pPr>
            <w:r>
              <w:rPr>
                <w:rFonts w:ascii="Arial" w:cs="Arial" w:eastAsia="Arial" w:hAnsi="Arial"/>
                <w:sz w:val="11"/>
                <w:szCs w:val="11"/>
                <w:color w:val="auto"/>
              </w:rPr>
              <w:t>Net interest income</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1,530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1,413</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1,222</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1,076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1,025</w:t>
            </w:r>
          </w:p>
        </w:tc>
        <w:tc>
          <w:tcPr>
            <w:tcW w:w="28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49</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5,241</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3,886</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48"/>
        </w:trPr>
        <w:tc>
          <w:tcPr>
            <w:tcW w:w="236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4,588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4,539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4,306</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4,315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4,473</w:t>
            </w:r>
          </w:p>
        </w:tc>
        <w:tc>
          <w:tcPr>
            <w:tcW w:w="28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17,748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16,957</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318"/>
        </w:trPr>
        <w:tc>
          <w:tcPr>
            <w:tcW w:w="2360" w:type="dxa"/>
            <w:vAlign w:val="bottom"/>
            <w:gridSpan w:val="4"/>
          </w:tcPr>
          <w:p>
            <w:pPr>
              <w:spacing w:after="0"/>
              <w:rPr>
                <w:sz w:val="20"/>
                <w:szCs w:val="20"/>
                <w:color w:val="auto"/>
              </w:rPr>
            </w:pPr>
            <w:r>
              <w:rPr>
                <w:rFonts w:ascii="Arial" w:cs="Arial" w:eastAsia="Arial" w:hAnsi="Arial"/>
                <w:sz w:val="11"/>
                <w:szCs w:val="11"/>
                <w:color w:val="auto"/>
              </w:rPr>
              <w:t>Provision for credit losses</w:t>
            </w: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154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(36)</w:t>
            </w:r>
          </w:p>
        </w:tc>
        <w:tc>
          <w:tcPr>
            <w:tcW w:w="280" w:type="dxa"/>
            <w:vAlign w:val="bottom"/>
          </w:tcPr>
          <w:p>
            <w:pPr>
              <w:spacing w:after="0"/>
              <w:rPr>
                <w:sz w:val="24"/>
                <w:szCs w:val="24"/>
                <w:color w:val="auto"/>
              </w:rPr>
            </w:pPr>
          </w:p>
        </w:tc>
        <w:tc>
          <w:tcPr>
            <w:tcW w:w="800" w:type="dxa"/>
            <w:vAlign w:val="bottom"/>
            <w:gridSpan w:val="2"/>
          </w:tcPr>
          <w:p>
            <w:pPr>
              <w:ind w:left="400"/>
              <w:spacing w:after="0"/>
              <w:rPr>
                <w:sz w:val="20"/>
                <w:szCs w:val="20"/>
                <w:color w:val="auto"/>
              </w:rPr>
            </w:pPr>
            <w:r>
              <w:rPr>
                <w:rFonts w:ascii="Arial" w:cs="Arial" w:eastAsia="Arial" w:hAnsi="Arial"/>
                <w:sz w:val="11"/>
                <w:szCs w:val="11"/>
                <w:color w:val="auto"/>
              </w:rPr>
              <w:t>NM</w:t>
            </w:r>
          </w:p>
        </w:tc>
        <w:tc>
          <w:tcPr>
            <w:tcW w:w="100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4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128</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(227)</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330"/>
        </w:trPr>
        <w:tc>
          <w:tcPr>
            <w:tcW w:w="2360" w:type="dxa"/>
            <w:vAlign w:val="bottom"/>
            <w:gridSpan w:val="4"/>
          </w:tcPr>
          <w:p>
            <w:pPr>
              <w:spacing w:after="0"/>
              <w:rPr>
                <w:sz w:val="20"/>
                <w:szCs w:val="20"/>
                <w:color w:val="auto"/>
              </w:rPr>
            </w:pPr>
            <w:r>
              <w:rPr>
                <w:rFonts w:ascii="Arial" w:cs="Arial" w:eastAsia="Arial" w:hAnsi="Arial"/>
                <w:sz w:val="11"/>
                <w:szCs w:val="11"/>
                <w:b w:val="1"/>
                <w:bCs w:val="1"/>
                <w:color w:val="auto"/>
              </w:rPr>
              <w:t>NONINTEREST EXPENSE</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360" w:type="dxa"/>
            <w:vAlign w:val="bottom"/>
            <w:gridSpan w:val="4"/>
          </w:tcPr>
          <w:p>
            <w:pPr>
              <w:spacing w:after="0"/>
              <w:rPr>
                <w:sz w:val="20"/>
                <w:szCs w:val="20"/>
                <w:color w:val="auto"/>
              </w:rPr>
            </w:pPr>
            <w:r>
              <w:rPr>
                <w:rFonts w:ascii="Arial" w:cs="Arial" w:eastAsia="Arial" w:hAnsi="Arial"/>
                <w:sz w:val="11"/>
                <w:szCs w:val="11"/>
                <w:color w:val="auto"/>
              </w:rPr>
              <w:t>Compensation expense</w:t>
            </w:r>
          </w:p>
        </w:tc>
        <w:tc>
          <w:tcPr>
            <w:tcW w:w="1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1,649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1,649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1,508</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1,530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1,560</w:t>
            </w:r>
          </w:p>
        </w:tc>
        <w:tc>
          <w:tcPr>
            <w:tcW w:w="28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6,336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5,692</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75"/>
        </w:trPr>
        <w:tc>
          <w:tcPr>
            <w:tcW w:w="2360" w:type="dxa"/>
            <w:vAlign w:val="bottom"/>
            <w:gridSpan w:val="4"/>
          </w:tcPr>
          <w:p>
            <w:pPr>
              <w:spacing w:after="0"/>
              <w:rPr>
                <w:sz w:val="20"/>
                <w:szCs w:val="20"/>
                <w:color w:val="auto"/>
              </w:rPr>
            </w:pPr>
            <w:r>
              <w:rPr>
                <w:rFonts w:ascii="Arial" w:cs="Arial" w:eastAsia="Arial" w:hAnsi="Arial"/>
                <w:sz w:val="11"/>
                <w:szCs w:val="11"/>
                <w:color w:val="auto"/>
              </w:rPr>
              <w:t>Noncompensation expense</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1,373</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1,379</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1,411</w:t>
            </w:r>
          </w:p>
        </w:tc>
        <w:tc>
          <w:tcPr>
            <w:tcW w:w="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1,330</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1,437</w:t>
            </w:r>
          </w:p>
        </w:tc>
        <w:tc>
          <w:tcPr>
            <w:tcW w:w="28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5,493</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5,227</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56"/>
        </w:trPr>
        <w:tc>
          <w:tcPr>
            <w:tcW w:w="236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NONINTEREST EXPENSE</w:t>
            </w: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3,022</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3,028</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2,919</w:t>
            </w:r>
          </w:p>
        </w:tc>
        <w:tc>
          <w:tcPr>
            <w:tcW w:w="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2,860</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2,997</w:t>
            </w:r>
          </w:p>
        </w:tc>
        <w:tc>
          <w:tcPr>
            <w:tcW w:w="28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11,829</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10,919</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96"/>
        </w:trPr>
        <w:tc>
          <w:tcPr>
            <w:tcW w:w="2360" w:type="dxa"/>
            <w:vAlign w:val="bottom"/>
            <w:gridSpan w:val="4"/>
          </w:tcPr>
          <w:p>
            <w:pPr>
              <w:spacing w:after="0"/>
              <w:rPr>
                <w:sz w:val="20"/>
                <w:szCs w:val="20"/>
                <w:color w:val="auto"/>
              </w:rPr>
            </w:pPr>
            <w:r>
              <w:rPr>
                <w:rFonts w:ascii="Arial" w:cs="Arial" w:eastAsia="Arial" w:hAnsi="Arial"/>
                <w:sz w:val="11"/>
                <w:szCs w:val="11"/>
                <w:b w:val="1"/>
                <w:bCs w:val="1"/>
                <w:color w:val="auto"/>
              </w:rPr>
              <w:t>Income before income tax expense</w:t>
            </w: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1,534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1,613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1,343</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1,301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1,512</w:t>
            </w:r>
          </w:p>
        </w:tc>
        <w:tc>
          <w:tcPr>
            <w:tcW w:w="280" w:type="dxa"/>
            <w:vAlign w:val="bottom"/>
          </w:tcPr>
          <w:p>
            <w:pPr>
              <w:spacing w:after="0"/>
              <w:rPr>
                <w:sz w:val="24"/>
                <w:szCs w:val="2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24"/>
                <w:szCs w:val="2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5,791</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6,265</w:t>
            </w:r>
          </w:p>
        </w:tc>
        <w:tc>
          <w:tcPr>
            <w:tcW w:w="102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70"/>
        </w:trPr>
        <w:tc>
          <w:tcPr>
            <w:tcW w:w="2360" w:type="dxa"/>
            <w:vAlign w:val="bottom"/>
            <w:gridSpan w:val="4"/>
          </w:tcPr>
          <w:p>
            <w:pPr>
              <w:spacing w:after="0"/>
              <w:rPr>
                <w:sz w:val="20"/>
                <w:szCs w:val="20"/>
                <w:color w:val="auto"/>
              </w:rPr>
            </w:pPr>
            <w:r>
              <w:rPr>
                <w:rFonts w:ascii="Arial" w:cs="Arial" w:eastAsia="Arial" w:hAnsi="Arial"/>
                <w:sz w:val="11"/>
                <w:szCs w:val="11"/>
                <w:color w:val="auto"/>
              </w:rPr>
              <w:t>Income tax expense</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400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394</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339</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293</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387</w:t>
            </w:r>
          </w:p>
        </w:tc>
        <w:tc>
          <w:tcPr>
            <w:tcW w:w="280" w:type="dxa"/>
            <w:vAlign w:val="bottom"/>
          </w:tcPr>
          <w:p>
            <w:pPr>
              <w:ind w:left="20"/>
              <w:spacing w:after="0"/>
              <w:rPr>
                <w:sz w:val="20"/>
                <w:szCs w:val="20"/>
                <w:color w:val="auto"/>
              </w:rPr>
            </w:pPr>
            <w:r>
              <w:rPr>
                <w:rFonts w:ascii="Arial" w:cs="Arial" w:eastAsia="Arial" w:hAnsi="Arial"/>
                <w:sz w:val="11"/>
                <w:szCs w:val="11"/>
                <w:color w:val="auto"/>
              </w:rPr>
              <w:t>(a)</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1,426</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1,528</w:t>
            </w:r>
          </w:p>
        </w:tc>
        <w:tc>
          <w:tcPr>
            <w:tcW w:w="1020" w:type="dxa"/>
            <w:vAlign w:val="bottom"/>
            <w:gridSpan w:val="2"/>
          </w:tcPr>
          <w:p>
            <w:pPr>
              <w:jc w:val="right"/>
              <w:ind w:right="6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9"/>
        </w:trPr>
        <w:tc>
          <w:tcPr>
            <w:tcW w:w="2360" w:type="dxa"/>
            <w:vAlign w:val="bottom"/>
            <w:gridSpan w:val="4"/>
          </w:tcPr>
          <w:p>
            <w:pPr>
              <w:ind w:left="120"/>
              <w:spacing w:after="0"/>
              <w:rPr>
                <w:sz w:val="20"/>
                <w:szCs w:val="20"/>
                <w:color w:val="auto"/>
              </w:rPr>
            </w:pPr>
            <w:r>
              <w:rPr>
                <w:rFonts w:ascii="Arial" w:cs="Arial" w:eastAsia="Arial" w:hAnsi="Arial"/>
                <w:sz w:val="11"/>
                <w:szCs w:val="11"/>
                <w:b w:val="1"/>
                <w:bCs w:val="1"/>
                <w:color w:val="auto"/>
              </w:rPr>
              <w:t>NET INCOME</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1,134</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1,219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1,004</w:t>
            </w:r>
          </w:p>
        </w:tc>
        <w:tc>
          <w:tcPr>
            <w:tcW w:w="40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1,008</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1,125</w:t>
            </w:r>
          </w:p>
        </w:tc>
        <w:tc>
          <w:tcPr>
            <w:tcW w:w="280" w:type="dxa"/>
            <w:vAlign w:val="bottom"/>
          </w:tcPr>
          <w:p>
            <w:pPr>
              <w:ind w:left="20"/>
              <w:spacing w:after="0"/>
              <w:rPr>
                <w:sz w:val="20"/>
                <w:szCs w:val="20"/>
                <w:color w:val="auto"/>
              </w:rPr>
            </w:pPr>
            <w:r>
              <w:rPr>
                <w:rFonts w:ascii="Arial" w:cs="Arial" w:eastAsia="Arial" w:hAnsi="Arial"/>
                <w:sz w:val="11"/>
                <w:szCs w:val="11"/>
                <w:color w:val="auto"/>
              </w:rPr>
              <w:t>(a)</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42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4,365</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4,737</w:t>
            </w:r>
          </w:p>
        </w:tc>
        <w:tc>
          <w:tcPr>
            <w:tcW w:w="102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70"/>
        </w:trPr>
        <w:tc>
          <w:tcPr>
            <w:tcW w:w="2360" w:type="dxa"/>
            <w:vAlign w:val="bottom"/>
            <w:gridSpan w:val="4"/>
          </w:tcPr>
          <w:p>
            <w:pPr>
              <w:spacing w:after="0"/>
              <w:rPr>
                <w:sz w:val="20"/>
                <w:szCs w:val="20"/>
                <w:color w:val="auto"/>
              </w:rPr>
            </w:pPr>
            <w:r>
              <w:rPr>
                <w:rFonts w:ascii="Arial" w:cs="Arial" w:eastAsia="Arial" w:hAnsi="Arial"/>
                <w:sz w:val="11"/>
                <w:szCs w:val="11"/>
                <w:b w:val="1"/>
                <w:bCs w:val="1"/>
                <w:color w:val="auto"/>
              </w:rPr>
              <w:t>REVENUE BY LINE OF BUSINESS</w:t>
            </w: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174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Asset Management</w:t>
            </w:r>
          </w:p>
        </w:tc>
        <w:tc>
          <w:tcPr>
            <w:tcW w:w="6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2,158</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2,209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2,137</w:t>
            </w:r>
          </w:p>
        </w:tc>
        <w:tc>
          <w:tcPr>
            <w:tcW w:w="40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2,314</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2,488</w:t>
            </w:r>
          </w:p>
        </w:tc>
        <w:tc>
          <w:tcPr>
            <w:tcW w:w="28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42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8,818</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9,246</w:t>
            </w:r>
          </w:p>
        </w:tc>
        <w:tc>
          <w:tcPr>
            <w:tcW w:w="1020" w:type="dxa"/>
            <w:vAlign w:val="bottom"/>
            <w:gridSpan w:val="2"/>
          </w:tcPr>
          <w:p>
            <w:pPr>
              <w:jc w:val="right"/>
              <w:ind w:right="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75"/>
        </w:trPr>
        <w:tc>
          <w:tcPr>
            <w:tcW w:w="2360" w:type="dxa"/>
            <w:vAlign w:val="bottom"/>
            <w:gridSpan w:val="4"/>
          </w:tcPr>
          <w:p>
            <w:pPr>
              <w:spacing w:after="0"/>
              <w:rPr>
                <w:sz w:val="20"/>
                <w:szCs w:val="20"/>
                <w:color w:val="auto"/>
              </w:rPr>
            </w:pPr>
            <w:r>
              <w:rPr>
                <w:rFonts w:ascii="Arial" w:cs="Arial" w:eastAsia="Arial" w:hAnsi="Arial"/>
                <w:sz w:val="11"/>
                <w:szCs w:val="11"/>
                <w:color w:val="auto"/>
              </w:rPr>
              <w:t>Global Private Bank</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2,430</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2,330</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2,169</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2,001</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1,985</w:t>
            </w:r>
          </w:p>
        </w:tc>
        <w:tc>
          <w:tcPr>
            <w:tcW w:w="280" w:type="dxa"/>
            <w:vAlign w:val="bottom"/>
          </w:tcPr>
          <w:p>
            <w:pPr>
              <w:spacing w:after="0"/>
              <w:rPr>
                <w:sz w:val="15"/>
                <w:szCs w:val="15"/>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5"/>
                <w:szCs w:val="15"/>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22</w:t>
            </w: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8,930</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7,711</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69"/>
        </w:trPr>
        <w:tc>
          <w:tcPr>
            <w:tcW w:w="236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4,588</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4,539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4,306</w:t>
            </w:r>
          </w:p>
        </w:tc>
        <w:tc>
          <w:tcPr>
            <w:tcW w:w="40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4,315</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4,473</w:t>
            </w:r>
          </w:p>
        </w:tc>
        <w:tc>
          <w:tcPr>
            <w:tcW w:w="28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42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17,748</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16,957</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70"/>
        </w:trPr>
        <w:tc>
          <w:tcPr>
            <w:tcW w:w="10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6"/>
              </w:rPr>
              <w:t>FINANCIAL RATIOS</w:t>
            </w:r>
          </w:p>
        </w:tc>
        <w:tc>
          <w:tcPr>
            <w:tcW w:w="1340" w:type="dxa"/>
            <w:vAlign w:val="bottom"/>
            <w:gridSpan w:val="3"/>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9"/>
        </w:trPr>
        <w:tc>
          <w:tcPr>
            <w:tcW w:w="2360" w:type="dxa"/>
            <w:vAlign w:val="bottom"/>
            <w:gridSpan w:val="4"/>
            <w:vMerge w:val="restart"/>
          </w:tcPr>
          <w:p>
            <w:pPr>
              <w:spacing w:after="0"/>
              <w:rPr>
                <w:sz w:val="20"/>
                <w:szCs w:val="20"/>
                <w:color w:val="auto"/>
              </w:rPr>
            </w:pPr>
            <w:r>
              <w:rPr>
                <w:rFonts w:ascii="Arial" w:cs="Arial" w:eastAsia="Arial" w:hAnsi="Arial"/>
                <w:sz w:val="11"/>
                <w:szCs w:val="11"/>
                <w:color w:val="auto"/>
              </w:rPr>
              <w:t>ROE</w:t>
            </w:r>
          </w:p>
        </w:tc>
        <w:tc>
          <w:tcPr>
            <w:tcW w:w="120" w:type="dxa"/>
            <w:vAlign w:val="bottom"/>
          </w:tcPr>
          <w:p>
            <w:pPr>
              <w:spacing w:after="0"/>
              <w:rPr>
                <w:sz w:val="11"/>
                <w:szCs w:val="11"/>
                <w:color w:val="auto"/>
              </w:rPr>
            </w:pP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26</w:t>
            </w:r>
          </w:p>
        </w:tc>
        <w:tc>
          <w:tcPr>
            <w:tcW w:w="2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28</w:t>
            </w:r>
          </w:p>
        </w:tc>
        <w:tc>
          <w:tcPr>
            <w:tcW w:w="220" w:type="dxa"/>
            <w:vAlign w:val="bottom"/>
            <w:vMerge w:val="restart"/>
          </w:tcPr>
          <w:p>
            <w:pPr>
              <w:jc w:val="right"/>
              <w:ind w:right="66"/>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23</w:t>
            </w:r>
          </w:p>
        </w:tc>
        <w:tc>
          <w:tcPr>
            <w:tcW w:w="2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23</w:t>
            </w:r>
          </w:p>
        </w:tc>
        <w:tc>
          <w:tcPr>
            <w:tcW w:w="220" w:type="dxa"/>
            <w:vAlign w:val="bottom"/>
            <w:vMerge w:val="restart"/>
          </w:tcPr>
          <w:p>
            <w:pPr>
              <w:jc w:val="right"/>
              <w:ind w:right="66"/>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1"/>
                <w:szCs w:val="11"/>
                <w:color w:val="auto"/>
              </w:rPr>
            </w:pP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31</w:t>
            </w:r>
          </w:p>
        </w:tc>
        <w:tc>
          <w:tcPr>
            <w:tcW w:w="280" w:type="dxa"/>
            <w:vAlign w:val="bottom"/>
          </w:tcPr>
          <w:p>
            <w:pPr>
              <w:ind w:left="2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25</w:t>
            </w:r>
          </w:p>
        </w:tc>
        <w:tc>
          <w:tcPr>
            <w:tcW w:w="2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vMerge w:val="restart"/>
          </w:tcPr>
          <w:p>
            <w:pPr>
              <w:jc w:val="right"/>
              <w:ind w:right="6"/>
              <w:spacing w:after="0"/>
              <w:rPr>
                <w:sz w:val="20"/>
                <w:szCs w:val="20"/>
                <w:color w:val="auto"/>
              </w:rPr>
            </w:pPr>
            <w:r>
              <w:rPr>
                <w:rFonts w:ascii="Arial" w:cs="Arial" w:eastAsia="Arial" w:hAnsi="Arial"/>
                <w:sz w:val="11"/>
                <w:szCs w:val="11"/>
                <w:color w:val="auto"/>
              </w:rPr>
              <w:t>33</w:t>
            </w:r>
          </w:p>
        </w:tc>
        <w:tc>
          <w:tcPr>
            <w:tcW w:w="280" w:type="dxa"/>
            <w:vAlign w:val="bottom"/>
            <w:vMerge w:val="restart"/>
          </w:tcPr>
          <w:p>
            <w:pPr>
              <w:jc w:val="right"/>
              <w:ind w:right="126"/>
              <w:spacing w:after="0"/>
              <w:rPr>
                <w:sz w:val="20"/>
                <w:szCs w:val="20"/>
                <w:color w:val="auto"/>
              </w:rPr>
            </w:pPr>
            <w:r>
              <w:rPr>
                <w:rFonts w:ascii="Arial" w:cs="Arial" w:eastAsia="Arial" w:hAnsi="Arial"/>
                <w:sz w:val="11"/>
                <w:szCs w:val="11"/>
                <w:color w:val="auto"/>
                <w:w w:val="81"/>
              </w:rPr>
              <w:t>%</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3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80" w:type="dxa"/>
            <w:vAlign w:val="bottom"/>
          </w:tcPr>
          <w:p>
            <w:pPr>
              <w:ind w:left="20"/>
              <w:spacing w:after="0"/>
              <w:rPr>
                <w:sz w:val="20"/>
                <w:szCs w:val="20"/>
                <w:color w:val="auto"/>
              </w:rPr>
            </w:pPr>
            <w:r>
              <w:rPr>
                <w:rFonts w:ascii="Arial" w:cs="Arial" w:eastAsia="Arial" w:hAnsi="Arial"/>
                <w:sz w:val="11"/>
                <w:szCs w:val="11"/>
                <w:color w:val="auto"/>
              </w:rPr>
              <w:t>(a)</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60" w:type="dxa"/>
            <w:vAlign w:val="bottom"/>
            <w:gridSpan w:val="4"/>
          </w:tcPr>
          <w:p>
            <w:pPr>
              <w:spacing w:after="0"/>
              <w:rPr>
                <w:sz w:val="20"/>
                <w:szCs w:val="20"/>
                <w:color w:val="auto"/>
              </w:rPr>
            </w:pPr>
            <w:r>
              <w:rPr>
                <w:rFonts w:ascii="Arial" w:cs="Arial" w:eastAsia="Arial" w:hAnsi="Arial"/>
                <w:sz w:val="11"/>
                <w:szCs w:val="11"/>
                <w:color w:val="auto"/>
              </w:rPr>
              <w:t>Overhead ratio</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68</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67</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64</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gridSpan w:val="4"/>
          </w:tcPr>
          <w:p>
            <w:pPr>
              <w:spacing w:after="0"/>
              <w:rPr>
                <w:sz w:val="20"/>
                <w:szCs w:val="20"/>
                <w:color w:val="auto"/>
              </w:rPr>
            </w:pPr>
            <w:r>
              <w:rPr>
                <w:rFonts w:ascii="Arial" w:cs="Arial" w:eastAsia="Arial" w:hAnsi="Arial"/>
                <w:sz w:val="11"/>
                <w:szCs w:val="11"/>
                <w:color w:val="auto"/>
              </w:rPr>
              <w:t>Pretax margin ratio:</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gridSpan w:val="4"/>
          </w:tcPr>
          <w:p>
            <w:pPr>
              <w:ind w:left="120"/>
              <w:spacing w:after="0"/>
              <w:rPr>
                <w:sz w:val="20"/>
                <w:szCs w:val="20"/>
                <w:color w:val="auto"/>
              </w:rPr>
            </w:pPr>
            <w:r>
              <w:rPr>
                <w:rFonts w:ascii="Arial" w:cs="Arial" w:eastAsia="Arial" w:hAnsi="Arial"/>
                <w:sz w:val="11"/>
                <w:szCs w:val="11"/>
                <w:color w:val="auto"/>
              </w:rPr>
              <w:t>Asset Management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29</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32</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gridSpan w:val="4"/>
          </w:tcPr>
          <w:p>
            <w:pPr>
              <w:ind w:left="120"/>
              <w:spacing w:after="0"/>
              <w:rPr>
                <w:sz w:val="20"/>
                <w:szCs w:val="20"/>
                <w:color w:val="auto"/>
              </w:rPr>
            </w:pPr>
            <w:r>
              <w:rPr>
                <w:rFonts w:ascii="Arial" w:cs="Arial" w:eastAsia="Arial" w:hAnsi="Arial"/>
                <w:sz w:val="11"/>
                <w:szCs w:val="11"/>
                <w:color w:val="auto"/>
              </w:rPr>
              <w:t>Global Private Bank</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33</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36</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39</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gridSpan w:val="4"/>
          </w:tcPr>
          <w:p>
            <w:pPr>
              <w:ind w:left="120"/>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31</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34</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37</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2360" w:type="dxa"/>
            <w:vAlign w:val="bottom"/>
            <w:gridSpan w:val="4"/>
          </w:tcPr>
          <w:p>
            <w:pPr>
              <w:spacing w:after="0"/>
              <w:rPr>
                <w:sz w:val="20"/>
                <w:szCs w:val="20"/>
                <w:color w:val="auto"/>
              </w:rPr>
            </w:pPr>
            <w:r>
              <w:rPr>
                <w:rFonts w:ascii="Arial" w:cs="Arial" w:eastAsia="Arial" w:hAnsi="Arial"/>
                <w:sz w:val="11"/>
                <w:szCs w:val="11"/>
                <w:b w:val="1"/>
                <w:bCs w:val="1"/>
                <w:color w:val="auto"/>
              </w:rPr>
              <w:t>Headcount</w:t>
            </w: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26,041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25,769</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23,981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23,366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22,762</w:t>
            </w:r>
          </w:p>
        </w:tc>
        <w:tc>
          <w:tcPr>
            <w:tcW w:w="280" w:type="dxa"/>
            <w:vAlign w:val="bottom"/>
          </w:tcPr>
          <w:p>
            <w:pPr>
              <w:spacing w:after="0"/>
              <w:rPr>
                <w:sz w:val="24"/>
                <w:szCs w:val="2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24"/>
                <w:szCs w:val="2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26,041</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22,762</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318"/>
        </w:trPr>
        <w:tc>
          <w:tcPr>
            <w:tcW w:w="2360" w:type="dxa"/>
            <w:vAlign w:val="bottom"/>
            <w:gridSpan w:val="4"/>
          </w:tcPr>
          <w:p>
            <w:pPr>
              <w:spacing w:after="0"/>
              <w:rPr>
                <w:sz w:val="20"/>
                <w:szCs w:val="20"/>
                <w:color w:val="auto"/>
              </w:rPr>
            </w:pPr>
            <w:r>
              <w:rPr>
                <w:rFonts w:ascii="Arial" w:cs="Arial" w:eastAsia="Arial" w:hAnsi="Arial"/>
                <w:sz w:val="11"/>
                <w:szCs w:val="11"/>
                <w:color w:val="auto"/>
              </w:rPr>
              <w:t>Number of Global Private Bank client advisors</w:t>
            </w: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3,137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3,110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2,866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2,798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2,738</w:t>
            </w:r>
          </w:p>
        </w:tc>
        <w:tc>
          <w:tcPr>
            <w:tcW w:w="280" w:type="dxa"/>
            <w:vAlign w:val="bottom"/>
          </w:tcPr>
          <w:p>
            <w:pPr>
              <w:spacing w:after="0"/>
              <w:rPr>
                <w:sz w:val="24"/>
                <w:szCs w:val="2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24"/>
                <w:szCs w:val="2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15</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3,137</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2,738</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5087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1"/>
          <w:szCs w:val="11"/>
          <w:color w:val="auto"/>
        </w:rPr>
        <w:t>(a) In the first quarter of 2022, the Firm changed its methodology for allocating income taxes to the LOBs, with no impact to Firmwide net income. Prior-period amounts have been revised to conform with the current presentation.</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21</w:t>
      </w:r>
    </w:p>
    <w:p>
      <w:pPr>
        <w:sectPr>
          <w:pgSz w:w="11900" w:h="16838" w:orient="portrait"/>
          <w:cols w:equalWidth="0" w:num="1">
            <w:col w:w="11240"/>
          </w:cols>
          <w:pgMar w:left="320" w:top="572" w:right="339" w:bottom="1440" w:gutter="0" w:footer="0" w:header="0"/>
        </w:sectPr>
      </w:pPr>
    </w:p>
    <w:bookmarkStart w:id="33" w:name="page34"/>
    <w:bookmarkEnd w:id="33"/>
    <w:p>
      <w:pPr>
        <w:ind w:left="9720"/>
        <w:spacing w:after="0"/>
        <w:rPr>
          <w:sz w:val="20"/>
          <w:szCs w:val="20"/>
          <w:color w:val="auto"/>
        </w:rPr>
      </w:pPr>
      <w:r>
        <w:rPr>
          <w:rFonts w:ascii="Arial" w:cs="Arial" w:eastAsia="Arial" w:hAnsi="Arial"/>
          <w:sz w:val="10"/>
          <w:szCs w:val="10"/>
          <w:color w:val="auto"/>
        </w:rPr>
        <w:t>Page 22</w:t>
      </w:r>
    </w:p>
    <w:p>
      <w:pPr>
        <w:sectPr>
          <w:pgSz w:w="11900" w:h="16838" w:orient="portrait"/>
          <w:cols w:equalWidth="0" w:num="1">
            <w:col w:w="10120"/>
          </w:cols>
          <w:pgMar w:left="1440" w:top="720" w:right="339" w:bottom="1440" w:gutter="0" w:footer="0" w:header="0"/>
        </w:sectPr>
      </w:pPr>
    </w:p>
    <w:bookmarkStart w:id="34" w:name="page35"/>
    <w:bookmarkEnd w:id="34"/>
    <w:p>
      <w:pPr>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4492625</wp:posOffset>
            </wp:positionH>
            <wp:positionV relativeFrom="paragraph">
              <wp:posOffset>13970</wp:posOffset>
            </wp:positionV>
            <wp:extent cx="237426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 &amp; WEALTH</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FINANCIAL HIGHLIGHTS, CONTINUED</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 millions, except ratio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5"/>
          </w:tcPr>
          <w:p>
            <w:pPr>
              <w:ind w:left="400"/>
              <w:spacing w:after="0"/>
              <w:rPr>
                <w:sz w:val="20"/>
                <w:szCs w:val="20"/>
                <w:color w:val="auto"/>
              </w:rPr>
            </w:pPr>
            <w:r>
              <w:rPr>
                <w:rFonts w:ascii="Arial" w:cs="Arial" w:eastAsia="Arial" w:hAnsi="Arial"/>
                <w:sz w:val="11"/>
                <w:szCs w:val="11"/>
                <w:b w:val="1"/>
                <w:bCs w:val="1"/>
                <w:color w:val="auto"/>
                <w:w w:val="97"/>
              </w:rPr>
              <w:t>QUARTERLY TRENDS</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right"/>
              <w:ind w:right="866"/>
              <w:spacing w:after="0"/>
              <w:rPr>
                <w:sz w:val="20"/>
                <w:szCs w:val="20"/>
                <w:color w:val="auto"/>
              </w:rPr>
            </w:pPr>
            <w:r>
              <w:rPr>
                <w:rFonts w:ascii="Arial" w:cs="Arial" w:eastAsia="Arial" w:hAnsi="Arial"/>
                <w:sz w:val="11"/>
                <w:szCs w:val="11"/>
                <w:b w:val="1"/>
                <w:bCs w:val="1"/>
                <w:color w:val="auto"/>
              </w:rPr>
              <w:t>FULL YEAR</w:t>
            </w:r>
          </w:p>
        </w:tc>
      </w:tr>
      <w:tr>
        <w:trPr>
          <w:trHeight w:val="155"/>
        </w:trPr>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Borders>
              <w:bottom w:val="single" w:sz="8" w:color="auto"/>
            </w:tcBorders>
            <w:gridSpan w:val="3"/>
          </w:tcPr>
          <w:p>
            <w:pPr>
              <w:ind w:left="320"/>
              <w:spacing w:after="0"/>
              <w:rPr>
                <w:sz w:val="20"/>
                <w:szCs w:val="20"/>
                <w:color w:val="auto"/>
              </w:rPr>
            </w:pPr>
            <w:r>
              <w:rPr>
                <w:rFonts w:ascii="Arial" w:cs="Arial" w:eastAsia="Arial" w:hAnsi="Arial"/>
                <w:sz w:val="11"/>
                <w:szCs w:val="11"/>
                <w:b w:val="1"/>
                <w:bCs w:val="1"/>
                <w:color w:val="auto"/>
              </w:rPr>
              <w:t>4Q22 Change</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 Change</w:t>
            </w:r>
          </w:p>
        </w:tc>
      </w:tr>
      <w:tr>
        <w:trPr>
          <w:trHeight w:val="156"/>
        </w:trPr>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4Q22</w:t>
            </w:r>
          </w:p>
        </w:tc>
        <w:tc>
          <w:tcPr>
            <w:tcW w:w="12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3Q22</w:t>
            </w:r>
          </w:p>
        </w:tc>
        <w:tc>
          <w:tcPr>
            <w:tcW w:w="120" w:type="dxa"/>
            <w:vAlign w:val="bottom"/>
          </w:tcPr>
          <w:p>
            <w:pPr>
              <w:spacing w:after="0"/>
              <w:rPr>
                <w:sz w:val="13"/>
                <w:szCs w:val="13"/>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2Q22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1Q22</w:t>
            </w:r>
          </w:p>
        </w:tc>
        <w:tc>
          <w:tcPr>
            <w:tcW w:w="120" w:type="dxa"/>
            <w:vAlign w:val="bottom"/>
          </w:tcPr>
          <w:p>
            <w:pPr>
              <w:spacing w:after="0"/>
              <w:rPr>
                <w:sz w:val="13"/>
                <w:szCs w:val="13"/>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4Q21</w:t>
            </w:r>
          </w:p>
        </w:tc>
        <w:tc>
          <w:tcPr>
            <w:tcW w:w="2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3Q22</w:t>
            </w: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4Q21</w:t>
            </w:r>
          </w:p>
        </w:tc>
        <w:tc>
          <w:tcPr>
            <w:tcW w:w="120" w:type="dxa"/>
            <w:vAlign w:val="bottom"/>
          </w:tcPr>
          <w:p>
            <w:pPr>
              <w:spacing w:after="0"/>
              <w:rPr>
                <w:sz w:val="13"/>
                <w:szCs w:val="13"/>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rPr>
              <w:t>2021</w:t>
            </w:r>
          </w:p>
        </w:tc>
        <w:tc>
          <w:tcPr>
            <w:tcW w:w="98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2021</w:t>
            </w:r>
          </w:p>
        </w:tc>
      </w:tr>
      <w:tr>
        <w:trPr>
          <w:trHeight w:val="108"/>
        </w:trPr>
        <w:tc>
          <w:tcPr>
            <w:tcW w:w="2260" w:type="dxa"/>
            <w:vAlign w:val="bottom"/>
            <w:gridSpan w:val="5"/>
          </w:tcPr>
          <w:p>
            <w:pPr>
              <w:spacing w:after="0" w:line="108" w:lineRule="exact"/>
              <w:rPr>
                <w:sz w:val="20"/>
                <w:szCs w:val="20"/>
                <w:color w:val="auto"/>
              </w:rPr>
            </w:pPr>
            <w:r>
              <w:rPr>
                <w:rFonts w:ascii="Arial" w:cs="Arial" w:eastAsia="Arial" w:hAnsi="Arial"/>
                <w:sz w:val="11"/>
                <w:szCs w:val="11"/>
                <w:b w:val="1"/>
                <w:bCs w:val="1"/>
                <w:color w:val="auto"/>
              </w:rPr>
              <w:t>SELECTED BALANCE SHEET DATA</w:t>
            </w: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r>
      <w:tr>
        <w:trPr>
          <w:trHeight w:val="88"/>
        </w:trPr>
        <w:tc>
          <w:tcPr>
            <w:tcW w:w="640" w:type="dxa"/>
            <w:vAlign w:val="bottom"/>
            <w:tcBorders>
              <w:top w:val="single" w:sz="8" w:color="auto"/>
              <w:bottom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(period-end)</w:t>
            </w:r>
          </w:p>
        </w:tc>
        <w:tc>
          <w:tcPr>
            <w:tcW w:w="12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63"/>
        </w:trPr>
        <w:tc>
          <w:tcPr>
            <w:tcW w:w="2260" w:type="dxa"/>
            <w:vAlign w:val="bottom"/>
            <w:gridSpan w:val="5"/>
          </w:tcPr>
          <w:p>
            <w:pPr>
              <w:spacing w:after="0"/>
              <w:rPr>
                <w:sz w:val="20"/>
                <w:szCs w:val="20"/>
                <w:color w:val="auto"/>
              </w:rPr>
            </w:pPr>
            <w:r>
              <w:rPr>
                <w:rFonts w:ascii="Arial" w:cs="Arial" w:eastAsia="Arial" w:hAnsi="Arial"/>
                <w:sz w:val="11"/>
                <w:szCs w:val="11"/>
                <w:color w:val="auto"/>
              </w:rPr>
              <w:t>Total assets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232,037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232,303</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235,553</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233,070</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234,425</w:t>
            </w:r>
          </w:p>
        </w:tc>
        <w:tc>
          <w:tcPr>
            <w:tcW w:w="220" w:type="dxa"/>
            <w:vAlign w:val="bottom"/>
          </w:tcPr>
          <w:p>
            <w:pPr>
              <w:spacing w:after="0"/>
              <w:rPr>
                <w:sz w:val="14"/>
                <w:szCs w:val="14"/>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auto"/>
              </w:rPr>
              <w:t>— %</w:t>
            </w:r>
          </w:p>
        </w:tc>
        <w:tc>
          <w:tcPr>
            <w:tcW w:w="540" w:type="dxa"/>
            <w:vAlign w:val="bottom"/>
          </w:tcPr>
          <w:p>
            <w:pPr>
              <w:jc w:val="right"/>
              <w:spacing w:after="0"/>
              <w:rPr>
                <w:sz w:val="20"/>
                <w:szCs w:val="20"/>
                <w:color w:val="auto"/>
              </w:rPr>
            </w:pPr>
            <w:r>
              <w:rPr>
                <w:rFonts w:ascii="Arial" w:cs="Arial" w:eastAsia="Arial" w:hAnsi="Arial"/>
                <w:sz w:val="11"/>
                <w:szCs w:val="11"/>
                <w:color w:val="auto"/>
              </w:rPr>
              <w:t>(1)%</w:t>
            </w:r>
          </w:p>
        </w:tc>
        <w:tc>
          <w:tcPr>
            <w:tcW w:w="4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232,037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234,425</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-1 %</w:t>
            </w:r>
          </w:p>
        </w:tc>
      </w:tr>
      <w:tr>
        <w:trPr>
          <w:trHeight w:val="162"/>
        </w:trPr>
        <w:tc>
          <w:tcPr>
            <w:tcW w:w="2260" w:type="dxa"/>
            <w:vAlign w:val="bottom"/>
            <w:gridSpan w:val="5"/>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214,006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214,989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218,841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215,130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218,271</w:t>
            </w:r>
          </w:p>
        </w:tc>
        <w:tc>
          <w:tcPr>
            <w:tcW w:w="22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214,006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218,271</w:t>
            </w:r>
          </w:p>
        </w:tc>
        <w:tc>
          <w:tcPr>
            <w:tcW w:w="98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r>
      <w:tr>
        <w:trPr>
          <w:trHeight w:val="162"/>
        </w:trPr>
        <w:tc>
          <w:tcPr>
            <w:tcW w:w="2260" w:type="dxa"/>
            <w:vAlign w:val="bottom"/>
            <w:gridSpan w:val="5"/>
          </w:tcPr>
          <w:p>
            <w:pPr>
              <w:spacing w:after="0"/>
              <w:rPr>
                <w:sz w:val="20"/>
                <w:szCs w:val="20"/>
                <w:color w:val="auto"/>
              </w:rPr>
            </w:pPr>
            <w:r>
              <w:rPr>
                <w:rFonts w:ascii="Arial" w:cs="Arial" w:eastAsia="Arial" w:hAnsi="Arial"/>
                <w:sz w:val="11"/>
                <w:szCs w:val="11"/>
                <w:color w:val="auto"/>
              </w:rPr>
              <w:t>Deposits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233,130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242,315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257,437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287,293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282,052</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(17)</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233,130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282,052</w:t>
            </w:r>
          </w:p>
        </w:tc>
        <w:tc>
          <w:tcPr>
            <w:tcW w:w="980" w:type="dxa"/>
            <w:vAlign w:val="bottom"/>
            <w:gridSpan w:val="2"/>
          </w:tcPr>
          <w:p>
            <w:pPr>
              <w:jc w:val="right"/>
              <w:ind w:right="66"/>
              <w:spacing w:after="0"/>
              <w:rPr>
                <w:sz w:val="20"/>
                <w:szCs w:val="20"/>
                <w:color w:val="auto"/>
              </w:rPr>
            </w:pPr>
            <w:r>
              <w:rPr>
                <w:rFonts w:ascii="Arial" w:cs="Arial" w:eastAsia="Arial" w:hAnsi="Arial"/>
                <w:sz w:val="11"/>
                <w:szCs w:val="11"/>
                <w:color w:val="auto"/>
              </w:rPr>
              <w:t>(17)</w:t>
            </w:r>
          </w:p>
        </w:tc>
      </w:tr>
      <w:tr>
        <w:trPr>
          <w:trHeight w:val="162"/>
        </w:trPr>
        <w:tc>
          <w:tcPr>
            <w:tcW w:w="2260" w:type="dxa"/>
            <w:vAlign w:val="bottom"/>
            <w:gridSpan w:val="5"/>
          </w:tcPr>
          <w:p>
            <w:pPr>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17,000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17,000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17,000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14,000</w:t>
            </w:r>
          </w:p>
        </w:tc>
        <w:tc>
          <w:tcPr>
            <w:tcW w:w="22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21</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17,000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14,000</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21</w:t>
            </w:r>
          </w:p>
        </w:tc>
      </w:tr>
      <w:tr>
        <w:trPr>
          <w:trHeight w:val="303"/>
        </w:trPr>
        <w:tc>
          <w:tcPr>
            <w:tcW w:w="2260" w:type="dxa"/>
            <w:vAlign w:val="bottom"/>
            <w:gridSpan w:val="5"/>
          </w:tcPr>
          <w:p>
            <w:pPr>
              <w:spacing w:after="0"/>
              <w:rPr>
                <w:sz w:val="20"/>
                <w:szCs w:val="20"/>
                <w:color w:val="auto"/>
              </w:rPr>
            </w:pPr>
            <w:r>
              <w:rPr>
                <w:rFonts w:ascii="Arial" w:cs="Arial" w:eastAsia="Arial" w:hAnsi="Arial"/>
                <w:sz w:val="11"/>
                <w:szCs w:val="11"/>
                <w:b w:val="1"/>
                <w:bCs w:val="1"/>
                <w:color w:val="auto"/>
              </w:rPr>
              <w:t>SELECTED BALANCE SHEET DATA</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88"/>
        </w:trPr>
        <w:tc>
          <w:tcPr>
            <w:tcW w:w="184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10"/>
                <w:szCs w:val="10"/>
                <w:b w:val="1"/>
                <w:bCs w:val="1"/>
                <w:color w:val="auto"/>
              </w:rPr>
              <w:t>(average)</w:t>
            </w: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163"/>
        </w:trPr>
        <w:tc>
          <w:tcPr>
            <w:tcW w:w="2260" w:type="dxa"/>
            <w:vAlign w:val="bottom"/>
            <w:gridSpan w:val="5"/>
          </w:tcPr>
          <w:p>
            <w:pPr>
              <w:spacing w:after="0"/>
              <w:rPr>
                <w:sz w:val="20"/>
                <w:szCs w:val="20"/>
                <w:color w:val="auto"/>
              </w:rPr>
            </w:pPr>
            <w:r>
              <w:rPr>
                <w:rFonts w:ascii="Arial" w:cs="Arial" w:eastAsia="Arial" w:hAnsi="Arial"/>
                <w:sz w:val="11"/>
                <w:szCs w:val="11"/>
                <w:color w:val="auto"/>
              </w:rPr>
              <w:t>Total assets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230,149</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232,748</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234,565</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232,310</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227,597</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4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232,438</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217,187</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7</w:t>
            </w:r>
          </w:p>
        </w:tc>
      </w:tr>
      <w:tr>
        <w:trPr>
          <w:trHeight w:val="162"/>
        </w:trPr>
        <w:tc>
          <w:tcPr>
            <w:tcW w:w="2260" w:type="dxa"/>
            <w:vAlign w:val="bottom"/>
            <w:gridSpan w:val="5"/>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214,150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216,714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216,846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214,611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209,169</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215,582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198,487</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9</w:t>
            </w:r>
          </w:p>
        </w:tc>
      </w:tr>
      <w:tr>
        <w:trPr>
          <w:trHeight w:val="162"/>
        </w:trPr>
        <w:tc>
          <w:tcPr>
            <w:tcW w:w="2260" w:type="dxa"/>
            <w:vAlign w:val="bottom"/>
            <w:gridSpan w:val="5"/>
          </w:tcPr>
          <w:p>
            <w:pPr>
              <w:spacing w:after="0"/>
              <w:rPr>
                <w:sz w:val="20"/>
                <w:szCs w:val="20"/>
                <w:color w:val="auto"/>
              </w:rPr>
            </w:pPr>
            <w:r>
              <w:rPr>
                <w:rFonts w:ascii="Arial" w:cs="Arial" w:eastAsia="Arial" w:hAnsi="Arial"/>
                <w:sz w:val="11"/>
                <w:szCs w:val="11"/>
                <w:color w:val="auto"/>
              </w:rPr>
              <w:t>Deposits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236,965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253,026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268,861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287,756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264,580</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261,489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230,296</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14</w:t>
            </w:r>
          </w:p>
        </w:tc>
      </w:tr>
      <w:tr>
        <w:trPr>
          <w:trHeight w:val="162"/>
        </w:trPr>
        <w:tc>
          <w:tcPr>
            <w:tcW w:w="2260" w:type="dxa"/>
            <w:vAlign w:val="bottom"/>
            <w:gridSpan w:val="5"/>
          </w:tcPr>
          <w:p>
            <w:pPr>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17,000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17,000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17,000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14,000</w:t>
            </w:r>
          </w:p>
        </w:tc>
        <w:tc>
          <w:tcPr>
            <w:tcW w:w="22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21</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17,000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14,000</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21</w:t>
            </w:r>
          </w:p>
        </w:tc>
      </w:tr>
      <w:tr>
        <w:trPr>
          <w:trHeight w:val="303"/>
        </w:trPr>
        <w:tc>
          <w:tcPr>
            <w:tcW w:w="214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6"/>
              </w:rPr>
              <w:t>CREDIT DATA AND QUALITY STATISTICS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3"/>
        </w:trPr>
        <w:tc>
          <w:tcPr>
            <w:tcW w:w="2260" w:type="dxa"/>
            <w:vAlign w:val="bottom"/>
            <w:gridSpan w:val="5"/>
          </w:tcPr>
          <w:p>
            <w:pPr>
              <w:spacing w:after="0"/>
              <w:rPr>
                <w:sz w:val="20"/>
                <w:szCs w:val="20"/>
                <w:color w:val="auto"/>
              </w:rPr>
            </w:pPr>
            <w:r>
              <w:rPr>
                <w:rFonts w:ascii="Arial" w:cs="Arial" w:eastAsia="Arial" w:hAnsi="Arial"/>
                <w:sz w:val="11"/>
                <w:szCs w:val="11"/>
                <w:color w:val="auto"/>
              </w:rPr>
              <w:t>Net charge-offs/(recoveries)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(13)</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85</w:t>
            </w:r>
          </w:p>
        </w:tc>
        <w:tc>
          <w:tcPr>
            <w:tcW w:w="220" w:type="dxa"/>
            <w:vAlign w:val="bottom"/>
          </w:tcPr>
          <w:p>
            <w:pPr>
              <w:spacing w:after="0"/>
              <w:rPr>
                <w:sz w:val="14"/>
                <w:szCs w:val="14"/>
                <w:color w:val="auto"/>
              </w:rPr>
            </w:pPr>
          </w:p>
        </w:tc>
        <w:tc>
          <w:tcPr>
            <w:tcW w:w="980" w:type="dxa"/>
            <w:vAlign w:val="bottom"/>
            <w:gridSpan w:val="2"/>
          </w:tcPr>
          <w:p>
            <w:pPr>
              <w:ind w:left="360"/>
              <w:spacing w:after="0"/>
              <w:rPr>
                <w:sz w:val="20"/>
                <w:szCs w:val="20"/>
                <w:color w:val="auto"/>
              </w:rPr>
            </w:pPr>
            <w:r>
              <w:rPr>
                <w:rFonts w:ascii="Arial" w:cs="Arial" w:eastAsia="Arial" w:hAnsi="Arial"/>
                <w:sz w:val="11"/>
                <w:szCs w:val="11"/>
                <w:color w:val="auto"/>
              </w:rPr>
              <w:t>NM</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26</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62"/>
        </w:trPr>
        <w:tc>
          <w:tcPr>
            <w:tcW w:w="2260" w:type="dxa"/>
            <w:vAlign w:val="bottom"/>
            <w:gridSpan w:val="5"/>
          </w:tcPr>
          <w:p>
            <w:pPr>
              <w:spacing w:after="0"/>
              <w:rPr>
                <w:sz w:val="20"/>
                <w:szCs w:val="20"/>
                <w:color w:val="auto"/>
              </w:rPr>
            </w:pPr>
            <w:r>
              <w:rPr>
                <w:rFonts w:ascii="Arial" w:cs="Arial" w:eastAsia="Arial" w:hAnsi="Arial"/>
                <w:sz w:val="11"/>
                <w:szCs w:val="11"/>
                <w:color w:val="auto"/>
              </w:rPr>
              <w:t>Nonaccrual loans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459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467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620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626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708</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459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708</w:t>
            </w:r>
          </w:p>
        </w:tc>
        <w:tc>
          <w:tcPr>
            <w:tcW w:w="980" w:type="dxa"/>
            <w:vAlign w:val="bottom"/>
            <w:gridSpan w:val="2"/>
          </w:tcPr>
          <w:p>
            <w:pPr>
              <w:jc w:val="right"/>
              <w:ind w:right="66"/>
              <w:spacing w:after="0"/>
              <w:rPr>
                <w:sz w:val="20"/>
                <w:szCs w:val="20"/>
                <w:color w:val="auto"/>
              </w:rPr>
            </w:pPr>
            <w:r>
              <w:rPr>
                <w:rFonts w:ascii="Arial" w:cs="Arial" w:eastAsia="Arial" w:hAnsi="Arial"/>
                <w:sz w:val="11"/>
                <w:szCs w:val="11"/>
                <w:color w:val="auto"/>
              </w:rPr>
              <w:t>(35)</w:t>
            </w:r>
          </w:p>
        </w:tc>
      </w:tr>
      <w:tr>
        <w:trPr>
          <w:trHeight w:val="162"/>
        </w:trPr>
        <w:tc>
          <w:tcPr>
            <w:tcW w:w="2260" w:type="dxa"/>
            <w:vAlign w:val="bottom"/>
            <w:gridSpan w:val="5"/>
          </w:tcPr>
          <w:p>
            <w:pPr>
              <w:spacing w:after="0"/>
              <w:rPr>
                <w:sz w:val="20"/>
                <w:szCs w:val="20"/>
                <w:color w:val="auto"/>
              </w:rPr>
            </w:pPr>
            <w:r>
              <w:rPr>
                <w:rFonts w:ascii="Arial" w:cs="Arial" w:eastAsia="Arial" w:hAnsi="Arial"/>
                <w:sz w:val="11"/>
                <w:szCs w:val="11"/>
                <w:color w:val="auto"/>
              </w:rPr>
              <w:t>Allowance for credit losses: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260" w:type="dxa"/>
            <w:vAlign w:val="bottom"/>
            <w:gridSpan w:val="5"/>
          </w:tcPr>
          <w:p>
            <w:pPr>
              <w:ind w:left="120"/>
              <w:spacing w:after="0"/>
              <w:rPr>
                <w:sz w:val="20"/>
                <w:szCs w:val="20"/>
                <w:color w:val="auto"/>
              </w:rPr>
            </w:pPr>
            <w:r>
              <w:rPr>
                <w:rFonts w:ascii="Arial" w:cs="Arial" w:eastAsia="Arial" w:hAnsi="Arial"/>
                <w:sz w:val="11"/>
                <w:szCs w:val="11"/>
                <w:color w:val="auto"/>
              </w:rPr>
              <w:t>Allowance for loan losses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494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461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547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365</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35</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494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365</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35</w:t>
            </w:r>
          </w:p>
        </w:tc>
      </w:tr>
      <w:tr>
        <w:trPr>
          <w:trHeight w:val="175"/>
        </w:trPr>
        <w:tc>
          <w:tcPr>
            <w:tcW w:w="2260" w:type="dxa"/>
            <w:vAlign w:val="bottom"/>
            <w:gridSpan w:val="5"/>
          </w:tcPr>
          <w:p>
            <w:pPr>
              <w:ind w:left="120"/>
              <w:spacing w:after="0"/>
              <w:rPr>
                <w:sz w:val="20"/>
                <w:szCs w:val="20"/>
                <w:color w:val="auto"/>
              </w:rPr>
            </w:pPr>
            <w:r>
              <w:rPr>
                <w:rFonts w:ascii="Arial" w:cs="Arial" w:eastAsia="Arial" w:hAnsi="Arial"/>
                <w:sz w:val="11"/>
                <w:szCs w:val="11"/>
                <w:color w:val="auto"/>
              </w:rPr>
              <w:t>Allowance for lending-related commitments</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21</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11</w:t>
            </w: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11</w:t>
            </w:r>
          </w:p>
        </w:tc>
      </w:tr>
      <w:tr>
        <w:trPr>
          <w:trHeight w:val="148"/>
        </w:trPr>
        <w:tc>
          <w:tcPr>
            <w:tcW w:w="2260" w:type="dxa"/>
            <w:vAlign w:val="bottom"/>
            <w:gridSpan w:val="5"/>
          </w:tcPr>
          <w:p>
            <w:pPr>
              <w:ind w:left="200"/>
              <w:spacing w:after="0"/>
              <w:rPr>
                <w:sz w:val="20"/>
                <w:szCs w:val="20"/>
                <w:color w:val="auto"/>
              </w:rPr>
            </w:pPr>
            <w:r>
              <w:rPr>
                <w:rFonts w:ascii="Arial" w:cs="Arial" w:eastAsia="Arial" w:hAnsi="Arial"/>
                <w:sz w:val="11"/>
                <w:szCs w:val="11"/>
                <w:b w:val="1"/>
                <w:bCs w:val="1"/>
                <w:color w:val="auto"/>
              </w:rPr>
              <w:t>Total allowance for credit losses</w:t>
            </w: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514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482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569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535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383</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34</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514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383</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34</w:t>
            </w:r>
          </w:p>
        </w:tc>
      </w:tr>
      <w:tr>
        <w:trPr>
          <w:trHeight w:val="156"/>
        </w:trPr>
        <w:tc>
          <w:tcPr>
            <w:tcW w:w="2260" w:type="dxa"/>
            <w:vAlign w:val="bottom"/>
            <w:gridSpan w:val="5"/>
          </w:tcPr>
          <w:p>
            <w:pPr>
              <w:spacing w:after="0"/>
              <w:rPr>
                <w:sz w:val="20"/>
                <w:szCs w:val="20"/>
                <w:color w:val="auto"/>
              </w:rPr>
            </w:pPr>
            <w:r>
              <w:rPr>
                <w:rFonts w:ascii="Arial" w:cs="Arial" w:eastAsia="Arial" w:hAnsi="Arial"/>
                <w:sz w:val="11"/>
                <w:szCs w:val="11"/>
                <w:color w:val="auto"/>
              </w:rPr>
              <w:t>Net charge-off/(recovery) rate</w:t>
            </w:r>
          </w:p>
        </w:tc>
        <w:tc>
          <w:tcPr>
            <w:tcW w:w="12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1"/>
                <w:szCs w:val="11"/>
                <w:color w:val="auto"/>
              </w:rPr>
              <w:t>—  %</w:t>
            </w:r>
          </w:p>
        </w:tc>
        <w:tc>
          <w:tcPr>
            <w:tcW w:w="12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(0.02)  %</w:t>
            </w:r>
          </w:p>
        </w:tc>
        <w:tc>
          <w:tcPr>
            <w:tcW w:w="12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0.02</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1"/>
                <w:szCs w:val="11"/>
                <w:color w:val="auto"/>
              </w:rPr>
              <w:t>—  %</w:t>
            </w:r>
          </w:p>
        </w:tc>
        <w:tc>
          <w:tcPr>
            <w:tcW w:w="12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0.01</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1"/>
                <w:szCs w:val="11"/>
                <w:color w:val="auto"/>
              </w:rPr>
              <w:t>—  %</w:t>
            </w: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0.01</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r>
      <w:tr>
        <w:trPr>
          <w:trHeight w:val="162"/>
        </w:trPr>
        <w:tc>
          <w:tcPr>
            <w:tcW w:w="2260" w:type="dxa"/>
            <w:vAlign w:val="bottom"/>
            <w:gridSpan w:val="5"/>
          </w:tcPr>
          <w:p>
            <w:pPr>
              <w:spacing w:after="0"/>
              <w:rPr>
                <w:sz w:val="20"/>
                <w:szCs w:val="20"/>
                <w:color w:val="auto"/>
              </w:rPr>
            </w:pPr>
            <w:r>
              <w:rPr>
                <w:rFonts w:ascii="Arial" w:cs="Arial" w:eastAsia="Arial" w:hAnsi="Arial"/>
                <w:sz w:val="11"/>
                <w:szCs w:val="11"/>
                <w:color w:val="auto"/>
              </w:rPr>
              <w:t>Allowance for loan losses to period-end loans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0.23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0.21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0.25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0.24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0.17</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0.23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0.17</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260" w:type="dxa"/>
            <w:vAlign w:val="bottom"/>
            <w:gridSpan w:val="5"/>
          </w:tcPr>
          <w:p>
            <w:pPr>
              <w:spacing w:after="0"/>
              <w:rPr>
                <w:sz w:val="20"/>
                <w:szCs w:val="20"/>
                <w:color w:val="auto"/>
              </w:rPr>
            </w:pPr>
            <w:r>
              <w:rPr>
                <w:rFonts w:ascii="Arial" w:cs="Arial" w:eastAsia="Arial" w:hAnsi="Arial"/>
                <w:sz w:val="11"/>
                <w:szCs w:val="11"/>
                <w:color w:val="auto"/>
              </w:rPr>
              <w:t>Allowance for loan losses to nonaccrual loans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88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82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52</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260" w:type="dxa"/>
            <w:vAlign w:val="bottom"/>
            <w:gridSpan w:val="5"/>
          </w:tcPr>
          <w:p>
            <w:pPr>
              <w:spacing w:after="0"/>
              <w:rPr>
                <w:sz w:val="20"/>
                <w:szCs w:val="20"/>
                <w:color w:val="auto"/>
              </w:rPr>
            </w:pPr>
            <w:r>
              <w:rPr>
                <w:rFonts w:ascii="Arial" w:cs="Arial" w:eastAsia="Arial" w:hAnsi="Arial"/>
                <w:sz w:val="11"/>
                <w:szCs w:val="11"/>
                <w:color w:val="auto"/>
              </w:rPr>
              <w:t>Nonaccrual loans to period-end loans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0.21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0.22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0.28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0.29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0.32</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0.21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0.32</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218440</wp:posOffset>
            </wp:positionV>
            <wp:extent cx="14401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23</w:t>
      </w:r>
    </w:p>
    <w:p>
      <w:pPr>
        <w:sectPr>
          <w:pgSz w:w="11900" w:h="16838" w:orient="portrait"/>
          <w:cols w:equalWidth="0" w:num="1">
            <w:col w:w="11220"/>
          </w:cols>
          <w:pgMar w:left="340" w:top="572"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-28575</wp:posOffset>
            </wp:positionV>
            <wp:extent cx="237426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 &amp; WEALTH MANAGEMENT</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billions)</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4"/>
          </w:tcPr>
          <w:p>
            <w:pPr>
              <w:ind w:left="320"/>
              <w:spacing w:after="0"/>
              <w:rPr>
                <w:sz w:val="20"/>
                <w:szCs w:val="20"/>
                <w:color w:val="auto"/>
              </w:rPr>
            </w:pPr>
            <w:r>
              <w:rPr>
                <w:rFonts w:ascii="Arial" w:cs="Arial" w:eastAsia="Arial" w:hAnsi="Arial"/>
                <w:sz w:val="11"/>
                <w:szCs w:val="11"/>
                <w:b w:val="1"/>
                <w:bCs w:val="1"/>
                <w:color w:val="auto"/>
              </w:rPr>
              <w:t>Dec 31, 2022</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1"/>
                <w:szCs w:val="11"/>
                <w:b w:val="1"/>
                <w:bCs w:val="1"/>
                <w:color w:val="auto"/>
              </w:rPr>
              <w:t>Change</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FULL YEAR</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Dec 31,</w:t>
            </w:r>
          </w:p>
        </w:tc>
        <w:tc>
          <w:tcPr>
            <w:tcW w:w="8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Sep 30,</w:t>
            </w:r>
          </w:p>
        </w:tc>
        <w:tc>
          <w:tcPr>
            <w:tcW w:w="8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Jun 30,</w:t>
            </w:r>
          </w:p>
        </w:tc>
        <w:tc>
          <w:tcPr>
            <w:tcW w:w="8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Mar 31,</w:t>
            </w:r>
          </w:p>
        </w:tc>
        <w:tc>
          <w:tcPr>
            <w:tcW w:w="100" w:type="dxa"/>
            <w:vAlign w:val="bottom"/>
          </w:tcPr>
          <w:p>
            <w:pPr>
              <w:spacing w:after="0"/>
              <w:rPr>
                <w:sz w:val="13"/>
                <w:szCs w:val="13"/>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b w:val="1"/>
                <w:bCs w:val="1"/>
                <w:color w:val="auto"/>
                <w:w w:val="93"/>
              </w:rPr>
              <w:t>Dec 31,</w:t>
            </w:r>
          </w:p>
        </w:tc>
        <w:tc>
          <w:tcPr>
            <w:tcW w:w="22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Sep 30,</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Dec 31,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 Change</w:t>
            </w:r>
          </w:p>
        </w:tc>
        <w:tc>
          <w:tcPr>
            <w:tcW w:w="0" w:type="dxa"/>
            <w:vAlign w:val="bottom"/>
          </w:tcPr>
          <w:p>
            <w:pPr>
              <w:spacing w:after="0"/>
              <w:rPr>
                <w:sz w:val="1"/>
                <w:szCs w:val="1"/>
                <w:color w:val="auto"/>
              </w:rPr>
            </w:pPr>
          </w:p>
        </w:tc>
      </w:tr>
      <w:tr>
        <w:trPr>
          <w:trHeight w:val="122"/>
        </w:trPr>
        <w:tc>
          <w:tcPr>
            <w:tcW w:w="860" w:type="dxa"/>
            <w:vAlign w:val="bottom"/>
            <w:tcBorders>
              <w:bottom w:val="single" w:sz="8" w:color="auto"/>
            </w:tcBorders>
          </w:tcPr>
          <w:p>
            <w:pPr>
              <w:spacing w:after="0" w:line="122" w:lineRule="exact"/>
              <w:rPr>
                <w:sz w:val="20"/>
                <w:szCs w:val="20"/>
                <w:color w:val="auto"/>
              </w:rPr>
            </w:pPr>
            <w:r>
              <w:rPr>
                <w:rFonts w:ascii="Arial" w:cs="Arial" w:eastAsia="Arial" w:hAnsi="Arial"/>
                <w:sz w:val="11"/>
                <w:szCs w:val="11"/>
                <w:b w:val="1"/>
                <w:bCs w:val="1"/>
                <w:color w:val="auto"/>
                <w:w w:val="96"/>
              </w:rPr>
              <w:t>CLIENT ASSETS</w:t>
            </w: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2022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2022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2022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2022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2021</w:t>
            </w:r>
          </w:p>
        </w:tc>
        <w:tc>
          <w:tcPr>
            <w:tcW w:w="760" w:type="dxa"/>
            <w:vAlign w:val="bottom"/>
            <w:gridSpan w:val="2"/>
          </w:tcPr>
          <w:p>
            <w:pPr>
              <w:jc w:val="right"/>
              <w:ind w:right="106"/>
              <w:spacing w:after="0" w:line="122" w:lineRule="exact"/>
              <w:rPr>
                <w:sz w:val="20"/>
                <w:szCs w:val="20"/>
                <w:color w:val="auto"/>
              </w:rPr>
            </w:pPr>
            <w:r>
              <w:rPr>
                <w:rFonts w:ascii="Arial" w:cs="Arial" w:eastAsia="Arial" w:hAnsi="Arial"/>
                <w:sz w:val="11"/>
                <w:szCs w:val="11"/>
                <w:b w:val="1"/>
                <w:bCs w:val="1"/>
                <w:color w:val="auto"/>
              </w:rPr>
              <w:t>2022</w:t>
            </w:r>
          </w:p>
        </w:tc>
        <w:tc>
          <w:tcPr>
            <w:tcW w:w="220" w:type="dxa"/>
            <w:vAlign w:val="bottom"/>
          </w:tcPr>
          <w:p>
            <w:pPr>
              <w:spacing w:after="0"/>
              <w:rPr>
                <w:sz w:val="10"/>
                <w:szCs w:val="10"/>
                <w:color w:val="auto"/>
              </w:rPr>
            </w:pPr>
          </w:p>
        </w:tc>
        <w:tc>
          <w:tcPr>
            <w:tcW w:w="54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2021</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2022</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2021</w:t>
            </w:r>
          </w:p>
        </w:tc>
        <w:tc>
          <w:tcPr>
            <w:tcW w:w="220" w:type="dxa"/>
            <w:vAlign w:val="bottom"/>
          </w:tcPr>
          <w:p>
            <w:pPr>
              <w:spacing w:after="0"/>
              <w:rPr>
                <w:sz w:val="10"/>
                <w:szCs w:val="10"/>
                <w:color w:val="auto"/>
              </w:rPr>
            </w:pPr>
          </w:p>
        </w:tc>
        <w:tc>
          <w:tcPr>
            <w:tcW w:w="72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Assets by asset class</w:t>
            </w: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4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480" w:type="dxa"/>
            <w:vAlign w:val="bottom"/>
            <w:gridSpan w:val="2"/>
          </w:tcPr>
          <w:p>
            <w:pPr>
              <w:spacing w:after="0"/>
              <w:rPr>
                <w:sz w:val="20"/>
                <w:szCs w:val="20"/>
                <w:color w:val="auto"/>
              </w:rPr>
            </w:pPr>
            <w:r>
              <w:rPr>
                <w:rFonts w:ascii="Arial" w:cs="Arial" w:eastAsia="Arial" w:hAnsi="Arial"/>
                <w:sz w:val="11"/>
                <w:szCs w:val="11"/>
                <w:color w:val="auto"/>
              </w:rPr>
              <w:t>Liquidity</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654</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615</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654</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657</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708</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6 %</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w:t>
            </w:r>
          </w:p>
        </w:tc>
        <w:tc>
          <w:tcPr>
            <w:tcW w:w="4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654</w:t>
            </w:r>
          </w:p>
        </w:tc>
        <w:tc>
          <w:tcPr>
            <w:tcW w:w="2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708</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2"/>
        </w:trPr>
        <w:tc>
          <w:tcPr>
            <w:tcW w:w="2480" w:type="dxa"/>
            <w:vAlign w:val="bottom"/>
            <w:gridSpan w:val="2"/>
          </w:tcPr>
          <w:p>
            <w:pPr>
              <w:spacing w:after="0"/>
              <w:rPr>
                <w:sz w:val="20"/>
                <w:szCs w:val="20"/>
                <w:color w:val="auto"/>
              </w:rPr>
            </w:pPr>
            <w:r>
              <w:rPr>
                <w:rFonts w:ascii="Arial" w:cs="Arial" w:eastAsia="Arial" w:hAnsi="Arial"/>
                <w:sz w:val="11"/>
                <w:szCs w:val="11"/>
                <w:color w:val="auto"/>
              </w:rPr>
              <w:t>Fixed income</w:t>
            </w: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638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612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624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657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693</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638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693</w:t>
            </w:r>
          </w:p>
        </w:tc>
        <w:tc>
          <w:tcPr>
            <w:tcW w:w="220" w:type="dxa"/>
            <w:vAlign w:val="bottom"/>
          </w:tcPr>
          <w:p>
            <w:pPr>
              <w:spacing w:after="0"/>
              <w:rPr>
                <w:sz w:val="14"/>
                <w:szCs w:val="14"/>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2"/>
        </w:trPr>
        <w:tc>
          <w:tcPr>
            <w:tcW w:w="2480" w:type="dxa"/>
            <w:vAlign w:val="bottom"/>
            <w:gridSpan w:val="2"/>
          </w:tcPr>
          <w:p>
            <w:pPr>
              <w:spacing w:after="0"/>
              <w:rPr>
                <w:sz w:val="20"/>
                <w:szCs w:val="20"/>
                <w:color w:val="auto"/>
              </w:rPr>
            </w:pPr>
            <w:r>
              <w:rPr>
                <w:rFonts w:ascii="Arial" w:cs="Arial" w:eastAsia="Arial" w:hAnsi="Arial"/>
                <w:sz w:val="11"/>
                <w:szCs w:val="11"/>
                <w:color w:val="auto"/>
              </w:rPr>
              <w:t>Equity</w:t>
            </w: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670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609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641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739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779</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10</w:t>
            </w:r>
          </w:p>
        </w:tc>
        <w:tc>
          <w:tcPr>
            <w:tcW w:w="2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670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779</w:t>
            </w:r>
          </w:p>
        </w:tc>
        <w:tc>
          <w:tcPr>
            <w:tcW w:w="220" w:type="dxa"/>
            <w:vAlign w:val="bottom"/>
          </w:tcPr>
          <w:p>
            <w:pPr>
              <w:spacing w:after="0"/>
              <w:rPr>
                <w:sz w:val="14"/>
                <w:szCs w:val="14"/>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2"/>
        </w:trPr>
        <w:tc>
          <w:tcPr>
            <w:tcW w:w="2480" w:type="dxa"/>
            <w:vAlign w:val="bottom"/>
            <w:gridSpan w:val="2"/>
          </w:tcPr>
          <w:p>
            <w:pPr>
              <w:spacing w:after="0"/>
              <w:rPr>
                <w:sz w:val="20"/>
                <w:szCs w:val="20"/>
                <w:color w:val="auto"/>
              </w:rPr>
            </w:pPr>
            <w:r>
              <w:rPr>
                <w:rFonts w:ascii="Arial" w:cs="Arial" w:eastAsia="Arial" w:hAnsi="Arial"/>
                <w:sz w:val="11"/>
                <w:szCs w:val="11"/>
                <w:color w:val="auto"/>
              </w:rPr>
              <w:t>Multi-asset</w:t>
            </w: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603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577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615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699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732</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603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732</w:t>
            </w:r>
          </w:p>
        </w:tc>
        <w:tc>
          <w:tcPr>
            <w:tcW w:w="220" w:type="dxa"/>
            <w:vAlign w:val="bottom"/>
          </w:tcPr>
          <w:p>
            <w:pPr>
              <w:spacing w:after="0"/>
              <w:rPr>
                <w:sz w:val="14"/>
                <w:szCs w:val="14"/>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75"/>
        </w:trPr>
        <w:tc>
          <w:tcPr>
            <w:tcW w:w="2480" w:type="dxa"/>
            <w:vAlign w:val="bottom"/>
            <w:gridSpan w:val="2"/>
          </w:tcPr>
          <w:p>
            <w:pPr>
              <w:spacing w:after="0"/>
              <w:rPr>
                <w:sz w:val="20"/>
                <w:szCs w:val="20"/>
                <w:color w:val="auto"/>
              </w:rPr>
            </w:pPr>
            <w:r>
              <w:rPr>
                <w:rFonts w:ascii="Arial" w:cs="Arial" w:eastAsia="Arial" w:hAnsi="Arial"/>
                <w:sz w:val="11"/>
                <w:szCs w:val="11"/>
                <w:color w:val="auto"/>
              </w:rPr>
              <w:t>Alternatives</w:t>
            </w: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201</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203</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209</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208</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201</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5"/>
                <w:szCs w:val="15"/>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201</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201</w:t>
            </w:r>
          </w:p>
        </w:tc>
        <w:tc>
          <w:tcPr>
            <w:tcW w:w="220" w:type="dxa"/>
            <w:vAlign w:val="bottom"/>
          </w:tcPr>
          <w:p>
            <w:pPr>
              <w:spacing w:after="0"/>
              <w:rPr>
                <w:sz w:val="15"/>
                <w:szCs w:val="15"/>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48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 ASSETS UNDER MANAGEMENT</w:t>
            </w:r>
          </w:p>
        </w:tc>
        <w:tc>
          <w:tcPr>
            <w:tcW w:w="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2,766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2,616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2,743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2,960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3,113</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2,766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rPr>
              <w:t>3,113</w:t>
            </w:r>
          </w:p>
        </w:tc>
        <w:tc>
          <w:tcPr>
            <w:tcW w:w="22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9"/>
        </w:trPr>
        <w:tc>
          <w:tcPr>
            <w:tcW w:w="2480" w:type="dxa"/>
            <w:vAlign w:val="bottom"/>
            <w:gridSpan w:val="2"/>
          </w:tcPr>
          <w:p>
            <w:pPr>
              <w:spacing w:after="0"/>
              <w:rPr>
                <w:sz w:val="20"/>
                <w:szCs w:val="20"/>
                <w:color w:val="auto"/>
              </w:rPr>
            </w:pPr>
            <w:r>
              <w:rPr>
                <w:rFonts w:ascii="Arial" w:cs="Arial" w:eastAsia="Arial" w:hAnsi="Arial"/>
                <w:sz w:val="11"/>
                <w:szCs w:val="11"/>
                <w:color w:val="auto"/>
              </w:rPr>
              <w:t>Custody/brokerage/administration/deposits</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1,282</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1,207</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1,055</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1,156</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1,182</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1,282</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1,182</w:t>
            </w:r>
          </w:p>
        </w:tc>
        <w:tc>
          <w:tcPr>
            <w:tcW w:w="220" w:type="dxa"/>
            <w:vAlign w:val="bottom"/>
          </w:tcPr>
          <w:p>
            <w:pPr>
              <w:spacing w:after="0"/>
              <w:rPr>
                <w:sz w:val="14"/>
                <w:szCs w:val="14"/>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55"/>
        </w:trPr>
        <w:tc>
          <w:tcPr>
            <w:tcW w:w="248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 CLIENT ASSETS (a)</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4,048</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3,823</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3,798</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4,116</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4,295</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3"/>
                <w:szCs w:val="13"/>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4,048</w:t>
            </w:r>
          </w:p>
        </w:tc>
        <w:tc>
          <w:tcPr>
            <w:tcW w:w="200" w:type="dxa"/>
            <w:vAlign w:val="bottom"/>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4,295</w:t>
            </w:r>
          </w:p>
        </w:tc>
        <w:tc>
          <w:tcPr>
            <w:tcW w:w="2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459"/>
        </w:trPr>
        <w:tc>
          <w:tcPr>
            <w:tcW w:w="2480" w:type="dxa"/>
            <w:vAlign w:val="bottom"/>
            <w:gridSpan w:val="2"/>
          </w:tcPr>
          <w:p>
            <w:pPr>
              <w:spacing w:after="0"/>
              <w:rPr>
                <w:sz w:val="20"/>
                <w:szCs w:val="20"/>
                <w:color w:val="auto"/>
              </w:rPr>
            </w:pPr>
            <w:r>
              <w:rPr>
                <w:rFonts w:ascii="Arial" w:cs="Arial" w:eastAsia="Arial" w:hAnsi="Arial"/>
                <w:sz w:val="11"/>
                <w:szCs w:val="11"/>
                <w:b w:val="1"/>
                <w:bCs w:val="1"/>
                <w:color w:val="auto"/>
              </w:rPr>
              <w:t>Assets by client segment</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80" w:type="dxa"/>
            <w:vAlign w:val="bottom"/>
            <w:gridSpan w:val="2"/>
          </w:tcPr>
          <w:p>
            <w:pPr>
              <w:spacing w:after="0"/>
              <w:rPr>
                <w:sz w:val="20"/>
                <w:szCs w:val="20"/>
                <w:color w:val="auto"/>
              </w:rPr>
            </w:pPr>
            <w:r>
              <w:rPr>
                <w:rFonts w:ascii="Arial" w:cs="Arial" w:eastAsia="Arial" w:hAnsi="Arial"/>
                <w:sz w:val="11"/>
                <w:szCs w:val="11"/>
                <w:color w:val="auto"/>
              </w:rPr>
              <w:t>Private Banking</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751</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698</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712</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777</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805</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3"/>
                <w:szCs w:val="13"/>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4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751</w:t>
            </w:r>
          </w:p>
        </w:tc>
        <w:tc>
          <w:tcPr>
            <w:tcW w:w="2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805</w:t>
            </w:r>
          </w:p>
        </w:tc>
        <w:tc>
          <w:tcPr>
            <w:tcW w:w="2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2"/>
        </w:trPr>
        <w:tc>
          <w:tcPr>
            <w:tcW w:w="2480" w:type="dxa"/>
            <w:vAlign w:val="bottom"/>
            <w:gridSpan w:val="2"/>
          </w:tcPr>
          <w:p>
            <w:pPr>
              <w:spacing w:after="0"/>
              <w:rPr>
                <w:sz w:val="20"/>
                <w:szCs w:val="20"/>
                <w:color w:val="auto"/>
              </w:rPr>
            </w:pPr>
            <w:r>
              <w:rPr>
                <w:rFonts w:ascii="Arial" w:cs="Arial" w:eastAsia="Arial" w:hAnsi="Arial"/>
                <w:sz w:val="11"/>
                <w:szCs w:val="11"/>
                <w:color w:val="auto"/>
              </w:rPr>
              <w:t>Global Institutional</w:t>
            </w: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1,252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1,209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1,294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1,355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1,430</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1,252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1,430</w:t>
            </w:r>
          </w:p>
        </w:tc>
        <w:tc>
          <w:tcPr>
            <w:tcW w:w="220" w:type="dxa"/>
            <w:vAlign w:val="bottom"/>
          </w:tcPr>
          <w:p>
            <w:pPr>
              <w:spacing w:after="0"/>
              <w:rPr>
                <w:sz w:val="14"/>
                <w:szCs w:val="14"/>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76"/>
        </w:trPr>
        <w:tc>
          <w:tcPr>
            <w:tcW w:w="2480" w:type="dxa"/>
            <w:vAlign w:val="bottom"/>
            <w:gridSpan w:val="2"/>
          </w:tcPr>
          <w:p>
            <w:pPr>
              <w:spacing w:after="0"/>
              <w:rPr>
                <w:sz w:val="20"/>
                <w:szCs w:val="20"/>
                <w:color w:val="auto"/>
              </w:rPr>
            </w:pPr>
            <w:r>
              <w:rPr>
                <w:rFonts w:ascii="Arial" w:cs="Arial" w:eastAsia="Arial" w:hAnsi="Arial"/>
                <w:sz w:val="11"/>
                <w:szCs w:val="11"/>
                <w:color w:val="auto"/>
              </w:rPr>
              <w:t>Global Funds</w:t>
            </w: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763</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709</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737</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828</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878</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5"/>
                <w:szCs w:val="15"/>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763</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878</w:t>
            </w:r>
          </w:p>
        </w:tc>
        <w:tc>
          <w:tcPr>
            <w:tcW w:w="220" w:type="dxa"/>
            <w:vAlign w:val="bottom"/>
          </w:tcPr>
          <w:p>
            <w:pPr>
              <w:spacing w:after="0"/>
              <w:rPr>
                <w:sz w:val="15"/>
                <w:szCs w:val="15"/>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5"/>
        </w:trPr>
        <w:tc>
          <w:tcPr>
            <w:tcW w:w="248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 ASSETS UNDER MANAGEMENT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2,766</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2,616</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2,743</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2,960</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3,113</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3"/>
                <w:szCs w:val="13"/>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4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2,766</w:t>
            </w:r>
          </w:p>
        </w:tc>
        <w:tc>
          <w:tcPr>
            <w:tcW w:w="200" w:type="dxa"/>
            <w:vAlign w:val="bottom"/>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3,113</w:t>
            </w:r>
          </w:p>
        </w:tc>
        <w:tc>
          <w:tcPr>
            <w:tcW w:w="2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91"/>
        </w:trPr>
        <w:tc>
          <w:tcPr>
            <w:tcW w:w="2480" w:type="dxa"/>
            <w:vAlign w:val="bottom"/>
            <w:gridSpan w:val="2"/>
          </w:tcPr>
          <w:p>
            <w:pPr>
              <w:spacing w:after="0"/>
              <w:rPr>
                <w:sz w:val="20"/>
                <w:szCs w:val="20"/>
                <w:color w:val="auto"/>
              </w:rPr>
            </w:pPr>
            <w:r>
              <w:rPr>
                <w:rFonts w:ascii="Arial" w:cs="Arial" w:eastAsia="Arial" w:hAnsi="Arial"/>
                <w:sz w:val="11"/>
                <w:szCs w:val="11"/>
                <w:color w:val="auto"/>
              </w:rPr>
              <w:t>Private Banking</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1,964</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1,848</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1,715</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1,880</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1,931</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24"/>
                <w:szCs w:val="2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4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1,964</w:t>
            </w:r>
          </w:p>
        </w:tc>
        <w:tc>
          <w:tcPr>
            <w:tcW w:w="200" w:type="dxa"/>
            <w:vAlign w:val="bottom"/>
          </w:tcPr>
          <w:p>
            <w:pPr>
              <w:spacing w:after="0"/>
              <w:rPr>
                <w:sz w:val="24"/>
                <w:szCs w:val="2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1,931</w:t>
            </w:r>
          </w:p>
        </w:tc>
        <w:tc>
          <w:tcPr>
            <w:tcW w:w="220" w:type="dxa"/>
            <w:vAlign w:val="bottom"/>
          </w:tcPr>
          <w:p>
            <w:pPr>
              <w:spacing w:after="0"/>
              <w:rPr>
                <w:sz w:val="24"/>
                <w:szCs w:val="24"/>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2480" w:type="dxa"/>
            <w:vAlign w:val="bottom"/>
            <w:gridSpan w:val="2"/>
          </w:tcPr>
          <w:p>
            <w:pPr>
              <w:spacing w:after="0"/>
              <w:rPr>
                <w:sz w:val="20"/>
                <w:szCs w:val="20"/>
                <w:color w:val="auto"/>
              </w:rPr>
            </w:pPr>
            <w:r>
              <w:rPr>
                <w:rFonts w:ascii="Arial" w:cs="Arial" w:eastAsia="Arial" w:hAnsi="Arial"/>
                <w:sz w:val="11"/>
                <w:szCs w:val="11"/>
                <w:color w:val="auto"/>
              </w:rPr>
              <w:t>Global Institutional</w:t>
            </w: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1,261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1,339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1,402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1,479</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1,314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1,479</w:t>
            </w:r>
          </w:p>
        </w:tc>
        <w:tc>
          <w:tcPr>
            <w:tcW w:w="220" w:type="dxa"/>
            <w:vAlign w:val="bottom"/>
          </w:tcPr>
          <w:p>
            <w:pPr>
              <w:spacing w:after="0"/>
              <w:rPr>
                <w:sz w:val="14"/>
                <w:szCs w:val="14"/>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75"/>
        </w:trPr>
        <w:tc>
          <w:tcPr>
            <w:tcW w:w="2480" w:type="dxa"/>
            <w:vAlign w:val="bottom"/>
            <w:gridSpan w:val="2"/>
          </w:tcPr>
          <w:p>
            <w:pPr>
              <w:spacing w:after="0"/>
              <w:rPr>
                <w:sz w:val="20"/>
                <w:szCs w:val="20"/>
                <w:color w:val="auto"/>
              </w:rPr>
            </w:pPr>
            <w:r>
              <w:rPr>
                <w:rFonts w:ascii="Arial" w:cs="Arial" w:eastAsia="Arial" w:hAnsi="Arial"/>
                <w:sz w:val="11"/>
                <w:szCs w:val="11"/>
                <w:color w:val="auto"/>
              </w:rPr>
              <w:t>Global Funds</w:t>
            </w: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770</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714</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744</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834</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885</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5"/>
                <w:szCs w:val="15"/>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770</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885</w:t>
            </w:r>
          </w:p>
        </w:tc>
        <w:tc>
          <w:tcPr>
            <w:tcW w:w="220" w:type="dxa"/>
            <w:vAlign w:val="bottom"/>
          </w:tcPr>
          <w:p>
            <w:pPr>
              <w:spacing w:after="0"/>
              <w:rPr>
                <w:sz w:val="15"/>
                <w:szCs w:val="15"/>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5"/>
        </w:trPr>
        <w:tc>
          <w:tcPr>
            <w:tcW w:w="248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 CLIENT ASSETS (a)</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4,048</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3,823</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3,798</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4,116</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4,295</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3"/>
                <w:szCs w:val="13"/>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4,048</w:t>
            </w:r>
          </w:p>
        </w:tc>
        <w:tc>
          <w:tcPr>
            <w:tcW w:w="200" w:type="dxa"/>
            <w:vAlign w:val="bottom"/>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4,295</w:t>
            </w:r>
          </w:p>
        </w:tc>
        <w:tc>
          <w:tcPr>
            <w:tcW w:w="2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97"/>
        </w:trPr>
        <w:tc>
          <w:tcPr>
            <w:tcW w:w="2480" w:type="dxa"/>
            <w:vAlign w:val="bottom"/>
            <w:gridSpan w:val="2"/>
          </w:tcPr>
          <w:p>
            <w:pPr>
              <w:spacing w:after="0"/>
              <w:rPr>
                <w:sz w:val="20"/>
                <w:szCs w:val="20"/>
                <w:color w:val="auto"/>
              </w:rPr>
            </w:pPr>
            <w:r>
              <w:rPr>
                <w:rFonts w:ascii="Arial" w:cs="Arial" w:eastAsia="Arial" w:hAnsi="Arial"/>
                <w:sz w:val="11"/>
                <w:szCs w:val="11"/>
                <w:b w:val="1"/>
                <w:bCs w:val="1"/>
                <w:color w:val="auto"/>
              </w:rPr>
              <w:t>Assets under management rollforward</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80" w:type="dxa"/>
            <w:vAlign w:val="bottom"/>
            <w:gridSpan w:val="2"/>
          </w:tcPr>
          <w:p>
            <w:pPr>
              <w:spacing w:after="0"/>
              <w:rPr>
                <w:sz w:val="20"/>
                <w:szCs w:val="20"/>
                <w:color w:val="auto"/>
              </w:rPr>
            </w:pPr>
            <w:r>
              <w:rPr>
                <w:rFonts w:ascii="Arial" w:cs="Arial" w:eastAsia="Arial" w:hAnsi="Arial"/>
                <w:sz w:val="11"/>
                <w:szCs w:val="11"/>
                <w:color w:val="auto"/>
              </w:rPr>
              <w:t>Beginning balance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2,616</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2,743</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2,960</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3,113</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2,996</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3,113</w:t>
            </w:r>
          </w:p>
        </w:tc>
        <w:tc>
          <w:tcPr>
            <w:tcW w:w="2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2,716</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80" w:type="dxa"/>
            <w:vAlign w:val="bottom"/>
            <w:gridSpan w:val="2"/>
          </w:tcPr>
          <w:p>
            <w:pPr>
              <w:spacing w:after="0"/>
              <w:rPr>
                <w:sz w:val="20"/>
                <w:szCs w:val="20"/>
                <w:color w:val="auto"/>
              </w:rPr>
            </w:pPr>
            <w:r>
              <w:rPr>
                <w:rFonts w:ascii="Arial" w:cs="Arial" w:eastAsia="Arial" w:hAnsi="Arial"/>
                <w:sz w:val="11"/>
                <w:szCs w:val="11"/>
                <w:color w:val="auto"/>
              </w:rPr>
              <w:t>Net asset flows:</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gridSpan w:val="2"/>
          </w:tcPr>
          <w:p>
            <w:pPr>
              <w:ind w:left="120"/>
              <w:spacing w:after="0"/>
              <w:rPr>
                <w:sz w:val="20"/>
                <w:szCs w:val="20"/>
                <w:color w:val="auto"/>
              </w:rPr>
            </w:pPr>
            <w:r>
              <w:rPr>
                <w:rFonts w:ascii="Arial" w:cs="Arial" w:eastAsia="Arial" w:hAnsi="Arial"/>
                <w:sz w:val="11"/>
                <w:szCs w:val="11"/>
                <w:color w:val="auto"/>
              </w:rPr>
              <w:t>Liquidity</w:t>
            </w: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68</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gridSpan w:val="2"/>
          </w:tcPr>
          <w:p>
            <w:pPr>
              <w:ind w:left="120"/>
              <w:spacing w:after="0"/>
              <w:rPr>
                <w:sz w:val="20"/>
                <w:szCs w:val="20"/>
                <w:color w:val="auto"/>
              </w:rPr>
            </w:pPr>
            <w:r>
              <w:rPr>
                <w:rFonts w:ascii="Arial" w:cs="Arial" w:eastAsia="Arial" w:hAnsi="Arial"/>
                <w:sz w:val="11"/>
                <w:szCs w:val="11"/>
                <w:color w:val="auto"/>
              </w:rPr>
              <w:t>Fixed income</w:t>
            </w: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36</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gridSpan w:val="2"/>
          </w:tcPr>
          <w:p>
            <w:pPr>
              <w:ind w:left="120"/>
              <w:spacing w:after="0"/>
              <w:rPr>
                <w:sz w:val="20"/>
                <w:szCs w:val="20"/>
                <w:color w:val="auto"/>
              </w:rPr>
            </w:pPr>
            <w:r>
              <w:rPr>
                <w:rFonts w:ascii="Arial" w:cs="Arial" w:eastAsia="Arial" w:hAnsi="Arial"/>
                <w:sz w:val="11"/>
                <w:szCs w:val="11"/>
                <w:color w:val="auto"/>
              </w:rPr>
              <w:t>Equity</w:t>
            </w: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18</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85</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gridSpan w:val="2"/>
          </w:tcPr>
          <w:p>
            <w:pPr>
              <w:ind w:left="120"/>
              <w:spacing w:after="0"/>
              <w:rPr>
                <w:sz w:val="20"/>
                <w:szCs w:val="20"/>
                <w:color w:val="auto"/>
              </w:rPr>
            </w:pPr>
            <w:r>
              <w:rPr>
                <w:rFonts w:ascii="Arial" w:cs="Arial" w:eastAsia="Arial" w:hAnsi="Arial"/>
                <w:sz w:val="11"/>
                <w:szCs w:val="11"/>
                <w:color w:val="auto"/>
              </w:rPr>
              <w:t>Multi-asset</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17</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gridSpan w:val="2"/>
          </w:tcPr>
          <w:p>
            <w:pPr>
              <w:ind w:left="120"/>
              <w:spacing w:after="0"/>
              <w:rPr>
                <w:sz w:val="20"/>
                <w:szCs w:val="20"/>
                <w:color w:val="auto"/>
              </w:rPr>
            </w:pPr>
            <w:r>
              <w:rPr>
                <w:rFonts w:ascii="Arial" w:cs="Arial" w:eastAsia="Arial" w:hAnsi="Arial"/>
                <w:sz w:val="11"/>
                <w:szCs w:val="11"/>
                <w:color w:val="auto"/>
              </w:rPr>
              <w:t>Alternatives</w:t>
            </w: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26</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80" w:type="dxa"/>
            <w:vAlign w:val="bottom"/>
            <w:gridSpan w:val="2"/>
          </w:tcPr>
          <w:p>
            <w:pPr>
              <w:spacing w:after="0"/>
              <w:rPr>
                <w:sz w:val="20"/>
                <w:szCs w:val="20"/>
                <w:color w:val="auto"/>
              </w:rPr>
            </w:pPr>
            <w:r>
              <w:rPr>
                <w:rFonts w:ascii="Arial" w:cs="Arial" w:eastAsia="Arial" w:hAnsi="Arial"/>
                <w:sz w:val="11"/>
                <w:szCs w:val="11"/>
                <w:color w:val="auto"/>
              </w:rPr>
              <w:t>Market/performance/other impacts</w:t>
            </w: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107</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(223)</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63</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(339)</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165</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480" w:type="dxa"/>
            <w:vAlign w:val="bottom"/>
            <w:gridSpan w:val="2"/>
          </w:tcPr>
          <w:p>
            <w:pPr>
              <w:ind w:left="120"/>
              <w:spacing w:after="0"/>
              <w:rPr>
                <w:sz w:val="20"/>
                <w:szCs w:val="20"/>
                <w:color w:val="auto"/>
              </w:rPr>
            </w:pPr>
            <w:r>
              <w:rPr>
                <w:rFonts w:ascii="Arial" w:cs="Arial" w:eastAsia="Arial" w:hAnsi="Arial"/>
                <w:sz w:val="11"/>
                <w:szCs w:val="11"/>
                <w:b w:val="1"/>
                <w:bCs w:val="1"/>
                <w:color w:val="auto"/>
              </w:rPr>
              <w:t>Ending balance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2,766</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2,616</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2,743</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2,960</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3,113</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2,766</w:t>
            </w:r>
          </w:p>
        </w:tc>
        <w:tc>
          <w:tcPr>
            <w:tcW w:w="200" w:type="dxa"/>
            <w:vAlign w:val="bottom"/>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3,113</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6"/>
        </w:trPr>
        <w:tc>
          <w:tcPr>
            <w:tcW w:w="2480" w:type="dxa"/>
            <w:vAlign w:val="bottom"/>
            <w:gridSpan w:val="2"/>
          </w:tcPr>
          <w:p>
            <w:pPr>
              <w:spacing w:after="0"/>
              <w:rPr>
                <w:sz w:val="20"/>
                <w:szCs w:val="20"/>
                <w:color w:val="auto"/>
              </w:rPr>
            </w:pPr>
            <w:r>
              <w:rPr>
                <w:rFonts w:ascii="Arial" w:cs="Arial" w:eastAsia="Arial" w:hAnsi="Arial"/>
                <w:sz w:val="11"/>
                <w:szCs w:val="11"/>
                <w:b w:val="1"/>
                <w:bCs w:val="1"/>
                <w:color w:val="auto"/>
              </w:rPr>
              <w:t>Client assets rollforward</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80" w:type="dxa"/>
            <w:vAlign w:val="bottom"/>
            <w:gridSpan w:val="2"/>
          </w:tcPr>
          <w:p>
            <w:pPr>
              <w:spacing w:after="0"/>
              <w:rPr>
                <w:sz w:val="20"/>
                <w:szCs w:val="20"/>
                <w:color w:val="auto"/>
              </w:rPr>
            </w:pPr>
            <w:r>
              <w:rPr>
                <w:rFonts w:ascii="Arial" w:cs="Arial" w:eastAsia="Arial" w:hAnsi="Arial"/>
                <w:sz w:val="11"/>
                <w:szCs w:val="11"/>
                <w:color w:val="auto"/>
              </w:rPr>
              <w:t>Beginning balance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3,823</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3,798</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4,116</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4,295</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4,096</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4,295</w:t>
            </w:r>
          </w:p>
        </w:tc>
        <w:tc>
          <w:tcPr>
            <w:tcW w:w="2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3,652</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80" w:type="dxa"/>
            <w:vAlign w:val="bottom"/>
            <w:gridSpan w:val="2"/>
          </w:tcPr>
          <w:p>
            <w:pPr>
              <w:spacing w:after="0"/>
              <w:rPr>
                <w:sz w:val="20"/>
                <w:szCs w:val="20"/>
                <w:color w:val="auto"/>
              </w:rPr>
            </w:pPr>
            <w:r>
              <w:rPr>
                <w:rFonts w:ascii="Arial" w:cs="Arial" w:eastAsia="Arial" w:hAnsi="Arial"/>
                <w:sz w:val="11"/>
                <w:szCs w:val="11"/>
                <w:color w:val="auto"/>
              </w:rPr>
              <w:t>Net asset flows</w:t>
            </w: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109</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389</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80" w:type="dxa"/>
            <w:vAlign w:val="bottom"/>
            <w:gridSpan w:val="2"/>
          </w:tcPr>
          <w:p>
            <w:pPr>
              <w:spacing w:after="0"/>
              <w:rPr>
                <w:sz w:val="20"/>
                <w:szCs w:val="20"/>
                <w:color w:val="auto"/>
              </w:rPr>
            </w:pPr>
            <w:r>
              <w:rPr>
                <w:rFonts w:ascii="Arial" w:cs="Arial" w:eastAsia="Arial" w:hAnsi="Arial"/>
                <w:sz w:val="11"/>
                <w:szCs w:val="11"/>
                <w:color w:val="auto"/>
              </w:rPr>
              <w:t>Market/performance/other impacts</w:t>
            </w: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155</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40</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(317)</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(174)</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90</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(296)</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254</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480" w:type="dxa"/>
            <w:vAlign w:val="bottom"/>
            <w:gridSpan w:val="2"/>
          </w:tcPr>
          <w:p>
            <w:pPr>
              <w:ind w:left="120"/>
              <w:spacing w:after="0"/>
              <w:rPr>
                <w:sz w:val="20"/>
                <w:szCs w:val="20"/>
                <w:color w:val="auto"/>
              </w:rPr>
            </w:pPr>
            <w:r>
              <w:rPr>
                <w:rFonts w:ascii="Arial" w:cs="Arial" w:eastAsia="Arial" w:hAnsi="Arial"/>
                <w:sz w:val="11"/>
                <w:szCs w:val="11"/>
                <w:b w:val="1"/>
                <w:bCs w:val="1"/>
                <w:color w:val="auto"/>
              </w:rPr>
              <w:t>Ending balance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4,048</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3,823</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3,798</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4,116</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4,295</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4,048</w:t>
            </w:r>
          </w:p>
        </w:tc>
        <w:tc>
          <w:tcPr>
            <w:tcW w:w="200" w:type="dxa"/>
            <w:vAlign w:val="bottom"/>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4,295</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5855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1"/>
          <w:szCs w:val="11"/>
          <w:color w:val="auto"/>
        </w:rPr>
        <w:t>(a) Includes CCB client investment assets invested in managed accounts and J.P. Morgan mutual funds where AWM is the investment manager.</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24</w:t>
      </w:r>
    </w:p>
    <w:p>
      <w:pPr>
        <w:sectPr>
          <w:pgSz w:w="11900" w:h="16838" w:orient="portrait"/>
          <w:cols w:equalWidth="0" w:num="1">
            <w:col w:w="11240"/>
          </w:cols>
          <w:pgMar w:left="320" w:top="572"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-19685</wp:posOffset>
            </wp:positionV>
            <wp:extent cx="237426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CORPORATE</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headcount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ind w:left="400"/>
              <w:spacing w:after="0"/>
              <w:rPr>
                <w:sz w:val="20"/>
                <w:szCs w:val="20"/>
                <w:color w:val="auto"/>
              </w:rPr>
            </w:pPr>
            <w:r>
              <w:rPr>
                <w:rFonts w:ascii="Arial" w:cs="Arial" w:eastAsia="Arial" w:hAnsi="Arial"/>
                <w:sz w:val="11"/>
                <w:szCs w:val="11"/>
                <w:b w:val="1"/>
                <w:bCs w:val="1"/>
                <w:color w:val="auto"/>
              </w:rPr>
              <w:t>QUARTERLY TRENDS</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FULL YEAR</w:t>
            </w: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Borders>
              <w:bottom w:val="single" w:sz="8" w:color="auto"/>
            </w:tcBorders>
            <w:gridSpan w:val="3"/>
          </w:tcPr>
          <w:p>
            <w:pPr>
              <w:ind w:left="280"/>
              <w:spacing w:after="0"/>
              <w:rPr>
                <w:sz w:val="20"/>
                <w:szCs w:val="20"/>
                <w:color w:val="auto"/>
              </w:rPr>
            </w:pPr>
            <w:r>
              <w:rPr>
                <w:rFonts w:ascii="Arial" w:cs="Arial" w:eastAsia="Arial" w:hAnsi="Arial"/>
                <w:sz w:val="11"/>
                <w:szCs w:val="11"/>
                <w:b w:val="1"/>
                <w:bCs w:val="1"/>
                <w:color w:val="auto"/>
              </w:rPr>
              <w:t>4Q22 Change</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 Change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26"/>
              <w:spacing w:after="0"/>
              <w:rPr>
                <w:sz w:val="20"/>
                <w:szCs w:val="20"/>
                <w:color w:val="auto"/>
              </w:rPr>
            </w:pPr>
            <w:r>
              <w:rPr>
                <w:rFonts w:ascii="Arial" w:cs="Arial" w:eastAsia="Arial" w:hAnsi="Arial"/>
                <w:sz w:val="11"/>
                <w:szCs w:val="11"/>
                <w:b w:val="1"/>
                <w:bCs w:val="1"/>
                <w:color w:val="auto"/>
              </w:rPr>
              <w:t>4Q22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3Q22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2Q22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1Q22</w:t>
            </w:r>
          </w:p>
        </w:tc>
        <w:tc>
          <w:tcPr>
            <w:tcW w:w="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4Q21</w:t>
            </w:r>
          </w:p>
        </w:tc>
        <w:tc>
          <w:tcPr>
            <w:tcW w:w="78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3Q22</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4Q21</w:t>
            </w:r>
          </w:p>
        </w:tc>
        <w:tc>
          <w:tcPr>
            <w:tcW w:w="80" w:type="dxa"/>
            <w:vAlign w:val="bottom"/>
          </w:tcPr>
          <w:p>
            <w:pPr>
              <w:spacing w:after="0"/>
              <w:rPr>
                <w:sz w:val="13"/>
                <w:szCs w:val="13"/>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2022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2021</w:t>
            </w:r>
          </w:p>
        </w:tc>
        <w:tc>
          <w:tcPr>
            <w:tcW w:w="200" w:type="dxa"/>
            <w:vAlign w:val="bottom"/>
          </w:tcPr>
          <w:p>
            <w:pPr>
              <w:spacing w:after="0"/>
              <w:rPr>
                <w:sz w:val="13"/>
                <w:szCs w:val="13"/>
                <w:color w:val="auto"/>
              </w:rPr>
            </w:pPr>
          </w:p>
        </w:tc>
        <w:tc>
          <w:tcPr>
            <w:tcW w:w="740" w:type="dxa"/>
            <w:vAlign w:val="bottom"/>
          </w:tcPr>
          <w:p>
            <w:pPr>
              <w:jc w:val="right"/>
              <w:ind w:right="206"/>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20" w:type="dxa"/>
            <w:vAlign w:val="bottom"/>
            <w:tcBorders>
              <w:bottom w:val="single" w:sz="8" w:color="auto"/>
            </w:tcBorders>
            <w:gridSpan w:val="2"/>
          </w:tcPr>
          <w:p>
            <w:pPr>
              <w:spacing w:after="0" w:line="108" w:lineRule="exact"/>
              <w:rPr>
                <w:sz w:val="20"/>
                <w:szCs w:val="20"/>
                <w:color w:val="auto"/>
              </w:rPr>
            </w:pPr>
            <w:r>
              <w:rPr>
                <w:rFonts w:ascii="Arial" w:cs="Arial" w:eastAsia="Arial" w:hAnsi="Arial"/>
                <w:sz w:val="11"/>
                <w:szCs w:val="11"/>
                <w:b w:val="1"/>
                <w:bCs w:val="1"/>
                <w:color w:val="auto"/>
                <w:w w:val="96"/>
              </w:rPr>
              <w:t>INCOME STATEMENT</w:t>
            </w:r>
          </w:p>
        </w:tc>
        <w:tc>
          <w:tcPr>
            <w:tcW w:w="1020" w:type="dxa"/>
            <w:vAlign w:val="bottom"/>
            <w:gridSpan w:val="3"/>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40" w:type="dxa"/>
            <w:vAlign w:val="bottom"/>
            <w:gridSpan w:val="5"/>
          </w:tcPr>
          <w:p>
            <w:pPr>
              <w:spacing w:after="0"/>
              <w:rPr>
                <w:sz w:val="20"/>
                <w:szCs w:val="20"/>
                <w:color w:val="auto"/>
              </w:rPr>
            </w:pPr>
            <w:r>
              <w:rPr>
                <w:rFonts w:ascii="Arial" w:cs="Arial" w:eastAsia="Arial" w:hAnsi="Arial"/>
                <w:sz w:val="11"/>
                <w:szCs w:val="11"/>
                <w:b w:val="1"/>
                <w:bCs w:val="1"/>
                <w:color w:val="auto"/>
              </w:rPr>
              <w:t>REVENUE</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40" w:type="dxa"/>
            <w:vAlign w:val="bottom"/>
            <w:gridSpan w:val="5"/>
          </w:tcPr>
          <w:p>
            <w:pPr>
              <w:spacing w:after="0"/>
              <w:rPr>
                <w:sz w:val="20"/>
                <w:szCs w:val="20"/>
                <w:color w:val="auto"/>
              </w:rPr>
            </w:pPr>
            <w:r>
              <w:rPr>
                <w:rFonts w:ascii="Arial" w:cs="Arial" w:eastAsia="Arial" w:hAnsi="Arial"/>
                <w:sz w:val="11"/>
                <w:szCs w:val="11"/>
                <w:color w:val="auto"/>
              </w:rPr>
              <w:t>Principal transactions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jc w:val="right"/>
              <w:ind w:right="186"/>
              <w:spacing w:after="0"/>
              <w:rPr>
                <w:sz w:val="20"/>
                <w:szCs w:val="20"/>
                <w:color w:val="auto"/>
              </w:rPr>
            </w:pPr>
            <w:r>
              <w:rPr>
                <w:rFonts w:ascii="Arial" w:cs="Arial" w:eastAsia="Arial" w:hAnsi="Arial"/>
                <w:sz w:val="11"/>
                <w:szCs w:val="11"/>
                <w:color w:val="auto"/>
              </w:rPr>
              <w:t>(76)</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17</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(161)</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26</w:t>
            </w: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91 %</w:t>
            </w:r>
          </w:p>
        </w:tc>
        <w:tc>
          <w:tcPr>
            <w:tcW w:w="200" w:type="dxa"/>
            <w:vAlign w:val="bottom"/>
          </w:tcPr>
          <w:p>
            <w:pPr>
              <w:spacing w:after="0"/>
              <w:rPr>
                <w:sz w:val="13"/>
                <w:szCs w:val="13"/>
                <w:color w:val="auto"/>
              </w:rPr>
            </w:pPr>
          </w:p>
        </w:tc>
        <w:tc>
          <w:tcPr>
            <w:tcW w:w="880" w:type="dxa"/>
            <w:vAlign w:val="bottom"/>
            <w:gridSpan w:val="2"/>
          </w:tcPr>
          <w:p>
            <w:pPr>
              <w:ind w:left="280"/>
              <w:spacing w:after="0"/>
              <w:rPr>
                <w:sz w:val="20"/>
                <w:szCs w:val="20"/>
                <w:color w:val="auto"/>
              </w:rPr>
            </w:pPr>
            <w:r>
              <w:rPr>
                <w:rFonts w:ascii="Arial" w:cs="Arial" w:eastAsia="Arial" w:hAnsi="Arial"/>
                <w:sz w:val="11"/>
                <w:szCs w:val="11"/>
                <w:color w:val="auto"/>
              </w:rPr>
              <w:t>NM</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(227)</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187</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40" w:type="dxa"/>
            <w:vAlign w:val="bottom"/>
            <w:gridSpan w:val="5"/>
          </w:tcPr>
          <w:p>
            <w:pPr>
              <w:spacing w:after="0"/>
              <w:rPr>
                <w:sz w:val="20"/>
                <w:szCs w:val="20"/>
                <w:color w:val="auto"/>
              </w:rPr>
            </w:pPr>
            <w:r>
              <w:rPr>
                <w:rFonts w:ascii="Arial" w:cs="Arial" w:eastAsia="Arial" w:hAnsi="Arial"/>
                <w:sz w:val="11"/>
                <w:szCs w:val="11"/>
                <w:color w:val="auto"/>
              </w:rPr>
              <w:t>Investment securities gains/(losses)</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(874)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86"/>
              <w:spacing w:after="0"/>
              <w:rPr>
                <w:sz w:val="20"/>
                <w:szCs w:val="20"/>
                <w:color w:val="auto"/>
              </w:rPr>
            </w:pPr>
            <w:r>
              <w:rPr>
                <w:rFonts w:ascii="Arial" w:cs="Arial" w:eastAsia="Arial" w:hAnsi="Arial"/>
                <w:sz w:val="11"/>
                <w:szCs w:val="11"/>
                <w:color w:val="auto"/>
              </w:rPr>
              <w:t>(959)</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(394)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52</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4"/>
                <w:szCs w:val="14"/>
                <w:color w:val="auto"/>
              </w:rPr>
            </w:pPr>
          </w:p>
        </w:tc>
        <w:tc>
          <w:tcPr>
            <w:tcW w:w="880" w:type="dxa"/>
            <w:vAlign w:val="bottom"/>
            <w:gridSpan w:val="2"/>
          </w:tcPr>
          <w:p>
            <w:pPr>
              <w:ind w:left="280"/>
              <w:spacing w:after="0"/>
              <w:rPr>
                <w:sz w:val="20"/>
                <w:szCs w:val="20"/>
                <w:color w:val="auto"/>
              </w:rPr>
            </w:pPr>
            <w:r>
              <w:rPr>
                <w:rFonts w:ascii="Arial" w:cs="Arial" w:eastAsia="Arial" w:hAnsi="Arial"/>
                <w:sz w:val="11"/>
                <w:szCs w:val="11"/>
                <w:color w:val="auto"/>
              </w:rPr>
              <w:t>NM</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(2,380)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(345)</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40" w:type="dxa"/>
            <w:vAlign w:val="bottom"/>
            <w:gridSpan w:val="5"/>
          </w:tcPr>
          <w:p>
            <w:pPr>
              <w:spacing w:after="0"/>
              <w:rPr>
                <w:sz w:val="20"/>
                <w:szCs w:val="20"/>
                <w:color w:val="auto"/>
              </w:rPr>
            </w:pPr>
            <w:r>
              <w:rPr>
                <w:rFonts w:ascii="Arial" w:cs="Arial" w:eastAsia="Arial" w:hAnsi="Arial"/>
                <w:sz w:val="11"/>
                <w:szCs w:val="11"/>
                <w:color w:val="auto"/>
              </w:rPr>
              <w:t>All other income</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766</w:t>
            </w:r>
          </w:p>
        </w:tc>
        <w:tc>
          <w:tcPr>
            <w:tcW w:w="240" w:type="dxa"/>
            <w:vAlign w:val="bottom"/>
          </w:tcPr>
          <w:p>
            <w:pPr>
              <w:ind w:left="60"/>
              <w:spacing w:after="0"/>
              <w:rPr>
                <w:sz w:val="20"/>
                <w:szCs w:val="20"/>
                <w:color w:val="auto"/>
              </w:rPr>
            </w:pPr>
            <w:r>
              <w:rPr>
                <w:rFonts w:ascii="Arial" w:cs="Arial" w:eastAsia="Arial" w:hAnsi="Arial"/>
                <w:sz w:val="11"/>
                <w:szCs w:val="11"/>
                <w:color w:val="auto"/>
              </w:rPr>
              <w:t>(d)</w:t>
            </w: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186"/>
              <w:spacing w:after="0"/>
              <w:rPr>
                <w:sz w:val="20"/>
                <w:szCs w:val="20"/>
                <w:color w:val="auto"/>
              </w:rPr>
            </w:pPr>
            <w:r>
              <w:rPr>
                <w:rFonts w:ascii="Arial" w:cs="Arial" w:eastAsia="Arial" w:hAnsi="Arial"/>
                <w:sz w:val="11"/>
                <w:szCs w:val="11"/>
                <w:color w:val="auto"/>
              </w:rPr>
              <w:t>(59)</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210</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58</w:t>
            </w:r>
          </w:p>
        </w:tc>
        <w:tc>
          <w:tcPr>
            <w:tcW w:w="240" w:type="dxa"/>
            <w:vAlign w:val="bottom"/>
          </w:tcPr>
          <w:p>
            <w:pPr>
              <w:spacing w:after="0"/>
              <w:rPr>
                <w:sz w:val="15"/>
                <w:szCs w:val="15"/>
                <w:color w:val="auto"/>
              </w:rPr>
            </w:pPr>
          </w:p>
        </w:tc>
        <w:tc>
          <w:tcPr>
            <w:tcW w:w="78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880" w:type="dxa"/>
            <w:vAlign w:val="bottom"/>
            <w:gridSpan w:val="2"/>
          </w:tcPr>
          <w:p>
            <w:pPr>
              <w:ind w:left="280"/>
              <w:spacing w:after="0"/>
              <w:rPr>
                <w:sz w:val="20"/>
                <w:szCs w:val="20"/>
                <w:color w:val="auto"/>
              </w:rPr>
            </w:pPr>
            <w:r>
              <w:rPr>
                <w:rFonts w:ascii="Arial" w:cs="Arial" w:eastAsia="Arial" w:hAnsi="Arial"/>
                <w:sz w:val="11"/>
                <w:szCs w:val="11"/>
                <w:color w:val="auto"/>
              </w:rPr>
              <w:t>NM</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809</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226</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258 %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40" w:type="dxa"/>
            <w:vAlign w:val="bottom"/>
            <w:gridSpan w:val="5"/>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(115)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6"/>
              <w:spacing w:after="0"/>
              <w:rPr>
                <w:sz w:val="20"/>
                <w:szCs w:val="20"/>
                <w:color w:val="auto"/>
              </w:rPr>
            </w:pPr>
            <w:r>
              <w:rPr>
                <w:rFonts w:ascii="Arial" w:cs="Arial" w:eastAsia="Arial" w:hAnsi="Arial"/>
                <w:sz w:val="11"/>
                <w:szCs w:val="11"/>
                <w:b w:val="1"/>
                <w:bCs w:val="1"/>
                <w:color w:val="auto"/>
              </w:rPr>
              <w:t>(1,094)</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(244)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(345)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136</w:t>
            </w:r>
          </w:p>
        </w:tc>
        <w:tc>
          <w:tcPr>
            <w:tcW w:w="24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89</w:t>
            </w:r>
          </w:p>
        </w:tc>
        <w:tc>
          <w:tcPr>
            <w:tcW w:w="200" w:type="dxa"/>
            <w:vAlign w:val="bottom"/>
          </w:tcPr>
          <w:p>
            <w:pPr>
              <w:spacing w:after="0"/>
              <w:rPr>
                <w:sz w:val="12"/>
                <w:szCs w:val="12"/>
                <w:color w:val="auto"/>
              </w:rPr>
            </w:pPr>
          </w:p>
        </w:tc>
        <w:tc>
          <w:tcPr>
            <w:tcW w:w="880" w:type="dxa"/>
            <w:vAlign w:val="bottom"/>
            <w:gridSpan w:val="2"/>
          </w:tcPr>
          <w:p>
            <w:pPr>
              <w:ind w:left="280"/>
              <w:spacing w:after="0"/>
              <w:rPr>
                <w:sz w:val="20"/>
                <w:szCs w:val="20"/>
                <w:color w:val="auto"/>
              </w:rPr>
            </w:pPr>
            <w:r>
              <w:rPr>
                <w:rFonts w:ascii="Arial" w:cs="Arial" w:eastAsia="Arial" w:hAnsi="Arial"/>
                <w:sz w:val="11"/>
                <w:szCs w:val="11"/>
                <w:color w:val="auto"/>
              </w:rPr>
              <w:t>NM</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(1,798)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68</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40" w:type="dxa"/>
            <w:vAlign w:val="bottom"/>
            <w:gridSpan w:val="5"/>
          </w:tcPr>
          <w:p>
            <w:pPr>
              <w:spacing w:after="0"/>
              <w:rPr>
                <w:sz w:val="20"/>
                <w:szCs w:val="20"/>
                <w:color w:val="auto"/>
              </w:rPr>
            </w:pPr>
            <w:r>
              <w:rPr>
                <w:rFonts w:ascii="Arial" w:cs="Arial" w:eastAsia="Arial" w:hAnsi="Arial"/>
                <w:sz w:val="11"/>
                <w:szCs w:val="11"/>
                <w:color w:val="auto"/>
              </w:rPr>
              <w:t>Net interest income</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1,298</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792</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324</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(536)</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(681)</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64</w:t>
            </w:r>
          </w:p>
        </w:tc>
        <w:tc>
          <w:tcPr>
            <w:tcW w:w="200" w:type="dxa"/>
            <w:vAlign w:val="bottom"/>
          </w:tcPr>
          <w:p>
            <w:pPr>
              <w:spacing w:after="0"/>
              <w:rPr>
                <w:sz w:val="14"/>
                <w:szCs w:val="14"/>
                <w:color w:val="auto"/>
              </w:rPr>
            </w:pPr>
          </w:p>
        </w:tc>
        <w:tc>
          <w:tcPr>
            <w:tcW w:w="880" w:type="dxa"/>
            <w:vAlign w:val="bottom"/>
            <w:gridSpan w:val="2"/>
          </w:tcPr>
          <w:p>
            <w:pPr>
              <w:ind w:left="280"/>
              <w:spacing w:after="0"/>
              <w:rPr>
                <w:sz w:val="20"/>
                <w:szCs w:val="20"/>
                <w:color w:val="auto"/>
              </w:rPr>
            </w:pPr>
            <w:r>
              <w:rPr>
                <w:rFonts w:ascii="Arial" w:cs="Arial" w:eastAsia="Arial" w:hAnsi="Arial"/>
                <w:sz w:val="11"/>
                <w:szCs w:val="11"/>
                <w:color w:val="auto"/>
              </w:rPr>
              <w:t>NM</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1,878</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(3,551)</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4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REVENUE (a)</w:t>
            </w: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1,183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6"/>
              <w:spacing w:after="0"/>
              <w:rPr>
                <w:sz w:val="20"/>
                <w:szCs w:val="20"/>
                <w:color w:val="auto"/>
              </w:rPr>
            </w:pPr>
            <w:r>
              <w:rPr>
                <w:rFonts w:ascii="Arial" w:cs="Arial" w:eastAsia="Arial" w:hAnsi="Arial"/>
                <w:sz w:val="11"/>
                <w:szCs w:val="11"/>
                <w:b w:val="1"/>
                <w:bCs w:val="1"/>
                <w:color w:val="auto"/>
              </w:rPr>
              <w:t>(302)</w:t>
            </w: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80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(881)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(545)</w:t>
            </w:r>
          </w:p>
        </w:tc>
        <w:tc>
          <w:tcPr>
            <w:tcW w:w="240" w:type="dxa"/>
            <w:vAlign w:val="bottom"/>
          </w:tcPr>
          <w:p>
            <w:pPr>
              <w:spacing w:after="0"/>
              <w:rPr>
                <w:sz w:val="12"/>
                <w:szCs w:val="12"/>
                <w:color w:val="auto"/>
              </w:rPr>
            </w:pPr>
          </w:p>
        </w:tc>
        <w:tc>
          <w:tcPr>
            <w:tcW w:w="78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880" w:type="dxa"/>
            <w:vAlign w:val="bottom"/>
            <w:gridSpan w:val="2"/>
          </w:tcPr>
          <w:p>
            <w:pPr>
              <w:ind w:left="280"/>
              <w:spacing w:after="0"/>
              <w:rPr>
                <w:sz w:val="20"/>
                <w:szCs w:val="20"/>
                <w:color w:val="auto"/>
              </w:rPr>
            </w:pPr>
            <w:r>
              <w:rPr>
                <w:rFonts w:ascii="Arial" w:cs="Arial" w:eastAsia="Arial" w:hAnsi="Arial"/>
                <w:sz w:val="11"/>
                <w:szCs w:val="11"/>
                <w:color w:val="auto"/>
              </w:rPr>
              <w:t>NM</w:t>
            </w: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(3,483)</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Arial" w:cs="Arial" w:eastAsia="Arial" w:hAnsi="Arial"/>
                <w:sz w:val="11"/>
                <w:szCs w:val="11"/>
                <w:color w:val="auto"/>
              </w:rPr>
              <w:t>Provision for credit losses</w:t>
            </w: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186"/>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24"/>
                <w:szCs w:val="2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23</w:t>
            </w:r>
          </w:p>
        </w:tc>
        <w:tc>
          <w:tcPr>
            <w:tcW w:w="240" w:type="dxa"/>
            <w:vAlign w:val="bottom"/>
          </w:tcPr>
          <w:p>
            <w:pPr>
              <w:spacing w:after="0"/>
              <w:rPr>
                <w:sz w:val="24"/>
                <w:szCs w:val="2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33</w:t>
            </w:r>
          </w:p>
        </w:tc>
        <w:tc>
          <w:tcPr>
            <w:tcW w:w="200" w:type="dxa"/>
            <w:vAlign w:val="bottom"/>
          </w:tcPr>
          <w:p>
            <w:pPr>
              <w:spacing w:after="0"/>
              <w:rPr>
                <w:sz w:val="24"/>
                <w:szCs w:val="24"/>
                <w:color w:val="auto"/>
              </w:rPr>
            </w:pPr>
          </w:p>
        </w:tc>
        <w:tc>
          <w:tcPr>
            <w:tcW w:w="880" w:type="dxa"/>
            <w:vAlign w:val="bottom"/>
            <w:gridSpan w:val="2"/>
          </w:tcPr>
          <w:p>
            <w:pPr>
              <w:ind w:left="280"/>
              <w:spacing w:after="0"/>
              <w:rPr>
                <w:sz w:val="20"/>
                <w:szCs w:val="20"/>
                <w:color w:val="auto"/>
              </w:rPr>
            </w:pPr>
            <w:r>
              <w:rPr>
                <w:rFonts w:ascii="Arial" w:cs="Arial" w:eastAsia="Arial" w:hAnsi="Arial"/>
                <w:sz w:val="11"/>
                <w:szCs w:val="11"/>
                <w:color w:val="auto"/>
              </w:rPr>
              <w:t>NM</w:t>
            </w:r>
          </w:p>
        </w:tc>
        <w:tc>
          <w:tcPr>
            <w:tcW w:w="80" w:type="dxa"/>
            <w:vAlign w:val="bottom"/>
          </w:tcPr>
          <w:p>
            <w:pPr>
              <w:spacing w:after="0"/>
              <w:rPr>
                <w:sz w:val="24"/>
                <w:szCs w:val="2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22</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81</w:t>
            </w:r>
          </w:p>
        </w:tc>
        <w:tc>
          <w:tcPr>
            <w:tcW w:w="200" w:type="dxa"/>
            <w:vAlign w:val="bottom"/>
          </w:tcPr>
          <w:p>
            <w:pPr>
              <w:spacing w:after="0"/>
              <w:rPr>
                <w:sz w:val="24"/>
                <w:szCs w:val="2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Arial" w:cs="Arial" w:eastAsia="Arial" w:hAnsi="Arial"/>
                <w:sz w:val="11"/>
                <w:szCs w:val="11"/>
                <w:b w:val="1"/>
                <w:bCs w:val="1"/>
                <w:color w:val="auto"/>
              </w:rPr>
              <w:t>NONINTEREST EXPENSE</w:t>
            </w: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339</w:t>
            </w:r>
          </w:p>
        </w:tc>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305</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206</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184</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251</w:t>
            </w:r>
          </w:p>
        </w:tc>
        <w:tc>
          <w:tcPr>
            <w:tcW w:w="240" w:type="dxa"/>
            <w:vAlign w:val="bottom"/>
          </w:tcPr>
          <w:p>
            <w:pPr>
              <w:spacing w:after="0"/>
              <w:rPr>
                <w:sz w:val="24"/>
                <w:szCs w:val="2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4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1,034</w:t>
            </w:r>
          </w:p>
        </w:tc>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1,802</w:t>
            </w:r>
          </w:p>
        </w:tc>
        <w:tc>
          <w:tcPr>
            <w:tcW w:w="200" w:type="dxa"/>
            <w:vAlign w:val="bottom"/>
          </w:tcPr>
          <w:p>
            <w:pPr>
              <w:spacing w:after="0"/>
              <w:rPr>
                <w:sz w:val="24"/>
                <w:szCs w:val="2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40" w:type="dxa"/>
            <w:vAlign w:val="bottom"/>
            <w:gridSpan w:val="5"/>
          </w:tcPr>
          <w:p>
            <w:pPr>
              <w:spacing w:after="0" w:line="95" w:lineRule="exact"/>
              <w:rPr>
                <w:sz w:val="20"/>
                <w:szCs w:val="20"/>
                <w:color w:val="auto"/>
              </w:rPr>
            </w:pPr>
            <w:r>
              <w:rPr>
                <w:rFonts w:ascii="Arial" w:cs="Arial" w:eastAsia="Arial" w:hAnsi="Arial"/>
                <w:sz w:val="10"/>
                <w:szCs w:val="10"/>
                <w:b w:val="1"/>
                <w:bCs w:val="1"/>
                <w:color w:val="auto"/>
              </w:rPr>
              <w:t>Income/(loss) before income tax</w:t>
            </w:r>
          </w:p>
        </w:tc>
        <w:tc>
          <w:tcPr>
            <w:tcW w:w="80" w:type="dxa"/>
            <w:vAlign w:val="bottom"/>
          </w:tcPr>
          <w:p>
            <w:pPr>
              <w:spacing w:after="0"/>
              <w:rPr>
                <w:sz w:val="8"/>
                <w:szCs w:val="8"/>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858</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restart"/>
          </w:tcPr>
          <w:p>
            <w:pPr>
              <w:jc w:val="right"/>
              <w:ind w:right="186"/>
              <w:spacing w:after="0"/>
              <w:rPr>
                <w:sz w:val="20"/>
                <w:szCs w:val="20"/>
                <w:color w:val="auto"/>
              </w:rPr>
            </w:pPr>
            <w:r>
              <w:rPr>
                <w:rFonts w:ascii="Arial" w:cs="Arial" w:eastAsia="Arial" w:hAnsi="Arial"/>
                <w:sz w:val="11"/>
                <w:szCs w:val="11"/>
                <w:b w:val="1"/>
                <w:bCs w:val="1"/>
                <w:color w:val="auto"/>
              </w:rPr>
              <w:t>(586)</w:t>
            </w:r>
          </w:p>
        </w:tc>
        <w:tc>
          <w:tcPr>
            <w:tcW w:w="10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(154)</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(1,094)</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(819)</w:t>
            </w:r>
          </w:p>
        </w:tc>
        <w:tc>
          <w:tcPr>
            <w:tcW w:w="240" w:type="dxa"/>
            <w:vAlign w:val="bottom"/>
          </w:tcPr>
          <w:p>
            <w:pPr>
              <w:spacing w:after="0"/>
              <w:rPr>
                <w:sz w:val="8"/>
                <w:szCs w:val="8"/>
                <w:color w:val="auto"/>
              </w:rPr>
            </w:pPr>
          </w:p>
        </w:tc>
        <w:tc>
          <w:tcPr>
            <w:tcW w:w="780" w:type="dxa"/>
            <w:vAlign w:val="bottom"/>
            <w:gridSpan w:val="2"/>
            <w:vMerge w:val="restart"/>
          </w:tcPr>
          <w:p>
            <w:pPr>
              <w:ind w:left="380"/>
              <w:spacing w:after="0"/>
              <w:rPr>
                <w:sz w:val="20"/>
                <w:szCs w:val="20"/>
                <w:color w:val="auto"/>
              </w:rPr>
            </w:pPr>
            <w:r>
              <w:rPr>
                <w:rFonts w:ascii="Arial" w:cs="Arial" w:eastAsia="Arial" w:hAnsi="Arial"/>
                <w:sz w:val="11"/>
                <w:szCs w:val="11"/>
                <w:color w:val="auto"/>
              </w:rPr>
              <w:t>NM</w:t>
            </w:r>
          </w:p>
        </w:tc>
        <w:tc>
          <w:tcPr>
            <w:tcW w:w="880" w:type="dxa"/>
            <w:vAlign w:val="bottom"/>
            <w:gridSpan w:val="2"/>
            <w:vMerge w:val="restart"/>
          </w:tcPr>
          <w:p>
            <w:pPr>
              <w:ind w:left="280"/>
              <w:spacing w:after="0"/>
              <w:rPr>
                <w:sz w:val="20"/>
                <w:szCs w:val="20"/>
                <w:color w:val="auto"/>
              </w:rPr>
            </w:pPr>
            <w:r>
              <w:rPr>
                <w:rFonts w:ascii="Arial" w:cs="Arial" w:eastAsia="Arial" w:hAnsi="Arial"/>
                <w:sz w:val="11"/>
                <w:szCs w:val="11"/>
                <w:color w:val="auto"/>
              </w:rPr>
              <w:t>NM</w:t>
            </w:r>
          </w:p>
        </w:tc>
        <w:tc>
          <w:tcPr>
            <w:tcW w:w="8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(976)</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(5,366)</w:t>
            </w:r>
          </w:p>
        </w:tc>
        <w:tc>
          <w:tcPr>
            <w:tcW w:w="200" w:type="dxa"/>
            <w:vAlign w:val="bottom"/>
          </w:tcPr>
          <w:p>
            <w:pPr>
              <w:spacing w:after="0"/>
              <w:rPr>
                <w:sz w:val="8"/>
                <w:szCs w:val="8"/>
                <w:color w:val="auto"/>
              </w:rPr>
            </w:pPr>
          </w:p>
        </w:tc>
        <w:tc>
          <w:tcPr>
            <w:tcW w:w="740" w:type="dxa"/>
            <w:vAlign w:val="bottom"/>
            <w:vMerge w:val="restart"/>
          </w:tcPr>
          <w:p>
            <w:pPr>
              <w:jc w:val="right"/>
              <w:ind w:right="106"/>
              <w:spacing w:after="0"/>
              <w:rPr>
                <w:sz w:val="20"/>
                <w:szCs w:val="20"/>
                <w:color w:val="auto"/>
              </w:rPr>
            </w:pPr>
            <w:r>
              <w:rPr>
                <w:rFonts w:ascii="Arial" w:cs="Arial" w:eastAsia="Arial" w:hAnsi="Arial"/>
                <w:sz w:val="11"/>
                <w:szCs w:val="11"/>
                <w:color w:val="auto"/>
              </w:rPr>
              <w:t>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40" w:type="dxa"/>
            <w:vAlign w:val="bottom"/>
            <w:gridSpan w:val="5"/>
          </w:tcPr>
          <w:p>
            <w:pPr>
              <w:spacing w:after="0"/>
              <w:rPr>
                <w:sz w:val="20"/>
                <w:szCs w:val="20"/>
                <w:color w:val="auto"/>
              </w:rPr>
            </w:pPr>
            <w:r>
              <w:rPr>
                <w:rFonts w:ascii="Arial" w:cs="Arial" w:eastAsia="Arial" w:hAnsi="Arial"/>
                <w:sz w:val="11"/>
                <w:szCs w:val="11"/>
                <w:b w:val="1"/>
                <w:bCs w:val="1"/>
                <w:color w:val="auto"/>
              </w:rPr>
              <w:t>expense/(benefit)</w:t>
            </w: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140" w:type="dxa"/>
            <w:vAlign w:val="bottom"/>
            <w:gridSpan w:val="5"/>
          </w:tcPr>
          <w:p>
            <w:pPr>
              <w:spacing w:after="0"/>
              <w:rPr>
                <w:sz w:val="20"/>
                <w:szCs w:val="20"/>
                <w:color w:val="auto"/>
              </w:rPr>
            </w:pPr>
            <w:r>
              <w:rPr>
                <w:rFonts w:ascii="Arial" w:cs="Arial" w:eastAsia="Arial" w:hAnsi="Arial"/>
                <w:sz w:val="11"/>
                <w:szCs w:val="11"/>
                <w:color w:val="auto"/>
              </w:rPr>
              <w:t>Income tax expense/(benefit)</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277</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86"/>
              <w:spacing w:after="0"/>
              <w:rPr>
                <w:sz w:val="20"/>
                <w:szCs w:val="20"/>
                <w:color w:val="auto"/>
              </w:rPr>
            </w:pPr>
            <w:r>
              <w:rPr>
                <w:rFonts w:ascii="Arial" w:cs="Arial" w:eastAsia="Arial" w:hAnsi="Arial"/>
                <w:sz w:val="11"/>
                <w:szCs w:val="11"/>
                <w:color w:val="auto"/>
              </w:rPr>
              <w:t>(292)</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260"/>
              <w:spacing w:after="0"/>
              <w:rPr>
                <w:sz w:val="20"/>
                <w:szCs w:val="20"/>
                <w:color w:val="auto"/>
              </w:rPr>
            </w:pPr>
            <w:r>
              <w:rPr>
                <w:rFonts w:ascii="Arial" w:cs="Arial" w:eastAsia="Arial" w:hAnsi="Arial"/>
                <w:sz w:val="11"/>
                <w:szCs w:val="11"/>
                <w:color w:val="auto"/>
              </w:rPr>
              <w:t>(169) (e)</w:t>
            </w:r>
          </w:p>
        </w:tc>
        <w:tc>
          <w:tcPr>
            <w:tcW w:w="78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880" w:type="dxa"/>
            <w:vAlign w:val="bottom"/>
            <w:gridSpan w:val="2"/>
          </w:tcPr>
          <w:p>
            <w:pPr>
              <w:ind w:left="280"/>
              <w:spacing w:after="0"/>
              <w:rPr>
                <w:sz w:val="20"/>
                <w:szCs w:val="20"/>
                <w:color w:val="auto"/>
              </w:rPr>
            </w:pPr>
            <w:r>
              <w:rPr>
                <w:rFonts w:ascii="Arial" w:cs="Arial" w:eastAsia="Arial" w:hAnsi="Arial"/>
                <w:sz w:val="11"/>
                <w:szCs w:val="11"/>
                <w:color w:val="auto"/>
              </w:rPr>
              <w:t>NM</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(233)</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(1,653)</w:t>
            </w:r>
          </w:p>
        </w:tc>
        <w:tc>
          <w:tcPr>
            <w:tcW w:w="20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86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40" w:type="dxa"/>
            <w:vAlign w:val="bottom"/>
            <w:gridSpan w:val="5"/>
          </w:tcPr>
          <w:p>
            <w:pPr>
              <w:ind w:left="120"/>
              <w:spacing w:after="0"/>
              <w:rPr>
                <w:sz w:val="20"/>
                <w:szCs w:val="20"/>
                <w:color w:val="auto"/>
              </w:rPr>
            </w:pPr>
            <w:r>
              <w:rPr>
                <w:rFonts w:ascii="Arial" w:cs="Arial" w:eastAsia="Arial" w:hAnsi="Arial"/>
                <w:sz w:val="11"/>
                <w:szCs w:val="11"/>
                <w:b w:val="1"/>
                <w:bCs w:val="1"/>
                <w:color w:val="auto"/>
              </w:rPr>
              <w:t>NET INCOME/(LOSS)</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581</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gridSpan w:val="2"/>
          </w:tcPr>
          <w:p>
            <w:pPr>
              <w:jc w:val="right"/>
              <w:ind w:right="186"/>
              <w:spacing w:after="0"/>
              <w:rPr>
                <w:sz w:val="20"/>
                <w:szCs w:val="20"/>
                <w:color w:val="auto"/>
              </w:rPr>
            </w:pPr>
            <w:r>
              <w:rPr>
                <w:rFonts w:ascii="Arial" w:cs="Arial" w:eastAsia="Arial" w:hAnsi="Arial"/>
                <w:sz w:val="11"/>
                <w:szCs w:val="11"/>
                <w:b w:val="1"/>
                <w:bCs w:val="1"/>
                <w:color w:val="auto"/>
              </w:rPr>
              <w:t>(294)</w:t>
            </w: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(174)</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(856)</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gridSpan w:val="2"/>
          </w:tcPr>
          <w:p>
            <w:pPr>
              <w:ind w:left="260"/>
              <w:spacing w:after="0"/>
              <w:rPr>
                <w:sz w:val="20"/>
                <w:szCs w:val="20"/>
                <w:color w:val="auto"/>
              </w:rPr>
            </w:pPr>
            <w:r>
              <w:rPr>
                <w:rFonts w:ascii="Arial" w:cs="Arial" w:eastAsia="Arial" w:hAnsi="Arial"/>
                <w:sz w:val="11"/>
                <w:szCs w:val="11"/>
                <w:b w:val="1"/>
                <w:bCs w:val="1"/>
                <w:color w:val="auto"/>
              </w:rPr>
              <w:t xml:space="preserve">(650) </w:t>
            </w:r>
            <w:r>
              <w:rPr>
                <w:rFonts w:ascii="Arial" w:cs="Arial" w:eastAsia="Arial" w:hAnsi="Arial"/>
                <w:sz w:val="11"/>
                <w:szCs w:val="11"/>
                <w:color w:val="auto"/>
              </w:rPr>
              <w:t>(e)</w:t>
            </w:r>
          </w:p>
        </w:tc>
        <w:tc>
          <w:tcPr>
            <w:tcW w:w="78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880" w:type="dxa"/>
            <w:vAlign w:val="bottom"/>
            <w:gridSpan w:val="2"/>
          </w:tcPr>
          <w:p>
            <w:pPr>
              <w:ind w:left="280"/>
              <w:spacing w:after="0"/>
              <w:rPr>
                <w:sz w:val="20"/>
                <w:szCs w:val="20"/>
                <w:color w:val="auto"/>
              </w:rPr>
            </w:pPr>
            <w:r>
              <w:rPr>
                <w:rFonts w:ascii="Arial" w:cs="Arial" w:eastAsia="Arial" w:hAnsi="Arial"/>
                <w:sz w:val="11"/>
                <w:szCs w:val="11"/>
                <w:color w:val="auto"/>
              </w:rPr>
              <w:t>NM</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(743)</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(3,713)</w:t>
            </w:r>
          </w:p>
        </w:tc>
        <w:tc>
          <w:tcPr>
            <w:tcW w:w="20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80</w:t>
            </w: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Arial" w:cs="Arial" w:eastAsia="Arial" w:hAnsi="Arial"/>
                <w:sz w:val="11"/>
                <w:szCs w:val="11"/>
                <w:b w:val="1"/>
                <w:bCs w:val="1"/>
                <w:color w:val="auto"/>
              </w:rPr>
              <w:t>MEMO:</w:t>
            </w: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40" w:type="dxa"/>
            <w:vAlign w:val="bottom"/>
            <w:gridSpan w:val="5"/>
          </w:tcPr>
          <w:p>
            <w:pPr>
              <w:spacing w:after="0"/>
              <w:rPr>
                <w:sz w:val="20"/>
                <w:szCs w:val="20"/>
                <w:color w:val="auto"/>
              </w:rPr>
            </w:pPr>
            <w:r>
              <w:rPr>
                <w:rFonts w:ascii="Arial" w:cs="Arial" w:eastAsia="Arial" w:hAnsi="Arial"/>
                <w:sz w:val="11"/>
                <w:szCs w:val="11"/>
                <w:b w:val="1"/>
                <w:bCs w:val="1"/>
                <w:color w:val="auto"/>
              </w:rPr>
              <w:t>TOTAL NET REVENUE</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5"/>
          </w:tcPr>
          <w:p>
            <w:pPr>
              <w:spacing w:after="0" w:line="122" w:lineRule="exact"/>
              <w:rPr>
                <w:sz w:val="20"/>
                <w:szCs w:val="20"/>
                <w:color w:val="auto"/>
              </w:rPr>
            </w:pPr>
            <w:r>
              <w:rPr>
                <w:rFonts w:ascii="Arial" w:cs="Arial" w:eastAsia="Arial" w:hAnsi="Arial"/>
                <w:sz w:val="11"/>
                <w:szCs w:val="11"/>
                <w:color w:val="auto"/>
              </w:rPr>
              <w:t>Treasury and Chief Investment Office</w:t>
            </w:r>
          </w:p>
        </w:tc>
        <w:tc>
          <w:tcPr>
            <w:tcW w:w="8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603</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186"/>
              <w:spacing w:after="0"/>
              <w:rPr>
                <w:sz w:val="20"/>
                <w:szCs w:val="20"/>
                <w:color w:val="auto"/>
              </w:rPr>
            </w:pPr>
            <w:r>
              <w:rPr>
                <w:rFonts w:ascii="Arial" w:cs="Arial" w:eastAsia="Arial" w:hAnsi="Arial"/>
                <w:sz w:val="11"/>
                <w:szCs w:val="11"/>
                <w:color w:val="auto"/>
              </w:rPr>
              <w:t>(180)</w:t>
            </w:r>
          </w:p>
        </w:tc>
        <w:tc>
          <w:tcPr>
            <w:tcW w:w="10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82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(944)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(480)</w:t>
            </w:r>
          </w:p>
        </w:tc>
        <w:tc>
          <w:tcPr>
            <w:tcW w:w="240" w:type="dxa"/>
            <w:vAlign w:val="bottom"/>
          </w:tcPr>
          <w:p>
            <w:pPr>
              <w:spacing w:after="0"/>
              <w:rPr>
                <w:sz w:val="10"/>
                <w:szCs w:val="10"/>
                <w:color w:val="auto"/>
              </w:rPr>
            </w:pPr>
          </w:p>
        </w:tc>
        <w:tc>
          <w:tcPr>
            <w:tcW w:w="780" w:type="dxa"/>
            <w:vAlign w:val="bottom"/>
            <w:gridSpan w:val="2"/>
            <w:vMerge w:val="restart"/>
          </w:tcPr>
          <w:p>
            <w:pPr>
              <w:ind w:left="380"/>
              <w:spacing w:after="0"/>
              <w:rPr>
                <w:sz w:val="20"/>
                <w:szCs w:val="20"/>
                <w:color w:val="auto"/>
              </w:rPr>
            </w:pPr>
            <w:r>
              <w:rPr>
                <w:rFonts w:ascii="Arial" w:cs="Arial" w:eastAsia="Arial" w:hAnsi="Arial"/>
                <w:sz w:val="11"/>
                <w:szCs w:val="11"/>
                <w:color w:val="auto"/>
              </w:rPr>
              <w:t>NM</w:t>
            </w:r>
          </w:p>
        </w:tc>
        <w:tc>
          <w:tcPr>
            <w:tcW w:w="880" w:type="dxa"/>
            <w:vAlign w:val="bottom"/>
            <w:gridSpan w:val="2"/>
            <w:vMerge w:val="restart"/>
          </w:tcPr>
          <w:p>
            <w:pPr>
              <w:ind w:left="280"/>
              <w:spacing w:after="0"/>
              <w:rPr>
                <w:sz w:val="20"/>
                <w:szCs w:val="20"/>
                <w:color w:val="auto"/>
              </w:rPr>
            </w:pPr>
            <w:r>
              <w:rPr>
                <w:rFonts w:ascii="Arial" w:cs="Arial" w:eastAsia="Arial" w:hAnsi="Arial"/>
                <w:sz w:val="11"/>
                <w:szCs w:val="11"/>
                <w:color w:val="auto"/>
              </w:rPr>
              <w:t>NM</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(439)</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(3,464)</w:t>
            </w:r>
          </w:p>
        </w:tc>
        <w:tc>
          <w:tcPr>
            <w:tcW w:w="200" w:type="dxa"/>
            <w:vAlign w:val="bottom"/>
          </w:tcPr>
          <w:p>
            <w:pPr>
              <w:spacing w:after="0"/>
              <w:rPr>
                <w:sz w:val="10"/>
                <w:szCs w:val="10"/>
                <w:color w:val="auto"/>
              </w:rPr>
            </w:pPr>
          </w:p>
        </w:tc>
        <w:tc>
          <w:tcPr>
            <w:tcW w:w="740" w:type="dxa"/>
            <w:vAlign w:val="bottom"/>
            <w:vMerge w:val="restart"/>
          </w:tcPr>
          <w:p>
            <w:pPr>
              <w:jc w:val="right"/>
              <w:ind w:right="106"/>
              <w:spacing w:after="0"/>
              <w:rPr>
                <w:sz w:val="20"/>
                <w:szCs w:val="20"/>
                <w:color w:val="auto"/>
              </w:rPr>
            </w:pPr>
            <w:r>
              <w:rPr>
                <w:rFonts w:ascii="Arial" w:cs="Arial" w:eastAsia="Arial" w:hAnsi="Arial"/>
                <w:sz w:val="11"/>
                <w:szCs w:val="11"/>
                <w:color w:val="auto"/>
              </w:rPr>
              <w:t>87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gridSpan w:val="5"/>
          </w:tcPr>
          <w:p>
            <w:pPr>
              <w:spacing w:after="0"/>
              <w:rPr>
                <w:sz w:val="20"/>
                <w:szCs w:val="20"/>
                <w:color w:val="auto"/>
              </w:rPr>
            </w:pPr>
            <w:r>
              <w:rPr>
                <w:rFonts w:ascii="Arial" w:cs="Arial" w:eastAsia="Arial" w:hAnsi="Arial"/>
                <w:sz w:val="11"/>
                <w:szCs w:val="11"/>
                <w:color w:val="auto"/>
              </w:rPr>
              <w:t>(“CIO”)</w:t>
            </w: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40" w:type="dxa"/>
            <w:vAlign w:val="bottom"/>
            <w:gridSpan w:val="5"/>
          </w:tcPr>
          <w:p>
            <w:pPr>
              <w:spacing w:after="0"/>
              <w:rPr>
                <w:sz w:val="20"/>
                <w:szCs w:val="20"/>
                <w:color w:val="auto"/>
              </w:rPr>
            </w:pPr>
            <w:r>
              <w:rPr>
                <w:rFonts w:ascii="Arial" w:cs="Arial" w:eastAsia="Arial" w:hAnsi="Arial"/>
                <w:sz w:val="11"/>
                <w:szCs w:val="11"/>
                <w:color w:val="auto"/>
              </w:rPr>
              <w:t>Other Corporate</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580</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186"/>
              <w:spacing w:after="0"/>
              <w:rPr>
                <w:sz w:val="20"/>
                <w:szCs w:val="20"/>
                <w:color w:val="auto"/>
              </w:rPr>
            </w:pPr>
            <w:r>
              <w:rPr>
                <w:rFonts w:ascii="Arial" w:cs="Arial" w:eastAsia="Arial" w:hAnsi="Arial"/>
                <w:sz w:val="11"/>
                <w:szCs w:val="11"/>
                <w:color w:val="auto"/>
              </w:rPr>
              <w:t>(122)</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63</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w:t>
            </w:r>
          </w:p>
        </w:tc>
        <w:tc>
          <w:tcPr>
            <w:tcW w:w="240" w:type="dxa"/>
            <w:vAlign w:val="bottom"/>
          </w:tcPr>
          <w:p>
            <w:pPr>
              <w:spacing w:after="0"/>
              <w:rPr>
                <w:sz w:val="15"/>
                <w:szCs w:val="15"/>
                <w:color w:val="auto"/>
              </w:rPr>
            </w:pPr>
          </w:p>
        </w:tc>
        <w:tc>
          <w:tcPr>
            <w:tcW w:w="78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880" w:type="dxa"/>
            <w:vAlign w:val="bottom"/>
            <w:gridSpan w:val="2"/>
          </w:tcPr>
          <w:p>
            <w:pPr>
              <w:ind w:left="280"/>
              <w:spacing w:after="0"/>
              <w:rPr>
                <w:sz w:val="20"/>
                <w:szCs w:val="20"/>
                <w:color w:val="auto"/>
              </w:rPr>
            </w:pPr>
            <w:r>
              <w:rPr>
                <w:rFonts w:ascii="Arial" w:cs="Arial" w:eastAsia="Arial" w:hAnsi="Arial"/>
                <w:sz w:val="11"/>
                <w:szCs w:val="11"/>
                <w:color w:val="auto"/>
              </w:rPr>
              <w:t>NM</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519</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4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REVENUE</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1,183</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gridSpan w:val="2"/>
          </w:tcPr>
          <w:p>
            <w:pPr>
              <w:jc w:val="right"/>
              <w:ind w:right="186"/>
              <w:spacing w:after="0"/>
              <w:rPr>
                <w:sz w:val="20"/>
                <w:szCs w:val="20"/>
                <w:color w:val="auto"/>
              </w:rPr>
            </w:pPr>
            <w:r>
              <w:rPr>
                <w:rFonts w:ascii="Arial" w:cs="Arial" w:eastAsia="Arial" w:hAnsi="Arial"/>
                <w:sz w:val="11"/>
                <w:szCs w:val="11"/>
                <w:b w:val="1"/>
                <w:bCs w:val="1"/>
                <w:color w:val="auto"/>
              </w:rPr>
              <w:t>(302)</w:t>
            </w: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80</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(881)</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(545)</w:t>
            </w:r>
          </w:p>
        </w:tc>
        <w:tc>
          <w:tcPr>
            <w:tcW w:w="24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880" w:type="dxa"/>
            <w:vAlign w:val="bottom"/>
            <w:gridSpan w:val="2"/>
          </w:tcPr>
          <w:p>
            <w:pPr>
              <w:ind w:left="280"/>
              <w:spacing w:after="0"/>
              <w:rPr>
                <w:sz w:val="20"/>
                <w:szCs w:val="20"/>
                <w:color w:val="auto"/>
              </w:rPr>
            </w:pPr>
            <w:r>
              <w:rPr>
                <w:rFonts w:ascii="Arial" w:cs="Arial" w:eastAsia="Arial" w:hAnsi="Arial"/>
                <w:sz w:val="11"/>
                <w:szCs w:val="11"/>
                <w:color w:val="auto"/>
              </w:rPr>
              <w:t>NM</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80</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(3,483)</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Arial" w:cs="Arial" w:eastAsia="Arial" w:hAnsi="Arial"/>
                <w:sz w:val="11"/>
                <w:szCs w:val="11"/>
                <w:b w:val="1"/>
                <w:bCs w:val="1"/>
                <w:color w:val="auto"/>
              </w:rPr>
              <w:t>NET INCOME/(LOSS)</w:t>
            </w: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40" w:type="dxa"/>
            <w:vAlign w:val="bottom"/>
            <w:gridSpan w:val="5"/>
          </w:tcPr>
          <w:p>
            <w:pPr>
              <w:spacing w:after="0"/>
              <w:rPr>
                <w:sz w:val="20"/>
                <w:szCs w:val="20"/>
                <w:color w:val="auto"/>
              </w:rPr>
            </w:pPr>
            <w:r>
              <w:rPr>
                <w:rFonts w:ascii="Arial" w:cs="Arial" w:eastAsia="Arial" w:hAnsi="Arial"/>
                <w:sz w:val="11"/>
                <w:szCs w:val="11"/>
                <w:color w:val="auto"/>
              </w:rPr>
              <w:t>Treasury and CIO</w:t>
            </w:r>
          </w:p>
        </w:tc>
        <w:tc>
          <w:tcPr>
            <w:tcW w:w="8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531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6"/>
              <w:spacing w:after="0"/>
              <w:rPr>
                <w:sz w:val="20"/>
                <w:szCs w:val="20"/>
                <w:color w:val="auto"/>
              </w:rPr>
            </w:pPr>
            <w:r>
              <w:rPr>
                <w:rFonts w:ascii="Arial" w:cs="Arial" w:eastAsia="Arial" w:hAnsi="Arial"/>
                <w:sz w:val="11"/>
                <w:szCs w:val="11"/>
                <w:color w:val="auto"/>
              </w:rPr>
              <w:t>(68)</w:t>
            </w: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88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(748)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(428)</w:t>
            </w:r>
          </w:p>
        </w:tc>
        <w:tc>
          <w:tcPr>
            <w:tcW w:w="240" w:type="dxa"/>
            <w:vAlign w:val="bottom"/>
          </w:tcPr>
          <w:p>
            <w:pPr>
              <w:spacing w:after="0"/>
              <w:rPr>
                <w:sz w:val="13"/>
                <w:szCs w:val="13"/>
                <w:color w:val="auto"/>
              </w:rPr>
            </w:pPr>
          </w:p>
        </w:tc>
        <w:tc>
          <w:tcPr>
            <w:tcW w:w="78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880" w:type="dxa"/>
            <w:vAlign w:val="bottom"/>
            <w:gridSpan w:val="2"/>
          </w:tcPr>
          <w:p>
            <w:pPr>
              <w:ind w:left="280"/>
              <w:spacing w:after="0"/>
              <w:rPr>
                <w:sz w:val="20"/>
                <w:szCs w:val="20"/>
                <w:color w:val="auto"/>
              </w:rPr>
            </w:pPr>
            <w:r>
              <w:rPr>
                <w:rFonts w:ascii="Arial" w:cs="Arial" w:eastAsia="Arial" w:hAnsi="Arial"/>
                <w:sz w:val="11"/>
                <w:szCs w:val="11"/>
                <w:color w:val="auto"/>
              </w:rPr>
              <w:t>NM</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(197)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(3,057)</w:t>
            </w:r>
          </w:p>
        </w:tc>
        <w:tc>
          <w:tcPr>
            <w:tcW w:w="200" w:type="dxa"/>
            <w:vAlign w:val="bottom"/>
          </w:tcPr>
          <w:p>
            <w:pPr>
              <w:spacing w:after="0"/>
              <w:rPr>
                <w:sz w:val="13"/>
                <w:szCs w:val="13"/>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94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40" w:type="dxa"/>
            <w:vAlign w:val="bottom"/>
            <w:gridSpan w:val="5"/>
          </w:tcPr>
          <w:p>
            <w:pPr>
              <w:spacing w:after="0"/>
              <w:rPr>
                <w:sz w:val="20"/>
                <w:szCs w:val="20"/>
                <w:color w:val="auto"/>
              </w:rPr>
            </w:pPr>
            <w:r>
              <w:rPr>
                <w:rFonts w:ascii="Arial" w:cs="Arial" w:eastAsia="Arial" w:hAnsi="Arial"/>
                <w:sz w:val="11"/>
                <w:szCs w:val="11"/>
                <w:color w:val="auto"/>
              </w:rPr>
              <w:t>Other Corporate</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50</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186"/>
              <w:spacing w:after="0"/>
              <w:rPr>
                <w:sz w:val="20"/>
                <w:szCs w:val="20"/>
                <w:color w:val="auto"/>
              </w:rPr>
            </w:pPr>
            <w:r>
              <w:rPr>
                <w:rFonts w:ascii="Arial" w:cs="Arial" w:eastAsia="Arial" w:hAnsi="Arial"/>
                <w:sz w:val="11"/>
                <w:szCs w:val="11"/>
                <w:color w:val="auto"/>
              </w:rPr>
              <w:t>(226)</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(262)</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260"/>
              <w:spacing w:after="0"/>
              <w:rPr>
                <w:sz w:val="20"/>
                <w:szCs w:val="20"/>
                <w:color w:val="auto"/>
              </w:rPr>
            </w:pPr>
            <w:r>
              <w:rPr>
                <w:rFonts w:ascii="Arial" w:cs="Arial" w:eastAsia="Arial" w:hAnsi="Arial"/>
                <w:sz w:val="11"/>
                <w:szCs w:val="11"/>
                <w:color w:val="auto"/>
              </w:rPr>
              <w:t>(222) (e)</w:t>
            </w:r>
          </w:p>
        </w:tc>
        <w:tc>
          <w:tcPr>
            <w:tcW w:w="78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880" w:type="dxa"/>
            <w:vAlign w:val="bottom"/>
            <w:gridSpan w:val="2"/>
          </w:tcPr>
          <w:p>
            <w:pPr>
              <w:ind w:left="280"/>
              <w:spacing w:after="0"/>
              <w:rPr>
                <w:sz w:val="20"/>
                <w:szCs w:val="20"/>
                <w:color w:val="auto"/>
              </w:rPr>
            </w:pPr>
            <w:r>
              <w:rPr>
                <w:rFonts w:ascii="Arial" w:cs="Arial" w:eastAsia="Arial" w:hAnsi="Arial"/>
                <w:sz w:val="11"/>
                <w:szCs w:val="11"/>
                <w:color w:val="auto"/>
              </w:rPr>
              <w:t>NM</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(546)</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(656)</w:t>
            </w:r>
          </w:p>
        </w:tc>
        <w:tc>
          <w:tcPr>
            <w:tcW w:w="20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4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INCOME/(LOSS)</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581</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gridSpan w:val="2"/>
          </w:tcPr>
          <w:p>
            <w:pPr>
              <w:jc w:val="right"/>
              <w:ind w:right="186"/>
              <w:spacing w:after="0"/>
              <w:rPr>
                <w:sz w:val="20"/>
                <w:szCs w:val="20"/>
                <w:color w:val="auto"/>
              </w:rPr>
            </w:pPr>
            <w:r>
              <w:rPr>
                <w:rFonts w:ascii="Arial" w:cs="Arial" w:eastAsia="Arial" w:hAnsi="Arial"/>
                <w:sz w:val="11"/>
                <w:szCs w:val="11"/>
                <w:b w:val="1"/>
                <w:bCs w:val="1"/>
                <w:color w:val="auto"/>
              </w:rPr>
              <w:t>(294)</w:t>
            </w: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(174)</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(856)</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gridSpan w:val="2"/>
          </w:tcPr>
          <w:p>
            <w:pPr>
              <w:ind w:left="260"/>
              <w:spacing w:after="0"/>
              <w:rPr>
                <w:sz w:val="20"/>
                <w:szCs w:val="20"/>
                <w:color w:val="auto"/>
              </w:rPr>
            </w:pPr>
            <w:r>
              <w:rPr>
                <w:rFonts w:ascii="Arial" w:cs="Arial" w:eastAsia="Arial" w:hAnsi="Arial"/>
                <w:sz w:val="11"/>
                <w:szCs w:val="11"/>
                <w:b w:val="1"/>
                <w:bCs w:val="1"/>
                <w:color w:val="auto"/>
              </w:rPr>
              <w:t xml:space="preserve">(650) </w:t>
            </w:r>
            <w:r>
              <w:rPr>
                <w:rFonts w:ascii="Arial" w:cs="Arial" w:eastAsia="Arial" w:hAnsi="Arial"/>
                <w:sz w:val="11"/>
                <w:szCs w:val="11"/>
                <w:color w:val="auto"/>
              </w:rPr>
              <w:t>(e)</w:t>
            </w:r>
          </w:p>
        </w:tc>
        <w:tc>
          <w:tcPr>
            <w:tcW w:w="78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880" w:type="dxa"/>
            <w:vAlign w:val="bottom"/>
            <w:gridSpan w:val="2"/>
          </w:tcPr>
          <w:p>
            <w:pPr>
              <w:ind w:left="280"/>
              <w:spacing w:after="0"/>
              <w:rPr>
                <w:sz w:val="20"/>
                <w:szCs w:val="20"/>
                <w:color w:val="auto"/>
              </w:rPr>
            </w:pPr>
            <w:r>
              <w:rPr>
                <w:rFonts w:ascii="Arial" w:cs="Arial" w:eastAsia="Arial" w:hAnsi="Arial"/>
                <w:sz w:val="11"/>
                <w:szCs w:val="11"/>
                <w:color w:val="auto"/>
              </w:rPr>
              <w:t>NM</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(743)</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(3,713)</w:t>
            </w:r>
          </w:p>
        </w:tc>
        <w:tc>
          <w:tcPr>
            <w:tcW w:w="20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80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140" w:type="dxa"/>
            <w:vAlign w:val="bottom"/>
            <w:gridSpan w:val="5"/>
          </w:tcPr>
          <w:p>
            <w:pPr>
              <w:spacing w:after="0"/>
              <w:rPr>
                <w:sz w:val="20"/>
                <w:szCs w:val="20"/>
                <w:color w:val="auto"/>
              </w:rPr>
            </w:pPr>
            <w:r>
              <w:rPr>
                <w:rFonts w:ascii="Arial" w:cs="Arial" w:eastAsia="Arial" w:hAnsi="Arial"/>
                <w:sz w:val="11"/>
                <w:szCs w:val="11"/>
                <w:b w:val="1"/>
                <w:bCs w:val="1"/>
                <w:color w:val="auto"/>
              </w:rPr>
              <w:t>SELECTED BALANCE SHEET DATA</w:t>
            </w:r>
          </w:p>
        </w:tc>
        <w:tc>
          <w:tcPr>
            <w:tcW w:w="8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4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rPr>
              <w:t>(period-end)</w:t>
            </w:r>
          </w:p>
        </w:tc>
        <w:tc>
          <w:tcPr>
            <w:tcW w:w="1200" w:type="dxa"/>
            <w:vAlign w:val="bottom"/>
            <w:tcBorders>
              <w:top w:val="single" w:sz="8" w:color="auto"/>
            </w:tcBorders>
            <w:gridSpan w:val="3"/>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140" w:type="dxa"/>
            <w:vAlign w:val="bottom"/>
            <w:gridSpan w:val="5"/>
          </w:tcPr>
          <w:p>
            <w:pPr>
              <w:spacing w:after="0"/>
              <w:rPr>
                <w:sz w:val="20"/>
                <w:szCs w:val="20"/>
                <w:color w:val="auto"/>
              </w:rPr>
            </w:pPr>
            <w:r>
              <w:rPr>
                <w:rFonts w:ascii="Arial" w:cs="Arial" w:eastAsia="Arial" w:hAnsi="Arial"/>
                <w:sz w:val="11"/>
                <w:szCs w:val="11"/>
                <w:color w:val="auto"/>
              </w:rPr>
              <w:t>Total assets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1,328,219</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1,408,726</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1,459,528</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1,539,844</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1,518,100</w:t>
            </w:r>
          </w:p>
        </w:tc>
        <w:tc>
          <w:tcPr>
            <w:tcW w:w="2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1,328,219</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1,518,100</w:t>
            </w: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40" w:type="dxa"/>
            <w:vAlign w:val="bottom"/>
            <w:gridSpan w:val="5"/>
          </w:tcPr>
          <w:p>
            <w:pPr>
              <w:spacing w:after="0"/>
              <w:rPr>
                <w:sz w:val="20"/>
                <w:szCs w:val="20"/>
                <w:color w:val="auto"/>
              </w:rPr>
            </w:pPr>
            <w:r>
              <w:rPr>
                <w:rFonts w:ascii="Arial" w:cs="Arial" w:eastAsia="Arial" w:hAnsi="Arial"/>
                <w:sz w:val="11"/>
                <w:szCs w:val="11"/>
                <w:color w:val="auto"/>
              </w:rPr>
              <w:t>Loans</w:t>
            </w: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2,181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2,206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2,187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1,957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1,770</w:t>
            </w:r>
          </w:p>
        </w:tc>
        <w:tc>
          <w:tcPr>
            <w:tcW w:w="2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2,181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1,770</w:t>
            </w:r>
          </w:p>
        </w:tc>
        <w:tc>
          <w:tcPr>
            <w:tcW w:w="20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40" w:type="dxa"/>
            <w:vAlign w:val="bottom"/>
            <w:gridSpan w:val="5"/>
          </w:tcPr>
          <w:p>
            <w:pPr>
              <w:spacing w:after="0"/>
              <w:rPr>
                <w:sz w:val="20"/>
                <w:szCs w:val="20"/>
                <w:color w:val="auto"/>
              </w:rPr>
            </w:pPr>
            <w:r>
              <w:rPr>
                <w:rFonts w:ascii="Arial" w:cs="Arial" w:eastAsia="Arial" w:hAnsi="Arial"/>
                <w:sz w:val="11"/>
                <w:szCs w:val="11"/>
                <w:color w:val="auto"/>
              </w:rPr>
              <w:t>Deposits</w:t>
            </w: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14,203</w:t>
            </w:r>
          </w:p>
        </w:tc>
        <w:tc>
          <w:tcPr>
            <w:tcW w:w="240" w:type="dxa"/>
            <w:vAlign w:val="bottom"/>
          </w:tcPr>
          <w:p>
            <w:pPr>
              <w:ind w:left="60"/>
              <w:spacing w:after="0"/>
              <w:rPr>
                <w:sz w:val="20"/>
                <w:szCs w:val="20"/>
                <w:color w:val="auto"/>
              </w:rPr>
            </w:pPr>
            <w:r>
              <w:rPr>
                <w:rFonts w:ascii="Arial" w:cs="Arial" w:eastAsia="Arial" w:hAnsi="Arial"/>
                <w:sz w:val="11"/>
                <w:szCs w:val="11"/>
                <w:color w:val="auto"/>
              </w:rPr>
              <w:t>(f)</w:t>
            </w: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14,449</w:t>
            </w:r>
          </w:p>
        </w:tc>
        <w:tc>
          <w:tcPr>
            <w:tcW w:w="220" w:type="dxa"/>
            <w:vAlign w:val="bottom"/>
          </w:tcPr>
          <w:p>
            <w:pPr>
              <w:ind w:left="60"/>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13,191</w:t>
            </w:r>
          </w:p>
        </w:tc>
        <w:tc>
          <w:tcPr>
            <w:tcW w:w="220" w:type="dxa"/>
            <w:vAlign w:val="bottom"/>
          </w:tcPr>
          <w:p>
            <w:pPr>
              <w:ind w:left="60"/>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1,434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396</w:t>
            </w:r>
          </w:p>
        </w:tc>
        <w:tc>
          <w:tcPr>
            <w:tcW w:w="2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880" w:type="dxa"/>
            <w:vAlign w:val="bottom"/>
            <w:gridSpan w:val="2"/>
          </w:tcPr>
          <w:p>
            <w:pPr>
              <w:ind w:left="280"/>
              <w:spacing w:after="0"/>
              <w:rPr>
                <w:sz w:val="20"/>
                <w:szCs w:val="20"/>
                <w:color w:val="auto"/>
              </w:rPr>
            </w:pPr>
            <w:r>
              <w:rPr>
                <w:rFonts w:ascii="Arial" w:cs="Arial" w:eastAsia="Arial" w:hAnsi="Arial"/>
                <w:sz w:val="11"/>
                <w:szCs w:val="11"/>
                <w:color w:val="auto"/>
              </w:rPr>
              <w:t>NM</w:t>
            </w: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14,203</w:t>
            </w:r>
          </w:p>
        </w:tc>
        <w:tc>
          <w:tcPr>
            <w:tcW w:w="240" w:type="dxa"/>
            <w:vAlign w:val="bottom"/>
          </w:tcPr>
          <w:p>
            <w:pPr>
              <w:ind w:left="60"/>
              <w:spacing w:after="0"/>
              <w:rPr>
                <w:sz w:val="20"/>
                <w:szCs w:val="20"/>
                <w:color w:val="auto"/>
              </w:rPr>
            </w:pPr>
            <w:r>
              <w:rPr>
                <w:rFonts w:ascii="Arial" w:cs="Arial" w:eastAsia="Arial" w:hAnsi="Arial"/>
                <w:sz w:val="11"/>
                <w:szCs w:val="11"/>
                <w:color w:val="auto"/>
              </w:rPr>
              <w:t>(f)</w:t>
            </w: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396</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Arial" w:cs="Arial" w:eastAsia="Arial" w:hAnsi="Arial"/>
                <w:sz w:val="11"/>
                <w:szCs w:val="11"/>
                <w:b w:val="1"/>
                <w:bCs w:val="1"/>
                <w:color w:val="auto"/>
              </w:rPr>
              <w:t>Headcount</w:t>
            </w:r>
          </w:p>
        </w:tc>
        <w:tc>
          <w:tcPr>
            <w:tcW w:w="80" w:type="dxa"/>
            <w:vAlign w:val="bottom"/>
          </w:tcPr>
          <w:p>
            <w:pPr>
              <w:spacing w:after="0"/>
              <w:rPr>
                <w:sz w:val="24"/>
                <w:szCs w:val="2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44,196</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42,806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40,348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39,802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38,952</w:t>
            </w:r>
          </w:p>
        </w:tc>
        <w:tc>
          <w:tcPr>
            <w:tcW w:w="240" w:type="dxa"/>
            <w:vAlign w:val="bottom"/>
          </w:tcPr>
          <w:p>
            <w:pPr>
              <w:spacing w:after="0"/>
              <w:rPr>
                <w:sz w:val="24"/>
                <w:szCs w:val="2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44,196</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38,952</w:t>
            </w:r>
          </w:p>
        </w:tc>
        <w:tc>
          <w:tcPr>
            <w:tcW w:w="200" w:type="dxa"/>
            <w:vAlign w:val="bottom"/>
          </w:tcPr>
          <w:p>
            <w:pPr>
              <w:spacing w:after="0"/>
              <w:rPr>
                <w:sz w:val="24"/>
                <w:szCs w:val="2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Arial" w:cs="Arial" w:eastAsia="Arial" w:hAnsi="Arial"/>
                <w:sz w:val="11"/>
                <w:szCs w:val="11"/>
                <w:b w:val="1"/>
                <w:bCs w:val="1"/>
                <w:color w:val="auto"/>
              </w:rPr>
              <w:t>SUPPLEMENTAL INFORMATION</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60" w:type="dxa"/>
            <w:vAlign w:val="bottom"/>
            <w:tcBorders>
              <w:top w:val="single" w:sz="8" w:color="auto"/>
            </w:tcBorders>
            <w:gridSpan w:val="3"/>
          </w:tcPr>
          <w:p>
            <w:pPr>
              <w:spacing w:after="0"/>
              <w:rPr>
                <w:sz w:val="20"/>
                <w:szCs w:val="20"/>
                <w:color w:val="auto"/>
              </w:rPr>
            </w:pPr>
            <w:r>
              <w:rPr>
                <w:rFonts w:ascii="Arial" w:cs="Arial" w:eastAsia="Arial" w:hAnsi="Arial"/>
                <w:sz w:val="11"/>
                <w:szCs w:val="11"/>
                <w:b w:val="1"/>
                <w:bCs w:val="1"/>
                <w:color w:val="auto"/>
              </w:rPr>
              <w:t>TREASURY and CIO</w:t>
            </w:r>
          </w:p>
        </w:tc>
        <w:tc>
          <w:tcPr>
            <w:tcW w:w="4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40" w:type="dxa"/>
            <w:vAlign w:val="bottom"/>
            <w:gridSpan w:val="5"/>
          </w:tcPr>
          <w:p>
            <w:pPr>
              <w:spacing w:after="0"/>
              <w:rPr>
                <w:sz w:val="20"/>
                <w:szCs w:val="20"/>
                <w:color w:val="auto"/>
              </w:rPr>
            </w:pPr>
            <w:r>
              <w:rPr>
                <w:rFonts w:ascii="Arial" w:cs="Arial" w:eastAsia="Arial" w:hAnsi="Arial"/>
                <w:sz w:val="11"/>
                <w:szCs w:val="11"/>
                <w:color w:val="auto"/>
              </w:rPr>
              <w:t>Investment securities gains/(losses)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(874)</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jc w:val="right"/>
              <w:ind w:right="186"/>
              <w:spacing w:after="0"/>
              <w:rPr>
                <w:sz w:val="20"/>
                <w:szCs w:val="20"/>
                <w:color w:val="auto"/>
              </w:rPr>
            </w:pPr>
            <w:r>
              <w:rPr>
                <w:rFonts w:ascii="Arial" w:cs="Arial" w:eastAsia="Arial" w:hAnsi="Arial"/>
                <w:sz w:val="11"/>
                <w:szCs w:val="11"/>
                <w:color w:val="auto"/>
              </w:rPr>
              <w:t>(959)</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(153)</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(394)</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52</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4"/>
                <w:szCs w:val="14"/>
                <w:color w:val="auto"/>
              </w:rPr>
            </w:pPr>
          </w:p>
        </w:tc>
        <w:tc>
          <w:tcPr>
            <w:tcW w:w="880" w:type="dxa"/>
            <w:vAlign w:val="bottom"/>
            <w:gridSpan w:val="2"/>
          </w:tcPr>
          <w:p>
            <w:pPr>
              <w:ind w:left="280"/>
              <w:spacing w:after="0"/>
              <w:rPr>
                <w:sz w:val="20"/>
                <w:szCs w:val="20"/>
                <w:color w:val="auto"/>
              </w:rPr>
            </w:pPr>
            <w:r>
              <w:rPr>
                <w:rFonts w:ascii="Arial" w:cs="Arial" w:eastAsia="Arial" w:hAnsi="Arial"/>
                <w:sz w:val="11"/>
                <w:szCs w:val="11"/>
                <w:color w:val="auto"/>
              </w:rPr>
              <w:t>NM</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(2,380)</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(345)</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gridSpan w:val="5"/>
          </w:tcPr>
          <w:p>
            <w:pPr>
              <w:spacing w:after="0"/>
              <w:rPr>
                <w:sz w:val="20"/>
                <w:szCs w:val="20"/>
                <w:color w:val="auto"/>
              </w:rPr>
            </w:pPr>
            <w:r>
              <w:rPr>
                <w:rFonts w:ascii="Arial" w:cs="Arial" w:eastAsia="Arial" w:hAnsi="Arial"/>
                <w:sz w:val="11"/>
                <w:szCs w:val="11"/>
                <w:color w:val="auto"/>
              </w:rPr>
              <w:t>Available-for-sale securities (average)</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195,788</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209,008</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252,121</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304,314</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290,590</w:t>
            </w:r>
          </w:p>
        </w:tc>
        <w:tc>
          <w:tcPr>
            <w:tcW w:w="240" w:type="dxa"/>
            <w:vAlign w:val="bottom"/>
          </w:tcPr>
          <w:p>
            <w:pPr>
              <w:spacing w:after="0"/>
              <w:rPr>
                <w:sz w:val="12"/>
                <w:szCs w:val="12"/>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(33)</w:t>
            </w: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239,924</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306,827</w:t>
            </w:r>
          </w:p>
        </w:tc>
        <w:tc>
          <w:tcPr>
            <w:tcW w:w="200" w:type="dxa"/>
            <w:vAlign w:val="bottom"/>
          </w:tcPr>
          <w:p>
            <w:pPr>
              <w:spacing w:after="0"/>
              <w:rPr>
                <w:sz w:val="12"/>
                <w:szCs w:val="12"/>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40" w:type="dxa"/>
            <w:vAlign w:val="bottom"/>
            <w:gridSpan w:val="5"/>
          </w:tcPr>
          <w:p>
            <w:pPr>
              <w:spacing w:after="0"/>
              <w:rPr>
                <w:sz w:val="20"/>
                <w:szCs w:val="20"/>
                <w:color w:val="auto"/>
              </w:rPr>
            </w:pPr>
            <w:r>
              <w:rPr>
                <w:rFonts w:ascii="Arial" w:cs="Arial" w:eastAsia="Arial" w:hAnsi="Arial"/>
                <w:sz w:val="11"/>
                <w:szCs w:val="11"/>
                <w:color w:val="auto"/>
              </w:rPr>
              <w:t>Held-to-maturity securities (average) (b)</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427,802</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436,302</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418,843</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364,814</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349,989</w:t>
            </w:r>
          </w:p>
        </w:tc>
        <w:tc>
          <w:tcPr>
            <w:tcW w:w="240" w:type="dxa"/>
            <w:vAlign w:val="bottom"/>
          </w:tcPr>
          <w:p>
            <w:pPr>
              <w:spacing w:after="0"/>
              <w:rPr>
                <w:sz w:val="15"/>
                <w:szCs w:val="15"/>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5"/>
                <w:szCs w:val="15"/>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w:t>
            </w:r>
          </w:p>
        </w:tc>
        <w:tc>
          <w:tcPr>
            <w:tcW w:w="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412,180</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285,086</w:t>
            </w:r>
          </w:p>
        </w:tc>
        <w:tc>
          <w:tcPr>
            <w:tcW w:w="20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40" w:type="dxa"/>
            <w:vAlign w:val="bottom"/>
            <w:gridSpan w:val="5"/>
          </w:tcPr>
          <w:p>
            <w:pPr>
              <w:spacing w:after="0"/>
              <w:rPr>
                <w:sz w:val="20"/>
                <w:szCs w:val="20"/>
                <w:color w:val="auto"/>
              </w:rPr>
            </w:pPr>
            <w:r>
              <w:rPr>
                <w:rFonts w:ascii="Arial" w:cs="Arial" w:eastAsia="Arial" w:hAnsi="Arial"/>
                <w:sz w:val="11"/>
                <w:szCs w:val="11"/>
                <w:color w:val="auto"/>
              </w:rPr>
              <w:t>Investment securities portfolio (average)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623,590</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645,310</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670,964</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669,128</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640,579</w:t>
            </w:r>
          </w:p>
        </w:tc>
        <w:tc>
          <w:tcPr>
            <w:tcW w:w="2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652,104</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591,913</w:t>
            </w:r>
          </w:p>
        </w:tc>
        <w:tc>
          <w:tcPr>
            <w:tcW w:w="20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gridSpan w:val="5"/>
          </w:tcPr>
          <w:p>
            <w:pPr>
              <w:spacing w:after="0"/>
              <w:rPr>
                <w:sz w:val="20"/>
                <w:szCs w:val="20"/>
                <w:color w:val="auto"/>
              </w:rPr>
            </w:pPr>
            <w:r>
              <w:rPr>
                <w:rFonts w:ascii="Arial" w:cs="Arial" w:eastAsia="Arial" w:hAnsi="Arial"/>
                <w:sz w:val="11"/>
                <w:szCs w:val="11"/>
                <w:color w:val="auto"/>
              </w:rPr>
              <w:t>Available-for-sale securities (period-end)</w:t>
            </w: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203,981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186,441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220,213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310,909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306,352</w:t>
            </w:r>
          </w:p>
        </w:tc>
        <w:tc>
          <w:tcPr>
            <w:tcW w:w="24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203,981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306,352</w:t>
            </w:r>
          </w:p>
        </w:tc>
        <w:tc>
          <w:tcPr>
            <w:tcW w:w="200" w:type="dxa"/>
            <w:vAlign w:val="bottom"/>
          </w:tcPr>
          <w:p>
            <w:pPr>
              <w:spacing w:after="0"/>
              <w:rPr>
                <w:sz w:val="12"/>
                <w:szCs w:val="12"/>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40" w:type="dxa"/>
            <w:vAlign w:val="bottom"/>
            <w:gridSpan w:val="5"/>
          </w:tcPr>
          <w:p>
            <w:pPr>
              <w:spacing w:after="0"/>
              <w:rPr>
                <w:sz w:val="20"/>
                <w:szCs w:val="20"/>
                <w:color w:val="auto"/>
              </w:rPr>
            </w:pPr>
            <w:r>
              <w:rPr>
                <w:rFonts w:ascii="Arial" w:cs="Arial" w:eastAsia="Arial" w:hAnsi="Arial"/>
                <w:sz w:val="11"/>
                <w:szCs w:val="11"/>
                <w:color w:val="auto"/>
              </w:rPr>
              <w:t>Held-to-maturity securities (period-end) (b)</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425,305</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430,106</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441,649</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366,585</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363,707</w:t>
            </w:r>
          </w:p>
        </w:tc>
        <w:tc>
          <w:tcPr>
            <w:tcW w:w="240" w:type="dxa"/>
            <w:vAlign w:val="bottom"/>
          </w:tcPr>
          <w:p>
            <w:pPr>
              <w:spacing w:after="0"/>
              <w:rPr>
                <w:sz w:val="15"/>
                <w:szCs w:val="15"/>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5"/>
                <w:szCs w:val="15"/>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w:t>
            </w:r>
          </w:p>
        </w:tc>
        <w:tc>
          <w:tcPr>
            <w:tcW w:w="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425,305</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363,707</w:t>
            </w:r>
          </w:p>
        </w:tc>
        <w:tc>
          <w:tcPr>
            <w:tcW w:w="20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40" w:type="dxa"/>
            <w:vAlign w:val="bottom"/>
            <w:gridSpan w:val="5"/>
          </w:tcPr>
          <w:p>
            <w:pPr>
              <w:spacing w:after="0" w:line="95" w:lineRule="exact"/>
              <w:rPr>
                <w:sz w:val="20"/>
                <w:szCs w:val="20"/>
                <w:color w:val="auto"/>
              </w:rPr>
            </w:pPr>
            <w:r>
              <w:rPr>
                <w:rFonts w:ascii="Arial" w:cs="Arial" w:eastAsia="Arial" w:hAnsi="Arial"/>
                <w:sz w:val="10"/>
                <w:szCs w:val="10"/>
                <w:color w:val="auto"/>
              </w:rPr>
              <w:t>Investment securities portfolio, net of</w:t>
            </w: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629,286</w:t>
            </w:r>
          </w:p>
        </w:tc>
        <w:tc>
          <w:tcPr>
            <w:tcW w:w="24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616,547</w:t>
            </w:r>
          </w:p>
        </w:tc>
        <w:tc>
          <w:tcPr>
            <w:tcW w:w="2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661,862</w:t>
            </w:r>
          </w:p>
        </w:tc>
        <w:tc>
          <w:tcPr>
            <w:tcW w:w="2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677,494</w:t>
            </w:r>
          </w:p>
        </w:tc>
        <w:tc>
          <w:tcPr>
            <w:tcW w:w="20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670,059</w:t>
            </w:r>
          </w:p>
        </w:tc>
        <w:tc>
          <w:tcPr>
            <w:tcW w:w="240" w:type="dxa"/>
            <w:vAlign w:val="bottom"/>
          </w:tcPr>
          <w:p>
            <w:pPr>
              <w:spacing w:after="0"/>
              <w:rPr>
                <w:sz w:val="8"/>
                <w:szCs w:val="8"/>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(6)</w:t>
            </w:r>
          </w:p>
        </w:tc>
        <w:tc>
          <w:tcPr>
            <w:tcW w:w="4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629,286</w:t>
            </w:r>
          </w:p>
        </w:tc>
        <w:tc>
          <w:tcPr>
            <w:tcW w:w="24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670,059</w:t>
            </w:r>
          </w:p>
        </w:tc>
        <w:tc>
          <w:tcPr>
            <w:tcW w:w="200" w:type="dxa"/>
            <w:vAlign w:val="bottom"/>
          </w:tcPr>
          <w:p>
            <w:pPr>
              <w:spacing w:after="0"/>
              <w:rPr>
                <w:sz w:val="8"/>
                <w:szCs w:val="8"/>
                <w:color w:val="auto"/>
              </w:rPr>
            </w:pPr>
          </w:p>
        </w:tc>
        <w:tc>
          <w:tcPr>
            <w:tcW w:w="740" w:type="dxa"/>
            <w:vAlign w:val="bottom"/>
            <w:vMerge w:val="restart"/>
          </w:tcPr>
          <w:p>
            <w:pPr>
              <w:jc w:val="right"/>
              <w:ind w:right="6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140" w:type="dxa"/>
            <w:vAlign w:val="bottom"/>
            <w:gridSpan w:val="5"/>
          </w:tcPr>
          <w:p>
            <w:pPr>
              <w:spacing w:after="0"/>
              <w:rPr>
                <w:sz w:val="20"/>
                <w:szCs w:val="20"/>
                <w:color w:val="auto"/>
              </w:rPr>
            </w:pPr>
            <w:r>
              <w:rPr>
                <w:rFonts w:ascii="Arial" w:cs="Arial" w:eastAsia="Arial" w:hAnsi="Arial"/>
                <w:sz w:val="11"/>
                <w:szCs w:val="11"/>
                <w:color w:val="auto"/>
              </w:rPr>
              <w:t>allowance for credit losses (period-end) (c)</w:t>
            </w:r>
          </w:p>
        </w:tc>
        <w:tc>
          <w:tcPr>
            <w:tcW w:w="8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80" w:right="40" w:hanging="172"/>
        <w:spacing w:after="0" w:line="249" w:lineRule="auto"/>
        <w:tabs>
          <w:tab w:leader="none" w:pos="177" w:val="left"/>
        </w:tabs>
        <w:numPr>
          <w:ilvl w:val="0"/>
          <w:numId w:val="31"/>
        </w:numPr>
        <w:rPr>
          <w:rFonts w:ascii="Arial" w:cs="Arial" w:eastAsia="Arial" w:hAnsi="Arial"/>
          <w:sz w:val="11"/>
          <w:szCs w:val="11"/>
          <w:color w:val="auto"/>
        </w:rPr>
      </w:pPr>
      <w:r>
        <w:rPr>
          <w:rFonts w:ascii="Arial" w:cs="Arial" w:eastAsia="Arial" w:hAnsi="Arial"/>
          <w:sz w:val="11"/>
          <w:szCs w:val="11"/>
          <w:color w:val="auto"/>
        </w:rPr>
        <w:t>Included tax-equivalent adjustments, driven by tax-exempt income from municipal bonds, of $58 million, $59 million, $60 million, $58 million and $60 million for the three months ended December 31, 2022, September 30, 2022, June 30, 2022, March 31, 2022 and December 31, 2021, respectively, and $235 million and $257 million for the full year 2022 and 2021, respectively.</w:t>
      </w:r>
    </w:p>
    <w:p>
      <w:pPr>
        <w:ind w:left="160" w:hanging="152"/>
        <w:spacing w:after="0" w:line="236" w:lineRule="auto"/>
        <w:tabs>
          <w:tab w:leader="none" w:pos="1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During 2022 and 2021, the Firm transferred $78.3 billion and $104.5 billion of investment securities, respectively, from AFS to HTM for capital management purposes.</w:t>
      </w:r>
    </w:p>
    <w:p>
      <w:pPr>
        <w:ind w:left="180" w:right="240" w:hanging="172"/>
        <w:spacing w:after="0" w:line="253" w:lineRule="auto"/>
        <w:tabs>
          <w:tab w:leader="none" w:pos="171" w:val="left"/>
        </w:tabs>
        <w:numPr>
          <w:ilvl w:val="0"/>
          <w:numId w:val="31"/>
        </w:numPr>
        <w:rPr>
          <w:rFonts w:ascii="Arial" w:cs="Arial" w:eastAsia="Arial" w:hAnsi="Arial"/>
          <w:sz w:val="11"/>
          <w:szCs w:val="11"/>
          <w:color w:val="auto"/>
        </w:rPr>
      </w:pPr>
      <w:r>
        <w:rPr>
          <w:rFonts w:ascii="Arial" w:cs="Arial" w:eastAsia="Arial" w:hAnsi="Arial"/>
          <w:sz w:val="11"/>
          <w:szCs w:val="11"/>
          <w:color w:val="auto"/>
        </w:rPr>
        <w:t>At December 31, 2022, September 30, 2022, June 30, 2022, March 31, 2022 and December 31, 2021, the allowance for credit losses on investment securities was $67 million, $52 million, $47 million, $41 million and $42 million, respectively.</w:t>
      </w:r>
    </w:p>
    <w:p>
      <w:pPr>
        <w:ind w:left="160" w:hanging="152"/>
        <w:spacing w:after="0" w:line="236" w:lineRule="auto"/>
        <w:tabs>
          <w:tab w:leader="none" w:pos="1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Included a $914 million gain on sale of Visa B shares.</w:t>
      </w:r>
    </w:p>
    <w:p>
      <w:pPr>
        <w:ind w:left="160" w:hanging="152"/>
        <w:spacing w:after="0"/>
        <w:tabs>
          <w:tab w:leader="none" w:pos="1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In the first quarter of 2022, the Firm changed its methodology for allocating income taxes to the LOBs, with no impact to Firmwide net income. Prior-period amounts have been revised to conform with the current presentation.</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Predominantly relates to international consumer growth initiatives.</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25</w:t>
      </w:r>
    </w:p>
    <w:p>
      <w:pPr>
        <w:sectPr>
          <w:pgSz w:w="11900" w:h="16838" w:orient="portrait"/>
          <w:cols w:equalWidth="0" w:num="1">
            <w:col w:w="11240"/>
          </w:cols>
          <w:pgMar w:left="320" w:top="572" w:right="339" w:bottom="1440" w:gutter="0" w:footer="0" w:header="0"/>
        </w:sectPr>
      </w:pPr>
    </w:p>
    <w:bookmarkStart w:id="37" w:name="page38"/>
    <w:bookmarkEnd w:id="37"/>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13970</wp:posOffset>
            </wp:positionV>
            <wp:extent cx="237426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CREDIT-RELATED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INFORMATION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6"/>
              </w:rPr>
              <w:t>Dec 31, 2022</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bottom w:val="single" w:sz="8" w:color="auto"/>
            </w:tcBorders>
            <w:gridSpan w:val="3"/>
          </w:tcPr>
          <w:p>
            <w:pPr>
              <w:jc w:val="center"/>
              <w:ind w:left="446"/>
              <w:spacing w:after="0"/>
              <w:rPr>
                <w:sz w:val="20"/>
                <w:szCs w:val="20"/>
                <w:color w:val="auto"/>
              </w:rPr>
            </w:pPr>
            <w:r>
              <w:rPr>
                <w:rFonts w:ascii="Arial" w:cs="Arial" w:eastAsia="Arial" w:hAnsi="Arial"/>
                <w:sz w:val="11"/>
                <w:szCs w:val="11"/>
                <w:b w:val="1"/>
                <w:bCs w:val="1"/>
                <w:color w:val="auto"/>
                <w:w w:val="99"/>
              </w:rPr>
              <w:t>Change</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Dec 31,</w:t>
            </w:r>
          </w:p>
        </w:tc>
        <w:tc>
          <w:tcPr>
            <w:tcW w:w="8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Sep 30,</w:t>
            </w:r>
          </w:p>
        </w:tc>
        <w:tc>
          <w:tcPr>
            <w:tcW w:w="8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Jun 30,</w:t>
            </w:r>
          </w:p>
        </w:tc>
        <w:tc>
          <w:tcPr>
            <w:tcW w:w="80" w:type="dxa"/>
            <w:vAlign w:val="bottom"/>
          </w:tcPr>
          <w:p>
            <w:pPr>
              <w:spacing w:after="0"/>
              <w:rPr>
                <w:sz w:val="12"/>
                <w:szCs w:val="12"/>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Mar 31,</w:t>
            </w:r>
          </w:p>
        </w:tc>
        <w:tc>
          <w:tcPr>
            <w:tcW w:w="8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b w:val="1"/>
                <w:bCs w:val="1"/>
                <w:color w:val="auto"/>
              </w:rPr>
              <w:t>Dec 31,</w:t>
            </w:r>
          </w:p>
        </w:tc>
        <w:tc>
          <w:tcPr>
            <w:tcW w:w="240" w:type="dxa"/>
            <w:vAlign w:val="bottom"/>
          </w:tcPr>
          <w:p>
            <w:pPr>
              <w:spacing w:after="0"/>
              <w:rPr>
                <w:sz w:val="12"/>
                <w:szCs w:val="12"/>
                <w:color w:val="auto"/>
              </w:rPr>
            </w:pPr>
          </w:p>
        </w:tc>
        <w:tc>
          <w:tcPr>
            <w:tcW w:w="940" w:type="dxa"/>
            <w:vAlign w:val="bottom"/>
            <w:gridSpan w:val="3"/>
          </w:tcPr>
          <w:p>
            <w:pPr>
              <w:ind w:left="100"/>
              <w:spacing w:after="0"/>
              <w:rPr>
                <w:sz w:val="20"/>
                <w:szCs w:val="20"/>
                <w:color w:val="auto"/>
              </w:rPr>
            </w:pPr>
            <w:r>
              <w:rPr>
                <w:rFonts w:ascii="Arial" w:cs="Arial" w:eastAsia="Arial" w:hAnsi="Arial"/>
                <w:sz w:val="11"/>
                <w:szCs w:val="11"/>
                <w:b w:val="1"/>
                <w:bCs w:val="1"/>
                <w:color w:val="auto"/>
              </w:rPr>
              <w:t>Sep 30,</w:t>
            </w:r>
          </w:p>
        </w:tc>
        <w:tc>
          <w:tcPr>
            <w:tcW w:w="500" w:type="dxa"/>
            <w:vAlign w:val="bottom"/>
          </w:tcPr>
          <w:p>
            <w:pPr>
              <w:jc w:val="right"/>
              <w:ind w:right="66"/>
              <w:spacing w:after="0"/>
              <w:rPr>
                <w:sz w:val="20"/>
                <w:szCs w:val="20"/>
                <w:color w:val="auto"/>
              </w:rPr>
            </w:pPr>
            <w:r>
              <w:rPr>
                <w:rFonts w:ascii="Arial" w:cs="Arial" w:eastAsia="Arial" w:hAnsi="Arial"/>
                <w:sz w:val="11"/>
                <w:szCs w:val="11"/>
                <w:b w:val="1"/>
                <w:bCs w:val="1"/>
                <w:color w:val="auto"/>
                <w:w w:val="93"/>
              </w:rPr>
              <w:t>Dec 31,</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2022</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2021</w:t>
            </w:r>
          </w:p>
        </w:tc>
        <w:tc>
          <w:tcPr>
            <w:tcW w:w="240" w:type="dxa"/>
            <w:vAlign w:val="bottom"/>
          </w:tcPr>
          <w:p>
            <w:pPr>
              <w:spacing w:after="0"/>
              <w:rPr>
                <w:sz w:val="14"/>
                <w:szCs w:val="14"/>
                <w:color w:val="auto"/>
              </w:rPr>
            </w:pPr>
          </w:p>
        </w:tc>
        <w:tc>
          <w:tcPr>
            <w:tcW w:w="6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08"/>
        </w:trPr>
        <w:tc>
          <w:tcPr>
            <w:tcW w:w="1040" w:type="dxa"/>
            <w:vAlign w:val="bottom"/>
            <w:tcBorders>
              <w:bottom w:val="single" w:sz="8" w:color="auto"/>
            </w:tcBorders>
          </w:tcPr>
          <w:p>
            <w:pPr>
              <w:spacing w:after="0" w:line="108" w:lineRule="exact"/>
              <w:rPr>
                <w:sz w:val="20"/>
                <w:szCs w:val="20"/>
                <w:color w:val="auto"/>
              </w:rPr>
            </w:pPr>
            <w:r>
              <w:rPr>
                <w:rFonts w:ascii="Arial" w:cs="Arial" w:eastAsia="Arial" w:hAnsi="Arial"/>
                <w:sz w:val="11"/>
                <w:szCs w:val="11"/>
                <w:b w:val="1"/>
                <w:bCs w:val="1"/>
                <w:color w:val="auto"/>
                <w:w w:val="96"/>
              </w:rPr>
              <w:t>CREDIT EXPOSURE</w:t>
            </w: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200" w:type="dxa"/>
            <w:vAlign w:val="bottom"/>
            <w:gridSpan w:val="2"/>
          </w:tcPr>
          <w:p>
            <w:pPr>
              <w:spacing w:after="0"/>
              <w:rPr>
                <w:sz w:val="20"/>
                <w:szCs w:val="20"/>
                <w:color w:val="auto"/>
              </w:rPr>
            </w:pPr>
            <w:r>
              <w:rPr>
                <w:rFonts w:ascii="Arial" w:cs="Arial" w:eastAsia="Arial" w:hAnsi="Arial"/>
                <w:sz w:val="11"/>
                <w:szCs w:val="11"/>
                <w:b w:val="1"/>
                <w:bCs w:val="1"/>
                <w:color w:val="auto"/>
                <w:w w:val="99"/>
              </w:rPr>
              <w:t>Consumer, excluding credit card loans (a)</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00" w:type="dxa"/>
            <w:vAlign w:val="bottom"/>
            <w:gridSpan w:val="2"/>
          </w:tcPr>
          <w:p>
            <w:pPr>
              <w:ind w:left="120"/>
              <w:spacing w:after="0"/>
              <w:rPr>
                <w:sz w:val="20"/>
                <w:szCs w:val="20"/>
                <w:color w:val="auto"/>
              </w:rPr>
            </w:pPr>
            <w:r>
              <w:rPr>
                <w:rFonts w:ascii="Arial" w:cs="Arial" w:eastAsia="Arial" w:hAnsi="Arial"/>
                <w:sz w:val="11"/>
                <w:szCs w:val="11"/>
                <w:color w:val="auto"/>
              </w:rPr>
              <w:t>Loans retained</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300,753</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301,403</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302,631</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296,161</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295,556</w:t>
            </w:r>
          </w:p>
        </w:tc>
        <w:tc>
          <w:tcPr>
            <w:tcW w:w="240" w:type="dxa"/>
            <w:vAlign w:val="bottom"/>
          </w:tcPr>
          <w:p>
            <w:pPr>
              <w:spacing w:after="0"/>
              <w:rPr>
                <w:sz w:val="13"/>
                <w:szCs w:val="13"/>
                <w:color w:val="auto"/>
              </w:rPr>
            </w:pPr>
          </w:p>
        </w:tc>
        <w:tc>
          <w:tcPr>
            <w:tcW w:w="940" w:type="dxa"/>
            <w:vAlign w:val="bottom"/>
            <w:gridSpan w:val="3"/>
          </w:tcPr>
          <w:p>
            <w:pPr>
              <w:ind w:left="340"/>
              <w:spacing w:after="0"/>
              <w:rPr>
                <w:sz w:val="20"/>
                <w:szCs w:val="20"/>
                <w:color w:val="auto"/>
              </w:rPr>
            </w:pPr>
            <w:r>
              <w:rPr>
                <w:rFonts w:ascii="Arial" w:cs="Arial" w:eastAsia="Arial" w:hAnsi="Arial"/>
                <w:sz w:val="11"/>
                <w:szCs w:val="11"/>
                <w:color w:val="auto"/>
              </w:rPr>
              <w:t>— %</w:t>
            </w:r>
          </w:p>
        </w:tc>
        <w:tc>
          <w:tcPr>
            <w:tcW w:w="500" w:type="dxa"/>
            <w:vAlign w:val="bottom"/>
          </w:tcPr>
          <w:p>
            <w:pPr>
              <w:jc w:val="right"/>
              <w:spacing w:after="0"/>
              <w:rPr>
                <w:sz w:val="20"/>
                <w:szCs w:val="20"/>
                <w:color w:val="auto"/>
              </w:rPr>
            </w:pPr>
            <w:r>
              <w:rPr>
                <w:rFonts w:ascii="Arial" w:cs="Arial" w:eastAsia="Arial" w:hAnsi="Arial"/>
                <w:sz w:val="11"/>
                <w:szCs w:val="11"/>
                <w:color w:val="auto"/>
              </w:rPr>
              <w:t>2 %</w:t>
            </w:r>
          </w:p>
        </w:tc>
        <w:tc>
          <w:tcPr>
            <w:tcW w:w="0" w:type="dxa"/>
            <w:vAlign w:val="bottom"/>
          </w:tcPr>
          <w:p>
            <w:pPr>
              <w:spacing w:after="0"/>
              <w:rPr>
                <w:sz w:val="1"/>
                <w:szCs w:val="1"/>
                <w:color w:val="auto"/>
              </w:rPr>
            </w:pPr>
          </w:p>
        </w:tc>
      </w:tr>
      <w:tr>
        <w:trPr>
          <w:trHeight w:val="176"/>
        </w:trPr>
        <w:tc>
          <w:tcPr>
            <w:tcW w:w="2200" w:type="dxa"/>
            <w:vAlign w:val="bottom"/>
            <w:gridSpan w:val="2"/>
          </w:tcPr>
          <w:p>
            <w:pPr>
              <w:ind w:left="120"/>
              <w:spacing w:after="0"/>
              <w:rPr>
                <w:sz w:val="20"/>
                <w:szCs w:val="20"/>
                <w:color w:val="auto"/>
              </w:rPr>
            </w:pPr>
            <w:r>
              <w:rPr>
                <w:rFonts w:ascii="Arial" w:cs="Arial" w:eastAsia="Arial" w:hAnsi="Arial"/>
                <w:sz w:val="11"/>
                <w:szCs w:val="11"/>
                <w:color w:val="auto"/>
              </w:rPr>
              <w:t>Loans held-for-sale and loans at fair value</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10,622</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12,393</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14,581</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16,328</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27,750</w:t>
            </w:r>
          </w:p>
        </w:tc>
        <w:tc>
          <w:tcPr>
            <w:tcW w:w="240" w:type="dxa"/>
            <w:vAlign w:val="bottom"/>
          </w:tcPr>
          <w:p>
            <w:pPr>
              <w:spacing w:after="0"/>
              <w:rPr>
                <w:sz w:val="15"/>
                <w:szCs w:val="15"/>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(62)</w:t>
            </w: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rPr>
              <w:t>Total consumer, excluding credit card</w:t>
            </w:r>
          </w:p>
        </w:tc>
        <w:tc>
          <w:tcPr>
            <w:tcW w:w="80" w:type="dxa"/>
            <w:vAlign w:val="bottom"/>
          </w:tcPr>
          <w:p>
            <w:pPr>
              <w:spacing w:after="0"/>
              <w:rPr>
                <w:sz w:val="8"/>
                <w:szCs w:val="8"/>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311,375</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313,796</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317,212</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312,489</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323,306</w:t>
            </w:r>
          </w:p>
        </w:tc>
        <w:tc>
          <w:tcPr>
            <w:tcW w:w="240" w:type="dxa"/>
            <w:vAlign w:val="bottom"/>
          </w:tcPr>
          <w:p>
            <w:pPr>
              <w:spacing w:after="0"/>
              <w:rPr>
                <w:sz w:val="8"/>
                <w:szCs w:val="8"/>
                <w:color w:val="auto"/>
              </w:rPr>
            </w:pPr>
          </w:p>
        </w:tc>
        <w:tc>
          <w:tcPr>
            <w:tcW w:w="600" w:type="dxa"/>
            <w:vAlign w:val="bottom"/>
            <w:vMerge w:val="restart"/>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jc w:val="right"/>
              <w:ind w:right="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55"/>
        </w:trPr>
        <w:tc>
          <w:tcPr>
            <w:tcW w:w="2200" w:type="dxa"/>
            <w:vAlign w:val="bottom"/>
            <w:gridSpan w:val="2"/>
          </w:tcPr>
          <w:p>
            <w:pPr>
              <w:spacing w:after="0"/>
              <w:rPr>
                <w:sz w:val="20"/>
                <w:szCs w:val="20"/>
                <w:color w:val="auto"/>
              </w:rPr>
            </w:pPr>
            <w:r>
              <w:rPr>
                <w:rFonts w:ascii="Arial" w:cs="Arial" w:eastAsia="Arial" w:hAnsi="Arial"/>
                <w:sz w:val="11"/>
                <w:szCs w:val="11"/>
                <w:b w:val="1"/>
                <w:bCs w:val="1"/>
                <w:color w:val="auto"/>
              </w:rPr>
              <w:t>loans</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6"/>
        </w:trPr>
        <w:tc>
          <w:tcPr>
            <w:tcW w:w="2200" w:type="dxa"/>
            <w:vAlign w:val="bottom"/>
            <w:gridSpan w:val="2"/>
          </w:tcPr>
          <w:p>
            <w:pPr>
              <w:spacing w:after="0"/>
              <w:rPr>
                <w:sz w:val="20"/>
                <w:szCs w:val="20"/>
                <w:color w:val="auto"/>
              </w:rPr>
            </w:pPr>
            <w:r>
              <w:rPr>
                <w:rFonts w:ascii="Arial" w:cs="Arial" w:eastAsia="Arial" w:hAnsi="Arial"/>
                <w:sz w:val="11"/>
                <w:szCs w:val="11"/>
                <w:b w:val="1"/>
                <w:bCs w:val="1"/>
                <w:color w:val="auto"/>
              </w:rPr>
              <w:t>Credit card loans</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200" w:type="dxa"/>
            <w:vAlign w:val="bottom"/>
            <w:gridSpan w:val="2"/>
          </w:tcPr>
          <w:p>
            <w:pPr>
              <w:ind w:left="120"/>
              <w:spacing w:after="0"/>
              <w:rPr>
                <w:sz w:val="20"/>
                <w:szCs w:val="20"/>
                <w:color w:val="auto"/>
              </w:rPr>
            </w:pPr>
            <w:r>
              <w:rPr>
                <w:rFonts w:ascii="Arial" w:cs="Arial" w:eastAsia="Arial" w:hAnsi="Arial"/>
                <w:sz w:val="11"/>
                <w:szCs w:val="11"/>
                <w:color w:val="auto"/>
              </w:rPr>
              <w:t>Loans retained</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185,175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170,462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165,494</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152,283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154,296</w:t>
            </w:r>
          </w:p>
        </w:tc>
        <w:tc>
          <w:tcPr>
            <w:tcW w:w="240" w:type="dxa"/>
            <w:vAlign w:val="bottom"/>
          </w:tcPr>
          <w:p>
            <w:pPr>
              <w:spacing w:after="0"/>
              <w:rPr>
                <w:sz w:val="13"/>
                <w:szCs w:val="13"/>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75"/>
        </w:trPr>
        <w:tc>
          <w:tcPr>
            <w:tcW w:w="2200" w:type="dxa"/>
            <w:vAlign w:val="bottom"/>
            <w:gridSpan w:val="2"/>
          </w:tcPr>
          <w:p>
            <w:pPr>
              <w:spacing w:after="0"/>
              <w:rPr>
                <w:sz w:val="20"/>
                <w:szCs w:val="20"/>
                <w:color w:val="auto"/>
              </w:rPr>
            </w:pPr>
            <w:r>
              <w:rPr>
                <w:rFonts w:ascii="Arial" w:cs="Arial" w:eastAsia="Arial" w:hAnsi="Arial"/>
                <w:sz w:val="11"/>
                <w:szCs w:val="11"/>
                <w:b w:val="1"/>
                <w:bCs w:val="1"/>
                <w:color w:val="auto"/>
              </w:rPr>
              <w:t>Total credit card loans</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185,175</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170,462</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165,494</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152,283</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154,296</w:t>
            </w:r>
          </w:p>
        </w:tc>
        <w:tc>
          <w:tcPr>
            <w:tcW w:w="240" w:type="dxa"/>
            <w:vAlign w:val="bottom"/>
          </w:tcPr>
          <w:p>
            <w:pPr>
              <w:spacing w:after="0"/>
              <w:rPr>
                <w:sz w:val="15"/>
                <w:szCs w:val="15"/>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48"/>
        </w:trPr>
        <w:tc>
          <w:tcPr>
            <w:tcW w:w="2200" w:type="dxa"/>
            <w:vAlign w:val="bottom"/>
            <w:gridSpan w:val="2"/>
          </w:tcPr>
          <w:p>
            <w:pPr>
              <w:spacing w:after="0"/>
              <w:rPr>
                <w:sz w:val="20"/>
                <w:szCs w:val="20"/>
                <w:color w:val="auto"/>
              </w:rPr>
            </w:pPr>
            <w:r>
              <w:rPr>
                <w:rFonts w:ascii="Arial" w:cs="Arial" w:eastAsia="Arial" w:hAnsi="Arial"/>
                <w:sz w:val="11"/>
                <w:szCs w:val="11"/>
                <w:b w:val="1"/>
                <w:bCs w:val="1"/>
                <w:color w:val="auto"/>
              </w:rPr>
              <w:t>Total consumer loans</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496,550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484,258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482,706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464,772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477,602</w:t>
            </w:r>
          </w:p>
        </w:tc>
        <w:tc>
          <w:tcPr>
            <w:tcW w:w="240" w:type="dxa"/>
            <w:vAlign w:val="bottom"/>
          </w:tcPr>
          <w:p>
            <w:pPr>
              <w:spacing w:after="0"/>
              <w:rPr>
                <w:sz w:val="12"/>
                <w:szCs w:val="12"/>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324"/>
        </w:trPr>
        <w:tc>
          <w:tcPr>
            <w:tcW w:w="2200" w:type="dxa"/>
            <w:vAlign w:val="bottom"/>
            <w:gridSpan w:val="2"/>
          </w:tcPr>
          <w:p>
            <w:pPr>
              <w:spacing w:after="0"/>
              <w:rPr>
                <w:sz w:val="20"/>
                <w:szCs w:val="20"/>
                <w:color w:val="auto"/>
              </w:rPr>
            </w:pPr>
            <w:r>
              <w:rPr>
                <w:rFonts w:ascii="Arial" w:cs="Arial" w:eastAsia="Arial" w:hAnsi="Arial"/>
                <w:sz w:val="11"/>
                <w:szCs w:val="11"/>
                <w:b w:val="1"/>
                <w:bCs w:val="1"/>
                <w:color w:val="auto"/>
              </w:rPr>
              <w:t>Wholesale loans (b)</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200" w:type="dxa"/>
            <w:vAlign w:val="bottom"/>
            <w:gridSpan w:val="2"/>
          </w:tcPr>
          <w:p>
            <w:pPr>
              <w:ind w:left="120"/>
              <w:spacing w:after="0"/>
              <w:rPr>
                <w:sz w:val="20"/>
                <w:szCs w:val="20"/>
                <w:color w:val="auto"/>
              </w:rPr>
            </w:pPr>
            <w:r>
              <w:rPr>
                <w:rFonts w:ascii="Arial" w:cs="Arial" w:eastAsia="Arial" w:hAnsi="Arial"/>
                <w:sz w:val="11"/>
                <w:szCs w:val="11"/>
                <w:color w:val="auto"/>
              </w:rPr>
              <w:t>Loans retained</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603,670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596,208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584,265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569,953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560,354</w:t>
            </w:r>
          </w:p>
        </w:tc>
        <w:tc>
          <w:tcPr>
            <w:tcW w:w="240" w:type="dxa"/>
            <w:vAlign w:val="bottom"/>
          </w:tcPr>
          <w:p>
            <w:pPr>
              <w:spacing w:after="0"/>
              <w:rPr>
                <w:sz w:val="13"/>
                <w:szCs w:val="13"/>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75"/>
        </w:trPr>
        <w:tc>
          <w:tcPr>
            <w:tcW w:w="2200" w:type="dxa"/>
            <w:vAlign w:val="bottom"/>
            <w:gridSpan w:val="2"/>
          </w:tcPr>
          <w:p>
            <w:pPr>
              <w:ind w:left="120"/>
              <w:spacing w:after="0"/>
              <w:rPr>
                <w:sz w:val="20"/>
                <w:szCs w:val="20"/>
                <w:color w:val="auto"/>
              </w:rPr>
            </w:pPr>
            <w:r>
              <w:rPr>
                <w:rFonts w:ascii="Arial" w:cs="Arial" w:eastAsia="Arial" w:hAnsi="Arial"/>
                <w:sz w:val="11"/>
                <w:szCs w:val="11"/>
                <w:color w:val="auto"/>
              </w:rPr>
              <w:t>Loans held-for-sale and loans at fair value</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35,427</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32,167</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37,184</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38,560</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39,758</w:t>
            </w:r>
          </w:p>
        </w:tc>
        <w:tc>
          <w:tcPr>
            <w:tcW w:w="240" w:type="dxa"/>
            <w:vAlign w:val="bottom"/>
          </w:tcPr>
          <w:p>
            <w:pPr>
              <w:spacing w:after="0"/>
              <w:rPr>
                <w:sz w:val="15"/>
                <w:szCs w:val="15"/>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48"/>
        </w:trPr>
        <w:tc>
          <w:tcPr>
            <w:tcW w:w="2200" w:type="dxa"/>
            <w:vAlign w:val="bottom"/>
            <w:gridSpan w:val="2"/>
          </w:tcPr>
          <w:p>
            <w:pPr>
              <w:spacing w:after="0"/>
              <w:rPr>
                <w:sz w:val="20"/>
                <w:szCs w:val="20"/>
                <w:color w:val="auto"/>
              </w:rPr>
            </w:pPr>
            <w:r>
              <w:rPr>
                <w:rFonts w:ascii="Arial" w:cs="Arial" w:eastAsia="Arial" w:hAnsi="Arial"/>
                <w:sz w:val="11"/>
                <w:szCs w:val="11"/>
                <w:b w:val="1"/>
                <w:bCs w:val="1"/>
                <w:color w:val="auto"/>
              </w:rPr>
              <w:t>Total wholesale loans</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639,097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628,375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621,449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608,513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600,112</w:t>
            </w:r>
          </w:p>
        </w:tc>
        <w:tc>
          <w:tcPr>
            <w:tcW w:w="240" w:type="dxa"/>
            <w:vAlign w:val="bottom"/>
          </w:tcPr>
          <w:p>
            <w:pPr>
              <w:spacing w:after="0"/>
              <w:rPr>
                <w:sz w:val="12"/>
                <w:szCs w:val="12"/>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324"/>
        </w:trPr>
        <w:tc>
          <w:tcPr>
            <w:tcW w:w="2200" w:type="dxa"/>
            <w:vAlign w:val="bottom"/>
            <w:gridSpan w:val="2"/>
          </w:tcPr>
          <w:p>
            <w:pPr>
              <w:spacing w:after="0"/>
              <w:rPr>
                <w:sz w:val="20"/>
                <w:szCs w:val="20"/>
                <w:color w:val="auto"/>
              </w:rPr>
            </w:pPr>
            <w:r>
              <w:rPr>
                <w:rFonts w:ascii="Arial" w:cs="Arial" w:eastAsia="Arial" w:hAnsi="Arial"/>
                <w:sz w:val="11"/>
                <w:szCs w:val="11"/>
                <w:b w:val="1"/>
                <w:bCs w:val="1"/>
                <w:color w:val="auto"/>
              </w:rPr>
              <w:t>Total loans</w:t>
            </w:r>
          </w:p>
        </w:tc>
        <w:tc>
          <w:tcPr>
            <w:tcW w:w="8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1,135,647</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1,112,633</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1,104,155</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1,073,285</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1,077,714</w:t>
            </w:r>
          </w:p>
        </w:tc>
        <w:tc>
          <w:tcPr>
            <w:tcW w:w="240" w:type="dxa"/>
            <w:vAlign w:val="bottom"/>
          </w:tcPr>
          <w:p>
            <w:pPr>
              <w:spacing w:after="0"/>
              <w:rPr>
                <w:sz w:val="24"/>
                <w:szCs w:val="2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56"/>
        </w:trPr>
        <w:tc>
          <w:tcPr>
            <w:tcW w:w="2200" w:type="dxa"/>
            <w:vAlign w:val="bottom"/>
            <w:gridSpan w:val="2"/>
          </w:tcPr>
          <w:p>
            <w:pPr>
              <w:ind w:left="120"/>
              <w:spacing w:after="0"/>
              <w:rPr>
                <w:sz w:val="20"/>
                <w:szCs w:val="20"/>
                <w:color w:val="auto"/>
              </w:rPr>
            </w:pPr>
            <w:r>
              <w:rPr>
                <w:rFonts w:ascii="Arial" w:cs="Arial" w:eastAsia="Arial" w:hAnsi="Arial"/>
                <w:sz w:val="11"/>
                <w:szCs w:val="11"/>
                <w:color w:val="auto"/>
              </w:rPr>
              <w:t>Derivative receivables</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70,880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92,534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81,317</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73,636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57,081</w:t>
            </w:r>
          </w:p>
        </w:tc>
        <w:tc>
          <w:tcPr>
            <w:tcW w:w="24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75"/>
        </w:trPr>
        <w:tc>
          <w:tcPr>
            <w:tcW w:w="2200" w:type="dxa"/>
            <w:vAlign w:val="bottom"/>
            <w:gridSpan w:val="2"/>
          </w:tcPr>
          <w:p>
            <w:pPr>
              <w:ind w:left="120"/>
              <w:spacing w:after="0"/>
              <w:rPr>
                <w:sz w:val="20"/>
                <w:szCs w:val="20"/>
                <w:color w:val="auto"/>
              </w:rPr>
            </w:pPr>
            <w:r>
              <w:rPr>
                <w:rFonts w:ascii="Arial" w:cs="Arial" w:eastAsia="Arial" w:hAnsi="Arial"/>
                <w:sz w:val="11"/>
                <w:szCs w:val="11"/>
                <w:color w:val="auto"/>
              </w:rPr>
              <w:t>Receivables from customers (c)</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49,257</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54,921</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58,349</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68,473</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59,645</w:t>
            </w:r>
          </w:p>
        </w:tc>
        <w:tc>
          <w:tcPr>
            <w:tcW w:w="240" w:type="dxa"/>
            <w:vAlign w:val="bottom"/>
          </w:tcPr>
          <w:p>
            <w:pPr>
              <w:spacing w:after="0"/>
              <w:rPr>
                <w:sz w:val="15"/>
                <w:szCs w:val="15"/>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48"/>
        </w:trPr>
        <w:tc>
          <w:tcPr>
            <w:tcW w:w="2200" w:type="dxa"/>
            <w:vAlign w:val="bottom"/>
            <w:gridSpan w:val="2"/>
          </w:tcPr>
          <w:p>
            <w:pPr>
              <w:spacing w:after="0"/>
              <w:rPr>
                <w:sz w:val="20"/>
                <w:szCs w:val="20"/>
                <w:color w:val="auto"/>
              </w:rPr>
            </w:pPr>
            <w:r>
              <w:rPr>
                <w:rFonts w:ascii="Arial" w:cs="Arial" w:eastAsia="Arial" w:hAnsi="Arial"/>
                <w:sz w:val="11"/>
                <w:szCs w:val="11"/>
                <w:b w:val="1"/>
                <w:bCs w:val="1"/>
                <w:color w:val="auto"/>
              </w:rPr>
              <w:t>Total credit-related assets</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1,255,784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1,260,088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1,243,821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1,215,394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1,194,440</w:t>
            </w:r>
          </w:p>
        </w:tc>
        <w:tc>
          <w:tcPr>
            <w:tcW w:w="240" w:type="dxa"/>
            <w:vAlign w:val="bottom"/>
          </w:tcPr>
          <w:p>
            <w:pPr>
              <w:spacing w:after="0"/>
              <w:rPr>
                <w:sz w:val="12"/>
                <w:szCs w:val="12"/>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324"/>
        </w:trPr>
        <w:tc>
          <w:tcPr>
            <w:tcW w:w="2200" w:type="dxa"/>
            <w:vAlign w:val="bottom"/>
            <w:gridSpan w:val="2"/>
          </w:tcPr>
          <w:p>
            <w:pPr>
              <w:spacing w:after="0"/>
              <w:rPr>
                <w:sz w:val="20"/>
                <w:szCs w:val="20"/>
                <w:color w:val="auto"/>
              </w:rPr>
            </w:pPr>
            <w:r>
              <w:rPr>
                <w:rFonts w:ascii="Arial" w:cs="Arial" w:eastAsia="Arial" w:hAnsi="Arial"/>
                <w:sz w:val="11"/>
                <w:szCs w:val="11"/>
                <w:b w:val="1"/>
                <w:bCs w:val="1"/>
                <w:color w:val="auto"/>
              </w:rPr>
              <w:t>Lending-related commitments</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200" w:type="dxa"/>
            <w:vAlign w:val="bottom"/>
            <w:gridSpan w:val="2"/>
          </w:tcPr>
          <w:p>
            <w:pPr>
              <w:spacing w:after="0"/>
              <w:rPr>
                <w:sz w:val="20"/>
                <w:szCs w:val="20"/>
                <w:color w:val="auto"/>
              </w:rPr>
            </w:pPr>
            <w:r>
              <w:rPr>
                <w:rFonts w:ascii="Arial" w:cs="Arial" w:eastAsia="Arial" w:hAnsi="Arial"/>
                <w:sz w:val="11"/>
                <w:szCs w:val="11"/>
                <w:color w:val="auto"/>
              </w:rPr>
              <w:t>Consumer, excluding credit card</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33,518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34,868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40,484</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47,103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45,334</w:t>
            </w:r>
          </w:p>
        </w:tc>
        <w:tc>
          <w:tcPr>
            <w:tcW w:w="24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62"/>
        </w:trPr>
        <w:tc>
          <w:tcPr>
            <w:tcW w:w="2200" w:type="dxa"/>
            <w:vAlign w:val="bottom"/>
            <w:gridSpan w:val="2"/>
          </w:tcPr>
          <w:p>
            <w:pPr>
              <w:spacing w:after="0"/>
              <w:rPr>
                <w:sz w:val="20"/>
                <w:szCs w:val="20"/>
                <w:color w:val="auto"/>
              </w:rPr>
            </w:pPr>
            <w:r>
              <w:rPr>
                <w:rFonts w:ascii="Arial" w:cs="Arial" w:eastAsia="Arial" w:hAnsi="Arial"/>
                <w:sz w:val="11"/>
                <w:szCs w:val="11"/>
                <w:color w:val="auto"/>
              </w:rPr>
              <w:t>Credit card (d)</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821,284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798,855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774,021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757,283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730,534</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75"/>
        </w:trPr>
        <w:tc>
          <w:tcPr>
            <w:tcW w:w="2200" w:type="dxa"/>
            <w:vAlign w:val="bottom"/>
            <w:gridSpan w:val="2"/>
          </w:tcPr>
          <w:p>
            <w:pPr>
              <w:spacing w:after="0"/>
              <w:rPr>
                <w:sz w:val="20"/>
                <w:szCs w:val="20"/>
                <w:color w:val="auto"/>
              </w:rPr>
            </w:pPr>
            <w:r>
              <w:rPr>
                <w:rFonts w:ascii="Arial" w:cs="Arial" w:eastAsia="Arial" w:hAnsi="Arial"/>
                <w:sz w:val="11"/>
                <w:szCs w:val="11"/>
                <w:color w:val="auto"/>
              </w:rPr>
              <w:t>Wholesale</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472,264</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472,950</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487,500</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497,232</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486,445</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940" w:type="dxa"/>
            <w:vAlign w:val="bottom"/>
            <w:gridSpan w:val="3"/>
          </w:tcPr>
          <w:p>
            <w:pPr>
              <w:jc w:val="right"/>
              <w:ind w:right="50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8"/>
        </w:trPr>
        <w:tc>
          <w:tcPr>
            <w:tcW w:w="2200" w:type="dxa"/>
            <w:vAlign w:val="bottom"/>
            <w:gridSpan w:val="2"/>
          </w:tcPr>
          <w:p>
            <w:pPr>
              <w:spacing w:after="0"/>
              <w:rPr>
                <w:sz w:val="20"/>
                <w:szCs w:val="20"/>
                <w:color w:val="auto"/>
              </w:rPr>
            </w:pPr>
            <w:r>
              <w:rPr>
                <w:rFonts w:ascii="Arial" w:cs="Arial" w:eastAsia="Arial" w:hAnsi="Arial"/>
                <w:sz w:val="11"/>
                <w:szCs w:val="11"/>
                <w:b w:val="1"/>
                <w:bCs w:val="1"/>
                <w:color w:val="auto"/>
              </w:rPr>
              <w:t>Total lending-related commitments</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1,327,066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1,306,673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1,302,005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1,301,618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1,262,313</w:t>
            </w:r>
          </w:p>
        </w:tc>
        <w:tc>
          <w:tcPr>
            <w:tcW w:w="240" w:type="dxa"/>
            <w:vAlign w:val="bottom"/>
          </w:tcPr>
          <w:p>
            <w:pPr>
              <w:spacing w:after="0"/>
              <w:rPr>
                <w:sz w:val="12"/>
                <w:szCs w:val="12"/>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00" w:type="dxa"/>
            <w:vAlign w:val="bottom"/>
            <w:gridSpan w:val="2"/>
          </w:tcPr>
          <w:p>
            <w:pPr>
              <w:spacing w:after="0"/>
              <w:rPr>
                <w:sz w:val="20"/>
                <w:szCs w:val="20"/>
                <w:color w:val="auto"/>
              </w:rPr>
            </w:pPr>
            <w:r>
              <w:rPr>
                <w:rFonts w:ascii="Arial" w:cs="Arial" w:eastAsia="Arial" w:hAnsi="Arial"/>
                <w:sz w:val="11"/>
                <w:szCs w:val="11"/>
                <w:b w:val="1"/>
                <w:bCs w:val="1"/>
                <w:color w:val="auto"/>
              </w:rPr>
              <w:t>Total credit exposure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2,582,850</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2,566,761</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2,545,826</w:t>
            </w:r>
          </w:p>
        </w:tc>
        <w:tc>
          <w:tcPr>
            <w:tcW w:w="2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2,517,012</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2,456,753</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Arial" w:cs="Arial" w:eastAsia="Arial" w:hAnsi="Arial"/>
                <w:sz w:val="11"/>
                <w:szCs w:val="11"/>
                <w:b w:val="1"/>
                <w:bCs w:val="1"/>
                <w:color w:val="auto"/>
              </w:rPr>
              <w:t>Memo: Total by category</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200" w:type="dxa"/>
            <w:vAlign w:val="bottom"/>
            <w:gridSpan w:val="2"/>
          </w:tcPr>
          <w:p>
            <w:pPr>
              <w:spacing w:after="0"/>
              <w:rPr>
                <w:sz w:val="20"/>
                <w:szCs w:val="20"/>
                <w:color w:val="auto"/>
              </w:rPr>
            </w:pPr>
            <w:r>
              <w:rPr>
                <w:rFonts w:ascii="Arial" w:cs="Arial" w:eastAsia="Arial" w:hAnsi="Arial"/>
                <w:sz w:val="11"/>
                <w:szCs w:val="11"/>
                <w:color w:val="auto"/>
              </w:rPr>
              <w:t>Consumer exposure (e)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1,351,352</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1,317,981</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1,297,211</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1,269,158</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1,253,470</w:t>
            </w:r>
          </w:p>
        </w:tc>
        <w:tc>
          <w:tcPr>
            <w:tcW w:w="240" w:type="dxa"/>
            <w:vAlign w:val="bottom"/>
          </w:tcPr>
          <w:p>
            <w:pPr>
              <w:spacing w:after="0"/>
              <w:rPr>
                <w:sz w:val="13"/>
                <w:szCs w:val="13"/>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75"/>
        </w:trPr>
        <w:tc>
          <w:tcPr>
            <w:tcW w:w="2200" w:type="dxa"/>
            <w:vAlign w:val="bottom"/>
            <w:gridSpan w:val="2"/>
          </w:tcPr>
          <w:p>
            <w:pPr>
              <w:spacing w:after="0"/>
              <w:rPr>
                <w:sz w:val="20"/>
                <w:szCs w:val="20"/>
                <w:color w:val="auto"/>
              </w:rPr>
            </w:pPr>
            <w:r>
              <w:rPr>
                <w:rFonts w:ascii="Arial" w:cs="Arial" w:eastAsia="Arial" w:hAnsi="Arial"/>
                <w:sz w:val="11"/>
                <w:szCs w:val="11"/>
                <w:color w:val="auto"/>
              </w:rPr>
              <w:t>Wholesale exposure (f)</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3"/>
              </w:rPr>
              <w:t>1,231,498</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3"/>
              </w:rPr>
              <w:t>1,248,780</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1,248,615</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3"/>
              </w:rPr>
              <w:t>1,247,854</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3"/>
              </w:rPr>
              <w:t>1,203,283</w:t>
            </w:r>
          </w:p>
        </w:tc>
        <w:tc>
          <w:tcPr>
            <w:tcW w:w="240" w:type="dxa"/>
            <w:vAlign w:val="bottom"/>
          </w:tcPr>
          <w:p>
            <w:pPr>
              <w:spacing w:after="0"/>
              <w:rPr>
                <w:sz w:val="15"/>
                <w:szCs w:val="15"/>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9"/>
        </w:trPr>
        <w:tc>
          <w:tcPr>
            <w:tcW w:w="2200" w:type="dxa"/>
            <w:vAlign w:val="bottom"/>
            <w:gridSpan w:val="2"/>
          </w:tcPr>
          <w:p>
            <w:pPr>
              <w:spacing w:after="0"/>
              <w:rPr>
                <w:sz w:val="20"/>
                <w:szCs w:val="20"/>
                <w:color w:val="auto"/>
              </w:rPr>
            </w:pPr>
            <w:r>
              <w:rPr>
                <w:rFonts w:ascii="Arial" w:cs="Arial" w:eastAsia="Arial" w:hAnsi="Arial"/>
                <w:sz w:val="11"/>
                <w:szCs w:val="11"/>
                <w:b w:val="1"/>
                <w:bCs w:val="1"/>
                <w:color w:val="auto"/>
              </w:rPr>
              <w:t>Total credit exposure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2,582,850</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2,566,761</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2,545,826</w:t>
            </w:r>
          </w:p>
        </w:tc>
        <w:tc>
          <w:tcPr>
            <w:tcW w:w="2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2,517,012</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2,456,753</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405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385" w:lineRule="exact"/>
        <w:rPr>
          <w:sz w:val="20"/>
          <w:szCs w:val="20"/>
          <w:color w:val="auto"/>
        </w:rPr>
      </w:pPr>
    </w:p>
    <w:p>
      <w:pPr>
        <w:ind w:left="160" w:hanging="152"/>
        <w:spacing w:after="0"/>
        <w:tabs>
          <w:tab w:leader="none" w:pos="160" w:val="left"/>
        </w:tabs>
        <w:numPr>
          <w:ilvl w:val="0"/>
          <w:numId w:val="32"/>
        </w:numPr>
        <w:rPr>
          <w:rFonts w:ascii="Arial" w:cs="Arial" w:eastAsia="Arial" w:hAnsi="Arial"/>
          <w:sz w:val="11"/>
          <w:szCs w:val="11"/>
          <w:color w:val="auto"/>
        </w:rPr>
      </w:pPr>
      <w:r>
        <w:rPr>
          <w:rFonts w:ascii="Arial" w:cs="Arial" w:eastAsia="Arial" w:hAnsi="Arial"/>
          <w:sz w:val="11"/>
          <w:szCs w:val="11"/>
          <w:color w:val="auto"/>
        </w:rPr>
        <w:t>Includes scored loans held in CCB, scored mortgage and home equity loans held in AWM, and scored mortgage loans held in CIB and Corporate.</w:t>
      </w:r>
    </w:p>
    <w:p>
      <w:pPr>
        <w:spacing w:after="0" w:line="5" w:lineRule="exact"/>
        <w:rPr>
          <w:rFonts w:ascii="Arial" w:cs="Arial" w:eastAsia="Arial" w:hAnsi="Arial"/>
          <w:sz w:val="11"/>
          <w:szCs w:val="11"/>
          <w:color w:val="auto"/>
        </w:rPr>
      </w:pPr>
    </w:p>
    <w:p>
      <w:pPr>
        <w:ind w:left="180" w:right="260" w:hanging="172"/>
        <w:spacing w:after="0" w:line="243" w:lineRule="auto"/>
        <w:tabs>
          <w:tab w:leader="none" w:pos="177" w:val="left"/>
        </w:tabs>
        <w:numPr>
          <w:ilvl w:val="0"/>
          <w:numId w:val="32"/>
        </w:numPr>
        <w:rPr>
          <w:rFonts w:ascii="Arial" w:cs="Arial" w:eastAsia="Arial" w:hAnsi="Arial"/>
          <w:sz w:val="11"/>
          <w:szCs w:val="11"/>
          <w:color w:val="auto"/>
        </w:rPr>
      </w:pPr>
      <w:r>
        <w:rPr>
          <w:rFonts w:ascii="Arial" w:cs="Arial" w:eastAsia="Arial" w:hAnsi="Arial"/>
          <w:sz w:val="11"/>
          <w:szCs w:val="11"/>
          <w:color w:val="auto"/>
        </w:rPr>
        <w:t>Includes loans held in CIB, CB, AWM, Corporate as well as risk-rated loans held in CCB, including business banking and J.P. Morgan Wealth Management loans held in Banking &amp; Wealth Management, and auto dealer loans for which the wholesale methodology is applied when determining the allowance for loan losses.</w:t>
      </w:r>
    </w:p>
    <w:p>
      <w:pPr>
        <w:ind w:left="160" w:hanging="152"/>
        <w:spacing w:after="0"/>
        <w:tabs>
          <w:tab w:leader="none" w:pos="160" w:val="left"/>
        </w:tabs>
        <w:numPr>
          <w:ilvl w:val="0"/>
          <w:numId w:val="32"/>
        </w:numPr>
        <w:rPr>
          <w:rFonts w:ascii="Arial" w:cs="Arial" w:eastAsia="Arial" w:hAnsi="Arial"/>
          <w:sz w:val="11"/>
          <w:szCs w:val="11"/>
          <w:color w:val="auto"/>
        </w:rPr>
      </w:pPr>
      <w:r>
        <w:rPr>
          <w:rFonts w:ascii="Arial" w:cs="Arial" w:eastAsia="Arial" w:hAnsi="Arial"/>
          <w:sz w:val="11"/>
          <w:szCs w:val="11"/>
          <w:color w:val="auto"/>
        </w:rPr>
        <w:t>Receivables from customers reflect held-for-investment margin loans to brokerage clients in CIB, CCB and AWM; these are reported within accrued interest and accounts receivable on the Consolidated balance sheets.</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32"/>
        </w:numPr>
        <w:rPr>
          <w:rFonts w:ascii="Arial" w:cs="Arial" w:eastAsia="Arial" w:hAnsi="Arial"/>
          <w:sz w:val="11"/>
          <w:szCs w:val="11"/>
          <w:color w:val="auto"/>
        </w:rPr>
      </w:pPr>
      <w:r>
        <w:rPr>
          <w:rFonts w:ascii="Arial" w:cs="Arial" w:eastAsia="Arial" w:hAnsi="Arial"/>
          <w:sz w:val="11"/>
          <w:szCs w:val="11"/>
          <w:color w:val="auto"/>
        </w:rPr>
        <w:t>Also includes commercial card lending-related commitments primarily in CB and CIB.</w:t>
      </w:r>
    </w:p>
    <w:p>
      <w:pPr>
        <w:spacing w:after="0" w:line="8" w:lineRule="exact"/>
        <w:rPr>
          <w:rFonts w:ascii="Arial" w:cs="Arial" w:eastAsia="Arial" w:hAnsi="Arial"/>
          <w:sz w:val="11"/>
          <w:szCs w:val="11"/>
          <w:color w:val="auto"/>
        </w:rPr>
      </w:pPr>
    </w:p>
    <w:p>
      <w:pPr>
        <w:ind w:left="160" w:hanging="152"/>
        <w:spacing w:after="0" w:line="236" w:lineRule="auto"/>
        <w:tabs>
          <w:tab w:leader="none" w:pos="160" w:val="left"/>
        </w:tabs>
        <w:numPr>
          <w:ilvl w:val="0"/>
          <w:numId w:val="32"/>
        </w:numPr>
        <w:rPr>
          <w:rFonts w:ascii="Arial" w:cs="Arial" w:eastAsia="Arial" w:hAnsi="Arial"/>
          <w:sz w:val="11"/>
          <w:szCs w:val="11"/>
          <w:color w:val="auto"/>
        </w:rPr>
      </w:pPr>
      <w:r>
        <w:rPr>
          <w:rFonts w:ascii="Arial" w:cs="Arial" w:eastAsia="Arial" w:hAnsi="Arial"/>
          <w:sz w:val="11"/>
          <w:szCs w:val="11"/>
          <w:color w:val="auto"/>
        </w:rPr>
        <w:t>Represents total consumer loans and lending-related commitments.</w:t>
      </w:r>
    </w:p>
    <w:p>
      <w:pPr>
        <w:ind w:left="160" w:hanging="152"/>
        <w:spacing w:after="0"/>
        <w:tabs>
          <w:tab w:leader="none" w:pos="160" w:val="left"/>
        </w:tabs>
        <w:numPr>
          <w:ilvl w:val="0"/>
          <w:numId w:val="32"/>
        </w:numPr>
        <w:rPr>
          <w:rFonts w:ascii="Arial" w:cs="Arial" w:eastAsia="Arial" w:hAnsi="Arial"/>
          <w:sz w:val="11"/>
          <w:szCs w:val="11"/>
          <w:color w:val="auto"/>
        </w:rPr>
      </w:pPr>
      <w:r>
        <w:rPr>
          <w:rFonts w:ascii="Arial" w:cs="Arial" w:eastAsia="Arial" w:hAnsi="Arial"/>
          <w:sz w:val="11"/>
          <w:szCs w:val="11"/>
          <w:color w:val="auto"/>
        </w:rPr>
        <w:t>Represents total wholesale loans, lending-related commitments, derivative receivables, and receivables from customers.</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32"/>
        </w:numPr>
        <w:rPr>
          <w:rFonts w:ascii="Arial" w:cs="Arial" w:eastAsia="Arial" w:hAnsi="Arial"/>
          <w:sz w:val="11"/>
          <w:szCs w:val="11"/>
          <w:color w:val="auto"/>
        </w:rPr>
      </w:pPr>
      <w:r>
        <w:rPr>
          <w:rFonts w:ascii="Arial" w:cs="Arial" w:eastAsia="Arial" w:hAnsi="Arial"/>
          <w:sz w:val="11"/>
          <w:szCs w:val="11"/>
          <w:color w:val="auto"/>
        </w:rPr>
        <w:t>Prior-period amounts have been revised to conform with the current presentation.</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26</w:t>
      </w:r>
    </w:p>
    <w:p>
      <w:pPr>
        <w:sectPr>
          <w:pgSz w:w="11900" w:h="16838" w:orient="portrait"/>
          <w:cols w:equalWidth="0" w:num="1">
            <w:col w:w="11240"/>
          </w:cols>
          <w:pgMar w:left="320" w:top="626" w:right="339" w:bottom="1440" w:gutter="0" w:footer="0" w:header="0"/>
        </w:sectPr>
      </w:pPr>
    </w:p>
    <w:bookmarkStart w:id="38" w:name="page39"/>
    <w:bookmarkEnd w:id="38"/>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13970</wp:posOffset>
            </wp:positionV>
            <wp:extent cx="237426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right="8880"/>
        <w:spacing w:after="0" w:line="273" w:lineRule="auto"/>
        <w:rPr>
          <w:sz w:val="20"/>
          <w:szCs w:val="20"/>
          <w:color w:val="auto"/>
        </w:rPr>
      </w:pPr>
      <w:r>
        <w:rPr>
          <w:rFonts w:ascii="Arial" w:cs="Arial" w:eastAsia="Arial" w:hAnsi="Arial"/>
          <w:sz w:val="14"/>
          <w:szCs w:val="14"/>
          <w:b w:val="1"/>
          <w:bCs w:val="1"/>
          <w:color w:val="auto"/>
        </w:rPr>
        <w:t>CREDIT-RELATED INFORMATION, CONTINUED</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6"/>
              </w:rPr>
              <w:t>Dec 31, 2022</w:t>
            </w: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bottom w:val="single" w:sz="8" w:color="auto"/>
            </w:tcBorders>
            <w:gridSpan w:val="3"/>
          </w:tcPr>
          <w:p>
            <w:pPr>
              <w:jc w:val="center"/>
              <w:ind w:left="446"/>
              <w:spacing w:after="0"/>
              <w:rPr>
                <w:sz w:val="20"/>
                <w:szCs w:val="20"/>
                <w:color w:val="auto"/>
              </w:rPr>
            </w:pPr>
            <w:r>
              <w:rPr>
                <w:rFonts w:ascii="Arial" w:cs="Arial" w:eastAsia="Arial" w:hAnsi="Arial"/>
                <w:sz w:val="11"/>
                <w:szCs w:val="11"/>
                <w:b w:val="1"/>
                <w:bCs w:val="1"/>
                <w:color w:val="auto"/>
                <w:w w:val="99"/>
              </w:rPr>
              <w:t>Change</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Dec 31,</w:t>
            </w:r>
          </w:p>
        </w:tc>
        <w:tc>
          <w:tcPr>
            <w:tcW w:w="100" w:type="dxa"/>
            <w:vAlign w:val="bottom"/>
          </w:tcPr>
          <w:p>
            <w:pPr>
              <w:spacing w:after="0"/>
              <w:rPr>
                <w:sz w:val="12"/>
                <w:szCs w:val="12"/>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Sep 30,</w:t>
            </w:r>
          </w:p>
        </w:tc>
        <w:tc>
          <w:tcPr>
            <w:tcW w:w="120" w:type="dxa"/>
            <w:vAlign w:val="bottom"/>
          </w:tcPr>
          <w:p>
            <w:pPr>
              <w:spacing w:after="0"/>
              <w:rPr>
                <w:sz w:val="12"/>
                <w:szCs w:val="12"/>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Jun 30,</w:t>
            </w: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Mar 31,</w:t>
            </w:r>
          </w:p>
        </w:tc>
        <w:tc>
          <w:tcPr>
            <w:tcW w:w="1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Dec 31,</w:t>
            </w:r>
          </w:p>
        </w:tc>
        <w:tc>
          <w:tcPr>
            <w:tcW w:w="240" w:type="dxa"/>
            <w:vAlign w:val="bottom"/>
          </w:tcPr>
          <w:p>
            <w:pPr>
              <w:spacing w:after="0"/>
              <w:rPr>
                <w:sz w:val="12"/>
                <w:szCs w:val="12"/>
                <w:color w:val="auto"/>
              </w:rPr>
            </w:pPr>
          </w:p>
        </w:tc>
        <w:tc>
          <w:tcPr>
            <w:tcW w:w="940" w:type="dxa"/>
            <w:vAlign w:val="bottom"/>
            <w:gridSpan w:val="3"/>
          </w:tcPr>
          <w:p>
            <w:pPr>
              <w:ind w:left="100"/>
              <w:spacing w:after="0"/>
              <w:rPr>
                <w:sz w:val="20"/>
                <w:szCs w:val="20"/>
                <w:color w:val="auto"/>
              </w:rPr>
            </w:pPr>
            <w:r>
              <w:rPr>
                <w:rFonts w:ascii="Arial" w:cs="Arial" w:eastAsia="Arial" w:hAnsi="Arial"/>
                <w:sz w:val="11"/>
                <w:szCs w:val="11"/>
                <w:b w:val="1"/>
                <w:bCs w:val="1"/>
                <w:color w:val="auto"/>
              </w:rPr>
              <w:t>Sep 30,</w:t>
            </w:r>
          </w:p>
        </w:tc>
        <w:tc>
          <w:tcPr>
            <w:tcW w:w="500" w:type="dxa"/>
            <w:vAlign w:val="bottom"/>
          </w:tcPr>
          <w:p>
            <w:pPr>
              <w:jc w:val="right"/>
              <w:ind w:right="66"/>
              <w:spacing w:after="0"/>
              <w:rPr>
                <w:sz w:val="20"/>
                <w:szCs w:val="20"/>
                <w:color w:val="auto"/>
              </w:rPr>
            </w:pPr>
            <w:r>
              <w:rPr>
                <w:rFonts w:ascii="Arial" w:cs="Arial" w:eastAsia="Arial" w:hAnsi="Arial"/>
                <w:sz w:val="11"/>
                <w:szCs w:val="11"/>
                <w:b w:val="1"/>
                <w:bCs w:val="1"/>
                <w:color w:val="auto"/>
                <w:w w:val="93"/>
              </w:rPr>
              <w:t>Dec 31,</w:t>
            </w: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jc w:val="right"/>
              <w:ind w:right="146"/>
              <w:spacing w:after="0"/>
              <w:rPr>
                <w:sz w:val="20"/>
                <w:szCs w:val="20"/>
                <w:color w:val="auto"/>
              </w:rPr>
            </w:pPr>
            <w:r>
              <w:rPr>
                <w:rFonts w:ascii="Arial" w:cs="Arial" w:eastAsia="Arial" w:hAnsi="Arial"/>
                <w:sz w:val="11"/>
                <w:szCs w:val="11"/>
                <w:b w:val="1"/>
                <w:bCs w:val="1"/>
                <w:color w:val="auto"/>
              </w:rPr>
              <w:t>2022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2022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66"/>
              <w:spacing w:after="0"/>
              <w:rPr>
                <w:sz w:val="20"/>
                <w:szCs w:val="20"/>
                <w:color w:val="auto"/>
              </w:rPr>
            </w:pPr>
            <w:r>
              <w:rPr>
                <w:rFonts w:ascii="Arial" w:cs="Arial" w:eastAsia="Arial" w:hAnsi="Arial"/>
                <w:sz w:val="11"/>
                <w:szCs w:val="11"/>
                <w:b w:val="1"/>
                <w:bCs w:val="1"/>
                <w:color w:val="auto"/>
              </w:rPr>
              <w:t>2022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86"/>
              <w:spacing w:after="0"/>
              <w:rPr>
                <w:sz w:val="20"/>
                <w:szCs w:val="20"/>
                <w:color w:val="auto"/>
              </w:rPr>
            </w:pPr>
            <w:r>
              <w:rPr>
                <w:rFonts w:ascii="Arial" w:cs="Arial" w:eastAsia="Arial" w:hAnsi="Arial"/>
                <w:sz w:val="11"/>
                <w:szCs w:val="11"/>
                <w:b w:val="1"/>
                <w:bCs w:val="1"/>
                <w:color w:val="auto"/>
              </w:rPr>
              <w:t>2022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86"/>
              <w:spacing w:after="0"/>
              <w:rPr>
                <w:sz w:val="20"/>
                <w:szCs w:val="20"/>
                <w:color w:val="auto"/>
              </w:rPr>
            </w:pPr>
            <w:r>
              <w:rPr>
                <w:rFonts w:ascii="Arial" w:cs="Arial" w:eastAsia="Arial" w:hAnsi="Arial"/>
                <w:sz w:val="11"/>
                <w:szCs w:val="11"/>
                <w:b w:val="1"/>
                <w:bCs w:val="1"/>
                <w:color w:val="auto"/>
              </w:rPr>
              <w:t>2021</w:t>
            </w:r>
          </w:p>
        </w:tc>
        <w:tc>
          <w:tcPr>
            <w:tcW w:w="840" w:type="dxa"/>
            <w:vAlign w:val="bottom"/>
            <w:gridSpan w:val="2"/>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08"/>
        </w:trPr>
        <w:tc>
          <w:tcPr>
            <w:tcW w:w="1740" w:type="dxa"/>
            <w:vAlign w:val="bottom"/>
            <w:tcBorders>
              <w:bottom w:val="single" w:sz="8" w:color="auto"/>
            </w:tcBorders>
          </w:tcPr>
          <w:p>
            <w:pPr>
              <w:spacing w:after="0" w:line="108" w:lineRule="exact"/>
              <w:rPr>
                <w:sz w:val="20"/>
                <w:szCs w:val="20"/>
                <w:color w:val="auto"/>
              </w:rPr>
            </w:pPr>
            <w:r>
              <w:rPr>
                <w:rFonts w:ascii="Arial" w:cs="Arial" w:eastAsia="Arial" w:hAnsi="Arial"/>
                <w:sz w:val="11"/>
                <w:szCs w:val="11"/>
                <w:b w:val="1"/>
                <w:bCs w:val="1"/>
                <w:color w:val="auto"/>
                <w:w w:val="97"/>
              </w:rPr>
              <w:t>NONPERFORMING ASSETS (a)(b)</w:t>
            </w: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980" w:type="dxa"/>
            <w:vAlign w:val="bottom"/>
            <w:gridSpan w:val="2"/>
          </w:tcPr>
          <w:p>
            <w:pPr>
              <w:spacing w:after="0"/>
              <w:rPr>
                <w:sz w:val="20"/>
                <w:szCs w:val="20"/>
                <w:color w:val="auto"/>
              </w:rPr>
            </w:pPr>
            <w:r>
              <w:rPr>
                <w:rFonts w:ascii="Arial" w:cs="Arial" w:eastAsia="Arial" w:hAnsi="Arial"/>
                <w:sz w:val="11"/>
                <w:szCs w:val="11"/>
                <w:b w:val="1"/>
                <w:bCs w:val="1"/>
                <w:color w:val="auto"/>
              </w:rPr>
              <w:t>Consumer nonaccrual loans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80" w:type="dxa"/>
            <w:vAlign w:val="bottom"/>
            <w:gridSpan w:val="2"/>
          </w:tcPr>
          <w:p>
            <w:pPr>
              <w:ind w:left="100"/>
              <w:spacing w:after="0"/>
              <w:rPr>
                <w:sz w:val="20"/>
                <w:szCs w:val="20"/>
                <w:color w:val="auto"/>
              </w:rPr>
            </w:pPr>
            <w:r>
              <w:rPr>
                <w:rFonts w:ascii="Arial" w:cs="Arial" w:eastAsia="Arial" w:hAnsi="Arial"/>
                <w:sz w:val="11"/>
                <w:szCs w:val="11"/>
                <w:color w:val="auto"/>
              </w:rPr>
              <w:t>Loans retained</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2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3,874</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3,917</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4,186</w:t>
            </w:r>
          </w:p>
        </w:tc>
        <w:tc>
          <w:tcPr>
            <w:tcW w:w="26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4,485</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4,878</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28"/>
        </w:trPr>
        <w:tc>
          <w:tcPr>
            <w:tcW w:w="1980" w:type="dxa"/>
            <w:vAlign w:val="bottom"/>
            <w:gridSpan w:val="2"/>
          </w:tcPr>
          <w:p>
            <w:pPr>
              <w:ind w:left="100"/>
              <w:spacing w:after="0"/>
              <w:rPr>
                <w:sz w:val="20"/>
                <w:szCs w:val="20"/>
                <w:color w:val="auto"/>
              </w:rPr>
            </w:pPr>
            <w:r>
              <w:rPr>
                <w:rFonts w:ascii="Arial" w:cs="Arial" w:eastAsia="Arial" w:hAnsi="Arial"/>
                <w:sz w:val="11"/>
                <w:szCs w:val="11"/>
                <w:color w:val="auto"/>
              </w:rPr>
              <w:t>Loans held-for-sale and loans at fair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vMerge w:val="restart"/>
          </w:tcPr>
          <w:p>
            <w:pPr>
              <w:jc w:val="right"/>
              <w:ind w:right="86"/>
              <w:spacing w:after="0"/>
              <w:rPr>
                <w:sz w:val="20"/>
                <w:szCs w:val="20"/>
                <w:color w:val="auto"/>
              </w:rPr>
            </w:pPr>
            <w:r>
              <w:rPr>
                <w:rFonts w:ascii="Arial" w:cs="Arial" w:eastAsia="Arial" w:hAnsi="Arial"/>
                <w:sz w:val="11"/>
                <w:szCs w:val="11"/>
                <w:color w:val="auto"/>
              </w:rPr>
              <w:t>451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461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color w:val="auto"/>
              </w:rPr>
              <w:t>486</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525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472</w:t>
            </w:r>
          </w:p>
        </w:tc>
        <w:tc>
          <w:tcPr>
            <w:tcW w:w="84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ind w:right="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55"/>
        </w:trPr>
        <w:tc>
          <w:tcPr>
            <w:tcW w:w="1980" w:type="dxa"/>
            <w:vAlign w:val="bottom"/>
            <w:gridSpan w:val="2"/>
          </w:tcPr>
          <w:p>
            <w:pPr>
              <w:spacing w:after="0"/>
              <w:rPr>
                <w:sz w:val="20"/>
                <w:szCs w:val="20"/>
                <w:color w:val="auto"/>
              </w:rPr>
            </w:pPr>
            <w:r>
              <w:rPr>
                <w:rFonts w:ascii="Arial" w:cs="Arial" w:eastAsia="Arial" w:hAnsi="Arial"/>
                <w:sz w:val="11"/>
                <w:szCs w:val="11"/>
                <w:color w:val="auto"/>
              </w:rPr>
              <w:t>value</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80" w:type="dxa"/>
            <w:vAlign w:val="bottom"/>
            <w:gridSpan w:val="2"/>
          </w:tcPr>
          <w:p>
            <w:pPr>
              <w:spacing w:after="0"/>
              <w:rPr>
                <w:sz w:val="20"/>
                <w:szCs w:val="20"/>
                <w:color w:val="auto"/>
              </w:rPr>
            </w:pPr>
            <w:r>
              <w:rPr>
                <w:rFonts w:ascii="Arial" w:cs="Arial" w:eastAsia="Arial" w:hAnsi="Arial"/>
                <w:sz w:val="11"/>
                <w:szCs w:val="11"/>
                <w:b w:val="1"/>
                <w:bCs w:val="1"/>
                <w:color w:val="auto"/>
              </w:rPr>
              <w:t>Total consumer nonaccrual loans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4,325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4,378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4,672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5,010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5,350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324"/>
        </w:trPr>
        <w:tc>
          <w:tcPr>
            <w:tcW w:w="1980" w:type="dxa"/>
            <w:vAlign w:val="bottom"/>
            <w:gridSpan w:val="2"/>
          </w:tcPr>
          <w:p>
            <w:pPr>
              <w:spacing w:after="0"/>
              <w:rPr>
                <w:sz w:val="20"/>
                <w:szCs w:val="20"/>
                <w:color w:val="auto"/>
              </w:rPr>
            </w:pPr>
            <w:r>
              <w:rPr>
                <w:rFonts w:ascii="Arial" w:cs="Arial" w:eastAsia="Arial" w:hAnsi="Arial"/>
                <w:sz w:val="11"/>
                <w:szCs w:val="11"/>
                <w:b w:val="1"/>
                <w:bCs w:val="1"/>
                <w:color w:val="auto"/>
              </w:rPr>
              <w:t>Wholesale nonaccrual loans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980" w:type="dxa"/>
            <w:vAlign w:val="bottom"/>
            <w:gridSpan w:val="2"/>
          </w:tcPr>
          <w:p>
            <w:pPr>
              <w:ind w:left="120"/>
              <w:spacing w:after="0"/>
              <w:rPr>
                <w:sz w:val="20"/>
                <w:szCs w:val="20"/>
                <w:color w:val="auto"/>
              </w:rPr>
            </w:pPr>
            <w:r>
              <w:rPr>
                <w:rFonts w:ascii="Arial" w:cs="Arial" w:eastAsia="Arial" w:hAnsi="Arial"/>
                <w:sz w:val="11"/>
                <w:szCs w:val="11"/>
                <w:color w:val="auto"/>
              </w:rPr>
              <w:t>Loans retained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1,963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1,882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2,083</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2,289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2,054</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8"/>
        </w:trPr>
        <w:tc>
          <w:tcPr>
            <w:tcW w:w="1980" w:type="dxa"/>
            <w:vAlign w:val="bottom"/>
            <w:gridSpan w:val="2"/>
          </w:tcPr>
          <w:p>
            <w:pPr>
              <w:ind w:left="120"/>
              <w:spacing w:after="0"/>
              <w:rPr>
                <w:sz w:val="20"/>
                <w:szCs w:val="20"/>
                <w:color w:val="auto"/>
              </w:rPr>
            </w:pPr>
            <w:r>
              <w:rPr>
                <w:rFonts w:ascii="Arial" w:cs="Arial" w:eastAsia="Arial" w:hAnsi="Arial"/>
                <w:sz w:val="11"/>
                <w:szCs w:val="11"/>
                <w:color w:val="auto"/>
              </w:rPr>
              <w:t>Loans held-for-sale and loans at fair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vMerge w:val="restart"/>
          </w:tcPr>
          <w:p>
            <w:pPr>
              <w:jc w:val="right"/>
              <w:ind w:right="86"/>
              <w:spacing w:after="0"/>
              <w:rPr>
                <w:sz w:val="20"/>
                <w:szCs w:val="20"/>
                <w:color w:val="auto"/>
              </w:rPr>
            </w:pPr>
            <w:r>
              <w:rPr>
                <w:rFonts w:ascii="Arial" w:cs="Arial" w:eastAsia="Arial" w:hAnsi="Arial"/>
                <w:sz w:val="11"/>
                <w:szCs w:val="11"/>
                <w:color w:val="auto"/>
              </w:rPr>
              <w:t>432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414</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color w:val="auto"/>
              </w:rPr>
              <w:t>407</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459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391</w:t>
            </w:r>
          </w:p>
        </w:tc>
        <w:tc>
          <w:tcPr>
            <w:tcW w:w="84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5"/>
        </w:trPr>
        <w:tc>
          <w:tcPr>
            <w:tcW w:w="1980" w:type="dxa"/>
            <w:vAlign w:val="bottom"/>
            <w:gridSpan w:val="2"/>
          </w:tcPr>
          <w:p>
            <w:pPr>
              <w:ind w:left="120"/>
              <w:spacing w:after="0"/>
              <w:rPr>
                <w:sz w:val="20"/>
                <w:szCs w:val="20"/>
                <w:color w:val="auto"/>
              </w:rPr>
            </w:pPr>
            <w:r>
              <w:rPr>
                <w:rFonts w:ascii="Arial" w:cs="Arial" w:eastAsia="Arial" w:hAnsi="Arial"/>
                <w:sz w:val="11"/>
                <w:szCs w:val="11"/>
                <w:color w:val="auto"/>
              </w:rPr>
              <w:t>value</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80" w:type="dxa"/>
            <w:vAlign w:val="bottom"/>
            <w:gridSpan w:val="2"/>
          </w:tcPr>
          <w:p>
            <w:pPr>
              <w:spacing w:after="0"/>
              <w:rPr>
                <w:sz w:val="20"/>
                <w:szCs w:val="20"/>
                <w:color w:val="auto"/>
              </w:rPr>
            </w:pPr>
            <w:r>
              <w:rPr>
                <w:rFonts w:ascii="Arial" w:cs="Arial" w:eastAsia="Arial" w:hAnsi="Arial"/>
                <w:sz w:val="11"/>
                <w:szCs w:val="11"/>
                <w:b w:val="1"/>
                <w:bCs w:val="1"/>
                <w:color w:val="auto"/>
              </w:rPr>
              <w:t>Total wholesale nonaccrual loans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2,395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2,296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2,490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2,748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2,445</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76"/>
        </w:trPr>
        <w:tc>
          <w:tcPr>
            <w:tcW w:w="19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 nonaccrual loans (c)</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4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restart"/>
          </w:tcPr>
          <w:p>
            <w:pPr>
              <w:jc w:val="right"/>
              <w:ind w:right="6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49"/>
        </w:trPr>
        <w:tc>
          <w:tcPr>
            <w:tcW w:w="1980" w:type="dxa"/>
            <w:vAlign w:val="bottom"/>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6,720</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6,674</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7,162</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7,758</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7,795</w:t>
            </w:r>
          </w:p>
        </w:tc>
        <w:tc>
          <w:tcPr>
            <w:tcW w:w="8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1980" w:type="dxa"/>
            <w:vAlign w:val="bottom"/>
            <w:gridSpan w:val="2"/>
          </w:tcPr>
          <w:p>
            <w:pPr>
              <w:spacing w:after="0"/>
              <w:rPr>
                <w:sz w:val="20"/>
                <w:szCs w:val="20"/>
                <w:color w:val="auto"/>
              </w:rPr>
            </w:pPr>
            <w:r>
              <w:rPr>
                <w:rFonts w:ascii="Arial" w:cs="Arial" w:eastAsia="Arial" w:hAnsi="Arial"/>
                <w:sz w:val="11"/>
                <w:szCs w:val="11"/>
                <w:color w:val="auto"/>
              </w:rPr>
              <w:t>Derivative receivables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296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339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447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597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316</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75"/>
        </w:trPr>
        <w:tc>
          <w:tcPr>
            <w:tcW w:w="1980" w:type="dxa"/>
            <w:vAlign w:val="bottom"/>
            <w:gridSpan w:val="2"/>
          </w:tcPr>
          <w:p>
            <w:pPr>
              <w:spacing w:after="0"/>
              <w:rPr>
                <w:sz w:val="20"/>
                <w:szCs w:val="20"/>
                <w:color w:val="auto"/>
              </w:rPr>
            </w:pPr>
            <w:r>
              <w:rPr>
                <w:rFonts w:ascii="Arial" w:cs="Arial" w:eastAsia="Arial" w:hAnsi="Arial"/>
                <w:sz w:val="11"/>
                <w:szCs w:val="11"/>
                <w:color w:val="auto"/>
              </w:rPr>
              <w:t>Assets acquired in loan satisfactions</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231</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230</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236</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250</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235</w:t>
            </w:r>
          </w:p>
        </w:tc>
        <w:tc>
          <w:tcPr>
            <w:tcW w:w="240" w:type="dxa"/>
            <w:vAlign w:val="bottom"/>
          </w:tcPr>
          <w:p>
            <w:pPr>
              <w:spacing w:after="0"/>
              <w:rPr>
                <w:sz w:val="15"/>
                <w:szCs w:val="15"/>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8"/>
        </w:trPr>
        <w:tc>
          <w:tcPr>
            <w:tcW w:w="1980" w:type="dxa"/>
            <w:vAlign w:val="bottom"/>
            <w:gridSpan w:val="2"/>
          </w:tcPr>
          <w:p>
            <w:pPr>
              <w:spacing w:after="0"/>
              <w:rPr>
                <w:sz w:val="20"/>
                <w:szCs w:val="20"/>
                <w:color w:val="auto"/>
              </w:rPr>
            </w:pPr>
            <w:r>
              <w:rPr>
                <w:rFonts w:ascii="Arial" w:cs="Arial" w:eastAsia="Arial" w:hAnsi="Arial"/>
                <w:sz w:val="11"/>
                <w:szCs w:val="11"/>
                <w:b w:val="1"/>
                <w:bCs w:val="1"/>
                <w:color w:val="auto"/>
              </w:rPr>
              <w:t>Total nonperforming assets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7,247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7,243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7,845</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8,605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8,346</w:t>
            </w:r>
          </w:p>
        </w:tc>
        <w:tc>
          <w:tcPr>
            <w:tcW w:w="240" w:type="dxa"/>
            <w:vAlign w:val="bottom"/>
          </w:tcPr>
          <w:p>
            <w:pPr>
              <w:spacing w:after="0"/>
              <w:rPr>
                <w:sz w:val="12"/>
                <w:szCs w:val="12"/>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22"/>
        </w:trPr>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rPr>
              <w:t>Wholesale lending-related commitments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vMerge w:val="restart"/>
          </w:tcPr>
          <w:p>
            <w:pPr>
              <w:jc w:val="right"/>
              <w:ind w:right="86"/>
              <w:spacing w:after="0"/>
              <w:rPr>
                <w:sz w:val="20"/>
                <w:szCs w:val="20"/>
                <w:color w:val="auto"/>
              </w:rPr>
            </w:pPr>
            <w:r>
              <w:rPr>
                <w:rFonts w:ascii="Arial" w:cs="Arial" w:eastAsia="Arial" w:hAnsi="Arial"/>
                <w:sz w:val="11"/>
                <w:szCs w:val="11"/>
                <w:color w:val="auto"/>
              </w:rPr>
              <w:t>455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470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color w:val="auto"/>
              </w:rPr>
              <w:t>397</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767</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764</w:t>
            </w:r>
          </w:p>
        </w:tc>
        <w:tc>
          <w:tcPr>
            <w:tcW w:w="84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66"/>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55"/>
        </w:trPr>
        <w:tc>
          <w:tcPr>
            <w:tcW w:w="1980" w:type="dxa"/>
            <w:vAlign w:val="bottom"/>
            <w:gridSpan w:val="2"/>
          </w:tcPr>
          <w:p>
            <w:pPr>
              <w:spacing w:after="0"/>
              <w:rPr>
                <w:sz w:val="20"/>
                <w:szCs w:val="20"/>
                <w:color w:val="auto"/>
              </w:rPr>
            </w:pPr>
            <w:r>
              <w:rPr>
                <w:rFonts w:ascii="Arial" w:cs="Arial" w:eastAsia="Arial" w:hAnsi="Arial"/>
                <w:sz w:val="11"/>
                <w:szCs w:val="11"/>
                <w:color w:val="auto"/>
              </w:rPr>
              <w:t>(d)</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980" w:type="dxa"/>
            <w:vAlign w:val="bottom"/>
            <w:gridSpan w:val="2"/>
          </w:tcPr>
          <w:p>
            <w:pPr>
              <w:spacing w:after="0"/>
              <w:rPr>
                <w:sz w:val="20"/>
                <w:szCs w:val="20"/>
                <w:color w:val="auto"/>
              </w:rPr>
            </w:pPr>
            <w:r>
              <w:rPr>
                <w:rFonts w:ascii="Arial" w:cs="Arial" w:eastAsia="Arial" w:hAnsi="Arial"/>
                <w:sz w:val="11"/>
                <w:szCs w:val="11"/>
                <w:b w:val="1"/>
                <w:bCs w:val="1"/>
                <w:color w:val="auto"/>
              </w:rPr>
              <w:t>Total nonperforming exposure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7,702</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7,713</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8,242</w:t>
            </w:r>
          </w:p>
        </w:tc>
        <w:tc>
          <w:tcPr>
            <w:tcW w:w="260" w:type="dxa"/>
            <w:vAlign w:val="bottom"/>
          </w:tcPr>
          <w:p>
            <w:pPr>
              <w:spacing w:after="0"/>
              <w:rPr>
                <w:sz w:val="14"/>
                <w:szCs w:val="14"/>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9,372</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9,110</w:t>
            </w:r>
          </w:p>
        </w:tc>
        <w:tc>
          <w:tcPr>
            <w:tcW w:w="240" w:type="dxa"/>
            <w:vAlign w:val="bottom"/>
          </w:tcPr>
          <w:p>
            <w:pPr>
              <w:spacing w:after="0"/>
              <w:rPr>
                <w:sz w:val="14"/>
                <w:szCs w:val="14"/>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270"/>
        </w:trPr>
        <w:tc>
          <w:tcPr>
            <w:tcW w:w="2100" w:type="dxa"/>
            <w:vAlign w:val="bottom"/>
            <w:gridSpan w:val="4"/>
          </w:tcPr>
          <w:p>
            <w:pPr>
              <w:spacing w:after="0"/>
              <w:rPr>
                <w:sz w:val="20"/>
                <w:szCs w:val="20"/>
                <w:color w:val="auto"/>
              </w:rPr>
            </w:pPr>
            <w:r>
              <w:rPr>
                <w:rFonts w:ascii="Arial" w:cs="Arial" w:eastAsia="Arial" w:hAnsi="Arial"/>
                <w:sz w:val="11"/>
                <w:szCs w:val="11"/>
                <w:b w:val="1"/>
                <w:bCs w:val="1"/>
                <w:color w:val="auto"/>
                <w:w w:val="97"/>
              </w:rPr>
              <w:t>NONACCRUAL LOAN-RELATED RATIOS</w:t>
            </w: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198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Total nonaccrual loans to total loans</w:t>
            </w:r>
          </w:p>
        </w:tc>
        <w:tc>
          <w:tcPr>
            <w:tcW w:w="1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0.59 %</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0.60 %</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0.65 %</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0.72 %</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0.72 %</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80" w:type="dxa"/>
            <w:vAlign w:val="bottom"/>
            <w:gridSpan w:val="2"/>
          </w:tcPr>
          <w:p>
            <w:pPr>
              <w:spacing w:after="0"/>
              <w:rPr>
                <w:sz w:val="20"/>
                <w:szCs w:val="20"/>
                <w:color w:val="auto"/>
              </w:rPr>
            </w:pPr>
            <w:r>
              <w:rPr>
                <w:rFonts w:ascii="Arial" w:cs="Arial" w:eastAsia="Arial" w:hAnsi="Arial"/>
                <w:sz w:val="11"/>
                <w:szCs w:val="11"/>
                <w:color w:val="auto"/>
              </w:rPr>
              <w:t>Total consumer, excluding credit card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80" w:type="dxa"/>
            <w:vAlign w:val="bottom"/>
            <w:gridSpan w:val="2"/>
          </w:tcPr>
          <w:p>
            <w:pPr>
              <w:spacing w:after="0"/>
              <w:rPr>
                <w:sz w:val="20"/>
                <w:szCs w:val="20"/>
                <w:color w:val="auto"/>
              </w:rPr>
            </w:pPr>
            <w:r>
              <w:rPr>
                <w:rFonts w:ascii="Arial" w:cs="Arial" w:eastAsia="Arial" w:hAnsi="Arial"/>
                <w:sz w:val="11"/>
                <w:szCs w:val="11"/>
                <w:color w:val="auto"/>
              </w:rPr>
              <w:t>nonaccrual loans to</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80" w:type="dxa"/>
            <w:vAlign w:val="bottom"/>
            <w:gridSpan w:val="2"/>
          </w:tcPr>
          <w:p>
            <w:pPr>
              <w:ind w:left="120"/>
              <w:spacing w:after="0"/>
              <w:rPr>
                <w:sz w:val="20"/>
                <w:szCs w:val="20"/>
                <w:color w:val="auto"/>
              </w:rPr>
            </w:pPr>
            <w:r>
              <w:rPr>
                <w:rFonts w:ascii="Arial" w:cs="Arial" w:eastAsia="Arial" w:hAnsi="Arial"/>
                <w:sz w:val="11"/>
                <w:szCs w:val="11"/>
                <w:color w:val="auto"/>
              </w:rPr>
              <w:t>total consumer, excluding credit card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vMerge w:val="restart"/>
          </w:tcPr>
          <w:p>
            <w:pPr>
              <w:jc w:val="right"/>
              <w:ind w:right="86"/>
              <w:spacing w:after="0"/>
              <w:rPr>
                <w:sz w:val="20"/>
                <w:szCs w:val="20"/>
                <w:color w:val="auto"/>
              </w:rPr>
            </w:pPr>
            <w:r>
              <w:rPr>
                <w:rFonts w:ascii="Arial" w:cs="Arial" w:eastAsia="Arial" w:hAnsi="Arial"/>
                <w:sz w:val="11"/>
                <w:szCs w:val="11"/>
                <w:color w:val="auto"/>
              </w:rPr>
              <w:t>1.39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1.40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color w:val="auto"/>
              </w:rPr>
              <w:t>1.47</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1.60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1.65</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80" w:type="dxa"/>
            <w:vAlign w:val="bottom"/>
            <w:gridSpan w:val="2"/>
          </w:tcPr>
          <w:p>
            <w:pPr>
              <w:ind w:left="120"/>
              <w:spacing w:after="0"/>
              <w:rPr>
                <w:sz w:val="20"/>
                <w:szCs w:val="20"/>
                <w:color w:val="auto"/>
              </w:rPr>
            </w:pPr>
            <w:r>
              <w:rPr>
                <w:rFonts w:ascii="Arial" w:cs="Arial" w:eastAsia="Arial" w:hAnsi="Arial"/>
                <w:sz w:val="11"/>
                <w:szCs w:val="11"/>
                <w:color w:val="auto"/>
              </w:rPr>
              <w:t>loans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80" w:type="dxa"/>
            <w:vAlign w:val="bottom"/>
            <w:gridSpan w:val="2"/>
          </w:tcPr>
          <w:p>
            <w:pPr>
              <w:spacing w:after="0"/>
              <w:rPr>
                <w:sz w:val="20"/>
                <w:szCs w:val="20"/>
                <w:color w:val="auto"/>
              </w:rPr>
            </w:pPr>
            <w:r>
              <w:rPr>
                <w:rFonts w:ascii="Arial" w:cs="Arial" w:eastAsia="Arial" w:hAnsi="Arial"/>
                <w:sz w:val="11"/>
                <w:szCs w:val="11"/>
                <w:color w:val="auto"/>
                <w:w w:val="98"/>
              </w:rPr>
              <w:t>Total wholesale nonaccrual loans to total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gridSpan w:val="2"/>
          </w:tcPr>
          <w:p>
            <w:pPr>
              <w:ind w:left="120"/>
              <w:spacing w:after="0"/>
              <w:rPr>
                <w:sz w:val="20"/>
                <w:szCs w:val="20"/>
                <w:color w:val="auto"/>
              </w:rPr>
            </w:pPr>
            <w:r>
              <w:rPr>
                <w:rFonts w:ascii="Arial" w:cs="Arial" w:eastAsia="Arial" w:hAnsi="Arial"/>
                <w:sz w:val="11"/>
                <w:szCs w:val="11"/>
                <w:color w:val="auto"/>
              </w:rPr>
              <w:t>wholesale loans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0.37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0.37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0.40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0.45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0.41</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2598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60" w:hanging="152"/>
        <w:spacing w:after="0"/>
        <w:tabs>
          <w:tab w:leader="none" w:pos="1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At December 31, 2022, September 30, 2022, June 30, 2022, March 31, 2022 and December 31, 2021, nonperforming assets excluded: (1) mortgage loans 90 or more days past due and insured by U.S. government agencies of</w:t>
      </w:r>
    </w:p>
    <w:p>
      <w:pPr>
        <w:spacing w:after="0" w:line="5" w:lineRule="exact"/>
        <w:rPr>
          <w:rFonts w:ascii="Arial" w:cs="Arial" w:eastAsia="Arial" w:hAnsi="Arial"/>
          <w:sz w:val="11"/>
          <w:szCs w:val="11"/>
          <w:color w:val="auto"/>
        </w:rPr>
      </w:pPr>
    </w:p>
    <w:p>
      <w:pPr>
        <w:jc w:val="both"/>
        <w:ind w:left="180" w:right="40"/>
        <w:spacing w:after="0" w:line="245" w:lineRule="auto"/>
        <w:rPr>
          <w:rFonts w:ascii="Arial" w:cs="Arial" w:eastAsia="Arial" w:hAnsi="Arial"/>
          <w:sz w:val="11"/>
          <w:szCs w:val="11"/>
          <w:color w:val="auto"/>
        </w:rPr>
      </w:pPr>
      <w:r>
        <w:rPr>
          <w:rFonts w:ascii="Arial" w:cs="Arial" w:eastAsia="Arial" w:hAnsi="Arial"/>
          <w:sz w:val="11"/>
          <w:szCs w:val="11"/>
          <w:color w:val="auto"/>
        </w:rPr>
        <w:t>$302 million, $362 million, $453 million, $598 million and $623 million, respectively; and (2) real estate owned (“REO”) insured by U.S. government agencies of $10 million, $9 million, $8 million, $6 million and $5 million, respectively. These amounts have been excluded based upon the government guarantee. In addition, the Firm’s policy is generally to exempt credit card loans from being placed on nonaccrual status as permitted by regulatory guidance. Refer to Note 12 of the Firm’s 2022 Form 10-K for additional information on the Firm’s credit card nonaccrual and charge-off policies.</w:t>
      </w:r>
    </w:p>
    <w:p>
      <w:pPr>
        <w:ind w:left="180" w:right="100" w:hanging="172"/>
        <w:spacing w:after="0" w:line="246" w:lineRule="auto"/>
        <w:tabs>
          <w:tab w:leader="none" w:pos="177" w:val="left"/>
        </w:tabs>
        <w:numPr>
          <w:ilvl w:val="0"/>
          <w:numId w:val="33"/>
        </w:numPr>
        <w:rPr>
          <w:rFonts w:ascii="Arial" w:cs="Arial" w:eastAsia="Arial" w:hAnsi="Arial"/>
          <w:sz w:val="11"/>
          <w:szCs w:val="11"/>
          <w:color w:val="auto"/>
        </w:rPr>
      </w:pPr>
      <w:r>
        <w:rPr>
          <w:rFonts w:ascii="Arial" w:cs="Arial" w:eastAsia="Arial" w:hAnsi="Arial"/>
          <w:sz w:val="11"/>
          <w:szCs w:val="11"/>
          <w:color w:val="auto"/>
        </w:rPr>
        <w:t>At December 31, 2022, September 30, 2022, June 30, 2022, March 31, 2022 and December 31, 2021, nonperforming assets excluded PPP loans 90 or more days past due and insured by the SBA of $119 million, $85 million, $119 million, $236 million and $633 million respectively. These amounts have been excluded based upon the SBA guarantee.</w:t>
      </w:r>
    </w:p>
    <w:p>
      <w:pPr>
        <w:ind w:left="160" w:hanging="152"/>
        <w:spacing w:after="0"/>
        <w:tabs>
          <w:tab w:leader="none" w:pos="1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Generally excludes loans that were under payment deferral or other assistance, including amendments or waivers of financial covenants, in response to the COVID-19 pandemic.</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Represents commitments that are risk rated as nonaccrual.</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27</w:t>
      </w:r>
    </w:p>
    <w:p>
      <w:pPr>
        <w:sectPr>
          <w:pgSz w:w="11900" w:h="16838" w:orient="portrait"/>
          <w:cols w:equalWidth="0" w:num="1">
            <w:col w:w="11240"/>
          </w:cols>
          <w:pgMar w:left="320" w:top="612" w:right="339" w:bottom="1440" w:gutter="0" w:footer="0" w:header="0"/>
        </w:sectPr>
      </w:pPr>
    </w:p>
    <w:bookmarkStart w:id="39" w:name="page40"/>
    <w:bookmarkEnd w:id="39"/>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-2540</wp:posOffset>
            </wp:positionV>
            <wp:extent cx="237426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CREDIT-RELATED INFORMATION,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CONTINUED</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5"/>
          </w:tcPr>
          <w:p>
            <w:pPr>
              <w:ind w:left="400"/>
              <w:spacing w:after="0"/>
              <w:rPr>
                <w:sz w:val="20"/>
                <w:szCs w:val="20"/>
                <w:color w:val="auto"/>
              </w:rPr>
            </w:pPr>
            <w:r>
              <w:rPr>
                <w:rFonts w:ascii="Arial" w:cs="Arial" w:eastAsia="Arial" w:hAnsi="Arial"/>
                <w:sz w:val="11"/>
                <w:szCs w:val="11"/>
                <w:b w:val="1"/>
                <w:bCs w:val="1"/>
                <w:color w:val="auto"/>
              </w:rPr>
              <w:t>QUARTERLY TRENDS</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FULL YEAR</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Borders>
              <w:bottom w:val="single" w:sz="8" w:color="auto"/>
            </w:tcBorders>
            <w:gridSpan w:val="3"/>
          </w:tcPr>
          <w:p>
            <w:pPr>
              <w:jc w:val="right"/>
              <w:ind w:right="206"/>
              <w:spacing w:after="0"/>
              <w:rPr>
                <w:sz w:val="20"/>
                <w:szCs w:val="20"/>
                <w:color w:val="auto"/>
              </w:rPr>
            </w:pPr>
            <w:r>
              <w:rPr>
                <w:rFonts w:ascii="Arial" w:cs="Arial" w:eastAsia="Arial" w:hAnsi="Arial"/>
                <w:sz w:val="11"/>
                <w:szCs w:val="11"/>
                <w:b w:val="1"/>
                <w:bCs w:val="1"/>
                <w:color w:val="auto"/>
              </w:rPr>
              <w:t>4Q22 Change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2022 Change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4Q22</w:t>
            </w:r>
          </w:p>
        </w:tc>
        <w:tc>
          <w:tcPr>
            <w:tcW w:w="100" w:type="dxa"/>
            <w:vAlign w:val="bottom"/>
          </w:tcPr>
          <w:p>
            <w:pPr>
              <w:spacing w:after="0"/>
              <w:rPr>
                <w:sz w:val="13"/>
                <w:szCs w:val="13"/>
                <w:color w:val="auto"/>
              </w:rPr>
            </w:pPr>
          </w:p>
        </w:tc>
        <w:tc>
          <w:tcPr>
            <w:tcW w:w="84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3Q22</w:t>
            </w:r>
          </w:p>
        </w:tc>
        <w:tc>
          <w:tcPr>
            <w:tcW w:w="80" w:type="dxa"/>
            <w:vAlign w:val="bottom"/>
          </w:tcPr>
          <w:p>
            <w:pPr>
              <w:spacing w:after="0"/>
              <w:rPr>
                <w:sz w:val="13"/>
                <w:szCs w:val="13"/>
                <w:color w:val="auto"/>
              </w:rPr>
            </w:pPr>
          </w:p>
        </w:tc>
        <w:tc>
          <w:tcPr>
            <w:tcW w:w="840" w:type="dxa"/>
            <w:vAlign w:val="bottom"/>
            <w:gridSpan w:val="2"/>
          </w:tcPr>
          <w:p>
            <w:pPr>
              <w:ind w:left="160"/>
              <w:spacing w:after="0"/>
              <w:rPr>
                <w:sz w:val="20"/>
                <w:szCs w:val="20"/>
                <w:color w:val="auto"/>
              </w:rPr>
            </w:pPr>
            <w:r>
              <w:rPr>
                <w:rFonts w:ascii="Arial" w:cs="Arial" w:eastAsia="Arial" w:hAnsi="Arial"/>
                <w:sz w:val="11"/>
                <w:szCs w:val="11"/>
                <w:b w:val="1"/>
                <w:bCs w:val="1"/>
                <w:color w:val="auto"/>
              </w:rPr>
              <w:t>2Q22</w:t>
            </w:r>
          </w:p>
        </w:tc>
        <w:tc>
          <w:tcPr>
            <w:tcW w:w="100" w:type="dxa"/>
            <w:vAlign w:val="bottom"/>
          </w:tcPr>
          <w:p>
            <w:pPr>
              <w:spacing w:after="0"/>
              <w:rPr>
                <w:sz w:val="13"/>
                <w:szCs w:val="13"/>
                <w:color w:val="auto"/>
              </w:rPr>
            </w:pPr>
          </w:p>
        </w:tc>
        <w:tc>
          <w:tcPr>
            <w:tcW w:w="840" w:type="dxa"/>
            <w:vAlign w:val="bottom"/>
            <w:gridSpan w:val="2"/>
          </w:tcPr>
          <w:p>
            <w:pPr>
              <w:ind w:left="140"/>
              <w:spacing w:after="0"/>
              <w:rPr>
                <w:sz w:val="20"/>
                <w:szCs w:val="20"/>
                <w:color w:val="auto"/>
              </w:rPr>
            </w:pPr>
            <w:r>
              <w:rPr>
                <w:rFonts w:ascii="Arial" w:cs="Arial" w:eastAsia="Arial" w:hAnsi="Arial"/>
                <w:sz w:val="11"/>
                <w:szCs w:val="11"/>
                <w:b w:val="1"/>
                <w:bCs w:val="1"/>
                <w:color w:val="auto"/>
              </w:rPr>
              <w:t>1Q22</w:t>
            </w:r>
          </w:p>
        </w:tc>
        <w:tc>
          <w:tcPr>
            <w:tcW w:w="120" w:type="dxa"/>
            <w:vAlign w:val="bottom"/>
          </w:tcPr>
          <w:p>
            <w:pPr>
              <w:spacing w:after="0"/>
              <w:rPr>
                <w:sz w:val="13"/>
                <w:szCs w:val="13"/>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4Q21</w:t>
            </w:r>
          </w:p>
        </w:tc>
        <w:tc>
          <w:tcPr>
            <w:tcW w:w="200" w:type="dxa"/>
            <w:vAlign w:val="bottom"/>
          </w:tcPr>
          <w:p>
            <w:pPr>
              <w:spacing w:after="0"/>
              <w:rPr>
                <w:sz w:val="13"/>
                <w:szCs w:val="13"/>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3Q22</w:t>
            </w:r>
          </w:p>
        </w:tc>
        <w:tc>
          <w:tcPr>
            <w:tcW w:w="900" w:type="dxa"/>
            <w:vAlign w:val="bottom"/>
            <w:gridSpan w:val="2"/>
          </w:tcPr>
          <w:p>
            <w:pPr>
              <w:ind w:left="120"/>
              <w:spacing w:after="0"/>
              <w:rPr>
                <w:sz w:val="20"/>
                <w:szCs w:val="20"/>
                <w:color w:val="auto"/>
              </w:rPr>
            </w:pPr>
            <w:r>
              <w:rPr>
                <w:rFonts w:ascii="Arial" w:cs="Arial" w:eastAsia="Arial" w:hAnsi="Arial"/>
                <w:sz w:val="11"/>
                <w:szCs w:val="11"/>
                <w:b w:val="1"/>
                <w:bCs w:val="1"/>
                <w:color w:val="auto"/>
              </w:rPr>
              <w:t>4Q21</w:t>
            </w:r>
          </w:p>
        </w:tc>
        <w:tc>
          <w:tcPr>
            <w:tcW w:w="10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2022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66"/>
              <w:spacing w:after="0"/>
              <w:rPr>
                <w:sz w:val="20"/>
                <w:szCs w:val="20"/>
                <w:color w:val="auto"/>
              </w:rPr>
            </w:pPr>
            <w:r>
              <w:rPr>
                <w:rFonts w:ascii="Arial" w:cs="Arial" w:eastAsia="Arial" w:hAnsi="Arial"/>
                <w:sz w:val="11"/>
                <w:szCs w:val="11"/>
                <w:b w:val="1"/>
                <w:bCs w:val="1"/>
                <w:color w:val="auto"/>
              </w:rPr>
              <w:t>2021</w:t>
            </w:r>
          </w:p>
        </w:tc>
        <w:tc>
          <w:tcPr>
            <w:tcW w:w="900" w:type="dxa"/>
            <w:vAlign w:val="bottom"/>
            <w:gridSpan w:val="2"/>
          </w:tcPr>
          <w:p>
            <w:pPr>
              <w:jc w:val="right"/>
              <w:ind w:right="186"/>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40" w:type="dxa"/>
            <w:vAlign w:val="bottom"/>
            <w:gridSpan w:val="6"/>
          </w:tcPr>
          <w:p>
            <w:pPr>
              <w:spacing w:after="0" w:line="108" w:lineRule="exact"/>
              <w:rPr>
                <w:sz w:val="20"/>
                <w:szCs w:val="20"/>
                <w:color w:val="auto"/>
              </w:rPr>
            </w:pPr>
            <w:r>
              <w:rPr>
                <w:rFonts w:ascii="Arial" w:cs="Arial" w:eastAsia="Arial" w:hAnsi="Arial"/>
                <w:sz w:val="11"/>
                <w:szCs w:val="11"/>
                <w:b w:val="1"/>
                <w:bCs w:val="1"/>
                <w:color w:val="auto"/>
              </w:rPr>
              <w:t>SUMMARY OF CHANGES IN THE</w:t>
            </w: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Borders>
              <w:top w:val="single" w:sz="8" w:color="auto"/>
              <w:bottom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ALLOWANCES</w:t>
            </w:r>
          </w:p>
        </w:tc>
        <w:tc>
          <w:tcPr>
            <w:tcW w:w="920" w:type="dxa"/>
            <w:vAlign w:val="bottom"/>
            <w:tcBorders>
              <w:top w:val="single" w:sz="8" w:color="auto"/>
            </w:tcBorders>
            <w:gridSpan w:val="3"/>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40" w:type="dxa"/>
            <w:vAlign w:val="bottom"/>
            <w:gridSpan w:val="6"/>
          </w:tcPr>
          <w:p>
            <w:pPr>
              <w:spacing w:after="0"/>
              <w:rPr>
                <w:sz w:val="20"/>
                <w:szCs w:val="20"/>
                <w:color w:val="auto"/>
              </w:rPr>
            </w:pPr>
            <w:r>
              <w:rPr>
                <w:rFonts w:ascii="Arial" w:cs="Arial" w:eastAsia="Arial" w:hAnsi="Arial"/>
                <w:sz w:val="11"/>
                <w:szCs w:val="11"/>
                <w:b w:val="1"/>
                <w:bCs w:val="1"/>
                <w:color w:val="auto"/>
              </w:rPr>
              <w:t>ALLOWANCE FOR LOAN LOSSES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gridSpan w:val="6"/>
          </w:tcPr>
          <w:p>
            <w:pPr>
              <w:spacing w:after="0"/>
              <w:rPr>
                <w:sz w:val="20"/>
                <w:szCs w:val="20"/>
                <w:color w:val="auto"/>
              </w:rPr>
            </w:pPr>
            <w:r>
              <w:rPr>
                <w:rFonts w:ascii="Arial" w:cs="Arial" w:eastAsia="Arial" w:hAnsi="Arial"/>
                <w:sz w:val="11"/>
                <w:szCs w:val="11"/>
                <w:color w:val="auto"/>
              </w:rPr>
              <w:t>Beginning balance</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18,185</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17,750</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17,192</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16,386</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18,150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2 %</w:t>
            </w:r>
          </w:p>
        </w:tc>
        <w:tc>
          <w:tcPr>
            <w:tcW w:w="2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1"/>
                <w:szCs w:val="11"/>
                <w:color w:val="auto"/>
              </w:rPr>
              <w:t>— %</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16,386</w:t>
            </w:r>
          </w:p>
        </w:tc>
        <w:tc>
          <w:tcPr>
            <w:tcW w:w="20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28,328</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gridSpan w:val="6"/>
          </w:tcPr>
          <w:p>
            <w:pPr>
              <w:spacing w:after="0"/>
              <w:rPr>
                <w:sz w:val="20"/>
                <w:szCs w:val="20"/>
                <w:color w:val="auto"/>
              </w:rPr>
            </w:pPr>
            <w:r>
              <w:rPr>
                <w:rFonts w:ascii="Arial" w:cs="Arial" w:eastAsia="Arial" w:hAnsi="Arial"/>
                <w:sz w:val="11"/>
                <w:szCs w:val="11"/>
                <w:color w:val="auto"/>
              </w:rPr>
              <w:t>Net charge-offs: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gridSpan w:val="6"/>
          </w:tcPr>
          <w:p>
            <w:pPr>
              <w:ind w:left="120"/>
              <w:spacing w:after="0"/>
              <w:rPr>
                <w:sz w:val="20"/>
                <w:szCs w:val="20"/>
                <w:color w:val="auto"/>
              </w:rPr>
            </w:pPr>
            <w:r>
              <w:rPr>
                <w:rFonts w:ascii="Arial" w:cs="Arial" w:eastAsia="Arial" w:hAnsi="Arial"/>
                <w:sz w:val="11"/>
                <w:szCs w:val="11"/>
                <w:color w:val="auto"/>
              </w:rPr>
              <w:t>Gross charge-offs</w:t>
            </w: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1,210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1,104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1,036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976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968</w:t>
            </w:r>
          </w:p>
        </w:tc>
        <w:tc>
          <w:tcPr>
            <w:tcW w:w="700" w:type="dxa"/>
            <w:vAlign w:val="bottom"/>
            <w:gridSpan w:val="2"/>
          </w:tcPr>
          <w:p>
            <w:pPr>
              <w:jc w:val="right"/>
              <w:ind w:right="86"/>
              <w:spacing w:after="0"/>
              <w:rPr>
                <w:sz w:val="20"/>
                <w:szCs w:val="20"/>
                <w:color w:val="auto"/>
              </w:rPr>
            </w:pPr>
            <w:r>
              <w:rPr>
                <w:rFonts w:ascii="Arial" w:cs="Arial" w:eastAsia="Arial" w:hAnsi="Arial"/>
                <w:sz w:val="11"/>
                <w:szCs w:val="11"/>
                <w:color w:val="auto"/>
              </w:rPr>
              <w:t>10</w:t>
            </w:r>
          </w:p>
        </w:tc>
        <w:tc>
          <w:tcPr>
            <w:tcW w:w="20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25</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4,326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4,564</w:t>
            </w:r>
          </w:p>
        </w:tc>
        <w:tc>
          <w:tcPr>
            <w:tcW w:w="900" w:type="dxa"/>
            <w:vAlign w:val="bottom"/>
            <w:gridSpan w:val="2"/>
          </w:tcPr>
          <w:p>
            <w:pPr>
              <w:jc w:val="right"/>
              <w:ind w:right="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40" w:type="dxa"/>
            <w:vAlign w:val="bottom"/>
            <w:gridSpan w:val="6"/>
          </w:tcPr>
          <w:p>
            <w:pPr>
              <w:ind w:left="120"/>
              <w:spacing w:after="0"/>
              <w:rPr>
                <w:sz w:val="20"/>
                <w:szCs w:val="20"/>
                <w:color w:val="auto"/>
              </w:rPr>
            </w:pPr>
            <w:r>
              <w:rPr>
                <w:rFonts w:ascii="Arial" w:cs="Arial" w:eastAsia="Arial" w:hAnsi="Arial"/>
                <w:sz w:val="11"/>
                <w:szCs w:val="11"/>
                <w:color w:val="auto"/>
              </w:rPr>
              <w:t>Gross recoveries collected</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(323)</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(377)</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(379)</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(394)</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(418)</w:t>
            </w:r>
          </w:p>
        </w:tc>
        <w:tc>
          <w:tcPr>
            <w:tcW w:w="700" w:type="dxa"/>
            <w:vAlign w:val="bottom"/>
            <w:gridSpan w:val="2"/>
          </w:tcPr>
          <w:p>
            <w:pPr>
              <w:jc w:val="right"/>
              <w:ind w:right="86"/>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5"/>
                <w:szCs w:val="15"/>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23</w:t>
            </w: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(1,473)</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(1,699)</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gridSpan w:val="6"/>
          </w:tcPr>
          <w:p>
            <w:pPr>
              <w:spacing w:after="0"/>
              <w:rPr>
                <w:sz w:val="20"/>
                <w:szCs w:val="20"/>
                <w:color w:val="auto"/>
              </w:rPr>
            </w:pPr>
            <w:r>
              <w:rPr>
                <w:rFonts w:ascii="Arial" w:cs="Arial" w:eastAsia="Arial" w:hAnsi="Arial"/>
                <w:sz w:val="11"/>
                <w:szCs w:val="11"/>
                <w:color w:val="auto"/>
              </w:rPr>
              <w:t>Net charge-offs</w:t>
            </w: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887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727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657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582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550</w:t>
            </w:r>
          </w:p>
        </w:tc>
        <w:tc>
          <w:tcPr>
            <w:tcW w:w="700" w:type="dxa"/>
            <w:vAlign w:val="bottom"/>
            <w:gridSpan w:val="2"/>
          </w:tcPr>
          <w:p>
            <w:pPr>
              <w:jc w:val="right"/>
              <w:ind w:right="86"/>
              <w:spacing w:after="0"/>
              <w:rPr>
                <w:sz w:val="20"/>
                <w:szCs w:val="20"/>
                <w:color w:val="auto"/>
              </w:rPr>
            </w:pPr>
            <w:r>
              <w:rPr>
                <w:rFonts w:ascii="Arial" w:cs="Arial" w:eastAsia="Arial" w:hAnsi="Arial"/>
                <w:sz w:val="11"/>
                <w:szCs w:val="11"/>
                <w:color w:val="auto"/>
              </w:rPr>
              <w:t>22</w:t>
            </w:r>
          </w:p>
        </w:tc>
        <w:tc>
          <w:tcPr>
            <w:tcW w:w="20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61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2,853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2,865</w:t>
            </w:r>
          </w:p>
        </w:tc>
        <w:tc>
          <w:tcPr>
            <w:tcW w:w="200" w:type="dxa"/>
            <w:vAlign w:val="bottom"/>
          </w:tcPr>
          <w:p>
            <w:pPr>
              <w:spacing w:after="0"/>
              <w:rPr>
                <w:sz w:val="12"/>
                <w:szCs w:val="12"/>
                <w:color w:val="auto"/>
              </w:rPr>
            </w:pPr>
          </w:p>
        </w:tc>
        <w:tc>
          <w:tcPr>
            <w:tcW w:w="7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gridSpan w:val="6"/>
          </w:tcPr>
          <w:p>
            <w:pPr>
              <w:spacing w:after="0"/>
              <w:rPr>
                <w:sz w:val="20"/>
                <w:szCs w:val="20"/>
                <w:color w:val="auto"/>
              </w:rPr>
            </w:pPr>
            <w:r>
              <w:rPr>
                <w:rFonts w:ascii="Arial" w:cs="Arial" w:eastAsia="Arial" w:hAnsi="Arial"/>
                <w:sz w:val="11"/>
                <w:szCs w:val="11"/>
                <w:color w:val="auto"/>
              </w:rPr>
              <w:t>Provision for loan losses</w:t>
            </w: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2,426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1,165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1,230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1,368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(1,214)</w:t>
            </w:r>
          </w:p>
        </w:tc>
        <w:tc>
          <w:tcPr>
            <w:tcW w:w="700" w:type="dxa"/>
            <w:vAlign w:val="bottom"/>
            <w:gridSpan w:val="2"/>
          </w:tcPr>
          <w:p>
            <w:pPr>
              <w:jc w:val="right"/>
              <w:ind w:right="86"/>
              <w:spacing w:after="0"/>
              <w:rPr>
                <w:sz w:val="20"/>
                <w:szCs w:val="20"/>
                <w:color w:val="auto"/>
              </w:rPr>
            </w:pPr>
            <w:r>
              <w:rPr>
                <w:rFonts w:ascii="Arial" w:cs="Arial" w:eastAsia="Arial" w:hAnsi="Arial"/>
                <w:sz w:val="11"/>
                <w:szCs w:val="11"/>
                <w:color w:val="auto"/>
              </w:rPr>
              <w:t>108</w:t>
            </w:r>
          </w:p>
        </w:tc>
        <w:tc>
          <w:tcPr>
            <w:tcW w:w="20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1"/>
                <w:szCs w:val="11"/>
                <w:color w:val="auto"/>
              </w:rPr>
              <w:t>NM</w:t>
            </w: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6,189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(9,071)</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gridSpan w:val="6"/>
          </w:tcPr>
          <w:p>
            <w:pPr>
              <w:spacing w:after="0"/>
              <w:rPr>
                <w:sz w:val="20"/>
                <w:szCs w:val="20"/>
                <w:color w:val="auto"/>
              </w:rPr>
            </w:pPr>
            <w:r>
              <w:rPr>
                <w:rFonts w:ascii="Arial" w:cs="Arial" w:eastAsia="Arial" w:hAnsi="Arial"/>
                <w:sz w:val="11"/>
                <w:szCs w:val="11"/>
                <w:color w:val="auto"/>
              </w:rPr>
              <w:t>Other</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(15)</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20</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5"/>
                <w:szCs w:val="15"/>
                <w:color w:val="auto"/>
              </w:rPr>
            </w:pPr>
          </w:p>
        </w:tc>
        <w:tc>
          <w:tcPr>
            <w:tcW w:w="700" w:type="dxa"/>
            <w:vAlign w:val="bottom"/>
            <w:gridSpan w:val="2"/>
          </w:tcPr>
          <w:p>
            <w:pPr>
              <w:ind w:left="320"/>
              <w:spacing w:after="0"/>
              <w:rPr>
                <w:sz w:val="20"/>
                <w:szCs w:val="20"/>
                <w:color w:val="auto"/>
              </w:rPr>
            </w:pPr>
            <w:r>
              <w:rPr>
                <w:rFonts w:ascii="Arial" w:cs="Arial" w:eastAsia="Arial" w:hAnsi="Arial"/>
                <w:sz w:val="11"/>
                <w:szCs w:val="11"/>
                <w:color w:val="auto"/>
              </w:rPr>
              <w:t>NM</w:t>
            </w:r>
          </w:p>
        </w:tc>
        <w:tc>
          <w:tcPr>
            <w:tcW w:w="900" w:type="dxa"/>
            <w:vAlign w:val="bottom"/>
            <w:gridSpan w:val="2"/>
          </w:tcPr>
          <w:p>
            <w:pPr>
              <w:jc w:val="right"/>
              <w:ind w:right="400"/>
              <w:spacing w:after="0"/>
              <w:rPr>
                <w:sz w:val="20"/>
                <w:szCs w:val="20"/>
                <w:color w:val="auto"/>
              </w:rPr>
            </w:pPr>
            <w:r>
              <w:rPr>
                <w:rFonts w:ascii="Arial" w:cs="Arial" w:eastAsia="Arial" w:hAnsi="Arial"/>
                <w:sz w:val="11"/>
                <w:szCs w:val="11"/>
                <w:color w:val="auto"/>
              </w:rPr>
              <w:t>NM</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940" w:type="dxa"/>
            <w:vAlign w:val="bottom"/>
            <w:gridSpan w:val="6"/>
          </w:tcPr>
          <w:p>
            <w:pPr>
              <w:spacing w:after="0"/>
              <w:rPr>
                <w:sz w:val="20"/>
                <w:szCs w:val="20"/>
                <w:color w:val="auto"/>
              </w:rPr>
            </w:pPr>
            <w:r>
              <w:rPr>
                <w:rFonts w:ascii="Arial" w:cs="Arial" w:eastAsia="Arial" w:hAnsi="Arial"/>
                <w:sz w:val="11"/>
                <w:szCs w:val="11"/>
                <w:b w:val="1"/>
                <w:bCs w:val="1"/>
                <w:color w:val="auto"/>
              </w:rPr>
              <w:t>Ending balance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19,726</w:t>
            </w:r>
          </w:p>
        </w:tc>
        <w:tc>
          <w:tcPr>
            <w:tcW w:w="1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18,185</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17,750</w:t>
            </w:r>
          </w:p>
        </w:tc>
        <w:tc>
          <w:tcPr>
            <w:tcW w:w="1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17,192</w:t>
            </w:r>
          </w:p>
        </w:tc>
        <w:tc>
          <w:tcPr>
            <w:tcW w:w="2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16,386</w:t>
            </w:r>
          </w:p>
        </w:tc>
        <w:tc>
          <w:tcPr>
            <w:tcW w:w="70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200" w:type="dxa"/>
            <w:vAlign w:val="bottom"/>
          </w:tcPr>
          <w:p>
            <w:pPr>
              <w:spacing w:after="0"/>
              <w:rPr>
                <w:sz w:val="13"/>
                <w:szCs w:val="13"/>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20</w:t>
            </w:r>
          </w:p>
        </w:tc>
        <w:tc>
          <w:tcPr>
            <w:tcW w:w="3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19,726</w:t>
            </w:r>
          </w:p>
        </w:tc>
        <w:tc>
          <w:tcPr>
            <w:tcW w:w="200" w:type="dxa"/>
            <w:vAlign w:val="bottom"/>
          </w:tcPr>
          <w:p>
            <w:pPr>
              <w:spacing w:after="0"/>
              <w:rPr>
                <w:sz w:val="13"/>
                <w:szCs w:val="13"/>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16,386</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40" w:type="dxa"/>
            <w:vAlign w:val="bottom"/>
            <w:gridSpan w:val="6"/>
          </w:tcPr>
          <w:p>
            <w:pPr>
              <w:spacing w:after="0"/>
              <w:rPr>
                <w:sz w:val="20"/>
                <w:szCs w:val="20"/>
                <w:color w:val="auto"/>
              </w:rPr>
            </w:pPr>
            <w:r>
              <w:rPr>
                <w:rFonts w:ascii="Arial" w:cs="Arial" w:eastAsia="Arial" w:hAnsi="Arial"/>
                <w:sz w:val="11"/>
                <w:szCs w:val="11"/>
                <w:b w:val="1"/>
                <w:bCs w:val="1"/>
                <w:color w:val="auto"/>
              </w:rPr>
              <w:t>ALLOWANCE FOR LENDING-</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gridSpan w:val="6"/>
          </w:tcPr>
          <w:p>
            <w:pPr>
              <w:spacing w:after="0"/>
              <w:rPr>
                <w:sz w:val="20"/>
                <w:szCs w:val="20"/>
                <w:color w:val="auto"/>
              </w:rPr>
            </w:pPr>
            <w:r>
              <w:rPr>
                <w:rFonts w:ascii="Arial" w:cs="Arial" w:eastAsia="Arial" w:hAnsi="Arial"/>
                <w:sz w:val="11"/>
                <w:szCs w:val="11"/>
                <w:b w:val="1"/>
                <w:bCs w:val="1"/>
                <w:color w:val="auto"/>
              </w:rPr>
              <w:t>RELATED COMMITMENTS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gridSpan w:val="6"/>
          </w:tcPr>
          <w:p>
            <w:pPr>
              <w:spacing w:after="0"/>
              <w:rPr>
                <w:sz w:val="20"/>
                <w:szCs w:val="20"/>
                <w:color w:val="auto"/>
              </w:rPr>
            </w:pPr>
            <w:r>
              <w:rPr>
                <w:rFonts w:ascii="Arial" w:cs="Arial" w:eastAsia="Arial" w:hAnsi="Arial"/>
                <w:sz w:val="11"/>
                <w:szCs w:val="11"/>
                <w:color w:val="auto"/>
              </w:rPr>
              <w:t>Beginning balance</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2,551</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2,222</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2,358</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2,261</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2,305</w:t>
            </w:r>
          </w:p>
        </w:tc>
        <w:tc>
          <w:tcPr>
            <w:tcW w:w="700" w:type="dxa"/>
            <w:vAlign w:val="bottom"/>
            <w:gridSpan w:val="2"/>
          </w:tcPr>
          <w:p>
            <w:pPr>
              <w:jc w:val="right"/>
              <w:ind w:right="86"/>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13"/>
                <w:szCs w:val="13"/>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11</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2,261</w:t>
            </w:r>
          </w:p>
        </w:tc>
        <w:tc>
          <w:tcPr>
            <w:tcW w:w="20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2,409</w:t>
            </w:r>
          </w:p>
        </w:tc>
        <w:tc>
          <w:tcPr>
            <w:tcW w:w="900" w:type="dxa"/>
            <w:vAlign w:val="bottom"/>
            <w:gridSpan w:val="2"/>
          </w:tcPr>
          <w:p>
            <w:pPr>
              <w:jc w:val="right"/>
              <w:ind w:right="6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40" w:type="dxa"/>
            <w:vAlign w:val="bottom"/>
            <w:gridSpan w:val="6"/>
          </w:tcPr>
          <w:p>
            <w:pPr>
              <w:spacing w:after="0"/>
              <w:rPr>
                <w:sz w:val="20"/>
                <w:szCs w:val="20"/>
                <w:color w:val="auto"/>
              </w:rPr>
            </w:pPr>
            <w:r>
              <w:rPr>
                <w:rFonts w:ascii="Arial" w:cs="Arial" w:eastAsia="Arial" w:hAnsi="Arial"/>
                <w:sz w:val="11"/>
                <w:szCs w:val="11"/>
                <w:color w:val="auto"/>
              </w:rPr>
              <w:t>Provision for lending-related</w:t>
            </w:r>
          </w:p>
        </w:tc>
        <w:tc>
          <w:tcPr>
            <w:tcW w:w="10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(169)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328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66"/>
              <w:spacing w:after="0"/>
              <w:rPr>
                <w:sz w:val="20"/>
                <w:szCs w:val="20"/>
                <w:color w:val="auto"/>
              </w:rPr>
            </w:pPr>
            <w:r>
              <w:rPr>
                <w:rFonts w:ascii="Arial" w:cs="Arial" w:eastAsia="Arial" w:hAnsi="Arial"/>
                <w:sz w:val="11"/>
                <w:szCs w:val="11"/>
                <w:color w:val="auto"/>
              </w:rPr>
              <w:t>(135)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96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66"/>
              <w:spacing w:after="0"/>
              <w:rPr>
                <w:sz w:val="20"/>
                <w:szCs w:val="20"/>
                <w:color w:val="auto"/>
              </w:rPr>
            </w:pPr>
            <w:r>
              <w:rPr>
                <w:rFonts w:ascii="Arial" w:cs="Arial" w:eastAsia="Arial" w:hAnsi="Arial"/>
                <w:sz w:val="11"/>
                <w:szCs w:val="11"/>
                <w:color w:val="auto"/>
              </w:rPr>
              <w:t>(43)</w:t>
            </w:r>
          </w:p>
        </w:tc>
        <w:tc>
          <w:tcPr>
            <w:tcW w:w="200" w:type="dxa"/>
            <w:vAlign w:val="bottom"/>
          </w:tcPr>
          <w:p>
            <w:pPr>
              <w:spacing w:after="0"/>
              <w:rPr>
                <w:sz w:val="11"/>
                <w:szCs w:val="11"/>
                <w:color w:val="auto"/>
              </w:rPr>
            </w:pPr>
          </w:p>
        </w:tc>
        <w:tc>
          <w:tcPr>
            <w:tcW w:w="700" w:type="dxa"/>
            <w:vAlign w:val="bottom"/>
            <w:gridSpan w:val="2"/>
            <w:vMerge w:val="restart"/>
          </w:tcPr>
          <w:p>
            <w:pPr>
              <w:ind w:left="320"/>
              <w:spacing w:after="0"/>
              <w:rPr>
                <w:sz w:val="20"/>
                <w:szCs w:val="20"/>
                <w:color w:val="auto"/>
              </w:rPr>
            </w:pPr>
            <w:r>
              <w:rPr>
                <w:rFonts w:ascii="Arial" w:cs="Arial" w:eastAsia="Arial" w:hAnsi="Arial"/>
                <w:sz w:val="11"/>
                <w:szCs w:val="11"/>
                <w:color w:val="auto"/>
              </w:rPr>
              <w:t>NM</w:t>
            </w:r>
          </w:p>
        </w:tc>
        <w:tc>
          <w:tcPr>
            <w:tcW w:w="520" w:type="dxa"/>
            <w:vAlign w:val="bottom"/>
            <w:vMerge w:val="restart"/>
          </w:tcPr>
          <w:p>
            <w:pPr>
              <w:jc w:val="right"/>
              <w:ind w:right="66"/>
              <w:spacing w:after="0"/>
              <w:rPr>
                <w:sz w:val="20"/>
                <w:szCs w:val="20"/>
                <w:color w:val="auto"/>
              </w:rPr>
            </w:pPr>
            <w:r>
              <w:rPr>
                <w:rFonts w:ascii="Arial" w:cs="Arial" w:eastAsia="Arial" w:hAnsi="Arial"/>
                <w:sz w:val="11"/>
                <w:szCs w:val="11"/>
                <w:color w:val="auto"/>
              </w:rPr>
              <w:t>(293)</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120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ind w:right="66"/>
              <w:spacing w:after="0"/>
              <w:rPr>
                <w:sz w:val="20"/>
                <w:szCs w:val="20"/>
                <w:color w:val="auto"/>
              </w:rPr>
            </w:pPr>
            <w:r>
              <w:rPr>
                <w:rFonts w:ascii="Arial" w:cs="Arial" w:eastAsia="Arial" w:hAnsi="Arial"/>
                <w:sz w:val="11"/>
                <w:szCs w:val="11"/>
                <w:color w:val="auto"/>
              </w:rPr>
              <w:t>(149)</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gridSpan w:val="6"/>
          </w:tcPr>
          <w:p>
            <w:pPr>
              <w:spacing w:after="0"/>
              <w:rPr>
                <w:sz w:val="20"/>
                <w:szCs w:val="20"/>
                <w:color w:val="auto"/>
              </w:rPr>
            </w:pPr>
            <w:r>
              <w:rPr>
                <w:rFonts w:ascii="Arial" w:cs="Arial" w:eastAsia="Arial" w:hAnsi="Arial"/>
                <w:sz w:val="11"/>
                <w:szCs w:val="11"/>
                <w:color w:val="auto"/>
              </w:rPr>
              <w:t>commitments</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40" w:type="dxa"/>
            <w:vAlign w:val="bottom"/>
            <w:gridSpan w:val="6"/>
          </w:tcPr>
          <w:p>
            <w:pPr>
              <w:spacing w:after="0"/>
              <w:rPr>
                <w:sz w:val="20"/>
                <w:szCs w:val="20"/>
                <w:color w:val="auto"/>
              </w:rPr>
            </w:pPr>
            <w:r>
              <w:rPr>
                <w:rFonts w:ascii="Arial" w:cs="Arial" w:eastAsia="Arial" w:hAnsi="Arial"/>
                <w:sz w:val="11"/>
                <w:szCs w:val="11"/>
                <w:color w:val="auto"/>
              </w:rPr>
              <w:t>Other</w:t>
            </w:r>
          </w:p>
        </w:tc>
        <w:tc>
          <w:tcPr>
            <w:tcW w:w="10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5"/>
                <w:szCs w:val="15"/>
                <w:color w:val="auto"/>
              </w:rPr>
            </w:pPr>
          </w:p>
        </w:tc>
        <w:tc>
          <w:tcPr>
            <w:tcW w:w="700" w:type="dxa"/>
            <w:vAlign w:val="bottom"/>
            <w:gridSpan w:val="2"/>
          </w:tcPr>
          <w:p>
            <w:pPr>
              <w:ind w:left="320"/>
              <w:spacing w:after="0"/>
              <w:rPr>
                <w:sz w:val="20"/>
                <w:szCs w:val="20"/>
                <w:color w:val="auto"/>
              </w:rPr>
            </w:pPr>
            <w:r>
              <w:rPr>
                <w:rFonts w:ascii="Arial" w:cs="Arial" w:eastAsia="Arial" w:hAnsi="Arial"/>
                <w:sz w:val="11"/>
                <w:szCs w:val="11"/>
                <w:color w:val="auto"/>
              </w:rPr>
              <w:t>NM</w:t>
            </w:r>
          </w:p>
        </w:tc>
        <w:tc>
          <w:tcPr>
            <w:tcW w:w="900" w:type="dxa"/>
            <w:vAlign w:val="bottom"/>
            <w:gridSpan w:val="2"/>
          </w:tcPr>
          <w:p>
            <w:pPr>
              <w:jc w:val="right"/>
              <w:ind w:right="400"/>
              <w:spacing w:after="0"/>
              <w:rPr>
                <w:sz w:val="20"/>
                <w:szCs w:val="20"/>
                <w:color w:val="auto"/>
              </w:rPr>
            </w:pPr>
            <w:r>
              <w:rPr>
                <w:rFonts w:ascii="Arial" w:cs="Arial" w:eastAsia="Arial" w:hAnsi="Arial"/>
                <w:sz w:val="11"/>
                <w:szCs w:val="11"/>
                <w:color w:val="auto"/>
              </w:rPr>
              <w:t>NM</w:t>
            </w:r>
          </w:p>
        </w:tc>
        <w:tc>
          <w:tcPr>
            <w:tcW w:w="10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5"/>
                <w:szCs w:val="15"/>
                <w:color w:val="auto"/>
              </w:rPr>
            </w:pPr>
          </w:p>
        </w:tc>
        <w:tc>
          <w:tcPr>
            <w:tcW w:w="7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gridSpan w:val="6"/>
          </w:tcPr>
          <w:p>
            <w:pPr>
              <w:spacing w:after="0"/>
              <w:rPr>
                <w:sz w:val="20"/>
                <w:szCs w:val="20"/>
                <w:color w:val="auto"/>
              </w:rPr>
            </w:pPr>
            <w:r>
              <w:rPr>
                <w:rFonts w:ascii="Arial" w:cs="Arial" w:eastAsia="Arial" w:hAnsi="Arial"/>
                <w:sz w:val="11"/>
                <w:szCs w:val="11"/>
                <w:b w:val="1"/>
                <w:bCs w:val="1"/>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2,382</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2,551</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2,222</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2,358</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2,261</w:t>
            </w:r>
          </w:p>
        </w:tc>
        <w:tc>
          <w:tcPr>
            <w:tcW w:w="700" w:type="dxa"/>
            <w:vAlign w:val="bottom"/>
            <w:gridSpan w:val="2"/>
          </w:tcPr>
          <w:p>
            <w:pPr>
              <w:jc w:val="right"/>
              <w:ind w:right="66"/>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3"/>
                <w:szCs w:val="13"/>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3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2,382</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2,261</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gridSpan w:val="6"/>
            <w:vMerge w:val="restart"/>
          </w:tcPr>
          <w:p>
            <w:pPr>
              <w:spacing w:after="0"/>
              <w:rPr>
                <w:sz w:val="20"/>
                <w:szCs w:val="20"/>
                <w:color w:val="auto"/>
              </w:rPr>
            </w:pPr>
            <w:r>
              <w:rPr>
                <w:rFonts w:ascii="Arial" w:cs="Arial" w:eastAsia="Arial" w:hAnsi="Arial"/>
                <w:sz w:val="11"/>
                <w:szCs w:val="11"/>
                <w:b w:val="1"/>
                <w:bCs w:val="1"/>
                <w:color w:val="auto"/>
              </w:rPr>
              <w:t>ALLOWANCE FOR INVESTMENT</w:t>
            </w: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940" w:type="dxa"/>
            <w:vAlign w:val="bottom"/>
            <w:gridSpan w:val="6"/>
            <w:vMerge w:val="continue"/>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96</w:t>
            </w:r>
          </w:p>
        </w:tc>
        <w:tc>
          <w:tcPr>
            <w:tcW w:w="18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61</w:t>
            </w:r>
          </w:p>
        </w:tc>
        <w:tc>
          <w:tcPr>
            <w:tcW w:w="20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47</w:t>
            </w:r>
          </w:p>
        </w:tc>
        <w:tc>
          <w:tcPr>
            <w:tcW w:w="18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41</w:t>
            </w:r>
          </w:p>
        </w:tc>
        <w:tc>
          <w:tcPr>
            <w:tcW w:w="200" w:type="dxa"/>
            <w:vAlign w:val="bottom"/>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42</w:t>
            </w:r>
          </w:p>
        </w:tc>
        <w:tc>
          <w:tcPr>
            <w:tcW w:w="70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57</w:t>
            </w:r>
          </w:p>
        </w:tc>
        <w:tc>
          <w:tcPr>
            <w:tcW w:w="200" w:type="dxa"/>
            <w:vAlign w:val="bottom"/>
          </w:tcPr>
          <w:p>
            <w:pPr>
              <w:spacing w:after="0"/>
              <w:rPr>
                <w:sz w:val="7"/>
                <w:szCs w:val="7"/>
                <w:color w:val="auto"/>
              </w:rPr>
            </w:pPr>
          </w:p>
        </w:tc>
        <w:tc>
          <w:tcPr>
            <w:tcW w:w="520" w:type="dxa"/>
            <w:vAlign w:val="bottom"/>
            <w:vMerge w:val="restart"/>
          </w:tcPr>
          <w:p>
            <w:pPr>
              <w:jc w:val="right"/>
              <w:ind w:right="86"/>
              <w:spacing w:after="0"/>
              <w:rPr>
                <w:sz w:val="20"/>
                <w:szCs w:val="20"/>
                <w:color w:val="auto"/>
              </w:rPr>
            </w:pPr>
            <w:r>
              <w:rPr>
                <w:rFonts w:ascii="Arial" w:cs="Arial" w:eastAsia="Arial" w:hAnsi="Arial"/>
                <w:sz w:val="11"/>
                <w:szCs w:val="11"/>
                <w:color w:val="auto"/>
              </w:rPr>
              <w:t>129</w:t>
            </w:r>
          </w:p>
        </w:tc>
        <w:tc>
          <w:tcPr>
            <w:tcW w:w="38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96</w:t>
            </w:r>
          </w:p>
        </w:tc>
        <w:tc>
          <w:tcPr>
            <w:tcW w:w="200" w:type="dxa"/>
            <w:vAlign w:val="bottom"/>
          </w:tcPr>
          <w:p>
            <w:pPr>
              <w:spacing w:after="0"/>
              <w:rPr>
                <w:sz w:val="7"/>
                <w:szCs w:val="7"/>
                <w:color w:val="auto"/>
              </w:rPr>
            </w:pPr>
          </w:p>
        </w:tc>
        <w:tc>
          <w:tcPr>
            <w:tcW w:w="1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7"/>
              </w:rPr>
              <w:t>$</w:t>
            </w: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42</w:t>
            </w:r>
          </w:p>
        </w:tc>
        <w:tc>
          <w:tcPr>
            <w:tcW w:w="90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129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40" w:type="dxa"/>
            <w:vAlign w:val="bottom"/>
            <w:gridSpan w:val="6"/>
          </w:tcPr>
          <w:p>
            <w:pPr>
              <w:spacing w:after="0"/>
              <w:rPr>
                <w:sz w:val="20"/>
                <w:szCs w:val="20"/>
                <w:color w:val="auto"/>
              </w:rPr>
            </w:pPr>
            <w:r>
              <w:rPr>
                <w:rFonts w:ascii="Arial" w:cs="Arial" w:eastAsia="Arial" w:hAnsi="Arial"/>
                <w:sz w:val="11"/>
                <w:szCs w:val="11"/>
                <w:b w:val="1"/>
                <w:bCs w:val="1"/>
                <w:color w:val="auto"/>
              </w:rPr>
              <w:t>SECURITIES</w:t>
            </w: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940" w:type="dxa"/>
            <w:vAlign w:val="bottom"/>
            <w:gridSpan w:val="6"/>
          </w:tcPr>
          <w:p>
            <w:pPr>
              <w:spacing w:after="0"/>
              <w:rPr>
                <w:sz w:val="20"/>
                <w:szCs w:val="20"/>
                <w:color w:val="auto"/>
              </w:rPr>
            </w:pPr>
            <w:r>
              <w:rPr>
                <w:rFonts w:ascii="Arial" w:cs="Arial" w:eastAsia="Arial" w:hAnsi="Arial"/>
                <w:sz w:val="11"/>
                <w:szCs w:val="11"/>
                <w:b w:val="1"/>
                <w:bCs w:val="1"/>
                <w:color w:val="auto"/>
              </w:rPr>
              <w:t>Total allowance for credit losses (a)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22,204</w:t>
            </w:r>
          </w:p>
        </w:tc>
        <w:tc>
          <w:tcPr>
            <w:tcW w:w="1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20,797</w:t>
            </w:r>
          </w:p>
        </w:tc>
        <w:tc>
          <w:tcPr>
            <w:tcW w:w="20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20,019</w:t>
            </w:r>
          </w:p>
        </w:tc>
        <w:tc>
          <w:tcPr>
            <w:tcW w:w="1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19,591</w:t>
            </w:r>
          </w:p>
        </w:tc>
        <w:tc>
          <w:tcPr>
            <w:tcW w:w="2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18,689</w:t>
            </w:r>
          </w:p>
        </w:tc>
        <w:tc>
          <w:tcPr>
            <w:tcW w:w="700" w:type="dxa"/>
            <w:vAlign w:val="bottom"/>
            <w:gridSpan w:val="2"/>
          </w:tcPr>
          <w:p>
            <w:pPr>
              <w:jc w:val="right"/>
              <w:ind w:right="86"/>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24"/>
                <w:szCs w:val="2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19</w:t>
            </w:r>
          </w:p>
        </w:tc>
        <w:tc>
          <w:tcPr>
            <w:tcW w:w="3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22,204</w:t>
            </w:r>
          </w:p>
        </w:tc>
        <w:tc>
          <w:tcPr>
            <w:tcW w:w="200" w:type="dxa"/>
            <w:vAlign w:val="bottom"/>
          </w:tcPr>
          <w:p>
            <w:pPr>
              <w:spacing w:after="0"/>
              <w:rPr>
                <w:sz w:val="24"/>
                <w:szCs w:val="24"/>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18,689</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40" w:type="dxa"/>
            <w:vAlign w:val="bottom"/>
            <w:gridSpan w:val="6"/>
          </w:tcPr>
          <w:p>
            <w:pPr>
              <w:spacing w:after="0"/>
              <w:rPr>
                <w:sz w:val="20"/>
                <w:szCs w:val="20"/>
                <w:color w:val="auto"/>
              </w:rPr>
            </w:pPr>
            <w:r>
              <w:rPr>
                <w:rFonts w:ascii="Arial" w:cs="Arial" w:eastAsia="Arial" w:hAnsi="Arial"/>
                <w:sz w:val="11"/>
                <w:szCs w:val="11"/>
                <w:b w:val="1"/>
                <w:bCs w:val="1"/>
                <w:color w:val="auto"/>
              </w:rPr>
              <w:t>NET CHARGE-OFF/(RECOVERY)</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680" w:type="dxa"/>
            <w:vAlign w:val="bottom"/>
            <w:tcBorders>
              <w:top w:val="single" w:sz="8" w:color="auto"/>
            </w:tcBorders>
            <w:gridSpan w:val="4"/>
          </w:tcPr>
          <w:p>
            <w:pPr>
              <w:spacing w:after="0" w:line="88" w:lineRule="exact"/>
              <w:rPr>
                <w:sz w:val="20"/>
                <w:szCs w:val="20"/>
                <w:color w:val="auto"/>
              </w:rPr>
            </w:pPr>
            <w:r>
              <w:rPr>
                <w:rFonts w:ascii="Arial" w:cs="Arial" w:eastAsia="Arial" w:hAnsi="Arial"/>
                <w:sz w:val="10"/>
                <w:szCs w:val="10"/>
                <w:b w:val="1"/>
                <w:bCs w:val="1"/>
                <w:color w:val="auto"/>
              </w:rPr>
              <w:t>RATES</w:t>
            </w:r>
          </w:p>
        </w:tc>
        <w:tc>
          <w:tcPr>
            <w:tcW w:w="26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40" w:type="dxa"/>
            <w:vAlign w:val="bottom"/>
            <w:gridSpan w:val="6"/>
          </w:tcPr>
          <w:p>
            <w:pPr>
              <w:spacing w:after="0"/>
              <w:rPr>
                <w:sz w:val="20"/>
                <w:szCs w:val="20"/>
                <w:color w:val="auto"/>
              </w:rPr>
            </w:pPr>
            <w:r>
              <w:rPr>
                <w:rFonts w:ascii="Arial" w:cs="Arial" w:eastAsia="Arial" w:hAnsi="Arial"/>
                <w:sz w:val="11"/>
                <w:szCs w:val="11"/>
                <w:color w:val="auto"/>
              </w:rPr>
              <w:t>Consumer retained, excluding credit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0.16 %</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0.10 %</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0.04 %</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0.06 %</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0.04 %</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0.09 %</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 %</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gridSpan w:val="6"/>
          </w:tcPr>
          <w:p>
            <w:pPr>
              <w:spacing w:after="0"/>
              <w:rPr>
                <w:sz w:val="20"/>
                <w:szCs w:val="20"/>
                <w:color w:val="auto"/>
              </w:rPr>
            </w:pPr>
            <w:r>
              <w:rPr>
                <w:rFonts w:ascii="Arial" w:cs="Arial" w:eastAsia="Arial" w:hAnsi="Arial"/>
                <w:sz w:val="11"/>
                <w:szCs w:val="11"/>
                <w:color w:val="auto"/>
              </w:rPr>
              <w:t>card loans</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gridSpan w:val="6"/>
          </w:tcPr>
          <w:p>
            <w:pPr>
              <w:spacing w:after="0"/>
              <w:rPr>
                <w:sz w:val="20"/>
                <w:szCs w:val="20"/>
                <w:color w:val="auto"/>
              </w:rPr>
            </w:pPr>
            <w:r>
              <w:rPr>
                <w:rFonts w:ascii="Arial" w:cs="Arial" w:eastAsia="Arial" w:hAnsi="Arial"/>
                <w:sz w:val="11"/>
                <w:szCs w:val="11"/>
                <w:color w:val="auto"/>
              </w:rPr>
              <w:t>Credit card retained loans</w:t>
            </w: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1.62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1.40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1.47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1.37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1.28</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1.47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1.94</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gridSpan w:val="6"/>
          </w:tcPr>
          <w:p>
            <w:pPr>
              <w:spacing w:after="0"/>
              <w:rPr>
                <w:sz w:val="20"/>
                <w:szCs w:val="20"/>
                <w:color w:val="auto"/>
              </w:rPr>
            </w:pPr>
            <w:r>
              <w:rPr>
                <w:rFonts w:ascii="Arial" w:cs="Arial" w:eastAsia="Arial" w:hAnsi="Arial"/>
                <w:sz w:val="11"/>
                <w:szCs w:val="11"/>
                <w:color w:val="auto"/>
              </w:rPr>
              <w:t>Total consumer retained loans</w:t>
            </w: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0.70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0.56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0.53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0.50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0.45</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0.58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0.62</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gridSpan w:val="6"/>
          </w:tcPr>
          <w:p>
            <w:pPr>
              <w:spacing w:after="0"/>
              <w:rPr>
                <w:sz w:val="20"/>
                <w:szCs w:val="20"/>
                <w:color w:val="auto"/>
              </w:rPr>
            </w:pPr>
            <w:r>
              <w:rPr>
                <w:rFonts w:ascii="Arial" w:cs="Arial" w:eastAsia="Arial" w:hAnsi="Arial"/>
                <w:sz w:val="11"/>
                <w:szCs w:val="11"/>
                <w:color w:val="auto"/>
              </w:rPr>
              <w:t>Wholesale retained loans</w:t>
            </w: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0.03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0.04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0.03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0.02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0.03</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0.03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0.03</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40" w:type="dxa"/>
            <w:vAlign w:val="bottom"/>
            <w:gridSpan w:val="6"/>
          </w:tcPr>
          <w:p>
            <w:pPr>
              <w:spacing w:after="0"/>
              <w:rPr>
                <w:sz w:val="20"/>
                <w:szCs w:val="20"/>
                <w:color w:val="auto"/>
              </w:rPr>
            </w:pPr>
            <w:r>
              <w:rPr>
                <w:rFonts w:ascii="Arial" w:cs="Arial" w:eastAsia="Arial" w:hAnsi="Arial"/>
                <w:sz w:val="11"/>
                <w:szCs w:val="11"/>
                <w:b w:val="1"/>
                <w:bCs w:val="1"/>
                <w:color w:val="auto"/>
              </w:rPr>
              <w:t>Total retained loans</w:t>
            </w: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0.33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0.27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0.25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0.24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0.22</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0.27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0.30</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gridSpan w:val="6"/>
          </w:tcPr>
          <w:p>
            <w:pPr>
              <w:spacing w:after="0"/>
              <w:rPr>
                <w:sz w:val="20"/>
                <w:szCs w:val="20"/>
                <w:color w:val="auto"/>
              </w:rPr>
            </w:pPr>
            <w:r>
              <w:rPr>
                <w:rFonts w:ascii="Arial" w:cs="Arial" w:eastAsia="Arial" w:hAnsi="Arial"/>
                <w:sz w:val="11"/>
                <w:szCs w:val="11"/>
                <w:b w:val="1"/>
                <w:bCs w:val="1"/>
                <w:color w:val="auto"/>
              </w:rPr>
              <w:t>Memo: Average retained loans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40" w:type="dxa"/>
            <w:vAlign w:val="bottom"/>
            <w:gridSpan w:val="6"/>
          </w:tcPr>
          <w:p>
            <w:pPr>
              <w:spacing w:after="0"/>
              <w:rPr>
                <w:sz w:val="20"/>
                <w:szCs w:val="20"/>
                <w:color w:val="auto"/>
              </w:rPr>
            </w:pPr>
            <w:r>
              <w:rPr>
                <w:rFonts w:ascii="Arial" w:cs="Arial" w:eastAsia="Arial" w:hAnsi="Arial"/>
                <w:sz w:val="11"/>
                <w:szCs w:val="11"/>
                <w:color w:val="auto"/>
              </w:rPr>
              <w:t>Consumer retained, excluding credit</w:t>
            </w: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301,093</w:t>
            </w:r>
          </w:p>
        </w:tc>
        <w:tc>
          <w:tcPr>
            <w:tcW w:w="1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301,347</w:t>
            </w:r>
          </w:p>
        </w:tc>
        <w:tc>
          <w:tcPr>
            <w:tcW w:w="20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299,649</w:t>
            </w:r>
          </w:p>
        </w:tc>
        <w:tc>
          <w:tcPr>
            <w:tcW w:w="1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295,460</w:t>
            </w:r>
          </w:p>
        </w:tc>
        <w:tc>
          <w:tcPr>
            <w:tcW w:w="2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296,423</w:t>
            </w:r>
          </w:p>
        </w:tc>
        <w:tc>
          <w:tcPr>
            <w:tcW w:w="200" w:type="dxa"/>
            <w:vAlign w:val="bottom"/>
          </w:tcPr>
          <w:p>
            <w:pPr>
              <w:spacing w:after="0"/>
              <w:rPr>
                <w:sz w:val="11"/>
                <w:szCs w:val="11"/>
                <w:color w:val="auto"/>
              </w:rPr>
            </w:pPr>
          </w:p>
        </w:tc>
        <w:tc>
          <w:tcPr>
            <w:tcW w:w="700" w:type="dxa"/>
            <w:vAlign w:val="bottom"/>
            <w:gridSpan w:val="2"/>
            <w:vMerge w:val="restart"/>
          </w:tcPr>
          <w:p>
            <w:pPr>
              <w:jc w:val="right"/>
              <w:ind w:right="34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jc w:val="right"/>
              <w:ind w:right="86"/>
              <w:spacing w:after="0"/>
              <w:rPr>
                <w:sz w:val="20"/>
                <w:szCs w:val="20"/>
                <w:color w:val="auto"/>
              </w:rPr>
            </w:pPr>
            <w:r>
              <w:rPr>
                <w:rFonts w:ascii="Arial" w:cs="Arial" w:eastAsia="Arial" w:hAnsi="Arial"/>
                <w:sz w:val="11"/>
                <w:szCs w:val="11"/>
                <w:color w:val="auto"/>
              </w:rPr>
              <w:t>2</w:t>
            </w:r>
          </w:p>
        </w:tc>
        <w:tc>
          <w:tcPr>
            <w:tcW w:w="3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299,409</w:t>
            </w:r>
          </w:p>
        </w:tc>
        <w:tc>
          <w:tcPr>
            <w:tcW w:w="20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color w:val="auto"/>
              </w:rPr>
              <w:t>298,814</w:t>
            </w:r>
          </w:p>
        </w:tc>
        <w:tc>
          <w:tcPr>
            <w:tcW w:w="200" w:type="dxa"/>
            <w:vAlign w:val="bottom"/>
          </w:tcPr>
          <w:p>
            <w:pPr>
              <w:spacing w:after="0"/>
              <w:rPr>
                <w:sz w:val="11"/>
                <w:szCs w:val="11"/>
                <w:color w:val="auto"/>
              </w:rPr>
            </w:pPr>
          </w:p>
        </w:tc>
        <w:tc>
          <w:tcPr>
            <w:tcW w:w="70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gridSpan w:val="6"/>
          </w:tcPr>
          <w:p>
            <w:pPr>
              <w:spacing w:after="0"/>
              <w:rPr>
                <w:sz w:val="20"/>
                <w:szCs w:val="20"/>
                <w:color w:val="auto"/>
              </w:rPr>
            </w:pPr>
            <w:r>
              <w:rPr>
                <w:rFonts w:ascii="Arial" w:cs="Arial" w:eastAsia="Arial" w:hAnsi="Arial"/>
                <w:sz w:val="11"/>
                <w:szCs w:val="11"/>
                <w:color w:val="auto"/>
              </w:rPr>
              <w:t>card loans</w:t>
            </w:r>
          </w:p>
        </w:tc>
        <w:tc>
          <w:tcPr>
            <w:tcW w:w="1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40" w:type="dxa"/>
            <w:vAlign w:val="bottom"/>
            <w:gridSpan w:val="6"/>
          </w:tcPr>
          <w:p>
            <w:pPr>
              <w:spacing w:after="0"/>
              <w:rPr>
                <w:sz w:val="20"/>
                <w:szCs w:val="20"/>
                <w:color w:val="auto"/>
              </w:rPr>
            </w:pPr>
            <w:r>
              <w:rPr>
                <w:rFonts w:ascii="Arial" w:cs="Arial" w:eastAsia="Arial" w:hAnsi="Arial"/>
                <w:sz w:val="11"/>
                <w:szCs w:val="11"/>
                <w:color w:val="auto"/>
              </w:rPr>
              <w:t>Credit card retained loans</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177,026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168,125</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158,434</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149,398</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148,471</w:t>
            </w:r>
          </w:p>
        </w:tc>
        <w:tc>
          <w:tcPr>
            <w:tcW w:w="70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5"/>
                <w:szCs w:val="15"/>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19</w:t>
            </w: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163,335</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139,900</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gridSpan w:val="6"/>
          </w:tcPr>
          <w:p>
            <w:pPr>
              <w:ind w:left="120"/>
              <w:spacing w:after="0" w:line="95" w:lineRule="exact"/>
              <w:rPr>
                <w:sz w:val="20"/>
                <w:szCs w:val="20"/>
                <w:color w:val="auto"/>
              </w:rPr>
            </w:pPr>
            <w:r>
              <w:rPr>
                <w:rFonts w:ascii="Arial" w:cs="Arial" w:eastAsia="Arial" w:hAnsi="Arial"/>
                <w:sz w:val="10"/>
                <w:szCs w:val="10"/>
                <w:color w:val="auto"/>
              </w:rPr>
              <w:t>Total average retained consumer</w:t>
            </w:r>
          </w:p>
        </w:tc>
        <w:tc>
          <w:tcPr>
            <w:tcW w:w="100" w:type="dxa"/>
            <w:vAlign w:val="bottom"/>
          </w:tcPr>
          <w:p>
            <w:pPr>
              <w:spacing w:after="0"/>
              <w:rPr>
                <w:sz w:val="8"/>
                <w:szCs w:val="8"/>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478,119</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469,472</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458,083</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444,858</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444,894</w:t>
            </w:r>
          </w:p>
        </w:tc>
        <w:tc>
          <w:tcPr>
            <w:tcW w:w="70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8"/>
                <w:szCs w:val="8"/>
                <w:color w:val="auto"/>
              </w:rPr>
            </w:pPr>
          </w:p>
        </w:tc>
        <w:tc>
          <w:tcPr>
            <w:tcW w:w="520" w:type="dxa"/>
            <w:vAlign w:val="bottom"/>
            <w:vMerge w:val="restart"/>
          </w:tcPr>
          <w:p>
            <w:pPr>
              <w:jc w:val="right"/>
              <w:ind w:right="86"/>
              <w:spacing w:after="0"/>
              <w:rPr>
                <w:sz w:val="20"/>
                <w:szCs w:val="20"/>
                <w:color w:val="auto"/>
              </w:rPr>
            </w:pPr>
            <w:r>
              <w:rPr>
                <w:rFonts w:ascii="Arial" w:cs="Arial" w:eastAsia="Arial" w:hAnsi="Arial"/>
                <w:sz w:val="11"/>
                <w:szCs w:val="11"/>
                <w:color w:val="auto"/>
              </w:rPr>
              <w:t>7</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462,744</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color w:val="auto"/>
              </w:rPr>
              <w:t>438,714</w:t>
            </w:r>
          </w:p>
        </w:tc>
        <w:tc>
          <w:tcPr>
            <w:tcW w:w="90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gridSpan w:val="6"/>
          </w:tcPr>
          <w:p>
            <w:pPr>
              <w:ind w:left="120"/>
              <w:spacing w:after="0"/>
              <w:rPr>
                <w:sz w:val="20"/>
                <w:szCs w:val="20"/>
                <w:color w:val="auto"/>
              </w:rPr>
            </w:pPr>
            <w:r>
              <w:rPr>
                <w:rFonts w:ascii="Arial" w:cs="Arial" w:eastAsia="Arial" w:hAnsi="Arial"/>
                <w:sz w:val="11"/>
                <w:szCs w:val="11"/>
                <w:color w:val="auto"/>
              </w:rPr>
              <w:t>loans</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40" w:type="dxa"/>
            <w:vAlign w:val="bottom"/>
            <w:gridSpan w:val="6"/>
          </w:tcPr>
          <w:p>
            <w:pPr>
              <w:spacing w:after="0"/>
              <w:rPr>
                <w:sz w:val="20"/>
                <w:szCs w:val="20"/>
                <w:color w:val="auto"/>
              </w:rPr>
            </w:pPr>
            <w:r>
              <w:rPr>
                <w:rFonts w:ascii="Arial" w:cs="Arial" w:eastAsia="Arial" w:hAnsi="Arial"/>
                <w:sz w:val="11"/>
                <w:szCs w:val="11"/>
                <w:color w:val="auto"/>
              </w:rPr>
              <w:t>Wholesale retained loans</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599,817</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590,490</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577,850</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559,395</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541,183</w:t>
            </w:r>
          </w:p>
        </w:tc>
        <w:tc>
          <w:tcPr>
            <w:tcW w:w="70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5"/>
                <w:szCs w:val="15"/>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11</w:t>
            </w: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582,021</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526,557</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40" w:type="dxa"/>
            <w:vAlign w:val="bottom"/>
            <w:gridSpan w:val="6"/>
          </w:tcPr>
          <w:p>
            <w:pPr>
              <w:ind w:left="120"/>
              <w:spacing w:after="0"/>
              <w:rPr>
                <w:sz w:val="20"/>
                <w:szCs w:val="20"/>
                <w:color w:val="auto"/>
              </w:rPr>
            </w:pPr>
            <w:r>
              <w:rPr>
                <w:rFonts w:ascii="Arial" w:cs="Arial" w:eastAsia="Arial" w:hAnsi="Arial"/>
                <w:sz w:val="11"/>
                <w:szCs w:val="11"/>
                <w:b w:val="1"/>
                <w:bCs w:val="1"/>
                <w:color w:val="auto"/>
              </w:rPr>
              <w:t>Total average retained loans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1,077,936</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1,059,962</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7"/>
              </w:rPr>
              <w:t>1,035,933</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1,004,253</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986,077</w:t>
            </w:r>
          </w:p>
        </w:tc>
        <w:tc>
          <w:tcPr>
            <w:tcW w:w="70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9</w:t>
            </w:r>
          </w:p>
        </w:tc>
        <w:tc>
          <w:tcPr>
            <w:tcW w:w="3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1,044,765</w:t>
            </w:r>
          </w:p>
        </w:tc>
        <w:tc>
          <w:tcPr>
            <w:tcW w:w="200" w:type="dxa"/>
            <w:vAlign w:val="bottom"/>
          </w:tcPr>
          <w:p>
            <w:pPr>
              <w:spacing w:after="0"/>
              <w:rPr>
                <w:sz w:val="14"/>
                <w:szCs w:val="14"/>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965,271</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48"/>
        </w:trPr>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(a) At December 31, 2022, September 30, 2022 excludes an allowance for credit losses associated with certain accounts receivable in CIB of $21 million and $30 million, respectively.</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28</w:t>
      </w:r>
    </w:p>
    <w:p>
      <w:pPr>
        <w:sectPr>
          <w:pgSz w:w="11900" w:h="16838" w:orient="portrait"/>
          <w:cols w:equalWidth="0" w:num="1">
            <w:col w:w="11240"/>
          </w:cols>
          <w:pgMar w:left="320" w:top="626" w:right="339" w:bottom="1440" w:gutter="0" w:footer="0" w:header="0"/>
        </w:sectPr>
      </w:pPr>
    </w:p>
    <w:bookmarkStart w:id="40" w:name="page41"/>
    <w:bookmarkEnd w:id="40"/>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13970</wp:posOffset>
            </wp:positionV>
            <wp:extent cx="237426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right="8880"/>
        <w:spacing w:after="0" w:line="256" w:lineRule="auto"/>
        <w:rPr>
          <w:sz w:val="20"/>
          <w:szCs w:val="20"/>
          <w:color w:val="auto"/>
        </w:rPr>
      </w:pPr>
      <w:r>
        <w:rPr>
          <w:rFonts w:ascii="Arial" w:cs="Arial" w:eastAsia="Arial" w:hAnsi="Arial"/>
          <w:sz w:val="14"/>
          <w:szCs w:val="14"/>
          <w:b w:val="1"/>
          <w:bCs w:val="1"/>
          <w:color w:val="auto"/>
        </w:rPr>
        <w:t>CREDIT-RELATED INFORMATION, CONTINUED</w:t>
      </w: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6"/>
              </w:rPr>
              <w:t>Dec 31, 2022</w:t>
            </w:r>
          </w:p>
        </w:tc>
        <w:tc>
          <w:tcPr>
            <w:tcW w:w="0" w:type="dxa"/>
            <w:vAlign w:val="bottom"/>
          </w:tcPr>
          <w:p>
            <w:pPr>
              <w:spacing w:after="0"/>
              <w:rPr>
                <w:sz w:val="1"/>
                <w:szCs w:val="1"/>
                <w:color w:val="auto"/>
              </w:rPr>
            </w:pPr>
          </w:p>
        </w:tc>
      </w:tr>
      <w:tr>
        <w:trPr>
          <w:trHeight w:val="170"/>
        </w:trPr>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bottom w:val="single" w:sz="8" w:color="auto"/>
            </w:tcBorders>
            <w:gridSpan w:val="3"/>
          </w:tcPr>
          <w:p>
            <w:pPr>
              <w:jc w:val="center"/>
              <w:ind w:left="446"/>
              <w:spacing w:after="0"/>
              <w:rPr>
                <w:sz w:val="20"/>
                <w:szCs w:val="20"/>
                <w:color w:val="auto"/>
              </w:rPr>
            </w:pPr>
            <w:r>
              <w:rPr>
                <w:rFonts w:ascii="Arial" w:cs="Arial" w:eastAsia="Arial" w:hAnsi="Arial"/>
                <w:sz w:val="11"/>
                <w:szCs w:val="11"/>
                <w:b w:val="1"/>
                <w:bCs w:val="1"/>
                <w:color w:val="auto"/>
                <w:w w:val="99"/>
              </w:rPr>
              <w:t>Change</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Dec 31,</w:t>
            </w:r>
          </w:p>
        </w:tc>
        <w:tc>
          <w:tcPr>
            <w:tcW w:w="10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Sep 30,</w:t>
            </w:r>
          </w:p>
        </w:tc>
        <w:tc>
          <w:tcPr>
            <w:tcW w:w="120" w:type="dxa"/>
            <w:vAlign w:val="bottom"/>
          </w:tcPr>
          <w:p>
            <w:pPr>
              <w:spacing w:after="0"/>
              <w:rPr>
                <w:sz w:val="12"/>
                <w:szCs w:val="12"/>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Jun 30,</w:t>
            </w: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Mar 31,</w:t>
            </w:r>
          </w:p>
        </w:tc>
        <w:tc>
          <w:tcPr>
            <w:tcW w:w="1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Dec 31,</w:t>
            </w:r>
          </w:p>
        </w:tc>
        <w:tc>
          <w:tcPr>
            <w:tcW w:w="240" w:type="dxa"/>
            <w:vAlign w:val="bottom"/>
          </w:tcPr>
          <w:p>
            <w:pPr>
              <w:spacing w:after="0"/>
              <w:rPr>
                <w:sz w:val="12"/>
                <w:szCs w:val="12"/>
                <w:color w:val="auto"/>
              </w:rPr>
            </w:pPr>
          </w:p>
        </w:tc>
        <w:tc>
          <w:tcPr>
            <w:tcW w:w="940" w:type="dxa"/>
            <w:vAlign w:val="bottom"/>
            <w:gridSpan w:val="3"/>
          </w:tcPr>
          <w:p>
            <w:pPr>
              <w:ind w:left="100"/>
              <w:spacing w:after="0"/>
              <w:rPr>
                <w:sz w:val="20"/>
                <w:szCs w:val="20"/>
                <w:color w:val="auto"/>
              </w:rPr>
            </w:pPr>
            <w:r>
              <w:rPr>
                <w:rFonts w:ascii="Arial" w:cs="Arial" w:eastAsia="Arial" w:hAnsi="Arial"/>
                <w:sz w:val="11"/>
                <w:szCs w:val="11"/>
                <w:b w:val="1"/>
                <w:bCs w:val="1"/>
                <w:color w:val="auto"/>
              </w:rPr>
              <w:t>Sep 30,</w:t>
            </w:r>
          </w:p>
        </w:tc>
        <w:tc>
          <w:tcPr>
            <w:tcW w:w="500" w:type="dxa"/>
            <w:vAlign w:val="bottom"/>
          </w:tcPr>
          <w:p>
            <w:pPr>
              <w:jc w:val="right"/>
              <w:ind w:right="66"/>
              <w:spacing w:after="0"/>
              <w:rPr>
                <w:sz w:val="20"/>
                <w:szCs w:val="20"/>
                <w:color w:val="auto"/>
              </w:rPr>
            </w:pPr>
            <w:r>
              <w:rPr>
                <w:rFonts w:ascii="Arial" w:cs="Arial" w:eastAsia="Arial" w:hAnsi="Arial"/>
                <w:sz w:val="11"/>
                <w:szCs w:val="11"/>
                <w:b w:val="1"/>
                <w:bCs w:val="1"/>
                <w:color w:val="auto"/>
                <w:w w:val="93"/>
              </w:rPr>
              <w:t>Dec 31,</w:t>
            </w:r>
          </w:p>
        </w:tc>
        <w:tc>
          <w:tcPr>
            <w:tcW w:w="0" w:type="dxa"/>
            <w:vAlign w:val="bottom"/>
          </w:tcPr>
          <w:p>
            <w:pPr>
              <w:spacing w:after="0"/>
              <w:rPr>
                <w:sz w:val="1"/>
                <w:szCs w:val="1"/>
                <w:color w:val="auto"/>
              </w:rPr>
            </w:pPr>
          </w:p>
        </w:tc>
      </w:tr>
      <w:tr>
        <w:trPr>
          <w:trHeight w:val="170"/>
        </w:trPr>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2022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66"/>
              <w:spacing w:after="0"/>
              <w:rPr>
                <w:sz w:val="20"/>
                <w:szCs w:val="20"/>
                <w:color w:val="auto"/>
              </w:rPr>
            </w:pPr>
            <w:r>
              <w:rPr>
                <w:rFonts w:ascii="Arial" w:cs="Arial" w:eastAsia="Arial" w:hAnsi="Arial"/>
                <w:sz w:val="11"/>
                <w:szCs w:val="11"/>
                <w:b w:val="1"/>
                <w:bCs w:val="1"/>
                <w:color w:val="auto"/>
              </w:rPr>
              <w:t>2022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66"/>
              <w:spacing w:after="0"/>
              <w:rPr>
                <w:sz w:val="20"/>
                <w:szCs w:val="20"/>
                <w:color w:val="auto"/>
              </w:rPr>
            </w:pPr>
            <w:r>
              <w:rPr>
                <w:rFonts w:ascii="Arial" w:cs="Arial" w:eastAsia="Arial" w:hAnsi="Arial"/>
                <w:sz w:val="11"/>
                <w:szCs w:val="11"/>
                <w:b w:val="1"/>
                <w:bCs w:val="1"/>
                <w:color w:val="auto"/>
              </w:rPr>
              <w:t>2022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86"/>
              <w:spacing w:after="0"/>
              <w:rPr>
                <w:sz w:val="20"/>
                <w:szCs w:val="20"/>
                <w:color w:val="auto"/>
              </w:rPr>
            </w:pPr>
            <w:r>
              <w:rPr>
                <w:rFonts w:ascii="Arial" w:cs="Arial" w:eastAsia="Arial" w:hAnsi="Arial"/>
                <w:sz w:val="11"/>
                <w:szCs w:val="11"/>
                <w:b w:val="1"/>
                <w:bCs w:val="1"/>
                <w:color w:val="auto"/>
              </w:rPr>
              <w:t>2022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86"/>
              <w:spacing w:after="0"/>
              <w:rPr>
                <w:sz w:val="20"/>
                <w:szCs w:val="20"/>
                <w:color w:val="auto"/>
              </w:rPr>
            </w:pPr>
            <w:r>
              <w:rPr>
                <w:rFonts w:ascii="Arial" w:cs="Arial" w:eastAsia="Arial" w:hAnsi="Arial"/>
                <w:sz w:val="11"/>
                <w:szCs w:val="11"/>
                <w:b w:val="1"/>
                <w:bCs w:val="1"/>
                <w:color w:val="auto"/>
              </w:rPr>
              <w:t>2021</w:t>
            </w:r>
          </w:p>
        </w:tc>
        <w:tc>
          <w:tcPr>
            <w:tcW w:w="840" w:type="dxa"/>
            <w:vAlign w:val="bottom"/>
            <w:gridSpan w:val="2"/>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08"/>
        </w:trPr>
        <w:tc>
          <w:tcPr>
            <w:tcW w:w="1920" w:type="dxa"/>
            <w:vAlign w:val="bottom"/>
            <w:gridSpan w:val="4"/>
          </w:tcPr>
          <w:p>
            <w:pPr>
              <w:spacing w:after="0" w:line="108" w:lineRule="exact"/>
              <w:rPr>
                <w:sz w:val="20"/>
                <w:szCs w:val="20"/>
                <w:color w:val="auto"/>
              </w:rPr>
            </w:pPr>
            <w:r>
              <w:rPr>
                <w:rFonts w:ascii="Arial" w:cs="Arial" w:eastAsia="Arial" w:hAnsi="Arial"/>
                <w:sz w:val="11"/>
                <w:szCs w:val="11"/>
                <w:b w:val="1"/>
                <w:bCs w:val="1"/>
                <w:color w:val="auto"/>
              </w:rPr>
              <w:t>ALLOWANCE COMPONENTS AND</w:t>
            </w: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76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10"/>
                <w:szCs w:val="10"/>
                <w:b w:val="1"/>
                <w:bCs w:val="1"/>
                <w:color w:val="auto"/>
              </w:rPr>
              <w:t>RATIOS</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920" w:type="dxa"/>
            <w:vAlign w:val="bottom"/>
            <w:gridSpan w:val="4"/>
          </w:tcPr>
          <w:p>
            <w:pPr>
              <w:spacing w:after="0"/>
              <w:rPr>
                <w:sz w:val="20"/>
                <w:szCs w:val="20"/>
                <w:color w:val="auto"/>
              </w:rPr>
            </w:pPr>
            <w:r>
              <w:rPr>
                <w:rFonts w:ascii="Arial" w:cs="Arial" w:eastAsia="Arial" w:hAnsi="Arial"/>
                <w:sz w:val="11"/>
                <w:szCs w:val="11"/>
                <w:b w:val="1"/>
                <w:bCs w:val="1"/>
                <w:color w:val="auto"/>
              </w:rPr>
              <w:t>ALLOWANCE FOR LOAN LOSSES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gridSpan w:val="4"/>
          </w:tcPr>
          <w:p>
            <w:pPr>
              <w:spacing w:after="0"/>
              <w:rPr>
                <w:sz w:val="20"/>
                <w:szCs w:val="20"/>
                <w:color w:val="auto"/>
              </w:rPr>
            </w:pPr>
            <w:r>
              <w:rPr>
                <w:rFonts w:ascii="Arial" w:cs="Arial" w:eastAsia="Arial" w:hAnsi="Arial"/>
                <w:sz w:val="11"/>
                <w:szCs w:val="11"/>
                <w:b w:val="1"/>
                <w:bCs w:val="1"/>
                <w:color w:val="auto"/>
              </w:rPr>
              <w:t>Consumer, excluding credit card</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gridSpan w:val="4"/>
          </w:tcPr>
          <w:p>
            <w:pPr>
              <w:ind w:left="120"/>
              <w:spacing w:after="0"/>
              <w:rPr>
                <w:sz w:val="20"/>
                <w:szCs w:val="20"/>
                <w:color w:val="auto"/>
              </w:rPr>
            </w:pPr>
            <w:r>
              <w:rPr>
                <w:rFonts w:ascii="Arial" w:cs="Arial" w:eastAsia="Arial" w:hAnsi="Arial"/>
                <w:sz w:val="11"/>
                <w:szCs w:val="11"/>
                <w:color w:val="auto"/>
              </w:rPr>
              <w:t>Asset-specific (a)</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(674)</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(702)</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(676)</w:t>
            </w:r>
          </w:p>
        </w:tc>
        <w:tc>
          <w:tcPr>
            <w:tcW w:w="26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(644)</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(665)</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4 %</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5"/>
        </w:trPr>
        <w:tc>
          <w:tcPr>
            <w:tcW w:w="1920" w:type="dxa"/>
            <w:vAlign w:val="bottom"/>
            <w:gridSpan w:val="4"/>
          </w:tcPr>
          <w:p>
            <w:pPr>
              <w:ind w:left="120"/>
              <w:spacing w:after="0"/>
              <w:rPr>
                <w:sz w:val="20"/>
                <w:szCs w:val="20"/>
                <w:color w:val="auto"/>
              </w:rPr>
            </w:pPr>
            <w:r>
              <w:rPr>
                <w:rFonts w:ascii="Arial" w:cs="Arial" w:eastAsia="Arial" w:hAnsi="Arial"/>
                <w:sz w:val="11"/>
                <w:szCs w:val="11"/>
                <w:color w:val="auto"/>
              </w:rPr>
              <w:t>Portfolio-based</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2,714</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2,521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2,605</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2,538</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2,430</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95"/>
        </w:trPr>
        <w:tc>
          <w:tcPr>
            <w:tcW w:w="1920" w:type="dxa"/>
            <w:vAlign w:val="bottom"/>
            <w:gridSpan w:val="4"/>
          </w:tcPr>
          <w:p>
            <w:pPr>
              <w:ind w:left="200"/>
              <w:spacing w:after="0" w:line="95" w:lineRule="exact"/>
              <w:rPr>
                <w:sz w:val="20"/>
                <w:szCs w:val="20"/>
                <w:color w:val="auto"/>
              </w:rPr>
            </w:pPr>
            <w:r>
              <w:rPr>
                <w:rFonts w:ascii="Arial" w:cs="Arial" w:eastAsia="Arial" w:hAnsi="Arial"/>
                <w:sz w:val="10"/>
                <w:szCs w:val="10"/>
                <w:b w:val="1"/>
                <w:bCs w:val="1"/>
                <w:color w:val="auto"/>
              </w:rPr>
              <w:t>Total consumer, excluding credit</w:t>
            </w:r>
          </w:p>
        </w:tc>
        <w:tc>
          <w:tcPr>
            <w:tcW w:w="100" w:type="dxa"/>
            <w:vAlign w:val="bottom"/>
          </w:tcPr>
          <w:p>
            <w:pPr>
              <w:spacing w:after="0"/>
              <w:rPr>
                <w:sz w:val="8"/>
                <w:szCs w:val="8"/>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2,040</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1,819</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1,929</w:t>
            </w: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1,894</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1,765</w:t>
            </w:r>
          </w:p>
        </w:tc>
        <w:tc>
          <w:tcPr>
            <w:tcW w:w="84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12</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jc w:val="right"/>
              <w:ind w:right="10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48"/>
        </w:trPr>
        <w:tc>
          <w:tcPr>
            <w:tcW w:w="1920" w:type="dxa"/>
            <w:vAlign w:val="bottom"/>
            <w:gridSpan w:val="4"/>
          </w:tcPr>
          <w:p>
            <w:pPr>
              <w:ind w:left="200"/>
              <w:spacing w:after="0"/>
              <w:rPr>
                <w:sz w:val="20"/>
                <w:szCs w:val="20"/>
                <w:color w:val="auto"/>
              </w:rPr>
            </w:pPr>
            <w:r>
              <w:rPr>
                <w:rFonts w:ascii="Arial" w:cs="Arial" w:eastAsia="Arial" w:hAnsi="Arial"/>
                <w:sz w:val="11"/>
                <w:szCs w:val="11"/>
                <w:b w:val="1"/>
                <w:bCs w:val="1"/>
                <w:color w:val="auto"/>
              </w:rPr>
              <w:t>card</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gridSpan w:val="4"/>
          </w:tcPr>
          <w:p>
            <w:pPr>
              <w:spacing w:after="0"/>
              <w:rPr>
                <w:sz w:val="20"/>
                <w:szCs w:val="20"/>
                <w:color w:val="auto"/>
              </w:rPr>
            </w:pPr>
            <w:r>
              <w:rPr>
                <w:rFonts w:ascii="Arial" w:cs="Arial" w:eastAsia="Arial" w:hAnsi="Arial"/>
                <w:sz w:val="11"/>
                <w:szCs w:val="11"/>
                <w:b w:val="1"/>
                <w:bCs w:val="1"/>
                <w:color w:val="auto"/>
              </w:rPr>
              <w:t>Credit card</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gridSpan w:val="4"/>
          </w:tcPr>
          <w:p>
            <w:pPr>
              <w:ind w:left="120"/>
              <w:spacing w:after="0"/>
              <w:rPr>
                <w:sz w:val="20"/>
                <w:szCs w:val="20"/>
                <w:color w:val="auto"/>
              </w:rPr>
            </w:pPr>
            <w:r>
              <w:rPr>
                <w:rFonts w:ascii="Arial" w:cs="Arial" w:eastAsia="Arial" w:hAnsi="Arial"/>
                <w:sz w:val="11"/>
                <w:szCs w:val="11"/>
                <w:color w:val="auto"/>
              </w:rPr>
              <w:t>Asset-specific (b)</w:t>
            </w:r>
          </w:p>
        </w:tc>
        <w:tc>
          <w:tcPr>
            <w:tcW w:w="10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223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218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227</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262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313</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75"/>
        </w:trPr>
        <w:tc>
          <w:tcPr>
            <w:tcW w:w="1920" w:type="dxa"/>
            <w:vAlign w:val="bottom"/>
            <w:gridSpan w:val="4"/>
          </w:tcPr>
          <w:p>
            <w:pPr>
              <w:ind w:left="120"/>
              <w:spacing w:after="0"/>
              <w:rPr>
                <w:sz w:val="20"/>
                <w:szCs w:val="20"/>
                <w:color w:val="auto"/>
              </w:rPr>
            </w:pPr>
            <w:r>
              <w:rPr>
                <w:rFonts w:ascii="Arial" w:cs="Arial" w:eastAsia="Arial" w:hAnsi="Arial"/>
                <w:sz w:val="11"/>
                <w:szCs w:val="11"/>
                <w:color w:val="auto"/>
              </w:rPr>
              <w:t>Portfolio-based</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10,977</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10,182</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10,173</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9,988</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9,937</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6"/>
        </w:trPr>
        <w:tc>
          <w:tcPr>
            <w:tcW w:w="1920" w:type="dxa"/>
            <w:vAlign w:val="bottom"/>
            <w:gridSpan w:val="4"/>
          </w:tcPr>
          <w:p>
            <w:pPr>
              <w:ind w:left="200"/>
              <w:spacing w:after="0"/>
              <w:rPr>
                <w:sz w:val="20"/>
                <w:szCs w:val="20"/>
                <w:color w:val="auto"/>
              </w:rPr>
            </w:pPr>
            <w:r>
              <w:rPr>
                <w:rFonts w:ascii="Arial" w:cs="Arial" w:eastAsia="Arial" w:hAnsi="Arial"/>
                <w:sz w:val="11"/>
                <w:szCs w:val="11"/>
                <w:b w:val="1"/>
                <w:bCs w:val="1"/>
                <w:color w:val="auto"/>
              </w:rPr>
              <w:t>Total credit card</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11,200</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10,400</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10,400</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10,250</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10,250</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56"/>
        </w:trPr>
        <w:tc>
          <w:tcPr>
            <w:tcW w:w="1920" w:type="dxa"/>
            <w:vAlign w:val="bottom"/>
            <w:gridSpan w:val="4"/>
          </w:tcPr>
          <w:p>
            <w:pPr>
              <w:ind w:left="200"/>
              <w:spacing w:after="0"/>
              <w:rPr>
                <w:sz w:val="20"/>
                <w:szCs w:val="20"/>
                <w:color w:val="auto"/>
              </w:rPr>
            </w:pPr>
            <w:r>
              <w:rPr>
                <w:rFonts w:ascii="Arial" w:cs="Arial" w:eastAsia="Arial" w:hAnsi="Arial"/>
                <w:sz w:val="11"/>
                <w:szCs w:val="11"/>
                <w:b w:val="1"/>
                <w:bCs w:val="1"/>
                <w:color w:val="auto"/>
              </w:rPr>
              <w:t>Total consumer</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13,240</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12,219</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12,329</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12,144</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12,015</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34"/>
        </w:trPr>
        <w:tc>
          <w:tcPr>
            <w:tcW w:w="1920" w:type="dxa"/>
            <w:vAlign w:val="bottom"/>
            <w:gridSpan w:val="4"/>
          </w:tcPr>
          <w:p>
            <w:pPr>
              <w:spacing w:after="0"/>
              <w:rPr>
                <w:sz w:val="20"/>
                <w:szCs w:val="20"/>
                <w:color w:val="auto"/>
              </w:rPr>
            </w:pPr>
            <w:r>
              <w:rPr>
                <w:rFonts w:ascii="Arial" w:cs="Arial" w:eastAsia="Arial" w:hAnsi="Arial"/>
                <w:sz w:val="11"/>
                <w:szCs w:val="11"/>
                <w:b w:val="1"/>
                <w:bCs w:val="1"/>
                <w:color w:val="auto"/>
              </w:rPr>
              <w:t>Wholesale</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920" w:type="dxa"/>
            <w:vAlign w:val="bottom"/>
            <w:gridSpan w:val="4"/>
          </w:tcPr>
          <w:p>
            <w:pPr>
              <w:ind w:left="120"/>
              <w:spacing w:after="0"/>
              <w:rPr>
                <w:sz w:val="20"/>
                <w:szCs w:val="20"/>
                <w:color w:val="auto"/>
              </w:rPr>
            </w:pPr>
            <w:r>
              <w:rPr>
                <w:rFonts w:ascii="Arial" w:cs="Arial" w:eastAsia="Arial" w:hAnsi="Arial"/>
                <w:sz w:val="11"/>
                <w:szCs w:val="11"/>
                <w:color w:val="auto"/>
              </w:rPr>
              <w:t>Asset-specific (c)</w:t>
            </w:r>
          </w:p>
        </w:tc>
        <w:tc>
          <w:tcPr>
            <w:tcW w:w="10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467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450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332</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485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263</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76"/>
        </w:trPr>
        <w:tc>
          <w:tcPr>
            <w:tcW w:w="1920" w:type="dxa"/>
            <w:vAlign w:val="bottom"/>
            <w:gridSpan w:val="4"/>
          </w:tcPr>
          <w:p>
            <w:pPr>
              <w:ind w:left="120"/>
              <w:spacing w:after="0"/>
              <w:rPr>
                <w:sz w:val="20"/>
                <w:szCs w:val="20"/>
                <w:color w:val="auto"/>
              </w:rPr>
            </w:pPr>
            <w:r>
              <w:rPr>
                <w:rFonts w:ascii="Arial" w:cs="Arial" w:eastAsia="Arial" w:hAnsi="Arial"/>
                <w:sz w:val="11"/>
                <w:szCs w:val="11"/>
                <w:color w:val="auto"/>
              </w:rPr>
              <w:t>Portfolio-based</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6,019</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5,516</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5,089</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4,563</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4,108</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155"/>
        </w:trPr>
        <w:tc>
          <w:tcPr>
            <w:tcW w:w="1920" w:type="dxa"/>
            <w:vAlign w:val="bottom"/>
            <w:gridSpan w:val="4"/>
          </w:tcPr>
          <w:p>
            <w:pPr>
              <w:ind w:left="200"/>
              <w:spacing w:after="0"/>
              <w:rPr>
                <w:sz w:val="20"/>
                <w:szCs w:val="20"/>
                <w:color w:val="auto"/>
              </w:rPr>
            </w:pPr>
            <w:r>
              <w:rPr>
                <w:rFonts w:ascii="Arial" w:cs="Arial" w:eastAsia="Arial" w:hAnsi="Arial"/>
                <w:sz w:val="11"/>
                <w:szCs w:val="11"/>
                <w:b w:val="1"/>
                <w:bCs w:val="1"/>
                <w:color w:val="auto"/>
              </w:rPr>
              <w:t>Total wholesale</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6,486</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5,966</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5,421</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5,048</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4,371</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148"/>
        </w:trPr>
        <w:tc>
          <w:tcPr>
            <w:tcW w:w="1920" w:type="dxa"/>
            <w:vAlign w:val="bottom"/>
            <w:gridSpan w:val="4"/>
          </w:tcPr>
          <w:p>
            <w:pPr>
              <w:spacing w:after="0"/>
              <w:rPr>
                <w:sz w:val="20"/>
                <w:szCs w:val="20"/>
                <w:color w:val="auto"/>
              </w:rPr>
            </w:pPr>
            <w:r>
              <w:rPr>
                <w:rFonts w:ascii="Arial" w:cs="Arial" w:eastAsia="Arial" w:hAnsi="Arial"/>
                <w:sz w:val="11"/>
                <w:szCs w:val="11"/>
                <w:b w:val="1"/>
                <w:bCs w:val="1"/>
                <w:color w:val="auto"/>
              </w:rPr>
              <w:t>Total allowance for loan losses</w:t>
            </w:r>
          </w:p>
        </w:tc>
        <w:tc>
          <w:tcPr>
            <w:tcW w:w="10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19,726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18,185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17,750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17,192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16,386</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22"/>
        </w:trPr>
        <w:tc>
          <w:tcPr>
            <w:tcW w:w="1920" w:type="dxa"/>
            <w:vAlign w:val="bottom"/>
            <w:gridSpan w:val="4"/>
          </w:tcPr>
          <w:p>
            <w:pPr>
              <w:spacing w:after="0" w:line="122" w:lineRule="exact"/>
              <w:rPr>
                <w:sz w:val="20"/>
                <w:szCs w:val="20"/>
                <w:color w:val="auto"/>
              </w:rPr>
            </w:pPr>
            <w:r>
              <w:rPr>
                <w:rFonts w:ascii="Arial" w:cs="Arial" w:eastAsia="Arial" w:hAnsi="Arial"/>
                <w:sz w:val="11"/>
                <w:szCs w:val="11"/>
                <w:color w:val="auto"/>
              </w:rPr>
              <w:t>Allowance for lending-related</w:t>
            </w:r>
          </w:p>
        </w:tc>
        <w:tc>
          <w:tcPr>
            <w:tcW w:w="100" w:type="dxa"/>
            <w:vAlign w:val="bottom"/>
          </w:tcPr>
          <w:p>
            <w:pPr>
              <w:spacing w:after="0"/>
              <w:rPr>
                <w:sz w:val="10"/>
                <w:szCs w:val="10"/>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2,382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2,551</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color w:val="auto"/>
              </w:rPr>
              <w:t>2,222</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2,358</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2,261</w:t>
            </w:r>
          </w:p>
        </w:tc>
        <w:tc>
          <w:tcPr>
            <w:tcW w:w="84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2"/>
        </w:trPr>
        <w:tc>
          <w:tcPr>
            <w:tcW w:w="1920" w:type="dxa"/>
            <w:vAlign w:val="bottom"/>
            <w:gridSpan w:val="4"/>
          </w:tcPr>
          <w:p>
            <w:pPr>
              <w:spacing w:after="0"/>
              <w:rPr>
                <w:sz w:val="20"/>
                <w:szCs w:val="20"/>
                <w:color w:val="auto"/>
              </w:rPr>
            </w:pPr>
            <w:r>
              <w:rPr>
                <w:rFonts w:ascii="Arial" w:cs="Arial" w:eastAsia="Arial" w:hAnsi="Arial"/>
                <w:sz w:val="11"/>
                <w:szCs w:val="11"/>
                <w:color w:val="auto"/>
              </w:rPr>
              <w:t>commitments</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20" w:type="dxa"/>
            <w:vAlign w:val="bottom"/>
            <w:gridSpan w:val="4"/>
          </w:tcPr>
          <w:p>
            <w:pPr>
              <w:spacing w:after="0"/>
              <w:rPr>
                <w:sz w:val="20"/>
                <w:szCs w:val="20"/>
                <w:color w:val="auto"/>
              </w:rPr>
            </w:pPr>
            <w:r>
              <w:rPr>
                <w:rFonts w:ascii="Arial" w:cs="Arial" w:eastAsia="Arial" w:hAnsi="Arial"/>
                <w:sz w:val="11"/>
                <w:szCs w:val="11"/>
                <w:color w:val="auto"/>
              </w:rPr>
              <w:t>Allowance for investment securities</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96</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47</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41</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42</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57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129</w:t>
            </w:r>
          </w:p>
        </w:tc>
        <w:tc>
          <w:tcPr>
            <w:tcW w:w="0" w:type="dxa"/>
            <w:vAlign w:val="bottom"/>
          </w:tcPr>
          <w:p>
            <w:pPr>
              <w:spacing w:after="0"/>
              <w:rPr>
                <w:sz w:val="1"/>
                <w:szCs w:val="1"/>
                <w:color w:val="auto"/>
              </w:rPr>
            </w:pPr>
          </w:p>
        </w:tc>
      </w:tr>
      <w:tr>
        <w:trPr>
          <w:trHeight w:val="169"/>
        </w:trPr>
        <w:tc>
          <w:tcPr>
            <w:tcW w:w="1920" w:type="dxa"/>
            <w:vAlign w:val="bottom"/>
            <w:gridSpan w:val="4"/>
          </w:tcPr>
          <w:p>
            <w:pPr>
              <w:spacing w:after="0"/>
              <w:rPr>
                <w:sz w:val="20"/>
                <w:szCs w:val="20"/>
                <w:color w:val="auto"/>
              </w:rPr>
            </w:pPr>
            <w:r>
              <w:rPr>
                <w:rFonts w:ascii="Arial" w:cs="Arial" w:eastAsia="Arial" w:hAnsi="Arial"/>
                <w:sz w:val="11"/>
                <w:szCs w:val="11"/>
                <w:b w:val="1"/>
                <w:bCs w:val="1"/>
                <w:color w:val="auto"/>
              </w:rPr>
              <w:t>Total allowance for credit losses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22,204</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20,797</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20,019</w:t>
            </w:r>
          </w:p>
        </w:tc>
        <w:tc>
          <w:tcPr>
            <w:tcW w:w="260" w:type="dxa"/>
            <w:vAlign w:val="bottom"/>
          </w:tcPr>
          <w:p>
            <w:pPr>
              <w:spacing w:after="0"/>
              <w:rPr>
                <w:sz w:val="14"/>
                <w:szCs w:val="14"/>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19,591</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18,689</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270"/>
        </w:trPr>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5"/>
              </w:rPr>
              <w:t>CREDIT RATIOS</w:t>
            </w:r>
          </w:p>
        </w:tc>
        <w:tc>
          <w:tcPr>
            <w:tcW w:w="108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9"/>
        </w:trPr>
        <w:tc>
          <w:tcPr>
            <w:tcW w:w="1920" w:type="dxa"/>
            <w:vAlign w:val="bottom"/>
            <w:gridSpan w:val="4"/>
          </w:tcPr>
          <w:p>
            <w:pPr>
              <w:spacing w:after="0"/>
              <w:rPr>
                <w:sz w:val="20"/>
                <w:szCs w:val="20"/>
                <w:color w:val="auto"/>
              </w:rPr>
            </w:pPr>
            <w:r>
              <w:rPr>
                <w:rFonts w:ascii="Arial" w:cs="Arial" w:eastAsia="Arial" w:hAnsi="Arial"/>
                <w:sz w:val="11"/>
                <w:szCs w:val="11"/>
                <w:color w:val="auto"/>
              </w:rPr>
              <w:t>Consumer, excluding credit card</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20" w:type="dxa"/>
            <w:vAlign w:val="bottom"/>
            <w:gridSpan w:val="4"/>
          </w:tcPr>
          <w:p>
            <w:pPr>
              <w:spacing w:after="0"/>
              <w:rPr>
                <w:sz w:val="20"/>
                <w:szCs w:val="20"/>
                <w:color w:val="auto"/>
              </w:rPr>
            </w:pPr>
            <w:r>
              <w:rPr>
                <w:rFonts w:ascii="Arial" w:cs="Arial" w:eastAsia="Arial" w:hAnsi="Arial"/>
                <w:sz w:val="11"/>
                <w:szCs w:val="11"/>
                <w:color w:val="auto"/>
              </w:rPr>
              <w:t>allowance, to total</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20" w:type="dxa"/>
            <w:vAlign w:val="bottom"/>
            <w:gridSpan w:val="4"/>
          </w:tcPr>
          <w:p>
            <w:pPr>
              <w:ind w:left="120"/>
              <w:spacing w:after="0"/>
              <w:rPr>
                <w:sz w:val="20"/>
                <w:szCs w:val="20"/>
                <w:color w:val="auto"/>
              </w:rPr>
            </w:pPr>
            <w:r>
              <w:rPr>
                <w:rFonts w:ascii="Arial" w:cs="Arial" w:eastAsia="Arial" w:hAnsi="Arial"/>
                <w:sz w:val="11"/>
                <w:szCs w:val="11"/>
                <w:color w:val="auto"/>
              </w:rPr>
              <w:t>consumer, excluding credit card</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0.68 %</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0.60 %</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0.64 %</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0.64 %</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0.60 %</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20" w:type="dxa"/>
            <w:vAlign w:val="bottom"/>
            <w:gridSpan w:val="4"/>
          </w:tcPr>
          <w:p>
            <w:pPr>
              <w:ind w:left="120"/>
              <w:spacing w:after="0"/>
              <w:rPr>
                <w:sz w:val="20"/>
                <w:szCs w:val="20"/>
                <w:color w:val="auto"/>
              </w:rPr>
            </w:pPr>
            <w:r>
              <w:rPr>
                <w:rFonts w:ascii="Arial" w:cs="Arial" w:eastAsia="Arial" w:hAnsi="Arial"/>
                <w:sz w:val="11"/>
                <w:szCs w:val="11"/>
                <w:color w:val="auto"/>
              </w:rPr>
              <w:t>retained loans</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20" w:type="dxa"/>
            <w:vAlign w:val="bottom"/>
            <w:gridSpan w:val="4"/>
          </w:tcPr>
          <w:p>
            <w:pPr>
              <w:spacing w:after="0"/>
              <w:rPr>
                <w:sz w:val="20"/>
                <w:szCs w:val="20"/>
                <w:color w:val="auto"/>
              </w:rPr>
            </w:pPr>
            <w:r>
              <w:rPr>
                <w:rFonts w:ascii="Arial" w:cs="Arial" w:eastAsia="Arial" w:hAnsi="Arial"/>
                <w:sz w:val="11"/>
                <w:szCs w:val="11"/>
                <w:color w:val="auto"/>
              </w:rPr>
              <w:t>Credit card allowance to total credit</w:t>
            </w:r>
          </w:p>
        </w:tc>
        <w:tc>
          <w:tcPr>
            <w:tcW w:w="10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6.05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6.10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color w:val="auto"/>
              </w:rPr>
              <w:t>6.28</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6.73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6.64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20" w:type="dxa"/>
            <w:vAlign w:val="bottom"/>
            <w:gridSpan w:val="4"/>
          </w:tcPr>
          <w:p>
            <w:pPr>
              <w:spacing w:after="0"/>
              <w:rPr>
                <w:sz w:val="20"/>
                <w:szCs w:val="20"/>
                <w:color w:val="auto"/>
              </w:rPr>
            </w:pPr>
            <w:r>
              <w:rPr>
                <w:rFonts w:ascii="Arial" w:cs="Arial" w:eastAsia="Arial" w:hAnsi="Arial"/>
                <w:sz w:val="11"/>
                <w:szCs w:val="11"/>
                <w:color w:val="auto"/>
              </w:rPr>
              <w:t>card retained loans</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20" w:type="dxa"/>
            <w:vAlign w:val="bottom"/>
            <w:gridSpan w:val="4"/>
          </w:tcPr>
          <w:p>
            <w:pPr>
              <w:spacing w:after="0"/>
              <w:rPr>
                <w:sz w:val="20"/>
                <w:szCs w:val="20"/>
                <w:color w:val="auto"/>
              </w:rPr>
            </w:pPr>
            <w:r>
              <w:rPr>
                <w:rFonts w:ascii="Arial" w:cs="Arial" w:eastAsia="Arial" w:hAnsi="Arial"/>
                <w:sz w:val="11"/>
                <w:szCs w:val="11"/>
                <w:color w:val="auto"/>
                <w:w w:val="99"/>
              </w:rPr>
              <w:t>Wholesale allowance to total wholesale</w:t>
            </w:r>
          </w:p>
        </w:tc>
        <w:tc>
          <w:tcPr>
            <w:tcW w:w="10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1.07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1.00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color w:val="auto"/>
              </w:rPr>
              <w:t>0.93</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0.89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0.78</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20" w:type="dxa"/>
            <w:vAlign w:val="bottom"/>
            <w:gridSpan w:val="4"/>
          </w:tcPr>
          <w:p>
            <w:pPr>
              <w:spacing w:after="0"/>
              <w:rPr>
                <w:sz w:val="20"/>
                <w:szCs w:val="20"/>
                <w:color w:val="auto"/>
              </w:rPr>
            </w:pPr>
            <w:r>
              <w:rPr>
                <w:rFonts w:ascii="Arial" w:cs="Arial" w:eastAsia="Arial" w:hAnsi="Arial"/>
                <w:sz w:val="11"/>
                <w:szCs w:val="11"/>
                <w:color w:val="auto"/>
              </w:rPr>
              <w:t>retained loans</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20" w:type="dxa"/>
            <w:vAlign w:val="bottom"/>
            <w:gridSpan w:val="4"/>
          </w:tcPr>
          <w:p>
            <w:pPr>
              <w:spacing w:after="0"/>
              <w:rPr>
                <w:sz w:val="20"/>
                <w:szCs w:val="20"/>
                <w:color w:val="auto"/>
              </w:rPr>
            </w:pPr>
            <w:r>
              <w:rPr>
                <w:rFonts w:ascii="Arial" w:cs="Arial" w:eastAsia="Arial" w:hAnsi="Arial"/>
                <w:sz w:val="11"/>
                <w:szCs w:val="11"/>
                <w:color w:val="auto"/>
                <w:w w:val="99"/>
              </w:rPr>
              <w:t>Wholesale allowance to total wholesale</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20" w:type="dxa"/>
            <w:vAlign w:val="bottom"/>
            <w:gridSpan w:val="4"/>
          </w:tcPr>
          <w:p>
            <w:pPr>
              <w:spacing w:after="0"/>
              <w:rPr>
                <w:sz w:val="20"/>
                <w:szCs w:val="20"/>
                <w:color w:val="auto"/>
              </w:rPr>
            </w:pPr>
            <w:r>
              <w:rPr>
                <w:rFonts w:ascii="Arial" w:cs="Arial" w:eastAsia="Arial" w:hAnsi="Arial"/>
                <w:sz w:val="11"/>
                <w:szCs w:val="11"/>
                <w:color w:val="auto"/>
              </w:rPr>
              <w:t>retained loans,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20" w:type="dxa"/>
            <w:vAlign w:val="bottom"/>
            <w:gridSpan w:val="4"/>
          </w:tcPr>
          <w:p>
            <w:pPr>
              <w:ind w:left="120"/>
              <w:spacing w:after="0"/>
              <w:rPr>
                <w:sz w:val="20"/>
                <w:szCs w:val="20"/>
                <w:color w:val="auto"/>
              </w:rPr>
            </w:pPr>
            <w:r>
              <w:rPr>
                <w:rFonts w:ascii="Arial" w:cs="Arial" w:eastAsia="Arial" w:hAnsi="Arial"/>
                <w:sz w:val="11"/>
                <w:szCs w:val="11"/>
                <w:color w:val="auto"/>
                <w:w w:val="99"/>
              </w:rPr>
              <w:t>excluding trade finance and conduits</w:t>
            </w:r>
          </w:p>
        </w:tc>
        <w:tc>
          <w:tcPr>
            <w:tcW w:w="10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1.17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1.08</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color w:val="auto"/>
              </w:rPr>
              <w:t>0.99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0.95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0.84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20" w:type="dxa"/>
            <w:vAlign w:val="bottom"/>
            <w:gridSpan w:val="4"/>
          </w:tcPr>
          <w:p>
            <w:pPr>
              <w:ind w:left="120"/>
              <w:spacing w:after="0"/>
              <w:rPr>
                <w:sz w:val="20"/>
                <w:szCs w:val="20"/>
                <w:color w:val="auto"/>
              </w:rPr>
            </w:pPr>
            <w:r>
              <w:rPr>
                <w:rFonts w:ascii="Arial" w:cs="Arial" w:eastAsia="Arial" w:hAnsi="Arial"/>
                <w:sz w:val="11"/>
                <w:szCs w:val="11"/>
                <w:color w:val="auto"/>
              </w:rPr>
              <w:t>(d)</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20" w:type="dxa"/>
            <w:vAlign w:val="bottom"/>
            <w:gridSpan w:val="4"/>
          </w:tcPr>
          <w:p>
            <w:pPr>
              <w:spacing w:after="0"/>
              <w:rPr>
                <w:sz w:val="20"/>
                <w:szCs w:val="20"/>
                <w:color w:val="auto"/>
              </w:rPr>
            </w:pPr>
            <w:r>
              <w:rPr>
                <w:rFonts w:ascii="Arial" w:cs="Arial" w:eastAsia="Arial" w:hAnsi="Arial"/>
                <w:sz w:val="11"/>
                <w:szCs w:val="11"/>
                <w:b w:val="1"/>
                <w:bCs w:val="1"/>
                <w:color w:val="auto"/>
              </w:rPr>
              <w:t>Total allowance to total retained</w:t>
            </w:r>
          </w:p>
        </w:tc>
        <w:tc>
          <w:tcPr>
            <w:tcW w:w="10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1.81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1.70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1.69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1.69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1.62</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20" w:type="dxa"/>
            <w:vAlign w:val="bottom"/>
            <w:gridSpan w:val="4"/>
          </w:tcPr>
          <w:p>
            <w:pPr>
              <w:spacing w:after="0"/>
              <w:rPr>
                <w:sz w:val="20"/>
                <w:szCs w:val="20"/>
                <w:color w:val="auto"/>
              </w:rPr>
            </w:pPr>
            <w:r>
              <w:rPr>
                <w:rFonts w:ascii="Arial" w:cs="Arial" w:eastAsia="Arial" w:hAnsi="Arial"/>
                <w:sz w:val="11"/>
                <w:szCs w:val="11"/>
                <w:b w:val="1"/>
                <w:bCs w:val="1"/>
                <w:color w:val="auto"/>
              </w:rPr>
              <w:t>loans</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920" w:type="dxa"/>
            <w:vAlign w:val="bottom"/>
            <w:gridSpan w:val="4"/>
          </w:tcPr>
          <w:p>
            <w:pPr>
              <w:spacing w:after="0" w:line="122" w:lineRule="exact"/>
              <w:rPr>
                <w:sz w:val="20"/>
                <w:szCs w:val="20"/>
                <w:color w:val="auto"/>
              </w:rPr>
            </w:pPr>
            <w:r>
              <w:rPr>
                <w:rFonts w:ascii="Arial" w:cs="Arial" w:eastAsia="Arial" w:hAnsi="Arial"/>
                <w:sz w:val="11"/>
                <w:szCs w:val="11"/>
                <w:color w:val="auto"/>
              </w:rPr>
              <w:t>Consumer, excluding credit card</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920" w:type="dxa"/>
            <w:vAlign w:val="bottom"/>
            <w:gridSpan w:val="4"/>
          </w:tcPr>
          <w:p>
            <w:pPr>
              <w:spacing w:after="0"/>
              <w:rPr>
                <w:sz w:val="20"/>
                <w:szCs w:val="20"/>
                <w:color w:val="auto"/>
              </w:rPr>
            </w:pPr>
            <w:r>
              <w:rPr>
                <w:rFonts w:ascii="Arial" w:cs="Arial" w:eastAsia="Arial" w:hAnsi="Arial"/>
                <w:sz w:val="11"/>
                <w:szCs w:val="11"/>
                <w:color w:val="auto"/>
              </w:rPr>
              <w:t>allowance, to consumer,</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20" w:type="dxa"/>
            <w:vAlign w:val="bottom"/>
            <w:gridSpan w:val="4"/>
          </w:tcPr>
          <w:p>
            <w:pPr>
              <w:ind w:left="120"/>
              <w:spacing w:after="0"/>
              <w:rPr>
                <w:sz w:val="20"/>
                <w:szCs w:val="20"/>
                <w:color w:val="auto"/>
              </w:rPr>
            </w:pPr>
            <w:r>
              <w:rPr>
                <w:rFonts w:ascii="Arial" w:cs="Arial" w:eastAsia="Arial" w:hAnsi="Arial"/>
                <w:sz w:val="11"/>
                <w:szCs w:val="11"/>
                <w:color w:val="auto"/>
              </w:rPr>
              <w:t>excluding credit card retained</w:t>
            </w:r>
          </w:p>
        </w:tc>
        <w:tc>
          <w:tcPr>
            <w:tcW w:w="10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53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46</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color w:val="auto"/>
              </w:rPr>
              <w:t>46</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42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36</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20" w:type="dxa"/>
            <w:vAlign w:val="bottom"/>
            <w:gridSpan w:val="4"/>
          </w:tcPr>
          <w:p>
            <w:pPr>
              <w:ind w:left="120"/>
              <w:spacing w:after="0"/>
              <w:rPr>
                <w:sz w:val="20"/>
                <w:szCs w:val="20"/>
                <w:color w:val="auto"/>
              </w:rPr>
            </w:pPr>
            <w:r>
              <w:rPr>
                <w:rFonts w:ascii="Arial" w:cs="Arial" w:eastAsia="Arial" w:hAnsi="Arial"/>
                <w:sz w:val="11"/>
                <w:szCs w:val="11"/>
                <w:color w:val="auto"/>
              </w:rPr>
              <w:t>nonaccrual loans (e)</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20" w:type="dxa"/>
            <w:vAlign w:val="bottom"/>
            <w:gridSpan w:val="4"/>
          </w:tcPr>
          <w:p>
            <w:pPr>
              <w:spacing w:after="0"/>
              <w:rPr>
                <w:sz w:val="20"/>
                <w:szCs w:val="20"/>
                <w:color w:val="auto"/>
              </w:rPr>
            </w:pPr>
            <w:r>
              <w:rPr>
                <w:rFonts w:ascii="Arial" w:cs="Arial" w:eastAsia="Arial" w:hAnsi="Arial"/>
                <w:sz w:val="11"/>
                <w:szCs w:val="11"/>
                <w:color w:val="auto"/>
              </w:rPr>
              <w:t>Total allowance, excluding credit card</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20" w:type="dxa"/>
            <w:vAlign w:val="bottom"/>
            <w:gridSpan w:val="4"/>
          </w:tcPr>
          <w:p>
            <w:pPr>
              <w:spacing w:after="0"/>
              <w:rPr>
                <w:sz w:val="20"/>
                <w:szCs w:val="20"/>
                <w:color w:val="auto"/>
              </w:rPr>
            </w:pPr>
            <w:r>
              <w:rPr>
                <w:rFonts w:ascii="Arial" w:cs="Arial" w:eastAsia="Arial" w:hAnsi="Arial"/>
                <w:sz w:val="11"/>
                <w:szCs w:val="11"/>
                <w:color w:val="auto"/>
              </w:rPr>
              <w:t>allowance, to retained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20" w:type="dxa"/>
            <w:vAlign w:val="bottom"/>
            <w:gridSpan w:val="4"/>
          </w:tcPr>
          <w:p>
            <w:pPr>
              <w:ind w:left="160"/>
              <w:spacing w:after="0"/>
              <w:rPr>
                <w:sz w:val="20"/>
                <w:szCs w:val="20"/>
                <w:color w:val="auto"/>
              </w:rPr>
            </w:pPr>
            <w:r>
              <w:rPr>
                <w:rFonts w:ascii="Arial" w:cs="Arial" w:eastAsia="Arial" w:hAnsi="Arial"/>
                <w:sz w:val="11"/>
                <w:szCs w:val="11"/>
                <w:color w:val="auto"/>
              </w:rPr>
              <w:t>nonaccrual loans, excluding credit</w:t>
            </w:r>
          </w:p>
        </w:tc>
        <w:tc>
          <w:tcPr>
            <w:tcW w:w="10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146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134</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color w:val="auto"/>
              </w:rPr>
              <w:t>117</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102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89</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20" w:type="dxa"/>
            <w:vAlign w:val="bottom"/>
            <w:gridSpan w:val="4"/>
          </w:tcPr>
          <w:p>
            <w:pPr>
              <w:ind w:left="120"/>
              <w:spacing w:after="0"/>
              <w:rPr>
                <w:sz w:val="20"/>
                <w:szCs w:val="20"/>
                <w:color w:val="auto"/>
              </w:rPr>
            </w:pPr>
            <w:r>
              <w:rPr>
                <w:rFonts w:ascii="Arial" w:cs="Arial" w:eastAsia="Arial" w:hAnsi="Arial"/>
                <w:sz w:val="11"/>
                <w:szCs w:val="11"/>
                <w:color w:val="auto"/>
              </w:rPr>
              <w:t>card nonaccrual loans (e)</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20" w:type="dxa"/>
            <w:vAlign w:val="bottom"/>
            <w:gridSpan w:val="4"/>
          </w:tcPr>
          <w:p>
            <w:pPr>
              <w:spacing w:after="0"/>
              <w:rPr>
                <w:sz w:val="20"/>
                <w:szCs w:val="20"/>
                <w:color w:val="auto"/>
              </w:rPr>
            </w:pPr>
            <w:r>
              <w:rPr>
                <w:rFonts w:ascii="Arial" w:cs="Arial" w:eastAsia="Arial" w:hAnsi="Arial"/>
                <w:sz w:val="11"/>
                <w:szCs w:val="11"/>
                <w:color w:val="auto"/>
              </w:rPr>
              <w:t>Wholesale allowance to wholesale</w:t>
            </w:r>
          </w:p>
        </w:tc>
        <w:tc>
          <w:tcPr>
            <w:tcW w:w="10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330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317</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color w:val="auto"/>
              </w:rPr>
              <w:t>260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221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213</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20" w:type="dxa"/>
            <w:vAlign w:val="bottom"/>
            <w:gridSpan w:val="4"/>
          </w:tcPr>
          <w:p>
            <w:pPr>
              <w:spacing w:after="0"/>
              <w:rPr>
                <w:sz w:val="20"/>
                <w:szCs w:val="20"/>
                <w:color w:val="auto"/>
              </w:rPr>
            </w:pPr>
            <w:r>
              <w:rPr>
                <w:rFonts w:ascii="Arial" w:cs="Arial" w:eastAsia="Arial" w:hAnsi="Arial"/>
                <w:sz w:val="11"/>
                <w:szCs w:val="11"/>
                <w:color w:val="auto"/>
              </w:rPr>
              <w:t>retained nonaccrual loans</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20" w:type="dxa"/>
            <w:vAlign w:val="bottom"/>
            <w:gridSpan w:val="4"/>
          </w:tcPr>
          <w:p>
            <w:pPr>
              <w:spacing w:after="0"/>
              <w:rPr>
                <w:sz w:val="20"/>
                <w:szCs w:val="20"/>
                <w:color w:val="auto"/>
              </w:rPr>
            </w:pPr>
            <w:r>
              <w:rPr>
                <w:rFonts w:ascii="Arial" w:cs="Arial" w:eastAsia="Arial" w:hAnsi="Arial"/>
                <w:sz w:val="11"/>
                <w:szCs w:val="11"/>
                <w:b w:val="1"/>
                <w:bCs w:val="1"/>
                <w:color w:val="auto"/>
              </w:rPr>
              <w:t>Total allowance to total retained</w:t>
            </w:r>
          </w:p>
        </w:tc>
        <w:tc>
          <w:tcPr>
            <w:tcW w:w="10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338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314</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283</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254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236</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20" w:type="dxa"/>
            <w:vAlign w:val="bottom"/>
            <w:gridSpan w:val="4"/>
          </w:tcPr>
          <w:p>
            <w:pPr>
              <w:spacing w:after="0"/>
              <w:rPr>
                <w:sz w:val="20"/>
                <w:szCs w:val="20"/>
                <w:color w:val="auto"/>
              </w:rPr>
            </w:pPr>
            <w:r>
              <w:rPr>
                <w:rFonts w:ascii="Arial" w:cs="Arial" w:eastAsia="Arial" w:hAnsi="Arial"/>
                <w:sz w:val="11"/>
                <w:szCs w:val="11"/>
                <w:b w:val="1"/>
                <w:bCs w:val="1"/>
                <w:color w:val="auto"/>
              </w:rPr>
              <w:t>nonaccrual loans</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2255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251" w:lineRule="exact"/>
        <w:rPr>
          <w:sz w:val="20"/>
          <w:szCs w:val="20"/>
          <w:color w:val="auto"/>
        </w:rPr>
      </w:pPr>
    </w:p>
    <w:p>
      <w:pPr>
        <w:ind w:left="180" w:right="220" w:hanging="172"/>
        <w:spacing w:after="0" w:line="249" w:lineRule="auto"/>
        <w:tabs>
          <w:tab w:leader="none" w:pos="177" w:val="left"/>
        </w:tabs>
        <w:numPr>
          <w:ilvl w:val="0"/>
          <w:numId w:val="34"/>
        </w:numPr>
        <w:rPr>
          <w:rFonts w:ascii="Arial" w:cs="Arial" w:eastAsia="Arial" w:hAnsi="Arial"/>
          <w:sz w:val="11"/>
          <w:szCs w:val="11"/>
          <w:color w:val="auto"/>
        </w:rPr>
      </w:pPr>
      <w:r>
        <w:rPr>
          <w:rFonts w:ascii="Arial" w:cs="Arial" w:eastAsia="Arial" w:hAnsi="Arial"/>
          <w:sz w:val="11"/>
          <w:szCs w:val="11"/>
          <w:color w:val="auto"/>
        </w:rPr>
        <w:t>Includes collateral-dependent loans, including those considered troubled debt restructurings (“TDRs”) and those for which foreclosure is deemed probable, modified PCD loans, and non-collateral dependent loans that have been modified or are reasonably expected to be modified in a TDR.</w:t>
      </w:r>
    </w:p>
    <w:p>
      <w:pPr>
        <w:ind w:left="180" w:right="20" w:hanging="172"/>
        <w:spacing w:after="0" w:line="243" w:lineRule="auto"/>
        <w:tabs>
          <w:tab w:leader="none" w:pos="177" w:val="left"/>
        </w:tabs>
        <w:numPr>
          <w:ilvl w:val="0"/>
          <w:numId w:val="34"/>
        </w:numPr>
        <w:rPr>
          <w:rFonts w:ascii="Arial" w:cs="Arial" w:eastAsia="Arial" w:hAnsi="Arial"/>
          <w:sz w:val="11"/>
          <w:szCs w:val="11"/>
          <w:color w:val="auto"/>
        </w:rPr>
      </w:pPr>
      <w:r>
        <w:rPr>
          <w:rFonts w:ascii="Arial" w:cs="Arial" w:eastAsia="Arial" w:hAnsi="Arial"/>
          <w:sz w:val="11"/>
          <w:szCs w:val="11"/>
          <w:color w:val="auto"/>
        </w:rPr>
        <w:t>The asset-specific credit card allowance for loan losses relates to loans that have been modified or are reasonably expected to be modified in a TDR; the Firm calculates this allowance based on the loans’ original contractual interest rates and does not consider any incremental penalty rates.</w:t>
      </w:r>
    </w:p>
    <w:p>
      <w:pPr>
        <w:ind w:left="160" w:hanging="152"/>
        <w:spacing w:after="0"/>
        <w:tabs>
          <w:tab w:leader="none" w:pos="160" w:val="left"/>
        </w:tabs>
        <w:numPr>
          <w:ilvl w:val="0"/>
          <w:numId w:val="34"/>
        </w:numPr>
        <w:rPr>
          <w:rFonts w:ascii="Arial" w:cs="Arial" w:eastAsia="Arial" w:hAnsi="Arial"/>
          <w:sz w:val="11"/>
          <w:szCs w:val="11"/>
          <w:color w:val="auto"/>
        </w:rPr>
      </w:pPr>
      <w:r>
        <w:rPr>
          <w:rFonts w:ascii="Arial" w:cs="Arial" w:eastAsia="Arial" w:hAnsi="Arial"/>
          <w:sz w:val="11"/>
          <w:szCs w:val="11"/>
          <w:color w:val="auto"/>
        </w:rPr>
        <w:t>Includes risk-rated loans that have been placed on nonaccrual status and loans that have been modified or are reasonably expected to be modified in a TDR.</w:t>
      </w:r>
    </w:p>
    <w:p>
      <w:pPr>
        <w:spacing w:after="0" w:line="8" w:lineRule="exact"/>
        <w:rPr>
          <w:rFonts w:ascii="Arial" w:cs="Arial" w:eastAsia="Arial" w:hAnsi="Arial"/>
          <w:sz w:val="11"/>
          <w:szCs w:val="11"/>
          <w:color w:val="auto"/>
        </w:rPr>
      </w:pPr>
    </w:p>
    <w:p>
      <w:pPr>
        <w:ind w:left="180" w:right="80" w:hanging="172"/>
        <w:spacing w:after="0" w:line="243" w:lineRule="auto"/>
        <w:tabs>
          <w:tab w:leader="none" w:pos="177" w:val="left"/>
        </w:tabs>
        <w:numPr>
          <w:ilvl w:val="0"/>
          <w:numId w:val="34"/>
        </w:numPr>
        <w:rPr>
          <w:rFonts w:ascii="Arial" w:cs="Arial" w:eastAsia="Arial" w:hAnsi="Arial"/>
          <w:sz w:val="11"/>
          <w:szCs w:val="11"/>
          <w:color w:val="auto"/>
        </w:rPr>
      </w:pPr>
      <w:r>
        <w:rPr>
          <w:rFonts w:ascii="Arial" w:cs="Arial" w:eastAsia="Arial" w:hAnsi="Arial"/>
          <w:sz w:val="11"/>
          <w:szCs w:val="11"/>
          <w:color w:val="auto"/>
        </w:rPr>
        <w:t>Management uses allowance for loan losses to period-end loans retained, excluding CIB’s trade finance and conduits, a non-GAAP financial measure, to provide a more meaningful assessment of the wholesale allowance coverage ratio.</w:t>
      </w:r>
    </w:p>
    <w:p>
      <w:pPr>
        <w:ind w:left="160" w:hanging="152"/>
        <w:spacing w:after="0"/>
        <w:tabs>
          <w:tab w:leader="none" w:pos="160" w:val="left"/>
        </w:tabs>
        <w:numPr>
          <w:ilvl w:val="0"/>
          <w:numId w:val="34"/>
        </w:numPr>
        <w:rPr>
          <w:rFonts w:ascii="Arial" w:cs="Arial" w:eastAsia="Arial" w:hAnsi="Arial"/>
          <w:sz w:val="11"/>
          <w:szCs w:val="11"/>
          <w:color w:val="auto"/>
        </w:rPr>
      </w:pPr>
      <w:r>
        <w:rPr>
          <w:rFonts w:ascii="Arial" w:cs="Arial" w:eastAsia="Arial" w:hAnsi="Arial"/>
          <w:sz w:val="11"/>
          <w:szCs w:val="11"/>
          <w:color w:val="auto"/>
        </w:rPr>
        <w:t>Refer to footnote (a) on page 26 for information on the Firm’s nonaccrual policy for credit card loans.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29</w:t>
      </w:r>
    </w:p>
    <w:p>
      <w:pPr>
        <w:sectPr>
          <w:pgSz w:w="11900" w:h="16838" w:orient="portrait"/>
          <w:cols w:equalWidth="0" w:num="1">
            <w:col w:w="11240"/>
          </w:cols>
          <w:pgMar w:left="320" w:top="572" w:right="339" w:bottom="1440" w:gutter="0" w:footer="0" w:header="0"/>
        </w:sectPr>
      </w:pPr>
    </w:p>
    <w:bookmarkStart w:id="41" w:name="page42"/>
    <w:bookmarkEnd w:id="41"/>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-36830</wp:posOffset>
            </wp:positionV>
            <wp:extent cx="237426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NON-GAAP FINANCIAL MEASURES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13" w:lineRule="exact"/>
        <w:rPr>
          <w:sz w:val="20"/>
          <w:szCs w:val="20"/>
          <w:color w:val="auto"/>
        </w:rPr>
      </w:pPr>
    </w:p>
    <w:p>
      <w:pPr>
        <w:ind w:left="340" w:right="60" w:hanging="332"/>
        <w:spacing w:after="0" w:line="259" w:lineRule="auto"/>
        <w:tabs>
          <w:tab w:leader="none" w:pos="335"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In addition to analyzing the Firm’s results on a reported basis, management reviews Firmwide results, including the overhead ratio, on a </w:t>
      </w:r>
      <w:r>
        <w:rPr>
          <w:rFonts w:ascii="Arial" w:cs="Arial" w:eastAsia="Arial" w:hAnsi="Arial"/>
          <w:sz w:val="16"/>
          <w:szCs w:val="16"/>
          <w:b w:val="1"/>
          <w:bCs w:val="1"/>
          <w:color w:val="auto"/>
        </w:rPr>
        <w:t>“managed”</w:t>
      </w:r>
      <w:r>
        <w:rPr>
          <w:rFonts w:ascii="Arial" w:cs="Arial" w:eastAsia="Arial" w:hAnsi="Arial"/>
          <w:sz w:val="16"/>
          <w:szCs w:val="16"/>
          <w:color w:val="auto"/>
        </w:rPr>
        <w:t xml:space="preserve"> </w:t>
      </w:r>
      <w:r>
        <w:rPr>
          <w:rFonts w:ascii="Arial" w:cs="Arial" w:eastAsia="Arial" w:hAnsi="Arial"/>
          <w:sz w:val="16"/>
          <w:szCs w:val="16"/>
          <w:b w:val="1"/>
          <w:bCs w:val="1"/>
          <w:color w:val="auto"/>
        </w:rPr>
        <w:t>basis</w:t>
      </w:r>
      <w:r>
        <w:rPr>
          <w:rFonts w:ascii="Arial" w:cs="Arial" w:eastAsia="Arial" w:hAnsi="Arial"/>
          <w:sz w:val="16"/>
          <w:szCs w:val="16"/>
          <w:color w:val="auto"/>
        </w:rPr>
        <w:t>; these Firmwide managed basis results are non-GAAP financial measures. The Firm also reviews the results of the lines of business on a</w:t>
      </w:r>
      <w:r>
        <w:rPr>
          <w:rFonts w:ascii="Arial" w:cs="Arial" w:eastAsia="Arial" w:hAnsi="Arial"/>
          <w:sz w:val="16"/>
          <w:szCs w:val="16"/>
          <w:b w:val="1"/>
          <w:bCs w:val="1"/>
          <w:color w:val="auto"/>
        </w:rPr>
        <w:t xml:space="preserve"> </w:t>
      </w:r>
      <w:r>
        <w:rPr>
          <w:rFonts w:ascii="Arial" w:cs="Arial" w:eastAsia="Arial" w:hAnsi="Arial"/>
          <w:sz w:val="16"/>
          <w:szCs w:val="16"/>
          <w:color w:val="auto"/>
        </w:rPr>
        <w:t>managed basis. The Firm’s definition of managed basis starts, in each case, with the reported U.S. GAAP results and includes certain reclassifications to present total net revenue for the Firm and each of the reportable business segments on an FTE basis. Accordingly, revenue from investments that receive tax credits and tax-exempt securities is presented in the managed results on a basis comparable to taxable investments and securities. These financial measures allow management to assess the comparability of revenue from year-to-year arising from both taxable and tax-exempt sources. The corresponding income tax impact related to tax-exempt items is recorded within income tax expense. These adjustments have no impact on net income as reported by the Firm as a whole or by the lines of business.</w:t>
      </w:r>
    </w:p>
    <w:p>
      <w:pPr>
        <w:spacing w:after="0" w:line="18" w:lineRule="exact"/>
        <w:rPr>
          <w:rFonts w:ascii="Arial" w:cs="Arial" w:eastAsia="Arial" w:hAnsi="Arial"/>
          <w:sz w:val="16"/>
          <w:szCs w:val="16"/>
          <w:color w:val="auto"/>
        </w:rPr>
      </w:pPr>
    </w:p>
    <w:p>
      <w:pPr>
        <w:ind w:left="340" w:right="260" w:hanging="332"/>
        <w:spacing w:after="0" w:line="290" w:lineRule="auto"/>
        <w:tabs>
          <w:tab w:leader="none" w:pos="335"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 xml:space="preserve">Pre-provision profit </w:t>
      </w:r>
      <w:r>
        <w:rPr>
          <w:rFonts w:ascii="Arial" w:cs="Arial" w:eastAsia="Arial" w:hAnsi="Arial"/>
          <w:sz w:val="16"/>
          <w:szCs w:val="16"/>
          <w:color w:val="auto"/>
        </w:rPr>
        <w:t>is a non-GAAP financial measure which represents total net revenue less total noninterest expense. The Firm believes that this</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measure is useful in assessing the ability of a lending institution to generate income in excess of its provision for credit losses.</w:t>
      </w:r>
    </w:p>
    <w:p>
      <w:pPr>
        <w:ind w:left="340" w:right="200" w:hanging="332"/>
        <w:spacing w:after="0" w:line="265"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 xml:space="preserve">TCE, ROTCE, and TBVPS </w:t>
      </w:r>
      <w:r>
        <w:rPr>
          <w:rFonts w:ascii="Arial" w:cs="Arial" w:eastAsia="Arial" w:hAnsi="Arial"/>
          <w:sz w:val="16"/>
          <w:szCs w:val="16"/>
          <w:color w:val="auto"/>
        </w:rPr>
        <w:t>are each non-GAAP financial measures. TCE represents the Firm’s common stockholders’ equity (i.e., total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equity less preferred stock) less goodwill and identifiable intangible assets (other than MSRs), net of related deferred tax liabilities. ROTCE measures the Firm’s net income applicable to common equity as a percentage of average TCE. TBVPS represents the Firm’s TCE at period-end divided by common shares at period-end. TCE, ROTCE, and TBVPS are utilized by the Firm, as well as investors and analysts, in assessing the Firm’s use of equity.</w:t>
      </w:r>
    </w:p>
    <w:p>
      <w:pPr>
        <w:spacing w:after="0" w:line="10" w:lineRule="exact"/>
        <w:rPr>
          <w:rFonts w:ascii="Arial" w:cs="Arial" w:eastAsia="Arial" w:hAnsi="Arial"/>
          <w:sz w:val="16"/>
          <w:szCs w:val="16"/>
          <w:color w:val="auto"/>
        </w:rPr>
      </w:pPr>
    </w:p>
    <w:p>
      <w:pPr>
        <w:ind w:left="340" w:right="120" w:hanging="332"/>
        <w:spacing w:after="0" w:line="275" w:lineRule="auto"/>
        <w:tabs>
          <w:tab w:leader="none" w:pos="335"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The ratio of the wholesale and CIB’s </w:t>
      </w:r>
      <w:r>
        <w:rPr>
          <w:rFonts w:ascii="Arial" w:cs="Arial" w:eastAsia="Arial" w:hAnsi="Arial"/>
          <w:sz w:val="16"/>
          <w:szCs w:val="16"/>
          <w:b w:val="1"/>
          <w:bCs w:val="1"/>
          <w:color w:val="auto"/>
        </w:rPr>
        <w:t>allowance for loan losses to period-end loans retained, excluding trade finance and conduits</w:t>
      </w:r>
      <w:r>
        <w:rPr>
          <w:rFonts w:ascii="Arial" w:cs="Arial" w:eastAsia="Arial" w:hAnsi="Arial"/>
          <w:sz w:val="16"/>
          <w:szCs w:val="16"/>
          <w:color w:val="auto"/>
        </w:rPr>
        <w:t>, is calculated excluding loans accounted for at fair value, loans held-for-sale, CIB’s trade finance loans and consolidated Firm-administered multi-seller conduits, as well as their related allowances, to provide a more meaningful assessment of the respective allowance coverage ratio.</w:t>
      </w:r>
    </w:p>
    <w:p>
      <w:pPr>
        <w:spacing w:after="0" w:line="2" w:lineRule="exact"/>
        <w:rPr>
          <w:rFonts w:ascii="Arial" w:cs="Arial" w:eastAsia="Arial" w:hAnsi="Arial"/>
          <w:sz w:val="16"/>
          <w:szCs w:val="16"/>
          <w:color w:val="auto"/>
        </w:rPr>
      </w:pPr>
    </w:p>
    <w:p>
      <w:pPr>
        <w:ind w:left="340" w:hanging="332"/>
        <w:spacing w:after="0" w:line="258" w:lineRule="auto"/>
        <w:tabs>
          <w:tab w:leader="none" w:pos="335"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In addition to reviewing net interest income (“NII”), net yield, and noninterest revenue (“NIR”) on a managed basis, management also reviews these metrics </w:t>
      </w:r>
      <w:r>
        <w:rPr>
          <w:rFonts w:ascii="Arial" w:cs="Arial" w:eastAsia="Arial" w:hAnsi="Arial"/>
          <w:sz w:val="16"/>
          <w:szCs w:val="16"/>
          <w:b w:val="1"/>
          <w:bCs w:val="1"/>
          <w:color w:val="auto"/>
        </w:rPr>
        <w:t>excluding CIB Markets</w:t>
      </w:r>
      <w:r>
        <w:rPr>
          <w:rFonts w:ascii="Arial" w:cs="Arial" w:eastAsia="Arial" w:hAnsi="Arial"/>
          <w:sz w:val="16"/>
          <w:szCs w:val="16"/>
          <w:color w:val="auto"/>
        </w:rPr>
        <w:t xml:space="preserve"> (“Markets”, which is composed of Fixed Income Markets and Equity Markets), as shown below. Markets revenue consists of principal transactions, fees, commissions and other income, as well as net interest income.These metrics, which exclude Markets, are non-GAAP financial measures. Management reviews these metrics to assess the performance of the Firm’s lending, investing (including asset-liability management) and deposit-raising activities, apart from any volatility associated with Markets activities. In addition, management also assesses Markets business performance on a total revenue basis as offsets may occur across revenue lines. For example, securities that generate net interest income may be risk-managed by derivatives that are reflected at fair value in principal transactions revenue. Management believes these measures provide investors and analysts with alternative measures to analyze the revenue trends of the Firm. For additional information on Markets revenue, refer to page 70 of the Firm’s 2021 Form 10-K.</w:t>
      </w:r>
    </w:p>
    <w:p>
      <w:pPr>
        <w:spacing w:after="0" w:line="70" w:lineRule="exact"/>
        <w:rPr>
          <w:sz w:val="20"/>
          <w:szCs w:val="20"/>
          <w:color w:val="auto"/>
        </w:rPr>
      </w:pPr>
    </w:p>
    <w:tbl>
      <w:tblPr>
        <w:tblLayout w:type="fixed"/>
        <w:tblInd w:w="340" w:type="dxa"/>
        <w:tblCellMar>
          <w:top w:w="0" w:type="dxa"/>
          <w:left w:w="0" w:type="dxa"/>
          <w:bottom w:w="0" w:type="dxa"/>
          <w:right w:w="0" w:type="dxa"/>
        </w:tblCellMar>
      </w:tblPr>
      <w:tr>
        <w:trPr>
          <w:trHeight w:val="155"/>
        </w:trPr>
        <w:tc>
          <w:tcPr>
            <w:tcW w:w="20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5"/>
          </w:tcPr>
          <w:p>
            <w:pPr>
              <w:ind w:left="360"/>
              <w:spacing w:after="0"/>
              <w:rPr>
                <w:sz w:val="20"/>
                <w:szCs w:val="20"/>
                <w:color w:val="auto"/>
              </w:rPr>
            </w:pPr>
            <w:r>
              <w:rPr>
                <w:rFonts w:ascii="Arial" w:cs="Arial" w:eastAsia="Arial" w:hAnsi="Arial"/>
                <w:sz w:val="11"/>
                <w:szCs w:val="11"/>
                <w:b w:val="1"/>
                <w:bCs w:val="1"/>
                <w:color w:val="auto"/>
              </w:rPr>
              <w:t>QUARTERLY TRENDS</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1"/>
                <w:szCs w:val="11"/>
                <w:b w:val="1"/>
                <w:bCs w:val="1"/>
                <w:color w:val="auto"/>
              </w:rPr>
              <w:t>FULL YEAR</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3"/>
            <w:vMerge w:val="restart"/>
          </w:tcPr>
          <w:p>
            <w:pPr>
              <w:jc w:val="right"/>
              <w:ind w:right="166"/>
              <w:spacing w:after="0"/>
              <w:rPr>
                <w:sz w:val="20"/>
                <w:szCs w:val="20"/>
                <w:color w:val="auto"/>
              </w:rPr>
            </w:pPr>
            <w:r>
              <w:rPr>
                <w:rFonts w:ascii="Arial" w:cs="Arial" w:eastAsia="Arial" w:hAnsi="Arial"/>
                <w:sz w:val="11"/>
                <w:szCs w:val="11"/>
                <w:b w:val="1"/>
                <w:bCs w:val="1"/>
                <w:color w:val="auto"/>
              </w:rPr>
              <w:t>4Q22 Change</w:t>
            </w:r>
          </w:p>
        </w:tc>
        <w:tc>
          <w:tcPr>
            <w:tcW w:w="20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gridSpan w:val="2"/>
          </w:tcPr>
          <w:p>
            <w:pPr>
              <w:jc w:val="right"/>
              <w:ind w:right="166"/>
              <w:spacing w:after="0" w:line="109" w:lineRule="exact"/>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55"/>
        </w:trPr>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Borders>
              <w:bottom w:val="single" w:sz="8" w:color="auto"/>
            </w:tcBorders>
            <w:gridSpan w:val="3"/>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5"/>
        </w:trPr>
        <w:tc>
          <w:tcPr>
            <w:tcW w:w="2020" w:type="dxa"/>
            <w:vAlign w:val="bottom"/>
          </w:tcPr>
          <w:p>
            <w:pPr>
              <w:ind w:left="20"/>
              <w:spacing w:after="0"/>
              <w:rPr>
                <w:sz w:val="20"/>
                <w:szCs w:val="20"/>
                <w:color w:val="auto"/>
              </w:rPr>
            </w:pPr>
            <w:r>
              <w:rPr>
                <w:rFonts w:ascii="Arial" w:cs="Arial" w:eastAsia="Arial" w:hAnsi="Arial"/>
                <w:sz w:val="11"/>
                <w:szCs w:val="11"/>
                <w:color w:val="auto"/>
              </w:rPr>
              <w:t>(in millions, except rates)</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4Q22</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3Q22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2Q22</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1Q22</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4Q21</w:t>
            </w:r>
          </w:p>
        </w:tc>
        <w:tc>
          <w:tcPr>
            <w:tcW w:w="180" w:type="dxa"/>
            <w:vAlign w:val="bottom"/>
          </w:tcPr>
          <w:p>
            <w:pPr>
              <w:spacing w:after="0"/>
              <w:rPr>
                <w:sz w:val="13"/>
                <w:szCs w:val="13"/>
                <w:color w:val="auto"/>
              </w:rPr>
            </w:pPr>
          </w:p>
        </w:tc>
        <w:tc>
          <w:tcPr>
            <w:tcW w:w="4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3Q22</w:t>
            </w:r>
          </w:p>
        </w:tc>
        <w:tc>
          <w:tcPr>
            <w:tcW w:w="180" w:type="dxa"/>
            <w:vAlign w:val="bottom"/>
          </w:tcPr>
          <w:p>
            <w:pPr>
              <w:spacing w:after="0"/>
              <w:rPr>
                <w:sz w:val="13"/>
                <w:szCs w:val="13"/>
                <w:color w:val="auto"/>
              </w:rPr>
            </w:pPr>
          </w:p>
        </w:tc>
        <w:tc>
          <w:tcPr>
            <w:tcW w:w="4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4Q21</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2022</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2021</w:t>
            </w: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291"/>
        </w:trPr>
        <w:tc>
          <w:tcPr>
            <w:tcW w:w="2020" w:type="dxa"/>
            <w:vAlign w:val="bottom"/>
          </w:tcPr>
          <w:p>
            <w:pPr>
              <w:ind w:left="20"/>
              <w:spacing w:after="0"/>
              <w:rPr>
                <w:sz w:val="20"/>
                <w:szCs w:val="20"/>
                <w:color w:val="auto"/>
              </w:rPr>
            </w:pPr>
            <w:r>
              <w:rPr>
                <w:rFonts w:ascii="Arial" w:cs="Arial" w:eastAsia="Arial" w:hAnsi="Arial"/>
                <w:sz w:val="11"/>
                <w:szCs w:val="11"/>
                <w:color w:val="auto"/>
              </w:rPr>
              <w:t>Net interest income - reported</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20,192</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17,518</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15,128</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13,872</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13,601</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15 %</w:t>
            </w: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48 %</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66,710</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52,311</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28 %</w:t>
            </w: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rPr>
                <w:sz w:val="20"/>
                <w:szCs w:val="20"/>
                <w:color w:val="auto"/>
              </w:rPr>
            </w:pPr>
            <w:r>
              <w:rPr>
                <w:rFonts w:ascii="Arial" w:cs="Arial" w:eastAsia="Arial" w:hAnsi="Arial"/>
                <w:sz w:val="11"/>
                <w:szCs w:val="11"/>
                <w:color w:val="auto"/>
              </w:rPr>
              <w:t>Fully taxable-equivalent adjustments</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121</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112</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103</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98</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108</w:t>
            </w:r>
          </w:p>
        </w:tc>
        <w:tc>
          <w:tcPr>
            <w:tcW w:w="66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180" w:type="dxa"/>
            <w:vAlign w:val="bottom"/>
          </w:tcPr>
          <w:p>
            <w:pPr>
              <w:spacing w:after="0"/>
              <w:rPr>
                <w:sz w:val="15"/>
                <w:szCs w:val="15"/>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12</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434</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430</w:t>
            </w:r>
          </w:p>
        </w:tc>
        <w:tc>
          <w:tcPr>
            <w:tcW w:w="88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2"/>
        </w:trPr>
        <w:tc>
          <w:tcPr>
            <w:tcW w:w="2020" w:type="dxa"/>
            <w:vAlign w:val="bottom"/>
          </w:tcPr>
          <w:p>
            <w:pPr>
              <w:ind w:left="20"/>
              <w:spacing w:after="0"/>
              <w:rPr>
                <w:sz w:val="20"/>
                <w:szCs w:val="20"/>
                <w:color w:val="auto"/>
              </w:rPr>
            </w:pPr>
            <w:r>
              <w:rPr>
                <w:rFonts w:ascii="Arial" w:cs="Arial" w:eastAsia="Arial" w:hAnsi="Arial"/>
                <w:sz w:val="11"/>
                <w:szCs w:val="11"/>
                <w:color w:val="auto"/>
              </w:rPr>
              <w:t>Net interest income - managed basis (a)</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20,313</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17,630</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15,231</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13,970</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13,709</w:t>
            </w:r>
          </w:p>
        </w:tc>
        <w:tc>
          <w:tcPr>
            <w:tcW w:w="660" w:type="dxa"/>
            <w:vAlign w:val="bottom"/>
            <w:gridSpan w:val="2"/>
          </w:tcPr>
          <w:p>
            <w:pPr>
              <w:jc w:val="right"/>
              <w:ind w:right="86"/>
              <w:spacing w:after="0"/>
              <w:rPr>
                <w:sz w:val="20"/>
                <w:szCs w:val="20"/>
                <w:color w:val="auto"/>
              </w:rPr>
            </w:pPr>
            <w:r>
              <w:rPr>
                <w:rFonts w:ascii="Arial" w:cs="Arial" w:eastAsia="Arial" w:hAnsi="Arial"/>
                <w:sz w:val="11"/>
                <w:szCs w:val="11"/>
                <w:color w:val="auto"/>
              </w:rPr>
              <w:t>15</w:t>
            </w:r>
          </w:p>
        </w:tc>
        <w:tc>
          <w:tcPr>
            <w:tcW w:w="180" w:type="dxa"/>
            <w:vAlign w:val="bottom"/>
          </w:tcPr>
          <w:p>
            <w:pPr>
              <w:spacing w:after="0"/>
              <w:rPr>
                <w:sz w:val="12"/>
                <w:szCs w:val="12"/>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48</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67,144</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52,741</w:t>
            </w:r>
          </w:p>
        </w:tc>
        <w:tc>
          <w:tcPr>
            <w:tcW w:w="880" w:type="dxa"/>
            <w:vAlign w:val="bottom"/>
            <w:gridSpan w:val="2"/>
          </w:tcPr>
          <w:p>
            <w:pPr>
              <w:jc w:val="right"/>
              <w:ind w:right="106"/>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rPr>
                <w:sz w:val="20"/>
                <w:szCs w:val="20"/>
                <w:color w:val="auto"/>
              </w:rPr>
            </w:pPr>
            <w:r>
              <w:rPr>
                <w:rFonts w:ascii="Arial" w:cs="Arial" w:eastAsia="Arial" w:hAnsi="Arial"/>
                <w:sz w:val="11"/>
                <w:szCs w:val="11"/>
                <w:color w:val="auto"/>
              </w:rPr>
              <w:t>Less: Markets net interest income</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315</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707</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1,549</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2,218</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2,066</w:t>
            </w:r>
          </w:p>
        </w:tc>
        <w:tc>
          <w:tcPr>
            <w:tcW w:w="660" w:type="dxa"/>
            <w:vAlign w:val="bottom"/>
            <w:gridSpan w:val="2"/>
          </w:tcPr>
          <w:p>
            <w:pPr>
              <w:jc w:val="right"/>
              <w:ind w:right="66"/>
              <w:spacing w:after="0"/>
              <w:rPr>
                <w:sz w:val="20"/>
                <w:szCs w:val="20"/>
                <w:color w:val="auto"/>
              </w:rPr>
            </w:pPr>
            <w:r>
              <w:rPr>
                <w:rFonts w:ascii="Arial" w:cs="Arial" w:eastAsia="Arial" w:hAnsi="Arial"/>
                <w:sz w:val="11"/>
                <w:szCs w:val="11"/>
                <w:color w:val="auto"/>
              </w:rPr>
              <w:t>(55)</w:t>
            </w:r>
          </w:p>
        </w:tc>
        <w:tc>
          <w:tcPr>
            <w:tcW w:w="180" w:type="dxa"/>
            <w:vAlign w:val="bottom"/>
          </w:tcPr>
          <w:p>
            <w:pPr>
              <w:spacing w:after="0"/>
              <w:rPr>
                <w:sz w:val="15"/>
                <w:szCs w:val="15"/>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(85)</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4,789</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8,243</w:t>
            </w:r>
          </w:p>
        </w:tc>
        <w:tc>
          <w:tcPr>
            <w:tcW w:w="880" w:type="dxa"/>
            <w:vAlign w:val="bottom"/>
            <w:gridSpan w:val="2"/>
          </w:tcPr>
          <w:p>
            <w:pPr>
              <w:jc w:val="right"/>
              <w:ind w:right="66"/>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95"/>
        </w:trPr>
        <w:tc>
          <w:tcPr>
            <w:tcW w:w="202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Net interest income excluding Markets</w:t>
            </w: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19,998</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16,923</w:t>
            </w:r>
          </w:p>
        </w:tc>
        <w:tc>
          <w:tcPr>
            <w:tcW w:w="1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13,682</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11,752</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11,643</w:t>
            </w:r>
          </w:p>
        </w:tc>
        <w:tc>
          <w:tcPr>
            <w:tcW w:w="66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18</w:t>
            </w:r>
          </w:p>
        </w:tc>
        <w:tc>
          <w:tcPr>
            <w:tcW w:w="180" w:type="dxa"/>
            <w:vAlign w:val="bottom"/>
          </w:tcPr>
          <w:p>
            <w:pPr>
              <w:spacing w:after="0"/>
              <w:rPr>
                <w:sz w:val="8"/>
                <w:szCs w:val="8"/>
                <w:color w:val="auto"/>
              </w:rPr>
            </w:pPr>
          </w:p>
        </w:tc>
        <w:tc>
          <w:tcPr>
            <w:tcW w:w="480" w:type="dxa"/>
            <w:vAlign w:val="bottom"/>
            <w:vMerge w:val="restart"/>
          </w:tcPr>
          <w:p>
            <w:pPr>
              <w:jc w:val="right"/>
              <w:ind w:right="86"/>
              <w:spacing w:after="0"/>
              <w:rPr>
                <w:sz w:val="20"/>
                <w:szCs w:val="20"/>
                <w:color w:val="auto"/>
              </w:rPr>
            </w:pPr>
            <w:r>
              <w:rPr>
                <w:rFonts w:ascii="Arial" w:cs="Arial" w:eastAsia="Arial" w:hAnsi="Arial"/>
                <w:sz w:val="11"/>
                <w:szCs w:val="11"/>
                <w:color w:val="auto"/>
              </w:rPr>
              <w:t>72</w:t>
            </w:r>
          </w:p>
        </w:tc>
        <w:tc>
          <w:tcPr>
            <w:tcW w:w="2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62,355</w:t>
            </w:r>
          </w:p>
        </w:tc>
        <w:tc>
          <w:tcPr>
            <w:tcW w:w="2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44,498</w:t>
            </w:r>
          </w:p>
        </w:tc>
        <w:tc>
          <w:tcPr>
            <w:tcW w:w="88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60"/>
        </w:trPr>
        <w:tc>
          <w:tcPr>
            <w:tcW w:w="20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20" w:type="dxa"/>
            <w:vAlign w:val="bottom"/>
          </w:tcPr>
          <w:p>
            <w:pPr>
              <w:ind w:left="20"/>
              <w:spacing w:after="0"/>
              <w:rPr>
                <w:sz w:val="20"/>
                <w:szCs w:val="20"/>
                <w:color w:val="auto"/>
              </w:rPr>
            </w:pPr>
            <w:r>
              <w:rPr>
                <w:rFonts w:ascii="Arial" w:cs="Arial" w:eastAsia="Arial" w:hAnsi="Arial"/>
                <w:sz w:val="11"/>
                <w:szCs w:val="11"/>
                <w:color w:val="auto"/>
              </w:rPr>
              <w:t>Average interest-earning assets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3,265,071</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3,344,949</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3,385,894</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3,401,951</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3,337,855</w:t>
            </w:r>
          </w:p>
        </w:tc>
        <w:tc>
          <w:tcPr>
            <w:tcW w:w="66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24"/>
                <w:szCs w:val="24"/>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3,349,079</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3,215,942</w:t>
            </w:r>
          </w:p>
        </w:tc>
        <w:tc>
          <w:tcPr>
            <w:tcW w:w="88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8"/>
        </w:trPr>
        <w:tc>
          <w:tcPr>
            <w:tcW w:w="2020" w:type="dxa"/>
            <w:vAlign w:val="bottom"/>
          </w:tcPr>
          <w:p>
            <w:pPr>
              <w:ind w:left="20"/>
              <w:spacing w:after="0"/>
              <w:rPr>
                <w:sz w:val="20"/>
                <w:szCs w:val="20"/>
                <w:color w:val="auto"/>
              </w:rPr>
            </w:pPr>
            <w:r>
              <w:rPr>
                <w:rFonts w:ascii="Arial" w:cs="Arial" w:eastAsia="Arial" w:hAnsi="Arial"/>
                <w:sz w:val="11"/>
                <w:szCs w:val="11"/>
                <w:color w:val="auto"/>
              </w:rPr>
              <w:t>Less: Average Markets interest-earning</w:t>
            </w: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939,420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952,488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957,304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963,845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908,093</w:t>
            </w:r>
          </w:p>
        </w:tc>
        <w:tc>
          <w:tcPr>
            <w:tcW w:w="66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1"/>
                <w:szCs w:val="11"/>
                <w:color w:val="auto"/>
              </w:rPr>
            </w:pPr>
          </w:p>
        </w:tc>
        <w:tc>
          <w:tcPr>
            <w:tcW w:w="480" w:type="dxa"/>
            <w:vAlign w:val="bottom"/>
            <w:vMerge w:val="restart"/>
          </w:tcPr>
          <w:p>
            <w:pPr>
              <w:jc w:val="right"/>
              <w:ind w:right="8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953,195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888,238</w:t>
            </w:r>
          </w:p>
        </w:tc>
        <w:tc>
          <w:tcPr>
            <w:tcW w:w="88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5"/>
        </w:trPr>
        <w:tc>
          <w:tcPr>
            <w:tcW w:w="2020" w:type="dxa"/>
            <w:vAlign w:val="bottom"/>
          </w:tcPr>
          <w:p>
            <w:pPr>
              <w:ind w:left="20"/>
              <w:spacing w:after="0"/>
              <w:rPr>
                <w:sz w:val="20"/>
                <w:szCs w:val="20"/>
                <w:color w:val="auto"/>
              </w:rPr>
            </w:pPr>
            <w:r>
              <w:rPr>
                <w:rFonts w:ascii="Arial" w:cs="Arial" w:eastAsia="Arial" w:hAnsi="Arial"/>
                <w:sz w:val="11"/>
                <w:szCs w:val="11"/>
                <w:color w:val="auto"/>
              </w:rPr>
              <w:t>assets</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2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Average interest-earning assets</w:t>
            </w: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97"/>
              </w:rPr>
              <w:t>2,325,651</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w w:val="97"/>
              </w:rPr>
              <w:t>2,392,461</w:t>
            </w:r>
          </w:p>
        </w:tc>
        <w:tc>
          <w:tcPr>
            <w:tcW w:w="1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w w:val="93"/>
              </w:rPr>
              <w:t>2,428,590</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w w:val="93"/>
              </w:rPr>
              <w:t>2,438,106</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97"/>
              </w:rPr>
              <w:t>2,429,762</w:t>
            </w:r>
          </w:p>
        </w:tc>
        <w:tc>
          <w:tcPr>
            <w:tcW w:w="66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8"/>
                <w:szCs w:val="8"/>
                <w:color w:val="auto"/>
              </w:rPr>
            </w:pPr>
          </w:p>
        </w:tc>
        <w:tc>
          <w:tcPr>
            <w:tcW w:w="480" w:type="dxa"/>
            <w:vAlign w:val="bottom"/>
            <w:vMerge w:val="restart"/>
          </w:tcPr>
          <w:p>
            <w:pPr>
              <w:jc w:val="right"/>
              <w:ind w:right="6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97"/>
              </w:rPr>
              <w:t>2,395,884</w:t>
            </w:r>
          </w:p>
        </w:tc>
        <w:tc>
          <w:tcPr>
            <w:tcW w:w="2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97"/>
              </w:rPr>
              <w:t>2,327,704</w:t>
            </w:r>
          </w:p>
        </w:tc>
        <w:tc>
          <w:tcPr>
            <w:tcW w:w="88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0"/>
        </w:trPr>
        <w:tc>
          <w:tcPr>
            <w:tcW w:w="2020" w:type="dxa"/>
            <w:vAlign w:val="bottom"/>
          </w:tcPr>
          <w:p>
            <w:pPr>
              <w:ind w:left="20"/>
              <w:spacing w:after="0"/>
              <w:rPr>
                <w:sz w:val="20"/>
                <w:szCs w:val="20"/>
                <w:color w:val="auto"/>
              </w:rPr>
            </w:pPr>
            <w:r>
              <w:rPr>
                <w:rFonts w:ascii="Arial" w:cs="Arial" w:eastAsia="Arial" w:hAnsi="Arial"/>
                <w:sz w:val="11"/>
                <w:szCs w:val="11"/>
                <w:b w:val="1"/>
                <w:bCs w:val="1"/>
                <w:color w:val="auto"/>
              </w:rPr>
              <w:t>excluding Markets</w:t>
            </w: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20" w:type="dxa"/>
            <w:vAlign w:val="bottom"/>
          </w:tcPr>
          <w:p>
            <w:pPr>
              <w:ind w:left="20"/>
              <w:spacing w:after="0"/>
              <w:rPr>
                <w:sz w:val="20"/>
                <w:szCs w:val="20"/>
                <w:color w:val="auto"/>
              </w:rPr>
            </w:pPr>
            <w:r>
              <w:rPr>
                <w:rFonts w:ascii="Arial" w:cs="Arial" w:eastAsia="Arial" w:hAnsi="Arial"/>
                <w:sz w:val="11"/>
                <w:szCs w:val="11"/>
                <w:color w:val="auto"/>
              </w:rPr>
              <w:t>Net yield on average interest-earning</w:t>
            </w:r>
          </w:p>
        </w:tc>
        <w:tc>
          <w:tcPr>
            <w:tcW w:w="80" w:type="dxa"/>
            <w:vAlign w:val="bottom"/>
          </w:tcPr>
          <w:p>
            <w:pPr>
              <w:spacing w:after="0"/>
              <w:rPr>
                <w:sz w:val="22"/>
                <w:szCs w:val="22"/>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2.47 %</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2.09 %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1.80 %</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1.67 %</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1.63 %</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2.00 %</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1.64 %</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020" w:type="dxa"/>
            <w:vAlign w:val="bottom"/>
          </w:tcPr>
          <w:p>
            <w:pPr>
              <w:ind w:left="20"/>
              <w:spacing w:after="0"/>
              <w:rPr>
                <w:sz w:val="20"/>
                <w:szCs w:val="20"/>
                <w:color w:val="auto"/>
              </w:rPr>
            </w:pPr>
            <w:r>
              <w:rPr>
                <w:rFonts w:ascii="Arial" w:cs="Arial" w:eastAsia="Arial" w:hAnsi="Arial"/>
                <w:sz w:val="11"/>
                <w:szCs w:val="11"/>
                <w:color w:val="auto"/>
              </w:rPr>
              <w:t>assets - managed basis</w:t>
            </w: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20" w:type="dxa"/>
            <w:vAlign w:val="bottom"/>
          </w:tcPr>
          <w:p>
            <w:pPr>
              <w:ind w:left="20"/>
              <w:spacing w:after="0"/>
              <w:rPr>
                <w:sz w:val="20"/>
                <w:szCs w:val="20"/>
                <w:color w:val="auto"/>
              </w:rPr>
            </w:pPr>
            <w:r>
              <w:rPr>
                <w:rFonts w:ascii="Arial" w:cs="Arial" w:eastAsia="Arial" w:hAnsi="Arial"/>
                <w:sz w:val="11"/>
                <w:szCs w:val="11"/>
                <w:color w:val="auto"/>
              </w:rPr>
              <w:t>Net yield on average Markets interest-</w:t>
            </w: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0.13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0.29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0.65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0.93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0.90</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0.50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0.93</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20" w:type="dxa"/>
            <w:vAlign w:val="bottom"/>
          </w:tcPr>
          <w:p>
            <w:pPr>
              <w:ind w:left="20"/>
              <w:spacing w:after="0"/>
              <w:rPr>
                <w:sz w:val="20"/>
                <w:szCs w:val="20"/>
                <w:color w:val="auto"/>
              </w:rPr>
            </w:pPr>
            <w:r>
              <w:rPr>
                <w:rFonts w:ascii="Arial" w:cs="Arial" w:eastAsia="Arial" w:hAnsi="Arial"/>
                <w:sz w:val="11"/>
                <w:szCs w:val="11"/>
                <w:color w:val="auto"/>
              </w:rPr>
              <w:t>earning assets</w:t>
            </w: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20" w:type="dxa"/>
            <w:vAlign w:val="bottom"/>
          </w:tcPr>
          <w:p>
            <w:pPr>
              <w:ind w:left="20"/>
              <w:spacing w:after="0"/>
              <w:rPr>
                <w:sz w:val="20"/>
                <w:szCs w:val="20"/>
                <w:color w:val="auto"/>
              </w:rPr>
            </w:pPr>
            <w:r>
              <w:rPr>
                <w:rFonts w:ascii="Arial" w:cs="Arial" w:eastAsia="Arial" w:hAnsi="Arial"/>
                <w:sz w:val="11"/>
                <w:szCs w:val="11"/>
                <w:b w:val="1"/>
                <w:bCs w:val="1"/>
                <w:color w:val="auto"/>
              </w:rPr>
              <w:t>Net yield on average interest-earning</w:t>
            </w: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3.41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2.81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2.26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1.95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1.90</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2.60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1.91</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20" w:type="dxa"/>
            <w:vAlign w:val="bottom"/>
          </w:tcPr>
          <w:p>
            <w:pPr>
              <w:ind w:left="20"/>
              <w:spacing w:after="0"/>
              <w:rPr>
                <w:sz w:val="20"/>
                <w:szCs w:val="20"/>
                <w:color w:val="auto"/>
              </w:rPr>
            </w:pPr>
            <w:r>
              <w:rPr>
                <w:rFonts w:ascii="Arial" w:cs="Arial" w:eastAsia="Arial" w:hAnsi="Arial"/>
                <w:sz w:val="11"/>
                <w:szCs w:val="11"/>
                <w:b w:val="1"/>
                <w:bCs w:val="1"/>
                <w:color w:val="auto"/>
              </w:rPr>
              <w:t>assets excluding Markets</w:t>
            </w: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2020" w:type="dxa"/>
            <w:vAlign w:val="bottom"/>
          </w:tcPr>
          <w:p>
            <w:pPr>
              <w:ind w:left="20"/>
              <w:spacing w:after="0"/>
              <w:rPr>
                <w:sz w:val="20"/>
                <w:szCs w:val="20"/>
                <w:color w:val="auto"/>
              </w:rPr>
            </w:pPr>
            <w:r>
              <w:rPr>
                <w:rFonts w:ascii="Arial" w:cs="Arial" w:eastAsia="Arial" w:hAnsi="Arial"/>
                <w:sz w:val="11"/>
                <w:szCs w:val="11"/>
                <w:color w:val="auto"/>
              </w:rPr>
              <w:t>Noninterest revenue - reported</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14,355</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15,198</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15,587</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16,845</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15,656</w:t>
            </w:r>
          </w:p>
        </w:tc>
        <w:tc>
          <w:tcPr>
            <w:tcW w:w="660" w:type="dxa"/>
            <w:vAlign w:val="bottom"/>
            <w:gridSpan w:val="2"/>
          </w:tcPr>
          <w:p>
            <w:pPr>
              <w:jc w:val="right"/>
              <w:ind w:right="66"/>
              <w:spacing w:after="0"/>
              <w:rPr>
                <w:sz w:val="20"/>
                <w:szCs w:val="20"/>
                <w:color w:val="auto"/>
              </w:rPr>
            </w:pPr>
            <w:r>
              <w:rPr>
                <w:rFonts w:ascii="Arial" w:cs="Arial" w:eastAsia="Arial" w:hAnsi="Arial"/>
                <w:sz w:val="11"/>
                <w:szCs w:val="11"/>
                <w:color w:val="auto"/>
              </w:rPr>
              <w:t>(6)</w:t>
            </w:r>
          </w:p>
        </w:tc>
        <w:tc>
          <w:tcPr>
            <w:tcW w:w="180" w:type="dxa"/>
            <w:vAlign w:val="bottom"/>
          </w:tcPr>
          <w:p>
            <w:pPr>
              <w:spacing w:after="0"/>
              <w:rPr>
                <w:sz w:val="24"/>
                <w:szCs w:val="24"/>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61,985</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69,338</w:t>
            </w:r>
          </w:p>
        </w:tc>
        <w:tc>
          <w:tcPr>
            <w:tcW w:w="880" w:type="dxa"/>
            <w:vAlign w:val="bottom"/>
            <w:gridSpan w:val="2"/>
          </w:tcPr>
          <w:p>
            <w:pPr>
              <w:jc w:val="right"/>
              <w:ind w:right="6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rPr>
                <w:sz w:val="20"/>
                <w:szCs w:val="20"/>
                <w:color w:val="auto"/>
              </w:rPr>
            </w:pPr>
            <w:r>
              <w:rPr>
                <w:rFonts w:ascii="Arial" w:cs="Arial" w:eastAsia="Arial" w:hAnsi="Arial"/>
                <w:sz w:val="11"/>
                <w:szCs w:val="11"/>
                <w:color w:val="auto"/>
              </w:rPr>
              <w:t>Fully taxable-equivalent adjustments</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898</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663</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812</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775</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984</w:t>
            </w:r>
          </w:p>
        </w:tc>
        <w:tc>
          <w:tcPr>
            <w:tcW w:w="660" w:type="dxa"/>
            <w:vAlign w:val="bottom"/>
            <w:gridSpan w:val="2"/>
          </w:tcPr>
          <w:p>
            <w:pPr>
              <w:jc w:val="right"/>
              <w:ind w:right="86"/>
              <w:spacing w:after="0"/>
              <w:rPr>
                <w:sz w:val="20"/>
                <w:szCs w:val="20"/>
                <w:color w:val="auto"/>
              </w:rPr>
            </w:pPr>
            <w:r>
              <w:rPr>
                <w:rFonts w:ascii="Arial" w:cs="Arial" w:eastAsia="Arial" w:hAnsi="Arial"/>
                <w:sz w:val="11"/>
                <w:szCs w:val="11"/>
                <w:color w:val="auto"/>
              </w:rPr>
              <w:t>35</w:t>
            </w:r>
          </w:p>
        </w:tc>
        <w:tc>
          <w:tcPr>
            <w:tcW w:w="180" w:type="dxa"/>
            <w:vAlign w:val="bottom"/>
          </w:tcPr>
          <w:p>
            <w:pPr>
              <w:spacing w:after="0"/>
              <w:rPr>
                <w:sz w:val="15"/>
                <w:szCs w:val="15"/>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3,148</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3,225</w:t>
            </w:r>
          </w:p>
        </w:tc>
        <w:tc>
          <w:tcPr>
            <w:tcW w:w="88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2"/>
        </w:trPr>
        <w:tc>
          <w:tcPr>
            <w:tcW w:w="2020" w:type="dxa"/>
            <w:vAlign w:val="bottom"/>
          </w:tcPr>
          <w:p>
            <w:pPr>
              <w:ind w:left="20"/>
              <w:spacing w:after="0"/>
              <w:rPr>
                <w:sz w:val="20"/>
                <w:szCs w:val="20"/>
                <w:color w:val="auto"/>
              </w:rPr>
            </w:pPr>
            <w:r>
              <w:rPr>
                <w:rFonts w:ascii="Arial" w:cs="Arial" w:eastAsia="Arial" w:hAnsi="Arial"/>
                <w:sz w:val="11"/>
                <w:szCs w:val="11"/>
                <w:color w:val="auto"/>
              </w:rPr>
              <w:t>Noninterest revenue - managed basis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15,253</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15,861</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16,399</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17,620</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16,640</w:t>
            </w:r>
          </w:p>
        </w:tc>
        <w:tc>
          <w:tcPr>
            <w:tcW w:w="66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2"/>
                <w:szCs w:val="12"/>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65,133</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72,563</w:t>
            </w:r>
          </w:p>
        </w:tc>
        <w:tc>
          <w:tcPr>
            <w:tcW w:w="880" w:type="dxa"/>
            <w:vAlign w:val="bottom"/>
            <w:gridSpan w:val="2"/>
          </w:tcPr>
          <w:p>
            <w:pPr>
              <w:jc w:val="right"/>
              <w:ind w:right="6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rPr>
                <w:sz w:val="20"/>
                <w:szCs w:val="20"/>
                <w:color w:val="auto"/>
              </w:rPr>
            </w:pPr>
            <w:r>
              <w:rPr>
                <w:rFonts w:ascii="Arial" w:cs="Arial" w:eastAsia="Arial" w:hAnsi="Arial"/>
                <w:sz w:val="11"/>
                <w:szCs w:val="11"/>
                <w:color w:val="auto"/>
              </w:rPr>
              <w:t>Less: Markets noninterest revenue</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5,355</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6,064</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6,241</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6,535</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3,222</w:t>
            </w:r>
          </w:p>
        </w:tc>
        <w:tc>
          <w:tcPr>
            <w:tcW w:w="660" w:type="dxa"/>
            <w:vAlign w:val="bottom"/>
            <w:gridSpan w:val="2"/>
          </w:tcPr>
          <w:p>
            <w:pPr>
              <w:jc w:val="right"/>
              <w:ind w:right="66"/>
              <w:spacing w:after="0"/>
              <w:rPr>
                <w:sz w:val="20"/>
                <w:szCs w:val="20"/>
                <w:color w:val="auto"/>
              </w:rPr>
            </w:pPr>
            <w:r>
              <w:rPr>
                <w:rFonts w:ascii="Arial" w:cs="Arial" w:eastAsia="Arial" w:hAnsi="Arial"/>
                <w:sz w:val="11"/>
                <w:szCs w:val="11"/>
                <w:color w:val="auto"/>
              </w:rPr>
              <w:t>(12)</w:t>
            </w:r>
          </w:p>
        </w:tc>
        <w:tc>
          <w:tcPr>
            <w:tcW w:w="180" w:type="dxa"/>
            <w:vAlign w:val="bottom"/>
          </w:tcPr>
          <w:p>
            <w:pPr>
              <w:spacing w:after="0"/>
              <w:rPr>
                <w:sz w:val="15"/>
                <w:szCs w:val="15"/>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66</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24,195</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19,151</w:t>
            </w:r>
          </w:p>
        </w:tc>
        <w:tc>
          <w:tcPr>
            <w:tcW w:w="880" w:type="dxa"/>
            <w:vAlign w:val="bottom"/>
            <w:gridSpan w:val="2"/>
          </w:tcPr>
          <w:p>
            <w:pPr>
              <w:jc w:val="right"/>
              <w:ind w:right="106"/>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95"/>
        </w:trPr>
        <w:tc>
          <w:tcPr>
            <w:tcW w:w="202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Noninterest revenue excluding</w:t>
            </w: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9,898</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9,797</w:t>
            </w:r>
          </w:p>
        </w:tc>
        <w:tc>
          <w:tcPr>
            <w:tcW w:w="1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10,158</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11,085</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13,418</w:t>
            </w:r>
          </w:p>
        </w:tc>
        <w:tc>
          <w:tcPr>
            <w:tcW w:w="66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8"/>
                <w:szCs w:val="8"/>
                <w:color w:val="auto"/>
              </w:rPr>
            </w:pPr>
          </w:p>
        </w:tc>
        <w:tc>
          <w:tcPr>
            <w:tcW w:w="480" w:type="dxa"/>
            <w:vAlign w:val="bottom"/>
            <w:vMerge w:val="restart"/>
          </w:tcPr>
          <w:p>
            <w:pPr>
              <w:jc w:val="right"/>
              <w:ind w:right="66"/>
              <w:spacing w:after="0"/>
              <w:rPr>
                <w:sz w:val="20"/>
                <w:szCs w:val="20"/>
                <w:color w:val="auto"/>
              </w:rPr>
            </w:pPr>
            <w:r>
              <w:rPr>
                <w:rFonts w:ascii="Arial" w:cs="Arial" w:eastAsia="Arial" w:hAnsi="Arial"/>
                <w:sz w:val="11"/>
                <w:szCs w:val="11"/>
                <w:color w:val="auto"/>
              </w:rPr>
              <w:t>(26)</w:t>
            </w:r>
          </w:p>
        </w:tc>
        <w:tc>
          <w:tcPr>
            <w:tcW w:w="2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40,938</w:t>
            </w:r>
          </w:p>
        </w:tc>
        <w:tc>
          <w:tcPr>
            <w:tcW w:w="2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53,412</w:t>
            </w:r>
          </w:p>
        </w:tc>
        <w:tc>
          <w:tcPr>
            <w:tcW w:w="88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60"/>
        </w:trPr>
        <w:tc>
          <w:tcPr>
            <w:tcW w:w="2020" w:type="dxa"/>
            <w:vAlign w:val="bottom"/>
          </w:tcPr>
          <w:p>
            <w:pPr>
              <w:ind w:left="20"/>
              <w:spacing w:after="0"/>
              <w:rPr>
                <w:sz w:val="20"/>
                <w:szCs w:val="20"/>
                <w:color w:val="auto"/>
              </w:rPr>
            </w:pPr>
            <w:r>
              <w:rPr>
                <w:rFonts w:ascii="Arial" w:cs="Arial" w:eastAsia="Arial" w:hAnsi="Arial"/>
                <w:sz w:val="11"/>
                <w:szCs w:val="11"/>
                <w:b w:val="1"/>
                <w:bCs w:val="1"/>
                <w:color w:val="auto"/>
              </w:rPr>
              <w:t>Markets</w:t>
            </w: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20" w:type="dxa"/>
            <w:vAlign w:val="bottom"/>
          </w:tcPr>
          <w:p>
            <w:pPr>
              <w:ind w:left="20"/>
              <w:spacing w:after="0"/>
              <w:rPr>
                <w:sz w:val="20"/>
                <w:szCs w:val="20"/>
                <w:color w:val="auto"/>
              </w:rPr>
            </w:pPr>
            <w:r>
              <w:rPr>
                <w:rFonts w:ascii="Arial" w:cs="Arial" w:eastAsia="Arial" w:hAnsi="Arial"/>
                <w:sz w:val="11"/>
                <w:szCs w:val="11"/>
                <w:b w:val="1"/>
                <w:bCs w:val="1"/>
                <w:color w:val="auto"/>
              </w:rPr>
              <w:t>Memo: Markets total net revenue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5,670</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6,771</w:t>
            </w:r>
          </w:p>
        </w:tc>
        <w:tc>
          <w:tcPr>
            <w:tcW w:w="1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7,790</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8,753</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5,288</w:t>
            </w:r>
          </w:p>
        </w:tc>
        <w:tc>
          <w:tcPr>
            <w:tcW w:w="660" w:type="dxa"/>
            <w:vAlign w:val="bottom"/>
            <w:gridSpan w:val="2"/>
          </w:tcPr>
          <w:p>
            <w:pPr>
              <w:jc w:val="right"/>
              <w:ind w:right="66"/>
              <w:spacing w:after="0"/>
              <w:rPr>
                <w:sz w:val="20"/>
                <w:szCs w:val="20"/>
                <w:color w:val="auto"/>
              </w:rPr>
            </w:pPr>
            <w:r>
              <w:rPr>
                <w:rFonts w:ascii="Arial" w:cs="Arial" w:eastAsia="Arial" w:hAnsi="Arial"/>
                <w:sz w:val="11"/>
                <w:szCs w:val="11"/>
                <w:color w:val="auto"/>
              </w:rPr>
              <w:t>(16)</w:t>
            </w:r>
          </w:p>
        </w:tc>
        <w:tc>
          <w:tcPr>
            <w:tcW w:w="180" w:type="dxa"/>
            <w:vAlign w:val="bottom"/>
          </w:tcPr>
          <w:p>
            <w:pPr>
              <w:spacing w:after="0"/>
              <w:rPr>
                <w:sz w:val="14"/>
                <w:szCs w:val="14"/>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28,984</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27,394</w:t>
            </w:r>
          </w:p>
        </w:tc>
        <w:tc>
          <w:tcPr>
            <w:tcW w:w="88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49"/>
        </w:trPr>
        <w:tc>
          <w:tcPr>
            <w:tcW w:w="20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spacing w:after="0"/>
        <w:rPr>
          <w:sz w:val="20"/>
          <w:szCs w:val="20"/>
          <w:color w:val="auto"/>
        </w:rPr>
      </w:pPr>
      <w:r>
        <w:rPr>
          <w:rFonts w:ascii="Arial" w:cs="Arial" w:eastAsia="Arial" w:hAnsi="Arial"/>
          <w:sz w:val="11"/>
          <w:szCs w:val="11"/>
          <w:color w:val="auto"/>
        </w:rPr>
        <w:t>(a) Interest includes the effect of related hedges. Taxable-equivalent amounts are used where applicable.</w:t>
      </w:r>
    </w:p>
    <w:sectPr>
      <w:pgSz w:w="11900" w:h="16838" w:orient="portrait"/>
      <w:cols w:equalWidth="0" w:num="1">
        <w:col w:w="11220"/>
      </w:cols>
      <w:pgMar w:left="320" w:top="20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lowerLetter"/>
      <w:start w:val="4"/>
    </w:lvl>
  </w:abstractNum>
  <w:abstractNum w:abstractNumId="2">
    <w:nsid w:val="7C83E458"/>
    <w:multiLevelType w:val="hybridMultilevel"/>
    <w:lvl w:ilvl="0">
      <w:lvlJc w:val="left"/>
      <w:lvlText w:val="%1"/>
      <w:numFmt w:val="decimal"/>
      <w:start w:val="101"/>
    </w:lvl>
  </w:abstractNum>
  <w:abstractNum w:abstractNumId="3">
    <w:nsid w:val="257130A3"/>
    <w:multiLevelType w:val="hybridMultilevel"/>
    <w:lvl w:ilvl="0">
      <w:lvlJc w:val="left"/>
      <w:lvlText w:val="%1"/>
      <w:numFmt w:val="decimal"/>
      <w:start w:val="104"/>
    </w:lvl>
  </w:abstractNum>
  <w:abstractNum w:abstractNumId="4">
    <w:nsid w:val="62BBD95A"/>
    <w:multiLevelType w:val="hybridMultilevel"/>
    <w:lvl w:ilvl="0">
      <w:lvlJc w:val="left"/>
      <w:lvlText w:val="n"/>
      <w:numFmt w:val="bullet"/>
      <w:start w:val="1"/>
    </w:lvl>
  </w:abstractNum>
  <w:abstractNum w:abstractNumId="5">
    <w:nsid w:val="436C6125"/>
    <w:multiLevelType w:val="hybridMultilevel"/>
    <w:lvl w:ilvl="0">
      <w:lvlJc w:val="left"/>
      <w:lvlText w:val="n"/>
      <w:numFmt w:val="bullet"/>
      <w:start w:val="1"/>
    </w:lvl>
  </w:abstractNum>
  <w:abstractNum w:abstractNumId="6">
    <w:nsid w:val="628C895D"/>
    <w:multiLevelType w:val="hybridMultilevel"/>
    <w:lvl w:ilvl="0">
      <w:lvlJc w:val="left"/>
      <w:lvlText w:val="n"/>
      <w:numFmt w:val="bullet"/>
      <w:start w:val="1"/>
    </w:lvl>
  </w:abstractNum>
  <w:abstractNum w:abstractNumId="7">
    <w:nsid w:val="333AB105"/>
    <w:multiLevelType w:val="hybridMultilevel"/>
    <w:lvl w:ilvl="0">
      <w:lvlJc w:val="left"/>
      <w:lvlText w:val="n"/>
      <w:numFmt w:val="bullet"/>
      <w:start w:val="1"/>
    </w:lvl>
  </w:abstractNum>
  <w:abstractNum w:abstractNumId="8">
    <w:nsid w:val="721DA317"/>
    <w:multiLevelType w:val="hybridMultilevel"/>
    <w:lvl w:ilvl="0">
      <w:lvlJc w:val="left"/>
      <w:lvlText w:val="n"/>
      <w:numFmt w:val="bullet"/>
      <w:start w:val="1"/>
    </w:lvl>
  </w:abstractNum>
  <w:abstractNum w:abstractNumId="9">
    <w:nsid w:val="2443A858"/>
    <w:multiLevelType w:val="hybridMultilevel"/>
    <w:lvl w:ilvl="0">
      <w:lvlJc w:val="left"/>
      <w:lvlText w:val="n"/>
      <w:numFmt w:val="bullet"/>
      <w:start w:val="1"/>
    </w:lvl>
  </w:abstractNum>
  <w:abstractNum w:abstractNumId="10">
    <w:nsid w:val="2D1D5AE9"/>
    <w:multiLevelType w:val="hybridMultilevel"/>
    <w:lvl w:ilvl="0">
      <w:lvlJc w:val="left"/>
      <w:lvlText w:val="n"/>
      <w:numFmt w:val="bullet"/>
      <w:start w:val="1"/>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decimal"/>
      <w:start w:val="2"/>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1)"/>
      <w:numFmt w:val="lowerLetter"/>
      <w:start w:val="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lowerLetter"/>
      <w:start w:val="1"/>
    </w:lvl>
  </w:abstractNum>
  <w:abstractNum w:abstractNumId="20">
    <w:nsid w:val="2CA88611"/>
    <w:multiLevelType w:val="hybridMultilevel"/>
    <w:lvl w:ilvl="0">
      <w:lvlJc w:val="left"/>
      <w:lvlText w:val="(%1)"/>
      <w:numFmt w:val="lowerLetter"/>
      <w:start w:val="1"/>
    </w:lvl>
  </w:abstractNum>
  <w:abstractNum w:abstractNumId="21">
    <w:nsid w:val="836C40E"/>
    <w:multiLevelType w:val="hybridMultilevel"/>
    <w:lvl w:ilvl="0">
      <w:lvlJc w:val="left"/>
      <w:lvlText w:val="(%1)"/>
      <w:numFmt w:val="lowerLetter"/>
      <w:start w:val="1"/>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2023-01-13T05:51:11Z</dcterms:created>
  <dcterms:modified xsi:type="dcterms:W3CDTF">2023-01-13T05:51:11Z</dcterms:modified>
</cp:coreProperties>
</file>