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295326-01_fwp.htm"/>
      <w:bookmarkStart w:id="1" w:name="ksea029532601_fwp"/>
      <w:bookmarkStart w:id="2" w:name="ea0295326-01_fwp.htm"/>
      <w:bookmarkStart w:id="3" w:name="ksea029532601_fwp"/>
      <w:bookmarkEnd w:id="2"/>
      <w:bookmarkEnd w:id="3"/>
    </w:p>
    <w:tbl>
      <w:tblPr>
        <w:tblW w:w="10205" w:type="dxa"/>
        <w:jc w:val="left"/>
        <w:tblInd w:w="0" w:type="dxa"/>
        <w:tblLayout w:type="fixed"/>
        <w:tblCellMar>
          <w:top w:w="0" w:type="dxa"/>
          <w:left w:w="0" w:type="dxa"/>
          <w:bottom w:w="0" w:type="dxa"/>
          <w:right w:w="0" w:type="dxa"/>
        </w:tblCellMar>
      </w:tblPr>
      <w:tblGrid>
        <w:gridCol w:w="6148"/>
        <w:gridCol w:w="4057"/>
      </w:tblGrid>
      <w:tr>
        <w:trPr/>
        <w:tc>
          <w:tcPr>
            <w:tcW w:w="6148"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4057"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48" w:type="dxa"/>
            <w:vMerge w:val="continue"/>
            <w:tcBorders/>
            <w:vAlign w:val="center"/>
          </w:tcPr>
          <w:p>
            <w:pPr>
              <w:pStyle w:val="Normal"/>
              <w:bidi w:val="0"/>
              <w:jc w:val="left"/>
              <w:rPr/>
            </w:pPr>
            <w:r>
              <w:rPr/>
            </w:r>
          </w:p>
        </w:tc>
        <w:tc>
          <w:tcPr>
            <w:tcW w:w="4057" w:type="dxa"/>
            <w:tcBorders/>
            <w:vAlign w:val="center"/>
          </w:tcPr>
          <w:p>
            <w:pPr>
              <w:pStyle w:val="TableContents"/>
              <w:bidi w:val="0"/>
              <w:spacing w:before="0" w:after="283"/>
              <w:ind w:left="0" w:right="0" w:hanging="0"/>
              <w:jc w:val="right"/>
              <w:rPr>
                <w:caps w:val="false"/>
                <w:smallCaps w:val="false"/>
              </w:rPr>
            </w:pPr>
            <w:r>
              <w:rPr>
                <w:caps w:val="false"/>
                <w:smallCaps w:val="false"/>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Common Stock of Broadcom Inc., the Class A Common Stock of Alphabet Inc. and the Class A Common Stock of Mastercard Incorporated due June 28, 2029</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June 18, 2026 to Preliminary Pricing Supplement dated June 18, 2026</w:t>
            </w:r>
          </w:p>
        </w:tc>
      </w:tr>
    </w:tbl>
    <w:p>
      <w:pPr>
        <w:pStyle w:val="TextBody"/>
        <w:bidi w:val="0"/>
        <w:spacing w:before="0" w:after="2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72439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72439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43"/>
                              <w:gridCol w:w="9062"/>
                            </w:tblGrid>
                            <w:tr>
                              <w:trPr/>
                              <w:tc>
                                <w:tcPr>
                                  <w:tcW w:w="114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Broadcom Inc. (Bloomberg ticker: AVGO), the Class A common stock of Alphabet Inc. (Bloomberg ticker: GOOGL) and the Class A common stock of Mastercard Incorporated (Bloomberg ticker: MA)</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June 25, 2026</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June 30, 2026</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June 28, 2029</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43"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2"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43"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43"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2"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14.35% per annum (to be provided in the pricing supplement)</w:t>
                                  </w:r>
                                </w:p>
                              </w:tc>
                            </w:tr>
                            <w:tr>
                              <w:trPr/>
                              <w:tc>
                                <w:tcPr>
                                  <w:tcW w:w="1143"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September 2026 to May 2029, inclusive, is greater than or equal to its call value,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 payments.  </w:t>
                                  </w:r>
                                </w:p>
                              </w:tc>
                            </w:tr>
                            <w:tr>
                              <w:trPr/>
                              <w:tc>
                                <w:tcPr>
                                  <w:tcW w:w="1143"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Value:</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95% of its starting price</w:t>
                                  </w:r>
                                </w:p>
                              </w:tc>
                            </w:tr>
                            <w:tr>
                              <w:trPr/>
                              <w:tc>
                                <w:tcPr>
                                  <w:tcW w:w="1143"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25</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July 2026 and ending June 2029.  We refer to June 25,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43"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 xml:space="preserve">: </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2"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0"/>
                              <w:ind w:left="0" w:right="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6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43"/>
                        <w:gridCol w:w="9062"/>
                      </w:tblGrid>
                      <w:tr>
                        <w:trPr/>
                        <w:tc>
                          <w:tcPr>
                            <w:tcW w:w="114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Broadcom Inc. (Bloomberg ticker: AVGO), the Class A common stock of Alphabet Inc. (Bloomberg ticker: GOOGL) and the Class A common stock of Mastercard Incorporated (Bloomberg ticker: MA)</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June 25, 2026</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June 30, 2026</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June 28, 2029</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43"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2"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43"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43"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2"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14.35% per annum (to be provided in the pricing supplement)</w:t>
                            </w:r>
                          </w:p>
                        </w:tc>
                      </w:tr>
                      <w:tr>
                        <w:trPr/>
                        <w:tc>
                          <w:tcPr>
                            <w:tcW w:w="1143"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September 2026 to May 2029, inclusive, is greater than or equal to its call value,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 payments.  </w:t>
                            </w:r>
                          </w:p>
                        </w:tc>
                      </w:tr>
                      <w:tr>
                        <w:trPr/>
                        <w:tc>
                          <w:tcPr>
                            <w:tcW w:w="1143"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Value:</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95% of its starting price</w:t>
                            </w:r>
                          </w:p>
                        </w:tc>
                      </w:tr>
                      <w:tr>
                        <w:trPr/>
                        <w:tc>
                          <w:tcPr>
                            <w:tcW w:w="1143"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25</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July 2026 and ending June 2029.  We refer to June 25,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43"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 xml:space="preserve">: </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2"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0"/>
                        <w:ind w:left="0" w:right="0" w:hanging="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50%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46661CXA9</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60"/>
                              <w:ind w:left="405" w:right="60" w:hanging="360"/>
                              <w:jc w:val="center"/>
                              <w:rPr>
                                <w:caps w:val="false"/>
                                <w:smallCaps w:val="false"/>
                                <w:color w:val="8F8F8F"/>
                              </w:rPr>
                            </w:pPr>
                            <w:r>
                              <w:rPr>
                                <w:caps w:val="false"/>
                                <w:smallCaps w:val="false"/>
                                <w:color w:val="8F8F8F"/>
                              </w:rPr>
                              <w:drawing>
                                <wp:inline distT="0" distB="0" distL="0" distR="0">
                                  <wp:extent cx="3333750" cy="22764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33750" cy="2276475"/>
                                          </a:xfrm>
                                          <a:prstGeom prst="rect">
                                            <a:avLst/>
                                          </a:prstGeom>
                                        </pic:spPr>
                                      </pic:pic>
                                    </a:graphicData>
                                  </a:graphic>
                                </wp:inline>
                              </w:drawing>
                            </w:r>
                          </w:p>
                          <w:p>
                            <w:pPr>
                              <w:pStyle w:val="TextBody"/>
                              <w:bidi w:val="0"/>
                              <w:spacing w:before="0" w:after="40"/>
                              <w:ind w:left="13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40%, and possibly all, of the principal amount of your securities at maturity.</w:t>
                            </w:r>
                          </w:p>
                          <w:p>
                            <w:pPr>
                              <w:pStyle w:val="TextBody"/>
                              <w:bidi w:val="0"/>
                              <w:spacing w:before="0" w:after="40"/>
                              <w:ind w:left="13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pStyle w:val="TextBody"/>
                              <w:bidi w:val="0"/>
                              <w:spacing w:before="0" w:after="40"/>
                              <w:ind w:left="13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40"/>
                              <w:ind w:left="13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$951.20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40"/>
                              <w:ind w:left="130" w:right="0" w:hanging="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https://www.sec.gov/Archives/edgar/data/19617/000121390026070026/</w:t>
                                <w:br/>
                                <w:t>ea0295276-01_424b2.htm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50%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46661CXA9</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60"/>
                        <w:ind w:left="405" w:right="60" w:hanging="360"/>
                        <w:jc w:val="center"/>
                        <w:rPr>
                          <w:caps w:val="false"/>
                          <w:smallCaps w:val="false"/>
                          <w:color w:val="8F8F8F"/>
                        </w:rPr>
                      </w:pPr>
                      <w:r>
                        <w:rPr>
                          <w:caps w:val="false"/>
                          <w:smallCaps w:val="false"/>
                          <w:color w:val="8F8F8F"/>
                        </w:rPr>
                        <w:drawing>
                          <wp:inline distT="0" distB="0" distL="0" distR="0">
                            <wp:extent cx="3333750" cy="22764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33750" cy="2276475"/>
                                    </a:xfrm>
                                    <a:prstGeom prst="rect">
                                      <a:avLst/>
                                    </a:prstGeom>
                                  </pic:spPr>
                                </pic:pic>
                              </a:graphicData>
                            </a:graphic>
                          </wp:inline>
                        </w:drawing>
                      </w:r>
                    </w:p>
                    <w:p>
                      <w:pPr>
                        <w:pStyle w:val="TextBody"/>
                        <w:bidi w:val="0"/>
                        <w:spacing w:before="0" w:after="40"/>
                        <w:ind w:left="13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40%, and possibly all, of the principal amount of your securities at maturity.</w:t>
                      </w:r>
                    </w:p>
                    <w:p>
                      <w:pPr>
                        <w:pStyle w:val="TextBody"/>
                        <w:bidi w:val="0"/>
                        <w:spacing w:before="0" w:after="40"/>
                        <w:ind w:left="13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pStyle w:val="TextBody"/>
                        <w:bidi w:val="0"/>
                        <w:spacing w:before="0" w:after="40"/>
                        <w:ind w:left="13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40"/>
                        <w:ind w:left="13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$951.20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40"/>
                        <w:ind w:left="130" w:right="0" w:hanging="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https://www.sec.gov/Archives/edgar/data/19617/000121390026070026/</w:t>
                          <w:br/>
                          <w:t>ea0295276-01_424b2.htm</w:t>
                        </w:r>
                      </w:hyperlink>
                    </w:p>
                  </w:txbxContent>
                </v:textbox>
                <w10:wrap type="square" side="left"/>
              </v:rect>
            </w:pict>
          </mc:Fallback>
        </mc:AlternateContent>
      </w:r>
    </w:p>
    <w:p>
      <w:pPr>
        <w:pStyle w:val="TextBody"/>
        <w:bidi w:val="0"/>
        <w:spacing w:before="0" w:after="2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015"/>
        <w:gridCol w:w="5190"/>
      </w:tblGrid>
      <w:tr>
        <w:trPr/>
        <w:tc>
          <w:tcPr>
            <w:tcW w:w="5015" w:type="dxa"/>
            <w:tcBorders/>
            <w:vAlign w:val="center"/>
          </w:tcPr>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of the Lowest Performing Underlying Stock on the Final Calculation Day Is Less Than Its Threshold Price, You Will Lose More Than 50%, and Possibly All, of the Principal Amount of Your Securities at Maturity.</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shd w:fill="FFFFFF" w:val="clear"/>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Any Underlying Stock.</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Underlying Stock.</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Underlying Stocks.</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190" w:type="dxa"/>
            <w:tcBorders/>
            <w:vAlign w:val="center"/>
          </w:tcPr>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74" w:right="0" w:hanging="374"/>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No Affiliation with Any Underlying Stock Issuer</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74" w:right="0" w:hanging="37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Any Payment on the Securities Will Depend upon the Performance of Each Underlying Stock and Therefore the Securities Are Subject to the Risks Associated with Each Underlying Stock,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60"/>
        <w:jc w:val="left"/>
        <w:rPr>
          <w:caps w:val="false"/>
          <w:smallCaps w:val="false"/>
          <w:color w:val="8F8F8F"/>
        </w:rPr>
      </w:pPr>
      <w:r>
        <w:rPr>
          <w:caps w:val="false"/>
          <w:smallCaps w:val="false"/>
          <w:color w:val="8F8F8F"/>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9617/000121390026070026/ea0295276-01_424b2.htm" TargetMode="External"/><Relationship Id="rId5" Type="http://schemas.openxmlformats.org/officeDocument/2006/relationships/image" Target="media/image2.jpeg"/><Relationship Id="rId6" Type="http://schemas.openxmlformats.org/officeDocument/2006/relationships/hyperlink" Target="https://www.sec.gov/Archives/edgar/data/19617/000121390026070026/ea0295276-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1861</Words>
  <Characters>9987</Characters>
  <CharactersWithSpaces>11895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