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201930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231775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2620" w:type="dxa"/>
        <w:tblCellMar>
          <w:top w:w="0" w:type="dxa"/>
          <w:left w:w="0" w:type="dxa"/>
          <w:bottom w:w="0" w:type="dxa"/>
          <w:right w:w="0" w:type="dxa"/>
        </w:tblCellMar>
      </w:tblPr>
      <w:tr>
        <w:trPr>
          <w:trHeight w:val="172"/>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Delaware</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8"/>
              </w:rPr>
              <w:t>1-5805</w:t>
            </w:r>
          </w:p>
        </w:tc>
        <w:tc>
          <w:tcPr>
            <w:tcW w:w="1440" w:type="dxa"/>
            <w:vAlign w:val="bottom"/>
          </w:tcPr>
          <w:p>
            <w:pPr>
              <w:jc w:val="right"/>
              <w:ind w:right="137"/>
              <w:spacing w:after="0"/>
              <w:rPr>
                <w:sz w:val="20"/>
                <w:szCs w:val="20"/>
                <w:color w:val="auto"/>
              </w:rPr>
            </w:pPr>
            <w:r>
              <w:rPr>
                <w:rFonts w:ascii="Arial" w:cs="Arial" w:eastAsia="Arial" w:hAnsi="Arial"/>
                <w:sz w:val="13"/>
                <w:szCs w:val="13"/>
                <w:b w:val="1"/>
                <w:bCs w:val="1"/>
                <w:color w:val="auto"/>
              </w:rPr>
              <w:t>13-2624428</w:t>
            </w:r>
          </w:p>
        </w:tc>
      </w:tr>
      <w:tr>
        <w:trPr>
          <w:trHeight w:val="130"/>
        </w:trPr>
        <w:tc>
          <w:tcPr>
            <w:tcW w:w="250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6"/>
              </w:rPr>
              <w:t>(State or other jurisdiction of</w:t>
            </w:r>
          </w:p>
        </w:tc>
        <w:tc>
          <w:tcPr>
            <w:tcW w:w="1580" w:type="dxa"/>
            <w:vAlign w:val="bottom"/>
          </w:tcPr>
          <w:p>
            <w:pPr>
              <w:jc w:val="center"/>
              <w:ind w:right="197"/>
              <w:spacing w:after="0" w:line="129" w:lineRule="exact"/>
              <w:rPr>
                <w:sz w:val="20"/>
                <w:szCs w:val="20"/>
                <w:color w:val="auto"/>
              </w:rPr>
            </w:pPr>
            <w:r>
              <w:rPr>
                <w:rFonts w:ascii="Arial" w:cs="Arial" w:eastAsia="Arial" w:hAnsi="Arial"/>
                <w:sz w:val="13"/>
                <w:szCs w:val="13"/>
                <w:b w:val="1"/>
                <w:bCs w:val="1"/>
                <w:color w:val="auto"/>
                <w:w w:val="95"/>
              </w:rPr>
              <w:t>(Commission File</w:t>
            </w:r>
          </w:p>
        </w:tc>
        <w:tc>
          <w:tcPr>
            <w:tcW w:w="1440" w:type="dxa"/>
            <w:vAlign w:val="bottom"/>
          </w:tcPr>
          <w:p>
            <w:pPr>
              <w:jc w:val="center"/>
              <w:ind w:left="317"/>
              <w:spacing w:after="0" w:line="129" w:lineRule="exact"/>
              <w:rPr>
                <w:sz w:val="20"/>
                <w:szCs w:val="20"/>
                <w:color w:val="auto"/>
              </w:rPr>
            </w:pPr>
            <w:r>
              <w:rPr>
                <w:rFonts w:ascii="Arial" w:cs="Arial" w:eastAsia="Arial" w:hAnsi="Arial"/>
                <w:sz w:val="13"/>
                <w:szCs w:val="13"/>
                <w:b w:val="1"/>
                <w:bCs w:val="1"/>
                <w:color w:val="auto"/>
                <w:w w:val="95"/>
              </w:rPr>
              <w:t>(I.R.S. employer</w:t>
            </w:r>
          </w:p>
        </w:tc>
      </w:tr>
      <w:tr>
        <w:trPr>
          <w:trHeight w:val="172"/>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incorporation or organization)</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7"/>
              </w:rPr>
              <w:t>Number)</w:t>
            </w: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identification no.)</w:t>
            </w:r>
          </w:p>
        </w:tc>
      </w:tr>
      <w:tr>
        <w:trPr>
          <w:trHeight w:val="306"/>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270 Park Avenue,</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6"/>
        </w:trPr>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New York, New York</w:t>
            </w:r>
          </w:p>
        </w:tc>
        <w:tc>
          <w:tcPr>
            <w:tcW w:w="1580" w:type="dxa"/>
            <w:vAlign w:val="bottom"/>
          </w:tcPr>
          <w:p>
            <w:pPr>
              <w:spacing w:after="0"/>
              <w:rPr>
                <w:sz w:val="15"/>
                <w:szCs w:val="15"/>
                <w:color w:val="auto"/>
              </w:rPr>
            </w:pPr>
          </w:p>
        </w:tc>
        <w:tc>
          <w:tcPr>
            <w:tcW w:w="1440" w:type="dxa"/>
            <w:vAlign w:val="bottom"/>
          </w:tcPr>
          <w:p>
            <w:pPr>
              <w:jc w:val="right"/>
              <w:ind w:right="297"/>
              <w:spacing w:after="0"/>
              <w:rPr>
                <w:sz w:val="20"/>
                <w:szCs w:val="20"/>
                <w:color w:val="auto"/>
              </w:rPr>
            </w:pPr>
            <w:r>
              <w:rPr>
                <w:rFonts w:ascii="Arial" w:cs="Arial" w:eastAsia="Arial" w:hAnsi="Arial"/>
                <w:sz w:val="13"/>
                <w:szCs w:val="13"/>
                <w:b w:val="1"/>
                <w:bCs w:val="1"/>
                <w:color w:val="auto"/>
              </w:rPr>
              <w:t>10017</w:t>
            </w:r>
          </w:p>
        </w:tc>
      </w:tr>
      <w:tr>
        <w:trPr>
          <w:trHeight w:val="216"/>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580" w:type="dxa"/>
            <w:vAlign w:val="bottom"/>
          </w:tcPr>
          <w:p>
            <w:pPr>
              <w:spacing w:after="0"/>
              <w:rPr>
                <w:sz w:val="18"/>
                <w:szCs w:val="18"/>
                <w:color w:val="auto"/>
              </w:rPr>
            </w:pP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(Zip Code)</w:t>
            </w:r>
          </w:p>
        </w:tc>
      </w:tr>
    </w:tbl>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1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88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8"/>
        </w:trPr>
        <w:tc>
          <w:tcPr>
            <w:tcW w:w="596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JPM</w:t>
            </w:r>
          </w:p>
        </w:tc>
        <w:tc>
          <w:tcPr>
            <w:tcW w:w="3060" w:type="dxa"/>
            <w:vAlign w:val="bottom"/>
            <w:gridSpan w:val="2"/>
          </w:tcPr>
          <w:p>
            <w:pPr>
              <w:ind w:left="400"/>
              <w:spacing w:after="0"/>
              <w:rPr>
                <w:sz w:val="20"/>
                <w:szCs w:val="20"/>
                <w:color w:val="auto"/>
              </w:rPr>
            </w:pPr>
            <w:r>
              <w:rPr>
                <w:rFonts w:ascii="Arial" w:cs="Arial" w:eastAsia="Arial" w:hAnsi="Arial"/>
                <w:sz w:val="13"/>
                <w:szCs w:val="13"/>
                <w:b w:val="1"/>
                <w:bCs w:val="1"/>
                <w:color w:val="auto"/>
              </w:rPr>
              <w:t>The New York Stock Exchange</w:t>
            </w:r>
          </w:p>
        </w:tc>
      </w:tr>
      <w:tr>
        <w:trPr>
          <w:trHeight w:val="139"/>
        </w:trPr>
        <w:tc>
          <w:tcPr>
            <w:tcW w:w="5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5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JPM PR D</w:t>
            </w:r>
          </w:p>
        </w:tc>
        <w:tc>
          <w:tcPr>
            <w:tcW w:w="306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5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JPM PR C</w:t>
            </w:r>
          </w:p>
        </w:tc>
        <w:tc>
          <w:tcPr>
            <w:tcW w:w="306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5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JPM PR J</w:t>
            </w:r>
          </w:p>
        </w:tc>
        <w:tc>
          <w:tcPr>
            <w:tcW w:w="306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5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JPM PR K</w:t>
            </w:r>
          </w:p>
        </w:tc>
        <w:tc>
          <w:tcPr>
            <w:tcW w:w="306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JJ</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5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JPM PR L</w:t>
            </w:r>
          </w:p>
        </w:tc>
        <w:tc>
          <w:tcPr>
            <w:tcW w:w="306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LL</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 Non-</w:t>
            </w:r>
          </w:p>
        </w:tc>
        <w:tc>
          <w:tcPr>
            <w:tcW w:w="15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JPM PR M</w:t>
            </w:r>
          </w:p>
        </w:tc>
        <w:tc>
          <w:tcPr>
            <w:tcW w:w="306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MM</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98"/>
              </w:rPr>
              <w:t>Guarantee of Callable Fixed Rate Notes due June 10, 2032 of JPMorgan Chase Financial Company</w:t>
            </w:r>
          </w:p>
        </w:tc>
        <w:tc>
          <w:tcPr>
            <w:tcW w:w="15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JPM/32</w:t>
            </w:r>
          </w:p>
        </w:tc>
        <w:tc>
          <w:tcPr>
            <w:tcW w:w="306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60" w:type="dxa"/>
            <w:vAlign w:val="bottom"/>
            <w:gridSpan w:val="2"/>
          </w:tcPr>
          <w:p>
            <w:pPr>
              <w:ind w:left="80"/>
              <w:spacing w:after="0"/>
              <w:rPr>
                <w:sz w:val="20"/>
                <w:szCs w:val="20"/>
                <w:color w:val="auto"/>
              </w:rPr>
            </w:pPr>
            <w:r>
              <w:rPr>
                <w:rFonts w:ascii="Arial" w:cs="Arial" w:eastAsia="Arial" w:hAnsi="Arial"/>
                <w:sz w:val="13"/>
                <w:szCs w:val="13"/>
                <w:b w:val="1"/>
                <w:bCs w:val="1"/>
                <w:color w:val="auto"/>
              </w:rPr>
              <w:t>LLC</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Guarantee of Alerian MLP Index ETNs due January 28, 2044 of JPMorgan Chase Financial</w:t>
            </w:r>
          </w:p>
        </w:tc>
        <w:tc>
          <w:tcPr>
            <w:tcW w:w="15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AMJB</w:t>
            </w:r>
          </w:p>
        </w:tc>
        <w:tc>
          <w:tcPr>
            <w:tcW w:w="306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NYSE Arca, Inc.</w:t>
            </w:r>
          </w:p>
        </w:tc>
      </w:tr>
      <w:tr>
        <w:trPr>
          <w:trHeight w:val="172"/>
        </w:trPr>
        <w:tc>
          <w:tcPr>
            <w:tcW w:w="59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Company LLC</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Guarantee of Inverse VIX Short-Term Futures ETNs due March 22, 2045 of JPMorgan Chase</w:t>
            </w:r>
          </w:p>
        </w:tc>
        <w:tc>
          <w:tcPr>
            <w:tcW w:w="15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VYLD</w:t>
            </w:r>
          </w:p>
        </w:tc>
        <w:tc>
          <w:tcPr>
            <w:tcW w:w="306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NYSE Arca, Inc.</w:t>
            </w:r>
          </w:p>
        </w:tc>
      </w:tr>
      <w:tr>
        <w:trPr>
          <w:trHeight w:val="172"/>
        </w:trPr>
        <w:tc>
          <w:tcPr>
            <w:tcW w:w="5960" w:type="dxa"/>
            <w:vAlign w:val="bottom"/>
            <w:gridSpan w:val="2"/>
          </w:tcPr>
          <w:p>
            <w:pPr>
              <w:ind w:left="80"/>
              <w:spacing w:after="0"/>
              <w:rPr>
                <w:sz w:val="20"/>
                <w:szCs w:val="20"/>
                <w:color w:val="auto"/>
              </w:rPr>
            </w:pPr>
            <w:r>
              <w:rPr>
                <w:rFonts w:ascii="Arial" w:cs="Arial" w:eastAsia="Arial" w:hAnsi="Arial"/>
                <w:sz w:val="13"/>
                <w:szCs w:val="13"/>
                <w:b w:val="1"/>
                <w:bCs w:val="1"/>
                <w:color w:val="auto"/>
              </w:rPr>
              <w:t>Financial Company LLC</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147" w:lineRule="exact"/>
        <w:rPr>
          <w:sz w:val="24"/>
          <w:szCs w:val="24"/>
          <w:color w:val="auto"/>
        </w:rPr>
      </w:pPr>
    </w:p>
    <w:p>
      <w:pPr>
        <w:spacing w:after="0" w:line="27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4"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41"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April 14, 2026, JPMorgan Chase &amp; Co. (“JPMorganChase” or the “Firm”) reported 2026 first quarter net income of $16.5 billion, or $5.94 per share, compared with net income of $14.6 billion, or $5.07 per share, in the first quarter of 2025. A copy of the 2026 first quarter earnings release is attached hereto as Exhibit 99.1, and a copy of the earnings release financial supplement is attached hereto as Exhibit 99.2.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Each of the Exhibits provided with this Form 8-K shall be deemed to be “filed” for purposes of the Securities Exchange Act of 1934.</w:t>
      </w: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This Current Report on Form 8-K (including the Exhibits hereto) contains forward-looking statements within the meaning of the Private Securities Litigation Reform Act of 1995. These statements are based on the current beliefs and expectations of JPMorganChase’s management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2025, which has been filed with the Securities and Exchange Commission and is available on JPMorganChase’s website (</w:t>
      </w:r>
      <w:r>
        <w:rPr>
          <w:rFonts w:ascii="Arial" w:cs="Arial" w:eastAsia="Arial" w:hAnsi="Arial"/>
          <w:sz w:val="18"/>
          <w:szCs w:val="18"/>
          <w:i w:val="1"/>
          <w:iCs w:val="1"/>
          <w:u w:val="single" w:color="auto"/>
          <w:color w:val="auto"/>
        </w:rPr>
        <w:t>https://jpmorganchaseco.gcs-web.com/ir/sec-other-filings/overview</w:t>
      </w:r>
      <w:r>
        <w:rPr>
          <w:rFonts w:ascii="Arial" w:cs="Arial" w:eastAsia="Arial" w:hAnsi="Arial"/>
          <w:sz w:val="18"/>
          <w:szCs w:val="18"/>
          <w:i w:val="1"/>
          <w:iCs w:val="1"/>
          <w:color w:val="auto"/>
        </w:rPr>
        <w:t>) and on the Securities and Exchange Commission’s website (www.sec.gov). JPMorganChase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35"/>
        </w:trPr>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8440" w:type="dxa"/>
            <w:vAlign w:val="bottom"/>
            <w:gridSpan w:val="3"/>
          </w:tcPr>
          <w:p>
            <w:pPr>
              <w:ind w:left="3280"/>
              <w:spacing w:after="0"/>
              <w:rPr>
                <w:sz w:val="20"/>
                <w:szCs w:val="20"/>
                <w:color w:val="auto"/>
              </w:rPr>
            </w:pPr>
            <w:r>
              <w:rPr>
                <w:rFonts w:ascii="Arial" w:cs="Arial" w:eastAsia="Arial" w:hAnsi="Arial"/>
                <w:sz w:val="18"/>
                <w:szCs w:val="18"/>
                <w:b w:val="1"/>
                <w:bCs w:val="1"/>
                <w:color w:val="auto"/>
              </w:rPr>
              <w:t>Description of Exhibit</w:t>
            </w:r>
          </w:p>
        </w:tc>
      </w:tr>
      <w:tr>
        <w:trPr>
          <w:trHeight w:val="412"/>
        </w:trPr>
        <w:tc>
          <w:tcPr>
            <w:tcW w:w="148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6"/>
              </w:rPr>
              <w:t>99.1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4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8"/>
                <w:szCs w:val="18"/>
                <w:color w:val="0000FF"/>
                <w:w w:val="99"/>
              </w:rPr>
              <w:t>JPMorgan Chase &amp; Co. Earnings Release - First Quarter 2026 Results</w:t>
            </w:r>
          </w:p>
        </w:tc>
        <w:tc>
          <w:tcPr>
            <w:tcW w:w="2800" w:type="dxa"/>
            <w:vAlign w:val="bottom"/>
            <w:tcBorders>
              <w:top w:val="single" w:sz="8" w:color="auto"/>
            </w:tcBorders>
            <w:gridSpan w:val="2"/>
          </w:tcPr>
          <w:p>
            <w:pPr>
              <w:spacing w:after="0"/>
              <w:rPr>
                <w:sz w:val="24"/>
                <w:szCs w:val="24"/>
                <w:color w:val="auto"/>
              </w:rPr>
            </w:pPr>
          </w:p>
        </w:tc>
      </w:tr>
      <w:tr>
        <w:trPr>
          <w:trHeight w:val="209"/>
        </w:trPr>
        <w:tc>
          <w:tcPr>
            <w:tcW w:w="1480" w:type="dxa"/>
            <w:vAlign w:val="bottom"/>
          </w:tcPr>
          <w:p>
            <w:pPr>
              <w:jc w:val="right"/>
              <w:ind w:right="1030"/>
              <w:spacing w:after="0"/>
              <w:rPr>
                <w:sz w:val="20"/>
                <w:szCs w:val="20"/>
                <w:color w:val="auto"/>
              </w:rPr>
            </w:pPr>
            <w:r>
              <w:rPr>
                <w:rFonts w:ascii="Arial" w:cs="Arial" w:eastAsia="Arial" w:hAnsi="Arial"/>
                <w:sz w:val="18"/>
                <w:szCs w:val="18"/>
                <w:color w:val="auto"/>
                <w:w w:val="96"/>
              </w:rPr>
              <w:t>99.2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0000FF"/>
              </w:rPr>
              <w:t>JPMorgan Chase &amp; Co. Earnings Release Financial Supplement - First Quarter 2026</w:t>
            </w:r>
          </w:p>
        </w:tc>
      </w:tr>
      <w:tr>
        <w:trPr>
          <w:trHeight w:val="20"/>
        </w:trPr>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2" w:lineRule="exact"/>
        <w:rPr>
          <w:sz w:val="20"/>
          <w:szCs w:val="20"/>
          <w:color w:val="auto"/>
        </w:rPr>
      </w:pPr>
    </w:p>
    <w:p>
      <w:pPr>
        <w:ind w:left="2240" w:right="940" w:hanging="1647"/>
        <w:spacing w:after="0"/>
        <w:tabs>
          <w:tab w:leader="none" w:pos="2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5" w:lineRule="exact"/>
        <w:rPr>
          <w:sz w:val="20"/>
          <w:szCs w:val="20"/>
          <w:color w:val="auto"/>
        </w:rPr>
      </w:pPr>
    </w:p>
    <w:p>
      <w:pPr>
        <w:ind w:left="2240" w:right="900" w:hanging="1647"/>
        <w:spacing w:after="0"/>
        <w:tabs>
          <w:tab w:leader="none" w:pos="2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tbl>
      <w:tblPr>
        <w:tblLayout w:type="fixed"/>
        <w:tblInd w:w="580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32"/>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8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Elena Korablina</w:t>
            </w:r>
          </w:p>
        </w:tc>
      </w:tr>
      <w:tr>
        <w:trPr>
          <w:trHeight w:val="218"/>
        </w:trPr>
        <w:tc>
          <w:tcPr>
            <w:tcW w:w="5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Elena Korablina</w:t>
            </w:r>
          </w:p>
        </w:tc>
      </w:tr>
      <w:tr>
        <w:trPr>
          <w:trHeight w:val="229"/>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Managing Director and Firmwide Controller</w:t>
            </w:r>
          </w:p>
        </w:tc>
      </w:tr>
      <w:tr>
        <w:trPr>
          <w:trHeight w:val="239"/>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r>
    </w:tbl>
    <w:p>
      <w:pPr>
        <w:spacing w:after="0" w:line="396"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April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3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JPMorgan Chase &amp; Co.</w:t>
      </w:r>
    </w:p>
    <w:p>
      <w:pPr>
        <w:ind w:left="260"/>
        <w:spacing w:after="0" w:line="206" w:lineRule="auto"/>
        <w:rPr>
          <w:sz w:val="20"/>
          <w:szCs w:val="20"/>
          <w:color w:val="auto"/>
        </w:rPr>
      </w:pPr>
      <w:r>
        <w:rPr>
          <w:rFonts w:ascii="Times New Roman" w:cs="Times New Roman" w:eastAsia="Times New Roman" w:hAnsi="Times New Roman"/>
          <w:sz w:val="14"/>
          <w:szCs w:val="14"/>
          <w:color w:val="auto"/>
        </w:rPr>
        <w:t>270 Park Avenue, New York, NY 10017-2070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-37465</wp:posOffset>
            </wp:positionV>
            <wp:extent cx="139700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000" cy="197485"/>
                    </a:xfrm>
                    <a:prstGeom prst="rect">
                      <a:avLst/>
                    </a:prstGeom>
                    <a:noFill/>
                  </pic:spPr>
                </pic:pic>
              </a:graphicData>
            </a:graphic>
          </wp:anchor>
        </w:drawing>
      </w:r>
    </w:p>
    <w:p>
      <w:pPr>
        <w:ind w:left="260"/>
        <w:spacing w:after="0" w:line="221" w:lineRule="auto"/>
        <w:rPr>
          <w:sz w:val="20"/>
          <w:szCs w:val="20"/>
          <w:color w:val="auto"/>
        </w:rPr>
      </w:pPr>
      <w:r>
        <w:rPr>
          <w:rFonts w:ascii="Times New Roman" w:cs="Times New Roman" w:eastAsia="Times New Roman" w:hAnsi="Times New Roman"/>
          <w:sz w:val="14"/>
          <w:szCs w:val="14"/>
          <w:color w:val="auto"/>
        </w:rPr>
        <w:t>NYSE symbol: JPM</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JPMORGANCHASE REPORTS FIRST-QUARTER 2026 NET INCOME OF $16.5 BILLION ($5.94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42545</wp:posOffset>
            </wp:positionV>
            <wp:extent cx="709803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FIRST-QUARTER 2026 RESULTS </w:t>
      </w:r>
      <w:r>
        <w:rPr>
          <w:rFonts w:ascii="Times New Roman" w:cs="Times New Roman" w:eastAsia="Times New Roman" w:hAnsi="Times New Roman"/>
          <w:sz w:val="23"/>
          <w:szCs w:val="23"/>
          <w:b w:val="1"/>
          <w:bCs w:val="1"/>
          <w:color w:val="auto"/>
          <w:vertAlign w:val="superscript"/>
        </w:rPr>
        <w:t>1</w:t>
      </w:r>
    </w:p>
    <w:p>
      <w:pPr>
        <w:spacing w:after="0" w:line="76" w:lineRule="exact"/>
        <w:rPr>
          <w:sz w:val="20"/>
          <w:szCs w:val="20"/>
          <w:color w:val="auto"/>
        </w:rPr>
      </w:pPr>
    </w:p>
    <w:tbl>
      <w:tblPr>
        <w:tblLayout w:type="fixed"/>
        <w:tblInd w:w="220" w:type="dxa"/>
        <w:tblCellMar>
          <w:top w:w="0" w:type="dxa"/>
          <w:left w:w="0" w:type="dxa"/>
          <w:bottom w:w="0" w:type="dxa"/>
          <w:right w:w="0" w:type="dxa"/>
        </w:tblCellMar>
      </w:tblPr>
      <w:tr>
        <w:trPr>
          <w:trHeight w:val="289"/>
        </w:trPr>
        <w:tc>
          <w:tcPr>
            <w:tcW w:w="3400" w:type="dxa"/>
            <w:vAlign w:val="bottom"/>
            <w:vMerge w:val="restart"/>
            <w:shd w:val="clear" w:color="auto" w:fill="6B432B"/>
          </w:tcPr>
          <w:p>
            <w:pPr>
              <w:jc w:val="center"/>
              <w:spacing w:after="0"/>
              <w:rPr>
                <w:sz w:val="20"/>
                <w:szCs w:val="20"/>
                <w:color w:val="auto"/>
              </w:rPr>
            </w:pPr>
            <w:r>
              <w:rPr>
                <w:rFonts w:ascii="Arial" w:cs="Arial" w:eastAsia="Arial" w:hAnsi="Arial"/>
                <w:sz w:val="16"/>
                <w:szCs w:val="16"/>
                <w:color w:val="FFFFFF"/>
              </w:rPr>
              <w:t xml:space="preserve">ROE </w:t>
            </w:r>
            <w:r>
              <w:rPr>
                <w:rFonts w:ascii="Times New Roman" w:cs="Times New Roman" w:eastAsia="Times New Roman" w:hAnsi="Times New Roman"/>
                <w:sz w:val="25"/>
                <w:szCs w:val="25"/>
                <w:b w:val="1"/>
                <w:bCs w:val="1"/>
                <w:color w:val="FFFFFF"/>
              </w:rPr>
              <w:t>19%</w:t>
            </w:r>
          </w:p>
        </w:tc>
        <w:tc>
          <w:tcPr>
            <w:tcW w:w="280" w:type="dxa"/>
            <w:vAlign w:val="bottom"/>
          </w:tcPr>
          <w:p>
            <w:pPr>
              <w:spacing w:after="0"/>
              <w:rPr>
                <w:sz w:val="24"/>
                <w:szCs w:val="24"/>
                <w:color w:val="auto"/>
              </w:rPr>
            </w:pPr>
          </w:p>
        </w:tc>
        <w:tc>
          <w:tcPr>
            <w:tcW w:w="2500" w:type="dxa"/>
            <w:vAlign w:val="bottom"/>
            <w:shd w:val="clear" w:color="auto" w:fill="6B432B"/>
          </w:tcPr>
          <w:p>
            <w:pPr>
              <w:jc w:val="right"/>
              <w:spacing w:after="0"/>
              <w:rPr>
                <w:sz w:val="20"/>
                <w:szCs w:val="20"/>
                <w:color w:val="auto"/>
              </w:rPr>
            </w:pPr>
            <w:r>
              <w:rPr>
                <w:rFonts w:ascii="Arial" w:cs="Arial" w:eastAsia="Arial" w:hAnsi="Arial"/>
                <w:sz w:val="16"/>
                <w:szCs w:val="16"/>
                <w:color w:val="FFFFFF"/>
              </w:rPr>
              <w:t>CET1 Capital Ratios</w:t>
            </w:r>
            <w:r>
              <w:rPr>
                <w:rFonts w:ascii="Arial" w:cs="Arial" w:eastAsia="Arial" w:hAnsi="Arial"/>
                <w:sz w:val="21"/>
                <w:szCs w:val="21"/>
                <w:color w:val="FFFFFF"/>
                <w:vertAlign w:val="superscript"/>
              </w:rPr>
              <w:t>3</w:t>
            </w:r>
          </w:p>
        </w:tc>
        <w:tc>
          <w:tcPr>
            <w:tcW w:w="920" w:type="dxa"/>
            <w:vAlign w:val="bottom"/>
            <w:shd w:val="clear" w:color="auto" w:fill="6B432B"/>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shd w:val="clear" w:color="auto" w:fill="6B432B"/>
          </w:tcPr>
          <w:p>
            <w:pPr>
              <w:jc w:val="center"/>
              <w:ind w:left="759"/>
              <w:spacing w:after="0"/>
              <w:rPr>
                <w:sz w:val="20"/>
                <w:szCs w:val="20"/>
                <w:color w:val="auto"/>
              </w:rPr>
            </w:pPr>
            <w:r>
              <w:rPr>
                <w:rFonts w:ascii="Arial" w:cs="Arial" w:eastAsia="Arial" w:hAnsi="Arial"/>
                <w:sz w:val="16"/>
                <w:szCs w:val="16"/>
                <w:color w:val="FFFFFF"/>
                <w:w w:val="99"/>
              </w:rPr>
              <w:t>Std. RWA</w:t>
            </w:r>
            <w:r>
              <w:rPr>
                <w:rFonts w:ascii="Arial" w:cs="Arial" w:eastAsia="Arial" w:hAnsi="Arial"/>
                <w:sz w:val="21"/>
                <w:szCs w:val="21"/>
                <w:color w:val="FFFFFF"/>
                <w:w w:val="99"/>
                <w:vertAlign w:val="superscript"/>
              </w:rPr>
              <w:t>3</w:t>
            </w:r>
            <w:r>
              <w:rPr>
                <w:rFonts w:ascii="Arial" w:cs="Arial" w:eastAsia="Arial" w:hAnsi="Arial"/>
                <w:sz w:val="16"/>
                <w:szCs w:val="16"/>
                <w:color w:val="FFFFFF"/>
                <w:w w:val="99"/>
              </w:rPr>
              <w:t xml:space="preserve"> </w:t>
            </w:r>
            <w:r>
              <w:rPr>
                <w:rFonts w:ascii="Times New Roman" w:cs="Times New Roman" w:eastAsia="Times New Roman" w:hAnsi="Times New Roman"/>
                <w:sz w:val="25"/>
                <w:szCs w:val="25"/>
                <w:b w:val="1"/>
                <w:bCs w:val="1"/>
                <w:color w:val="FFFFFF"/>
                <w:w w:val="99"/>
              </w:rPr>
              <w:t>$2.0T</w:t>
            </w:r>
          </w:p>
        </w:tc>
        <w:tc>
          <w:tcPr>
            <w:tcW w:w="840" w:type="dxa"/>
            <w:vAlign w:val="bottom"/>
            <w:shd w:val="clear" w:color="auto" w:fill="6B432B"/>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0" w:type="dxa"/>
            <w:vAlign w:val="bottom"/>
            <w:vMerge w:val="continue"/>
            <w:shd w:val="clear" w:color="auto" w:fill="6B432B"/>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gridSpan w:val="2"/>
            <w:vMerge w:val="restart"/>
            <w:shd w:val="clear" w:color="auto" w:fill="6B432B"/>
          </w:tcPr>
          <w:p>
            <w:pPr>
              <w:ind w:left="600"/>
              <w:spacing w:after="0"/>
              <w:rPr>
                <w:sz w:val="20"/>
                <w:szCs w:val="20"/>
                <w:color w:val="auto"/>
              </w:rPr>
            </w:pPr>
            <w:r>
              <w:rPr>
                <w:rFonts w:ascii="Arial" w:cs="Arial" w:eastAsia="Arial" w:hAnsi="Arial"/>
                <w:sz w:val="16"/>
                <w:szCs w:val="16"/>
                <w:color w:val="FFFFFF"/>
              </w:rPr>
              <w:t xml:space="preserve">Std. </w:t>
            </w:r>
            <w:r>
              <w:rPr>
                <w:rFonts w:ascii="Times New Roman" w:cs="Times New Roman" w:eastAsia="Times New Roman" w:hAnsi="Times New Roman"/>
                <w:sz w:val="25"/>
                <w:szCs w:val="25"/>
                <w:b w:val="1"/>
                <w:bCs w:val="1"/>
                <w:color w:val="FFFFFF"/>
              </w:rPr>
              <w:t>14.3%</w:t>
            </w:r>
            <w:r>
              <w:rPr>
                <w:rFonts w:ascii="Arial" w:cs="Arial" w:eastAsia="Arial" w:hAnsi="Arial"/>
                <w:sz w:val="16"/>
                <w:szCs w:val="16"/>
                <w:color w:val="FFFFFF"/>
              </w:rPr>
              <w:t xml:space="preserve"> | Adv. </w:t>
            </w:r>
            <w:r>
              <w:rPr>
                <w:rFonts w:ascii="Times New Roman" w:cs="Times New Roman" w:eastAsia="Times New Roman" w:hAnsi="Times New Roman"/>
                <w:sz w:val="25"/>
                <w:szCs w:val="25"/>
                <w:b w:val="1"/>
                <w:bCs w:val="1"/>
                <w:color w:val="FFFFFF"/>
              </w:rPr>
              <w:t>14.1%</w:t>
            </w:r>
          </w:p>
        </w:tc>
        <w:tc>
          <w:tcPr>
            <w:tcW w:w="280" w:type="dxa"/>
            <w:vAlign w:val="bottom"/>
          </w:tcPr>
          <w:p>
            <w:pPr>
              <w:spacing w:after="0"/>
              <w:rPr>
                <w:sz w:val="15"/>
                <w:szCs w:val="15"/>
                <w:color w:val="auto"/>
              </w:rPr>
            </w:pPr>
          </w:p>
        </w:tc>
        <w:tc>
          <w:tcPr>
            <w:tcW w:w="2580" w:type="dxa"/>
            <w:vAlign w:val="bottom"/>
            <w:vMerge w:val="restart"/>
            <w:shd w:val="clear" w:color="auto" w:fill="6B432B"/>
          </w:tcPr>
          <w:p>
            <w:pPr>
              <w:ind w:left="220"/>
              <w:spacing w:after="0"/>
              <w:rPr>
                <w:sz w:val="20"/>
                <w:szCs w:val="20"/>
                <w:color w:val="auto"/>
              </w:rPr>
            </w:pPr>
            <w:r>
              <w:rPr>
                <w:rFonts w:ascii="Arial" w:cs="Arial" w:eastAsia="Arial" w:hAnsi="Arial"/>
                <w:sz w:val="16"/>
                <w:szCs w:val="16"/>
                <w:color w:val="FFFFFF"/>
              </w:rPr>
              <w:t>Cash and marketable securities</w:t>
            </w:r>
            <w:r>
              <w:rPr>
                <w:rFonts w:ascii="Arial" w:cs="Arial" w:eastAsia="Arial" w:hAnsi="Arial"/>
                <w:sz w:val="21"/>
                <w:szCs w:val="21"/>
                <w:color w:val="FFFFFF"/>
                <w:vertAlign w:val="superscript"/>
              </w:rPr>
              <w:t>4</w:t>
            </w:r>
          </w:p>
        </w:tc>
        <w:tc>
          <w:tcPr>
            <w:tcW w:w="840" w:type="dxa"/>
            <w:vAlign w:val="bottom"/>
            <w:vMerge w:val="restart"/>
            <w:shd w:val="clear" w:color="auto" w:fill="6B432B"/>
          </w:tcPr>
          <w:p>
            <w:pPr>
              <w:ind w:left="20"/>
              <w:spacing w:after="0"/>
              <w:rPr>
                <w:sz w:val="20"/>
                <w:szCs w:val="20"/>
                <w:color w:val="auto"/>
              </w:rPr>
            </w:pPr>
            <w:r>
              <w:rPr>
                <w:rFonts w:ascii="Times New Roman" w:cs="Times New Roman" w:eastAsia="Times New Roman" w:hAnsi="Times New Roman"/>
                <w:sz w:val="25"/>
                <w:szCs w:val="25"/>
                <w:b w:val="1"/>
                <w:bCs w:val="1"/>
                <w:color w:val="FFFFFF"/>
              </w:rPr>
              <w:t>$1.5T</w:t>
            </w:r>
          </w:p>
        </w:tc>
        <w:tc>
          <w:tcPr>
            <w:tcW w:w="0" w:type="dxa"/>
            <w:vAlign w:val="bottom"/>
          </w:tcPr>
          <w:p>
            <w:pPr>
              <w:spacing w:after="0"/>
              <w:rPr>
                <w:sz w:val="1"/>
                <w:szCs w:val="1"/>
                <w:color w:val="auto"/>
              </w:rPr>
            </w:pPr>
          </w:p>
        </w:tc>
      </w:tr>
      <w:tr>
        <w:trPr>
          <w:trHeight w:val="122"/>
        </w:trPr>
        <w:tc>
          <w:tcPr>
            <w:tcW w:w="3400" w:type="dxa"/>
            <w:vAlign w:val="bottom"/>
            <w:vMerge w:val="restart"/>
            <w:shd w:val="clear" w:color="auto" w:fill="6B432B"/>
          </w:tcPr>
          <w:p>
            <w:pPr>
              <w:jc w:val="center"/>
              <w:spacing w:after="0"/>
              <w:rPr>
                <w:sz w:val="20"/>
                <w:szCs w:val="20"/>
                <w:color w:val="auto"/>
              </w:rPr>
            </w:pPr>
            <w:r>
              <w:rPr>
                <w:rFonts w:ascii="Arial" w:cs="Arial" w:eastAsia="Arial" w:hAnsi="Arial"/>
                <w:sz w:val="16"/>
                <w:szCs w:val="16"/>
                <w:color w:val="FFFFFF"/>
                <w:w w:val="98"/>
              </w:rPr>
              <w:t>ROTCE</w:t>
            </w:r>
            <w:r>
              <w:rPr>
                <w:rFonts w:ascii="Arial" w:cs="Arial" w:eastAsia="Arial" w:hAnsi="Arial"/>
                <w:sz w:val="21"/>
                <w:szCs w:val="21"/>
                <w:color w:val="FFFFFF"/>
                <w:w w:val="98"/>
                <w:vertAlign w:val="superscript"/>
              </w:rPr>
              <w:t>2</w:t>
            </w:r>
            <w:r>
              <w:rPr>
                <w:rFonts w:ascii="Arial" w:cs="Arial" w:eastAsia="Arial" w:hAnsi="Arial"/>
                <w:sz w:val="16"/>
                <w:szCs w:val="16"/>
                <w:color w:val="FFFFFF"/>
                <w:w w:val="98"/>
              </w:rPr>
              <w:t xml:space="preserve"> </w:t>
            </w:r>
            <w:r>
              <w:rPr>
                <w:rFonts w:ascii="Times New Roman" w:cs="Times New Roman" w:eastAsia="Times New Roman" w:hAnsi="Times New Roman"/>
                <w:sz w:val="25"/>
                <w:szCs w:val="25"/>
                <w:b w:val="1"/>
                <w:bCs w:val="1"/>
                <w:color w:val="FFFFFF"/>
                <w:w w:val="98"/>
              </w:rPr>
              <w:t>23%</w:t>
            </w:r>
          </w:p>
        </w:tc>
        <w:tc>
          <w:tcPr>
            <w:tcW w:w="280" w:type="dxa"/>
            <w:vAlign w:val="bottom"/>
          </w:tcPr>
          <w:p>
            <w:pPr>
              <w:spacing w:after="0"/>
              <w:rPr>
                <w:sz w:val="10"/>
                <w:szCs w:val="10"/>
                <w:color w:val="auto"/>
              </w:rPr>
            </w:pPr>
          </w:p>
        </w:tc>
        <w:tc>
          <w:tcPr>
            <w:tcW w:w="3420" w:type="dxa"/>
            <w:vAlign w:val="bottom"/>
            <w:gridSpan w:val="2"/>
            <w:vMerge w:val="continue"/>
            <w:shd w:val="clear" w:color="auto" w:fill="6B432B"/>
          </w:tcPr>
          <w:p>
            <w:pPr>
              <w:spacing w:after="0"/>
              <w:rPr>
                <w:sz w:val="10"/>
                <w:szCs w:val="10"/>
                <w:color w:val="auto"/>
              </w:rPr>
            </w:pPr>
          </w:p>
        </w:tc>
        <w:tc>
          <w:tcPr>
            <w:tcW w:w="280" w:type="dxa"/>
            <w:vAlign w:val="bottom"/>
          </w:tcPr>
          <w:p>
            <w:pPr>
              <w:spacing w:after="0"/>
              <w:rPr>
                <w:sz w:val="10"/>
                <w:szCs w:val="10"/>
                <w:color w:val="auto"/>
              </w:rPr>
            </w:pPr>
          </w:p>
        </w:tc>
        <w:tc>
          <w:tcPr>
            <w:tcW w:w="2580" w:type="dxa"/>
            <w:vAlign w:val="bottom"/>
            <w:vMerge w:val="continue"/>
            <w:shd w:val="clear" w:color="auto" w:fill="6B432B"/>
          </w:tcPr>
          <w:p>
            <w:pPr>
              <w:spacing w:after="0"/>
              <w:rPr>
                <w:sz w:val="10"/>
                <w:szCs w:val="10"/>
                <w:color w:val="auto"/>
              </w:rPr>
            </w:pPr>
          </w:p>
        </w:tc>
        <w:tc>
          <w:tcPr>
            <w:tcW w:w="840" w:type="dxa"/>
            <w:vAlign w:val="bottom"/>
            <w:vMerge w:val="continue"/>
            <w:shd w:val="clear" w:color="auto" w:fill="6B432B"/>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3400" w:type="dxa"/>
            <w:vAlign w:val="bottom"/>
            <w:vMerge w:val="continue"/>
            <w:shd w:val="clear" w:color="auto" w:fill="6B432B"/>
          </w:tcPr>
          <w:p>
            <w:pPr>
              <w:spacing w:after="0"/>
              <w:rPr>
                <w:sz w:val="22"/>
                <w:szCs w:val="22"/>
                <w:color w:val="auto"/>
              </w:rPr>
            </w:pPr>
          </w:p>
        </w:tc>
        <w:tc>
          <w:tcPr>
            <w:tcW w:w="280" w:type="dxa"/>
            <w:vAlign w:val="bottom"/>
          </w:tcPr>
          <w:p>
            <w:pPr>
              <w:spacing w:after="0"/>
              <w:rPr>
                <w:sz w:val="22"/>
                <w:szCs w:val="22"/>
                <w:color w:val="auto"/>
              </w:rPr>
            </w:pPr>
          </w:p>
        </w:tc>
        <w:tc>
          <w:tcPr>
            <w:tcW w:w="2500" w:type="dxa"/>
            <w:vAlign w:val="bottom"/>
            <w:vMerge w:val="restart"/>
            <w:shd w:val="clear" w:color="auto" w:fill="6B432B"/>
          </w:tcPr>
          <w:p>
            <w:pPr>
              <w:jc w:val="right"/>
              <w:spacing w:after="0"/>
              <w:rPr>
                <w:sz w:val="20"/>
                <w:szCs w:val="20"/>
                <w:color w:val="auto"/>
              </w:rPr>
            </w:pPr>
            <w:r>
              <w:rPr>
                <w:rFonts w:ascii="Arial" w:cs="Arial" w:eastAsia="Arial" w:hAnsi="Arial"/>
                <w:sz w:val="16"/>
                <w:szCs w:val="16"/>
                <w:color w:val="FFFFFF"/>
              </w:rPr>
              <w:t>Total Loss-Absorbing Capacity</w:t>
            </w:r>
            <w:r>
              <w:rPr>
                <w:rFonts w:ascii="Arial" w:cs="Arial" w:eastAsia="Arial" w:hAnsi="Arial"/>
                <w:sz w:val="21"/>
                <w:szCs w:val="21"/>
                <w:color w:val="FFFFFF"/>
                <w:vertAlign w:val="superscript"/>
              </w:rPr>
              <w:t>3</w:t>
            </w:r>
          </w:p>
        </w:tc>
        <w:tc>
          <w:tcPr>
            <w:tcW w:w="920" w:type="dxa"/>
            <w:vAlign w:val="bottom"/>
            <w:vMerge w:val="restart"/>
            <w:shd w:val="clear" w:color="auto" w:fill="6B432B"/>
          </w:tcPr>
          <w:p>
            <w:pPr>
              <w:ind w:left="20"/>
              <w:spacing w:after="0"/>
              <w:rPr>
                <w:sz w:val="20"/>
                <w:szCs w:val="20"/>
                <w:color w:val="auto"/>
              </w:rPr>
            </w:pPr>
            <w:r>
              <w:rPr>
                <w:rFonts w:ascii="Times New Roman" w:cs="Times New Roman" w:eastAsia="Times New Roman" w:hAnsi="Times New Roman"/>
                <w:sz w:val="25"/>
                <w:szCs w:val="25"/>
                <w:b w:val="1"/>
                <w:bCs w:val="1"/>
                <w:color w:val="FFFFFF"/>
              </w:rPr>
              <w:t>$572B</w:t>
            </w:r>
          </w:p>
        </w:tc>
        <w:tc>
          <w:tcPr>
            <w:tcW w:w="280" w:type="dxa"/>
            <w:vAlign w:val="bottom"/>
          </w:tcPr>
          <w:p>
            <w:pPr>
              <w:spacing w:after="0"/>
              <w:rPr>
                <w:sz w:val="22"/>
                <w:szCs w:val="22"/>
                <w:color w:val="auto"/>
              </w:rPr>
            </w:pPr>
          </w:p>
        </w:tc>
        <w:tc>
          <w:tcPr>
            <w:tcW w:w="2580" w:type="dxa"/>
            <w:vAlign w:val="bottom"/>
            <w:vMerge w:val="restart"/>
            <w:shd w:val="clear" w:color="auto" w:fill="6B432B"/>
          </w:tcPr>
          <w:p>
            <w:pPr>
              <w:jc w:val="center"/>
              <w:ind w:left="759"/>
              <w:spacing w:after="0"/>
              <w:rPr>
                <w:sz w:val="20"/>
                <w:szCs w:val="20"/>
                <w:color w:val="auto"/>
              </w:rPr>
            </w:pPr>
            <w:r>
              <w:rPr>
                <w:rFonts w:ascii="Arial" w:cs="Arial" w:eastAsia="Arial" w:hAnsi="Arial"/>
                <w:sz w:val="16"/>
                <w:szCs w:val="16"/>
                <w:color w:val="FFFFFF"/>
              </w:rPr>
              <w:t xml:space="preserve">Average loans </w:t>
            </w:r>
            <w:r>
              <w:rPr>
                <w:rFonts w:ascii="Times New Roman" w:cs="Times New Roman" w:eastAsia="Times New Roman" w:hAnsi="Times New Roman"/>
                <w:sz w:val="25"/>
                <w:szCs w:val="25"/>
                <w:b w:val="1"/>
                <w:bCs w:val="1"/>
                <w:color w:val="FFFFFF"/>
              </w:rPr>
              <w:t>$1.5T</w:t>
            </w:r>
          </w:p>
        </w:tc>
        <w:tc>
          <w:tcPr>
            <w:tcW w:w="840" w:type="dxa"/>
            <w:vAlign w:val="bottom"/>
            <w:shd w:val="clear" w:color="auto" w:fill="6B432B"/>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3400" w:type="dxa"/>
            <w:vAlign w:val="bottom"/>
            <w:shd w:val="clear" w:color="auto" w:fill="6B432B"/>
          </w:tcPr>
          <w:p>
            <w:pPr>
              <w:spacing w:after="0"/>
              <w:rPr>
                <w:sz w:val="10"/>
                <w:szCs w:val="10"/>
                <w:color w:val="auto"/>
              </w:rPr>
            </w:pPr>
          </w:p>
        </w:tc>
        <w:tc>
          <w:tcPr>
            <w:tcW w:w="280" w:type="dxa"/>
            <w:vAlign w:val="bottom"/>
          </w:tcPr>
          <w:p>
            <w:pPr>
              <w:spacing w:after="0"/>
              <w:rPr>
                <w:sz w:val="10"/>
                <w:szCs w:val="10"/>
                <w:color w:val="auto"/>
              </w:rPr>
            </w:pPr>
          </w:p>
        </w:tc>
        <w:tc>
          <w:tcPr>
            <w:tcW w:w="2500" w:type="dxa"/>
            <w:vAlign w:val="bottom"/>
            <w:vMerge w:val="continue"/>
            <w:shd w:val="clear" w:color="auto" w:fill="6B432B"/>
          </w:tcPr>
          <w:p>
            <w:pPr>
              <w:spacing w:after="0"/>
              <w:rPr>
                <w:sz w:val="10"/>
                <w:szCs w:val="10"/>
                <w:color w:val="auto"/>
              </w:rPr>
            </w:pPr>
          </w:p>
        </w:tc>
        <w:tc>
          <w:tcPr>
            <w:tcW w:w="920" w:type="dxa"/>
            <w:vAlign w:val="bottom"/>
            <w:vMerge w:val="continue"/>
            <w:shd w:val="clear" w:color="auto" w:fill="6B432B"/>
          </w:tcPr>
          <w:p>
            <w:pPr>
              <w:spacing w:after="0"/>
              <w:rPr>
                <w:sz w:val="10"/>
                <w:szCs w:val="10"/>
                <w:color w:val="auto"/>
              </w:rPr>
            </w:pPr>
          </w:p>
        </w:tc>
        <w:tc>
          <w:tcPr>
            <w:tcW w:w="280" w:type="dxa"/>
            <w:vAlign w:val="bottom"/>
          </w:tcPr>
          <w:p>
            <w:pPr>
              <w:spacing w:after="0"/>
              <w:rPr>
                <w:sz w:val="10"/>
                <w:szCs w:val="10"/>
                <w:color w:val="auto"/>
              </w:rPr>
            </w:pPr>
          </w:p>
        </w:tc>
        <w:tc>
          <w:tcPr>
            <w:tcW w:w="2580" w:type="dxa"/>
            <w:vAlign w:val="bottom"/>
            <w:vMerge w:val="continue"/>
            <w:shd w:val="clear" w:color="auto" w:fill="6B432B"/>
          </w:tcPr>
          <w:p>
            <w:pPr>
              <w:spacing w:after="0"/>
              <w:rPr>
                <w:sz w:val="10"/>
                <w:szCs w:val="10"/>
                <w:color w:val="auto"/>
              </w:rPr>
            </w:pPr>
          </w:p>
        </w:tc>
        <w:tc>
          <w:tcPr>
            <w:tcW w:w="840" w:type="dxa"/>
            <w:vAlign w:val="bottom"/>
            <w:shd w:val="clear" w:color="auto" w:fill="6B432B"/>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77470</wp:posOffset>
            </wp:positionV>
            <wp:extent cx="3608705" cy="5520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8705" cy="5520690"/>
                    </a:xfrm>
                    <a:prstGeom prst="rect">
                      <a:avLst/>
                    </a:prstGeom>
                    <a:noFill/>
                  </pic:spPr>
                </pic:pic>
              </a:graphicData>
            </a:graphic>
          </wp:anchor>
        </w:drawing>
      </w:r>
    </w:p>
    <w:p>
      <w:pPr>
        <w:sectPr>
          <w:pgSz w:w="11900" w:h="16838" w:orient="portrait"/>
          <w:cols w:equalWidth="0" w:num="1">
            <w:col w:w="11240"/>
          </w:cols>
          <w:pgMar w:left="320" w:top="121" w:right="339" w:bottom="9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Firmwide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-735965</wp:posOffset>
            </wp:positionV>
            <wp:extent cx="805815" cy="1508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05815" cy="1508760"/>
                    </a:xfrm>
                    <a:prstGeom prst="rect">
                      <a:avLst/>
                    </a:prstGeom>
                    <a:noFill/>
                  </pic:spPr>
                </pic:pic>
              </a:graphicData>
            </a:graphic>
          </wp:anchor>
        </w:drawing>
      </w:r>
    </w:p>
    <w:p>
      <w:pPr>
        <w:jc w:val="center"/>
        <w:ind w:left="240"/>
        <w:spacing w:after="0"/>
        <w:rPr>
          <w:sz w:val="20"/>
          <w:szCs w:val="20"/>
          <w:color w:val="auto"/>
        </w:rPr>
      </w:pPr>
      <w:r>
        <w:rPr>
          <w:rFonts w:ascii="Arial" w:cs="Arial" w:eastAsia="Arial" w:hAnsi="Arial"/>
          <w:sz w:val="18"/>
          <w:szCs w:val="18"/>
          <w:b w:val="1"/>
          <w:bCs w:val="1"/>
          <w:color w:val="FFFFFF"/>
        </w:rPr>
        <w:t>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805815" cy="1217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581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CCB</w:t>
      </w:r>
    </w:p>
    <w:p>
      <w:pPr>
        <w:spacing w:after="0" w:line="26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i w:val="1"/>
          <w:iCs w:val="1"/>
          <w:color w:val="FFFFFF"/>
        </w:rPr>
        <w:t>ROE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805815" cy="1388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581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CIB</w:t>
      </w:r>
    </w:p>
    <w:p>
      <w:pPr>
        <w:spacing w:after="0" w:line="169"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i w:val="1"/>
          <w:iCs w:val="1"/>
          <w:color w:val="FFFFFF"/>
        </w:rPr>
        <w:t>ROE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631190</wp:posOffset>
            </wp:positionV>
            <wp:extent cx="805815"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581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AWM</w:t>
      </w:r>
    </w:p>
    <w:p>
      <w:pPr>
        <w:spacing w:after="0" w:line="237"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i w:val="1"/>
          <w:iCs w:val="1"/>
          <w:color w:val="FFFFFF"/>
        </w:rPr>
        <w:t>ROE 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5" w:hanging="245"/>
        <w:spacing w:after="0" w:line="282" w:lineRule="auto"/>
        <w:tabs>
          <w:tab w:leader="none" w:pos="245" w:val="left"/>
        </w:tabs>
        <w:numPr>
          <w:ilvl w:val="0"/>
          <w:numId w:val="5"/>
        </w:numPr>
        <w:rPr>
          <w:rFonts w:ascii="Wingdings" w:cs="Wingdings" w:eastAsia="Wingdings" w:hAnsi="Wingdings"/>
          <w:sz w:val="18"/>
          <w:szCs w:val="18"/>
          <w:b w:val="1"/>
          <w:bCs w:val="1"/>
          <w:color w:val="8F5A39"/>
        </w:rPr>
      </w:pPr>
      <w:r>
        <w:rPr>
          <w:rFonts w:ascii="Times New Roman" w:cs="Times New Roman" w:eastAsia="Times New Roman" w:hAnsi="Times New Roman"/>
          <w:sz w:val="16"/>
          <w:szCs w:val="16"/>
          <w:color w:val="auto"/>
        </w:rPr>
        <w:t>Reported revenue of $49.8 billion and managed revenue of $50.5 billion</w:t>
      </w:r>
      <w:r>
        <w:rPr>
          <w:rFonts w:ascii="Times New Roman" w:cs="Times New Roman" w:eastAsia="Times New Roman" w:hAnsi="Times New Roman"/>
          <w:sz w:val="21"/>
          <w:szCs w:val="21"/>
          <w:color w:val="auto"/>
          <w:vertAlign w:val="superscript"/>
        </w:rPr>
        <w:t>2</w:t>
      </w:r>
    </w:p>
    <w:p>
      <w:pPr>
        <w:spacing w:after="0" w:line="89" w:lineRule="exact"/>
        <w:rPr>
          <w:rFonts w:ascii="Wingdings" w:cs="Wingdings" w:eastAsia="Wingdings" w:hAnsi="Wingdings"/>
          <w:sz w:val="18"/>
          <w:szCs w:val="18"/>
          <w:b w:val="1"/>
          <w:bCs w:val="1"/>
          <w:color w:val="8F5A39"/>
        </w:rPr>
      </w:pPr>
    </w:p>
    <w:p>
      <w:pPr>
        <w:ind w:left="245" w:right="120" w:hanging="245"/>
        <w:spacing w:after="0" w:line="295" w:lineRule="auto"/>
        <w:tabs>
          <w:tab w:leader="none" w:pos="245" w:val="left"/>
        </w:tabs>
        <w:numPr>
          <w:ilvl w:val="0"/>
          <w:numId w:val="5"/>
        </w:numPr>
        <w:rPr>
          <w:rFonts w:ascii="Wingdings" w:cs="Wingdings" w:eastAsia="Wingdings" w:hAnsi="Wingdings"/>
          <w:sz w:val="18"/>
          <w:szCs w:val="18"/>
          <w:b w:val="1"/>
          <w:bCs w:val="1"/>
          <w:color w:val="8F5A39"/>
        </w:rPr>
      </w:pPr>
      <w:r>
        <w:rPr>
          <w:rFonts w:ascii="Times New Roman" w:cs="Times New Roman" w:eastAsia="Times New Roman" w:hAnsi="Times New Roman"/>
          <w:sz w:val="16"/>
          <w:szCs w:val="16"/>
          <w:color w:val="auto"/>
        </w:rPr>
        <w:t>Expense of $26.9 billion; reported overhead ratio of 54% and managed overhead ratio</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of 53%</w:t>
      </w:r>
    </w:p>
    <w:p>
      <w:pPr>
        <w:spacing w:after="0" w:line="38" w:lineRule="exact"/>
        <w:rPr>
          <w:rFonts w:ascii="Wingdings" w:cs="Wingdings" w:eastAsia="Wingdings" w:hAnsi="Wingdings"/>
          <w:sz w:val="18"/>
          <w:szCs w:val="18"/>
          <w:b w:val="1"/>
          <w:bCs w:val="1"/>
          <w:color w:val="8F5A39"/>
        </w:rPr>
      </w:pPr>
    </w:p>
    <w:p>
      <w:pPr>
        <w:ind w:left="245" w:right="40" w:hanging="245"/>
        <w:spacing w:after="0" w:line="295" w:lineRule="auto"/>
        <w:tabs>
          <w:tab w:leader="none" w:pos="245" w:val="left"/>
        </w:tabs>
        <w:numPr>
          <w:ilvl w:val="0"/>
          <w:numId w:val="5"/>
        </w:numPr>
        <w:rPr>
          <w:rFonts w:ascii="Wingdings" w:cs="Wingdings" w:eastAsia="Wingdings" w:hAnsi="Wingdings"/>
          <w:sz w:val="18"/>
          <w:szCs w:val="18"/>
          <w:b w:val="1"/>
          <w:bCs w:val="1"/>
          <w:color w:val="8F5A39"/>
        </w:rPr>
      </w:pPr>
      <w:r>
        <w:rPr>
          <w:rFonts w:ascii="Times New Roman" w:cs="Times New Roman" w:eastAsia="Times New Roman" w:hAnsi="Times New Roman"/>
          <w:sz w:val="16"/>
          <w:szCs w:val="16"/>
          <w:color w:val="auto"/>
        </w:rPr>
        <w:t>Credit costs of $2.5 billion with $2.3 billion of net charge-offs and a $191 million net reserve build</w:t>
      </w:r>
    </w:p>
    <w:p>
      <w:pPr>
        <w:spacing w:after="0" w:line="122" w:lineRule="exact"/>
        <w:rPr>
          <w:rFonts w:ascii="Wingdings" w:cs="Wingdings" w:eastAsia="Wingdings" w:hAnsi="Wingdings"/>
          <w:sz w:val="18"/>
          <w:szCs w:val="18"/>
          <w:b w:val="1"/>
          <w:bCs w:val="1"/>
          <w:color w:val="8F5A39"/>
        </w:rPr>
      </w:pPr>
    </w:p>
    <w:p>
      <w:pPr>
        <w:ind w:left="245" w:right="40" w:hanging="245"/>
        <w:spacing w:after="0" w:line="295" w:lineRule="auto"/>
        <w:tabs>
          <w:tab w:leader="none" w:pos="245" w:val="left"/>
        </w:tabs>
        <w:numPr>
          <w:ilvl w:val="0"/>
          <w:numId w:val="5"/>
        </w:numPr>
        <w:rPr>
          <w:rFonts w:ascii="Wingdings" w:cs="Wingdings" w:eastAsia="Wingdings" w:hAnsi="Wingdings"/>
          <w:sz w:val="18"/>
          <w:szCs w:val="18"/>
          <w:b w:val="1"/>
          <w:bCs w:val="1"/>
          <w:color w:val="8F5A39"/>
        </w:rPr>
      </w:pPr>
      <w:r>
        <w:rPr>
          <w:rFonts w:ascii="Times New Roman" w:cs="Times New Roman" w:eastAsia="Times New Roman" w:hAnsi="Times New Roman"/>
          <w:sz w:val="16"/>
          <w:szCs w:val="16"/>
          <w:color w:val="auto"/>
        </w:rPr>
        <w:t>Average loans up 11% YoY, up 2% QoQ; average deposits up 7% YoY, up 1% QoQ</w:t>
      </w:r>
    </w:p>
    <w:p>
      <w:pPr>
        <w:spacing w:after="0" w:line="216" w:lineRule="exact"/>
        <w:rPr>
          <w:rFonts w:ascii="Wingdings" w:cs="Wingdings" w:eastAsia="Wingdings" w:hAnsi="Wingdings"/>
          <w:sz w:val="18"/>
          <w:szCs w:val="18"/>
          <w:b w:val="1"/>
          <w:bCs w:val="1"/>
          <w:color w:val="8F5A39"/>
        </w:rPr>
      </w:pPr>
    </w:p>
    <w:p>
      <w:pPr>
        <w:ind w:left="245" w:right="80" w:hanging="245"/>
        <w:spacing w:after="0" w:line="295" w:lineRule="auto"/>
        <w:tabs>
          <w:tab w:leader="none" w:pos="245" w:val="left"/>
        </w:tabs>
        <w:numPr>
          <w:ilvl w:val="0"/>
          <w:numId w:val="5"/>
        </w:numPr>
        <w:rPr>
          <w:rFonts w:ascii="Wingdings" w:cs="Wingdings" w:eastAsia="Wingdings" w:hAnsi="Wingdings"/>
          <w:sz w:val="18"/>
          <w:szCs w:val="18"/>
          <w:b w:val="1"/>
          <w:bCs w:val="1"/>
          <w:color w:val="2B5780"/>
        </w:rPr>
      </w:pPr>
      <w:r>
        <w:rPr>
          <w:rFonts w:ascii="Times New Roman" w:cs="Times New Roman" w:eastAsia="Times New Roman" w:hAnsi="Times New Roman"/>
          <w:sz w:val="16"/>
          <w:szCs w:val="16"/>
          <w:color w:val="auto"/>
        </w:rPr>
        <w:t>Average deposits up 2% YoY and QoQ; client investment assets up 18% YoY</w:t>
      </w:r>
    </w:p>
    <w:p>
      <w:pPr>
        <w:spacing w:after="0" w:line="122" w:lineRule="exact"/>
        <w:rPr>
          <w:rFonts w:ascii="Wingdings" w:cs="Wingdings" w:eastAsia="Wingdings" w:hAnsi="Wingdings"/>
          <w:sz w:val="18"/>
          <w:szCs w:val="18"/>
          <w:b w:val="1"/>
          <w:bCs w:val="1"/>
          <w:color w:val="2B5780"/>
        </w:rPr>
      </w:pPr>
    </w:p>
    <w:p>
      <w:pPr>
        <w:ind w:left="245" w:hanging="245"/>
        <w:spacing w:after="0" w:line="295" w:lineRule="auto"/>
        <w:tabs>
          <w:tab w:leader="none" w:pos="245" w:val="left"/>
        </w:tabs>
        <w:numPr>
          <w:ilvl w:val="0"/>
          <w:numId w:val="5"/>
        </w:numPr>
        <w:rPr>
          <w:rFonts w:ascii="Wingdings" w:cs="Wingdings" w:eastAsia="Wingdings" w:hAnsi="Wingdings"/>
          <w:sz w:val="18"/>
          <w:szCs w:val="18"/>
          <w:b w:val="1"/>
          <w:bCs w:val="1"/>
          <w:color w:val="2B5780"/>
        </w:rPr>
      </w:pPr>
      <w:r>
        <w:rPr>
          <w:rFonts w:ascii="Times New Roman" w:cs="Times New Roman" w:eastAsia="Times New Roman" w:hAnsi="Times New Roman"/>
          <w:sz w:val="16"/>
          <w:szCs w:val="16"/>
          <w:color w:val="auto"/>
        </w:rPr>
        <w:t>Average loans up 1% YoY and flat QoQ; Card Services net charge-off rate of 3.47%</w:t>
      </w:r>
    </w:p>
    <w:p>
      <w:pPr>
        <w:spacing w:after="0" w:line="108" w:lineRule="exact"/>
        <w:rPr>
          <w:rFonts w:ascii="Wingdings" w:cs="Wingdings" w:eastAsia="Wingdings" w:hAnsi="Wingdings"/>
          <w:sz w:val="18"/>
          <w:szCs w:val="18"/>
          <w:b w:val="1"/>
          <w:bCs w:val="1"/>
          <w:color w:val="2B5780"/>
        </w:rPr>
      </w:pPr>
    </w:p>
    <w:p>
      <w:pPr>
        <w:ind w:left="245" w:hanging="245"/>
        <w:spacing w:after="0"/>
        <w:tabs>
          <w:tab w:leader="none" w:pos="245" w:val="left"/>
        </w:tabs>
        <w:numPr>
          <w:ilvl w:val="0"/>
          <w:numId w:val="5"/>
        </w:numPr>
        <w:rPr>
          <w:rFonts w:ascii="Wingdings" w:cs="Wingdings" w:eastAsia="Wingdings" w:hAnsi="Wingdings"/>
          <w:sz w:val="18"/>
          <w:szCs w:val="18"/>
          <w:b w:val="1"/>
          <w:bCs w:val="1"/>
          <w:color w:val="2B5780"/>
        </w:rPr>
      </w:pPr>
      <w:r>
        <w:rPr>
          <w:rFonts w:ascii="Times New Roman" w:cs="Times New Roman" w:eastAsia="Times New Roman" w:hAnsi="Times New Roman"/>
          <w:sz w:val="16"/>
          <w:szCs w:val="16"/>
          <w:color w:val="auto"/>
        </w:rPr>
        <w:t>Debit and credit card sales volume</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up 9% YoY</w:t>
      </w:r>
    </w:p>
    <w:p>
      <w:pPr>
        <w:spacing w:after="0" w:line="123" w:lineRule="exact"/>
        <w:rPr>
          <w:rFonts w:ascii="Wingdings" w:cs="Wingdings" w:eastAsia="Wingdings" w:hAnsi="Wingdings"/>
          <w:sz w:val="18"/>
          <w:szCs w:val="18"/>
          <w:b w:val="1"/>
          <w:bCs w:val="1"/>
          <w:color w:val="2B5780"/>
        </w:rPr>
      </w:pPr>
    </w:p>
    <w:p>
      <w:pPr>
        <w:ind w:left="245" w:hanging="245"/>
        <w:spacing w:after="0"/>
        <w:tabs>
          <w:tab w:leader="none" w:pos="245" w:val="left"/>
        </w:tabs>
        <w:numPr>
          <w:ilvl w:val="0"/>
          <w:numId w:val="5"/>
        </w:numPr>
        <w:rPr>
          <w:rFonts w:ascii="Wingdings" w:cs="Wingdings" w:eastAsia="Wingdings" w:hAnsi="Wingdings"/>
          <w:sz w:val="18"/>
          <w:szCs w:val="18"/>
          <w:b w:val="1"/>
          <w:bCs w:val="1"/>
          <w:color w:val="2B5780"/>
        </w:rPr>
      </w:pPr>
      <w:r>
        <w:rPr>
          <w:rFonts w:ascii="Times New Roman" w:cs="Times New Roman" w:eastAsia="Times New Roman" w:hAnsi="Times New Roman"/>
          <w:sz w:val="16"/>
          <w:szCs w:val="16"/>
          <w:color w:val="auto"/>
        </w:rPr>
        <w:t>Active mobile customers</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 xml:space="preserve"> up 7% YoY</w:t>
      </w:r>
    </w:p>
    <w:p>
      <w:pPr>
        <w:spacing w:after="0" w:line="231" w:lineRule="exact"/>
        <w:rPr>
          <w:rFonts w:ascii="Wingdings" w:cs="Wingdings" w:eastAsia="Wingdings" w:hAnsi="Wingdings"/>
          <w:sz w:val="18"/>
          <w:szCs w:val="18"/>
          <w:b w:val="1"/>
          <w:bCs w:val="1"/>
          <w:color w:val="2B5780"/>
        </w:rPr>
      </w:pPr>
    </w:p>
    <w:p>
      <w:pPr>
        <w:ind w:left="245" w:right="160" w:hanging="245"/>
        <w:spacing w:after="0" w:line="278" w:lineRule="auto"/>
        <w:tabs>
          <w:tab w:leader="none" w:pos="245" w:val="left"/>
        </w:tabs>
        <w:numPr>
          <w:ilvl w:val="0"/>
          <w:numId w:val="5"/>
        </w:numPr>
        <w:rPr>
          <w:rFonts w:ascii="Wingdings" w:cs="Wingdings" w:eastAsia="Wingdings" w:hAnsi="Wingdings"/>
          <w:sz w:val="18"/>
          <w:szCs w:val="18"/>
          <w:b w:val="1"/>
          <w:bCs w:val="1"/>
          <w:color w:val="447E94"/>
        </w:rPr>
      </w:pPr>
      <w:r>
        <w:rPr>
          <w:rFonts w:ascii="Times New Roman" w:cs="Times New Roman" w:eastAsia="Times New Roman" w:hAnsi="Times New Roman"/>
          <w:sz w:val="16"/>
          <w:szCs w:val="16"/>
          <w:color w:val="auto"/>
        </w:rPr>
        <w:t>Investment Banking fees up 28% YoY, up 23% QoQ; #1 ranking for Global Investment Banking fees with 9.8% wallet share in 1Q26</w:t>
      </w:r>
    </w:p>
    <w:p>
      <w:pPr>
        <w:spacing w:after="0" w:line="138" w:lineRule="exact"/>
        <w:rPr>
          <w:rFonts w:ascii="Wingdings" w:cs="Wingdings" w:eastAsia="Wingdings" w:hAnsi="Wingdings"/>
          <w:sz w:val="18"/>
          <w:szCs w:val="18"/>
          <w:b w:val="1"/>
          <w:bCs w:val="1"/>
          <w:color w:val="447E94"/>
        </w:rPr>
      </w:pPr>
    </w:p>
    <w:p>
      <w:pPr>
        <w:ind w:left="245" w:hanging="245"/>
        <w:spacing w:after="0" w:line="295" w:lineRule="auto"/>
        <w:tabs>
          <w:tab w:leader="none" w:pos="245" w:val="left"/>
        </w:tabs>
        <w:numPr>
          <w:ilvl w:val="0"/>
          <w:numId w:val="5"/>
        </w:numPr>
        <w:rPr>
          <w:rFonts w:ascii="Wingdings" w:cs="Wingdings" w:eastAsia="Wingdings" w:hAnsi="Wingdings"/>
          <w:sz w:val="18"/>
          <w:szCs w:val="18"/>
          <w:b w:val="1"/>
          <w:bCs w:val="1"/>
          <w:color w:val="447E94"/>
        </w:rPr>
      </w:pPr>
      <w:r>
        <w:rPr>
          <w:rFonts w:ascii="Times New Roman" w:cs="Times New Roman" w:eastAsia="Times New Roman" w:hAnsi="Times New Roman"/>
          <w:sz w:val="16"/>
          <w:szCs w:val="16"/>
          <w:color w:val="auto"/>
        </w:rPr>
        <w:t>Markets revenue up 20% YoY, with Fixed Income Markets up 21% and Equity Markets up 17%</w:t>
      </w:r>
    </w:p>
    <w:p>
      <w:pPr>
        <w:spacing w:after="0" w:line="122" w:lineRule="exact"/>
        <w:rPr>
          <w:rFonts w:ascii="Wingdings" w:cs="Wingdings" w:eastAsia="Wingdings" w:hAnsi="Wingdings"/>
          <w:sz w:val="18"/>
          <w:szCs w:val="18"/>
          <w:b w:val="1"/>
          <w:bCs w:val="1"/>
          <w:color w:val="447E94"/>
        </w:rPr>
      </w:pPr>
    </w:p>
    <w:p>
      <w:pPr>
        <w:ind w:left="245" w:right="120" w:hanging="245"/>
        <w:spacing w:after="0" w:line="307" w:lineRule="auto"/>
        <w:tabs>
          <w:tab w:leader="none" w:pos="245" w:val="left"/>
        </w:tabs>
        <w:numPr>
          <w:ilvl w:val="0"/>
          <w:numId w:val="5"/>
        </w:numPr>
        <w:rPr>
          <w:rFonts w:ascii="Wingdings" w:cs="Wingdings" w:eastAsia="Wingdings" w:hAnsi="Wingdings"/>
          <w:sz w:val="17"/>
          <w:szCs w:val="17"/>
          <w:b w:val="1"/>
          <w:bCs w:val="1"/>
          <w:color w:val="447E94"/>
        </w:rPr>
      </w:pPr>
      <w:r>
        <w:rPr>
          <w:rFonts w:ascii="Times New Roman" w:cs="Times New Roman" w:eastAsia="Times New Roman" w:hAnsi="Times New Roman"/>
          <w:sz w:val="15"/>
          <w:szCs w:val="15"/>
          <w:color w:val="auto"/>
        </w:rPr>
        <w:t>Average Banking &amp; Payments loans up 10% YoY, up 4% QoQ; average client deposits</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5"/>
          <w:szCs w:val="15"/>
          <w:color w:val="auto"/>
        </w:rPr>
        <w:t xml:space="preserve"> up 13% YoY, up 1% QoQ</w:t>
      </w:r>
    </w:p>
    <w:p>
      <w:pPr>
        <w:spacing w:after="0" w:line="368" w:lineRule="exact"/>
        <w:rPr>
          <w:rFonts w:ascii="Wingdings" w:cs="Wingdings" w:eastAsia="Wingdings" w:hAnsi="Wingdings"/>
          <w:sz w:val="17"/>
          <w:szCs w:val="17"/>
          <w:b w:val="1"/>
          <w:bCs w:val="1"/>
          <w:color w:val="447E94"/>
        </w:rPr>
      </w:pPr>
    </w:p>
    <w:p>
      <w:pPr>
        <w:ind w:left="245" w:hanging="245"/>
        <w:spacing w:after="0"/>
        <w:tabs>
          <w:tab w:leader="none" w:pos="245" w:val="left"/>
        </w:tabs>
        <w:numPr>
          <w:ilvl w:val="0"/>
          <w:numId w:val="5"/>
        </w:numPr>
        <w:rPr>
          <w:rFonts w:ascii="Wingdings" w:cs="Wingdings" w:eastAsia="Wingdings" w:hAnsi="Wingdings"/>
          <w:sz w:val="18"/>
          <w:szCs w:val="18"/>
          <w:b w:val="1"/>
          <w:bCs w:val="1"/>
          <w:color w:val="336B54"/>
        </w:rPr>
      </w:pPr>
      <w:r>
        <w:rPr>
          <w:rFonts w:ascii="Times New Roman" w:cs="Times New Roman" w:eastAsia="Times New Roman" w:hAnsi="Times New Roman"/>
          <w:sz w:val="16"/>
          <w:szCs w:val="16"/>
          <w:color w:val="auto"/>
        </w:rPr>
        <w:t>AUM</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6"/>
          <w:szCs w:val="16"/>
          <w:color w:val="auto"/>
        </w:rPr>
        <w:t xml:space="preserve"> of $4.8 trillion, up 16% YoY</w:t>
      </w:r>
    </w:p>
    <w:p>
      <w:pPr>
        <w:spacing w:after="0" w:line="123" w:lineRule="exact"/>
        <w:rPr>
          <w:rFonts w:ascii="Wingdings" w:cs="Wingdings" w:eastAsia="Wingdings" w:hAnsi="Wingdings"/>
          <w:sz w:val="18"/>
          <w:szCs w:val="18"/>
          <w:b w:val="1"/>
          <w:bCs w:val="1"/>
          <w:color w:val="336B54"/>
        </w:rPr>
      </w:pPr>
    </w:p>
    <w:p>
      <w:pPr>
        <w:ind w:left="245" w:right="20" w:hanging="245"/>
        <w:spacing w:after="0" w:line="295" w:lineRule="auto"/>
        <w:tabs>
          <w:tab w:leader="none" w:pos="245" w:val="left"/>
        </w:tabs>
        <w:numPr>
          <w:ilvl w:val="0"/>
          <w:numId w:val="5"/>
        </w:numPr>
        <w:rPr>
          <w:rFonts w:ascii="Wingdings" w:cs="Wingdings" w:eastAsia="Wingdings" w:hAnsi="Wingdings"/>
          <w:sz w:val="18"/>
          <w:szCs w:val="18"/>
          <w:b w:val="1"/>
          <w:bCs w:val="1"/>
          <w:color w:val="336B54"/>
        </w:rPr>
      </w:pPr>
      <w:r>
        <w:rPr>
          <w:rFonts w:ascii="Times New Roman" w:cs="Times New Roman" w:eastAsia="Times New Roman" w:hAnsi="Times New Roman"/>
          <w:sz w:val="16"/>
          <w:szCs w:val="16"/>
          <w:color w:val="auto"/>
        </w:rPr>
        <w:t>Average loans up 15% YoY, up 3% QoQ; average deposits up 4% YoY, up 3% QoQ</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Jamie Dimon, Chairman and CEO, commented: “</w:t>
      </w:r>
      <w:r>
        <w:rPr>
          <w:rFonts w:ascii="Times New Roman" w:cs="Times New Roman" w:eastAsia="Times New Roman" w:hAnsi="Times New Roman"/>
          <w:sz w:val="16"/>
          <w:szCs w:val="16"/>
          <w:i w:val="1"/>
          <w:iCs w:val="1"/>
          <w:color w:val="auto"/>
        </w:rPr>
        <w:t>The Firm delivered strong results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first quarter, reporting net income of $16.5 billion.</w:t>
      </w:r>
      <w:r>
        <w:rPr>
          <w:rFonts w:ascii="Times New Roman" w:cs="Times New Roman" w:eastAsia="Times New Roman" w:hAnsi="Times New Roman"/>
          <w:sz w:val="16"/>
          <w:szCs w:val="16"/>
          <w:color w:val="auto"/>
        </w:rPr>
        <w:t>”</w:t>
      </w:r>
    </w:p>
    <w:p>
      <w:pPr>
        <w:spacing w:after="0" w:line="6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Dimon continued: “</w:t>
      </w:r>
      <w:r>
        <w:rPr>
          <w:rFonts w:ascii="Times New Roman" w:cs="Times New Roman" w:eastAsia="Times New Roman" w:hAnsi="Times New Roman"/>
          <w:sz w:val="16"/>
          <w:szCs w:val="16"/>
          <w:i w:val="1"/>
          <w:iCs w:val="1"/>
          <w:color w:val="auto"/>
        </w:rPr>
        <w:t>Performance was strong across our businesses. In the CIB,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revenue grew 19%. Markets revenue reached a record $11.6 billion, while IB fees increased 28% due to stronger advisory and ECM activity. Additionally, Payments continued to deliver very strong results, with double-digit growth in deposits and fees. In CCB, revenue rose 7%. We continued to acquire new customers at a robust rate across the franchise, including achieving record net inflows in self-directed investing and opening more than 450,000 net new checking accounts. Finally, in AWM, revenue increased 11%, and flows remained healthy with $54 billion of long-term AUM net inflows.</w:t>
      </w:r>
      <w:r>
        <w:rPr>
          <w:rFonts w:ascii="Times New Roman" w:cs="Times New Roman" w:eastAsia="Times New Roman" w:hAnsi="Times New Roman"/>
          <w:sz w:val="16"/>
          <w:szCs w:val="16"/>
          <w:color w:val="auto"/>
        </w:rPr>
        <w:t>”</w:t>
      </w:r>
    </w:p>
    <w:p>
      <w:pPr>
        <w:spacing w:after="0" w:line="87"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Dimon added: “</w:t>
      </w:r>
      <w:r>
        <w:rPr>
          <w:rFonts w:ascii="Times New Roman" w:cs="Times New Roman" w:eastAsia="Times New Roman" w:hAnsi="Times New Roman"/>
          <w:sz w:val="16"/>
          <w:szCs w:val="16"/>
          <w:i w:val="1"/>
          <w:iCs w:val="1"/>
          <w:color w:val="auto"/>
        </w:rPr>
        <w:t>Regarding capital, we were pleased to see that the recent capital re-proposals mitigated the most severe consequences of the 2023 proposals. However, there are still aspects of the proposed rules that need to be addressed. We have ample amounts of capital and liquidity, with $291 billion in CET1 capital, $572 billion in total loss-absorbing capacity and $1.5 trillion in cash and marketable securities. We hope that regulators prioritize well-designed regulation and address these aspects of the proposed rules to allow banks of all sizes to deploy their resources to support the real economy.</w:t>
      </w:r>
      <w:r>
        <w:rPr>
          <w:rFonts w:ascii="Times New Roman" w:cs="Times New Roman" w:eastAsia="Times New Roman" w:hAnsi="Times New Roman"/>
          <w:sz w:val="16"/>
          <w:szCs w:val="16"/>
          <w:color w:val="auto"/>
        </w:rPr>
        <w:t>”</w:t>
      </w:r>
    </w:p>
    <w:p>
      <w:pPr>
        <w:spacing w:after="0" w:line="8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Dimon added: "</w:t>
      </w:r>
      <w:r>
        <w:rPr>
          <w:rFonts w:ascii="Times New Roman" w:cs="Times New Roman" w:eastAsia="Times New Roman" w:hAnsi="Times New Roman"/>
          <w:sz w:val="16"/>
          <w:szCs w:val="16"/>
          <w:i w:val="1"/>
          <w:iCs w:val="1"/>
          <w:color w:val="auto"/>
        </w:rPr>
        <w:t>The U.S. economy remained resilient in the quarter, with consumers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still earning and spending and businesses still healthy. Several tailwinds are supporting this resiliency, including increased fiscal stimulus, the benefits of deregulation, AI-driven capital investment and the Fed's asset purchases. At the same time, there is an increasingly complex set of risks—such as geopolitical tensions and wars, energy price volatility, trade uncertainty, large global fiscal deficits and elevated asset prices. While we cannot predict how these risks and uncertainties will ultimately play out, they are significant and they reinforce why we prepare the Firm for a wide range of environments.</w:t>
      </w:r>
      <w:r>
        <w:rPr>
          <w:rFonts w:ascii="Times New Roman" w:cs="Times New Roman" w:eastAsia="Times New Roman" w:hAnsi="Times New Roman"/>
          <w:sz w:val="16"/>
          <w:szCs w:val="16"/>
          <w:color w:val="auto"/>
        </w:rPr>
        <w:t>”</w:t>
      </w:r>
    </w:p>
    <w:p>
      <w:pPr>
        <w:spacing w:after="0" w:line="87"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color w:val="auto"/>
        </w:rPr>
        <w:t>Dimon concluded: “</w:t>
      </w:r>
      <w:r>
        <w:rPr>
          <w:rFonts w:ascii="Times New Roman" w:cs="Times New Roman" w:eastAsia="Times New Roman" w:hAnsi="Times New Roman"/>
          <w:sz w:val="16"/>
          <w:szCs w:val="16"/>
          <w:i w:val="1"/>
          <w:iCs w:val="1"/>
          <w:color w:val="auto"/>
        </w:rPr>
        <w:t>I want to express my deep gratitude to our employees across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globe for how they work to support our customers and communities every single day.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1311275</wp:posOffset>
            </wp:positionV>
            <wp:extent cx="710628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43180"/>
                    </a:xfrm>
                    <a:prstGeom prst="rect">
                      <a:avLst/>
                    </a:prstGeom>
                    <a:noFill/>
                  </pic:spPr>
                </pic:pic>
              </a:graphicData>
            </a:graphic>
          </wp:anchor>
        </w:drawing>
      </w:r>
    </w:p>
    <w:p>
      <w:pPr>
        <w:spacing w:after="0" w:line="2034" w:lineRule="exact"/>
        <w:rPr>
          <w:sz w:val="20"/>
          <w:szCs w:val="20"/>
          <w:color w:val="auto"/>
        </w:rPr>
      </w:pPr>
    </w:p>
    <w:p>
      <w:pPr>
        <w:sectPr>
          <w:pgSz w:w="11900" w:h="16838" w:orient="portrait"/>
          <w:cols w:equalWidth="0" w:num="3">
            <w:col w:w="1040" w:space="255"/>
            <w:col w:w="4065" w:space="140"/>
            <w:col w:w="5740"/>
          </w:cols>
          <w:pgMar w:left="320" w:top="121" w:right="339" w:bottom="932" w:gutter="0" w:footer="0" w:header="0"/>
          <w:type w:val="continuous"/>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DISTRIBUTIONS</w:t>
      </w:r>
    </w:p>
    <w:p>
      <w:pPr>
        <w:spacing w:after="0" w:line="48" w:lineRule="exact"/>
        <w:rPr>
          <w:sz w:val="20"/>
          <w:szCs w:val="20"/>
          <w:color w:val="auto"/>
        </w:rPr>
      </w:pPr>
    </w:p>
    <w:p>
      <w:pPr>
        <w:ind w:left="340" w:hanging="292"/>
        <w:spacing w:after="0"/>
        <w:tabs>
          <w:tab w:leader="none" w:pos="340" w:val="left"/>
        </w:tabs>
        <w:numPr>
          <w:ilvl w:val="0"/>
          <w:numId w:val="6"/>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Common dividend of $4.1 billion or $1.50 per share</w:t>
      </w:r>
    </w:p>
    <w:p>
      <w:pPr>
        <w:spacing w:after="0" w:line="45" w:lineRule="exact"/>
        <w:rPr>
          <w:rFonts w:ascii="Wingdings" w:cs="Wingdings" w:eastAsia="Wingdings" w:hAnsi="Wingdings"/>
          <w:sz w:val="16"/>
          <w:szCs w:val="16"/>
          <w:b w:val="1"/>
          <w:bCs w:val="1"/>
          <w:color w:val="auto"/>
        </w:rPr>
      </w:pPr>
    </w:p>
    <w:p>
      <w:pPr>
        <w:ind w:left="340" w:hanging="292"/>
        <w:spacing w:after="0"/>
        <w:tabs>
          <w:tab w:leader="none" w:pos="340" w:val="left"/>
        </w:tabs>
        <w:numPr>
          <w:ilvl w:val="0"/>
          <w:numId w:val="6"/>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$8.1 billion of common stock net repurchases</w:t>
      </w:r>
      <w:r>
        <w:rPr>
          <w:rFonts w:ascii="Times New Roman" w:cs="Times New Roman" w:eastAsia="Times New Roman" w:hAnsi="Times New Roman"/>
          <w:sz w:val="21"/>
          <w:szCs w:val="21"/>
          <w:color w:val="auto"/>
          <w:vertAlign w:val="superscript"/>
        </w:rPr>
        <w:t>9</w:t>
      </w:r>
    </w:p>
    <w:p>
      <w:pPr>
        <w:spacing w:after="0" w:line="2" w:lineRule="exact"/>
        <w:rPr>
          <w:rFonts w:ascii="Wingdings" w:cs="Wingdings" w:eastAsia="Wingdings" w:hAnsi="Wingdings"/>
          <w:sz w:val="16"/>
          <w:szCs w:val="16"/>
          <w:b w:val="1"/>
          <w:bCs w:val="1"/>
          <w:color w:val="auto"/>
        </w:rPr>
      </w:pPr>
    </w:p>
    <w:p>
      <w:pPr>
        <w:ind w:left="340" w:hanging="292"/>
        <w:spacing w:after="0"/>
        <w:tabs>
          <w:tab w:leader="none" w:pos="340" w:val="left"/>
        </w:tabs>
        <w:numPr>
          <w:ilvl w:val="0"/>
          <w:numId w:val="6"/>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Net payout LTM</w:t>
      </w:r>
      <w:r>
        <w:rPr>
          <w:rFonts w:ascii="Times New Roman" w:cs="Times New Roman" w:eastAsia="Times New Roman" w:hAnsi="Times New Roman"/>
          <w:sz w:val="21"/>
          <w:szCs w:val="21"/>
          <w:color w:val="auto"/>
          <w:vertAlign w:val="superscript"/>
        </w:rPr>
        <w:t>9,10</w:t>
      </w:r>
      <w:r>
        <w:rPr>
          <w:rFonts w:ascii="Times New Roman" w:cs="Times New Roman" w:eastAsia="Times New Roman" w:hAnsi="Times New Roman"/>
          <w:sz w:val="16"/>
          <w:szCs w:val="16"/>
          <w:color w:val="auto"/>
        </w:rPr>
        <w:t xml:space="preserve"> of 82%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FORTRESS PRINCIPLES</w:t>
      </w:r>
    </w:p>
    <w:p>
      <w:pPr>
        <w:spacing w:after="0" w:line="43" w:lineRule="exact"/>
        <w:rPr>
          <w:sz w:val="20"/>
          <w:szCs w:val="20"/>
          <w:color w:val="auto"/>
        </w:rPr>
      </w:pPr>
    </w:p>
    <w:p>
      <w:pPr>
        <w:ind w:left="220" w:hanging="161"/>
        <w:spacing w:after="0" w:line="253" w:lineRule="auto"/>
        <w:rPr>
          <w:sz w:val="20"/>
          <w:szCs w:val="20"/>
          <w:color w:val="auto"/>
        </w:rPr>
      </w:pPr>
      <w:r>
        <w:rPr>
          <w:rFonts w:ascii="Wingdings" w:cs="Wingdings" w:eastAsia="Wingdings" w:hAnsi="Wingdings"/>
          <w:sz w:val="16"/>
          <w:szCs w:val="16"/>
          <w:b w:val="1"/>
          <w:bCs w:val="1"/>
          <w:color w:val="auto"/>
        </w:rPr>
        <w:t xml:space="preserve">n </w:t>
      </w:r>
      <w:r>
        <w:rPr>
          <w:rFonts w:ascii="Times New Roman" w:cs="Times New Roman" w:eastAsia="Times New Roman" w:hAnsi="Times New Roman"/>
          <w:sz w:val="16"/>
          <w:szCs w:val="16"/>
          <w:color w:val="auto"/>
        </w:rPr>
        <w:t>Book value per share of $</w:t>
      </w:r>
      <w:r>
        <w:rPr>
          <w:rFonts w:ascii="Times New Roman" w:cs="Times New Roman" w:eastAsia="Times New Roman" w:hAnsi="Times New Roman"/>
          <w:sz w:val="17"/>
          <w:szCs w:val="17"/>
          <w:color w:val="auto"/>
        </w:rPr>
        <w:t>128.38</w:t>
      </w:r>
      <w:r>
        <w:rPr>
          <w:rFonts w:ascii="Times New Roman" w:cs="Times New Roman" w:eastAsia="Times New Roman" w:hAnsi="Times New Roman"/>
          <w:sz w:val="16"/>
          <w:szCs w:val="16"/>
          <w:color w:val="auto"/>
        </w:rPr>
        <w:t>, up</w:t>
      </w:r>
      <w:r>
        <w:rPr>
          <w:rFonts w:ascii="Wingdings" w:cs="Wingdings" w:eastAsia="Wingdings" w:hAnsi="Wingdings"/>
          <w:sz w:val="16"/>
          <w:szCs w:val="16"/>
          <w:b w:val="1"/>
          <w:bCs w:val="1"/>
          <w:color w:val="auto"/>
        </w:rPr>
        <w:t xml:space="preserve"> </w:t>
      </w:r>
      <w:r>
        <w:rPr>
          <w:rFonts w:ascii="Times New Roman" w:cs="Times New Roman" w:eastAsia="Times New Roman" w:hAnsi="Times New Roman"/>
          <w:sz w:val="17"/>
          <w:szCs w:val="17"/>
          <w:color w:val="auto"/>
        </w:rPr>
        <w:t>8</w:t>
      </w:r>
      <w:r>
        <w:rPr>
          <w:rFonts w:ascii="Times New Roman" w:cs="Times New Roman" w:eastAsia="Times New Roman" w:hAnsi="Times New Roman"/>
          <w:sz w:val="16"/>
          <w:szCs w:val="16"/>
          <w:color w:val="auto"/>
        </w:rPr>
        <w:t>% YoY; tangible book value per share</w:t>
      </w:r>
      <w:r>
        <w:rPr>
          <w:rFonts w:ascii="Times New Roman" w:cs="Times New Roman" w:eastAsia="Times New Roman" w:hAnsi="Times New Roman"/>
          <w:sz w:val="21"/>
          <w:szCs w:val="21"/>
          <w:color w:val="auto"/>
          <w:vertAlign w:val="superscript"/>
        </w:rPr>
        <w:t>2</w:t>
      </w:r>
      <w:r>
        <w:rPr>
          <w:rFonts w:ascii="Wingdings" w:cs="Wingdings" w:eastAsia="Wingdings" w:hAnsi="Wingdings"/>
          <w:sz w:val="16"/>
          <w:szCs w:val="16"/>
          <w:b w:val="1"/>
          <w:bCs w:val="1"/>
          <w:color w:val="auto"/>
        </w:rPr>
        <w:t xml:space="preserve"> </w:t>
      </w:r>
      <w:r>
        <w:rPr>
          <w:rFonts w:ascii="Times New Roman" w:cs="Times New Roman" w:eastAsia="Times New Roman" w:hAnsi="Times New Roman"/>
          <w:sz w:val="16"/>
          <w:szCs w:val="16"/>
          <w:color w:val="auto"/>
        </w:rPr>
        <w:t>of</w:t>
      </w:r>
      <w:r>
        <w:rPr>
          <w:rFonts w:ascii="Wingdings" w:cs="Wingdings" w:eastAsia="Wingdings" w:hAnsi="Wingdings"/>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108.87</w:t>
      </w:r>
      <w:r>
        <w:rPr>
          <w:rFonts w:ascii="Times New Roman" w:cs="Times New Roman" w:eastAsia="Times New Roman" w:hAnsi="Times New Roman"/>
          <w:sz w:val="16"/>
          <w:szCs w:val="16"/>
          <w:color w:val="auto"/>
        </w:rPr>
        <w:t xml:space="preserve">, up </w:t>
      </w:r>
      <w:r>
        <w:rPr>
          <w:rFonts w:ascii="Times New Roman" w:cs="Times New Roman" w:eastAsia="Times New Roman" w:hAnsi="Times New Roman"/>
          <w:sz w:val="17"/>
          <w:szCs w:val="17"/>
          <w:color w:val="auto"/>
        </w:rPr>
        <w:t>8</w:t>
      </w:r>
      <w:r>
        <w:rPr>
          <w:rFonts w:ascii="Times New Roman" w:cs="Times New Roman" w:eastAsia="Times New Roman" w:hAnsi="Times New Roman"/>
          <w:sz w:val="16"/>
          <w:szCs w:val="16"/>
          <w:color w:val="auto"/>
        </w:rPr>
        <w:t>% YoY</w:t>
      </w:r>
    </w:p>
    <w:p>
      <w:pPr>
        <w:spacing w:after="0" w:line="5" w:lineRule="exact"/>
        <w:rPr>
          <w:sz w:val="20"/>
          <w:szCs w:val="20"/>
          <w:color w:val="auto"/>
        </w:rPr>
      </w:pPr>
    </w:p>
    <w:p>
      <w:pPr>
        <w:ind w:left="220" w:right="40" w:hanging="172"/>
        <w:spacing w:after="0" w:line="239" w:lineRule="auto"/>
        <w:tabs>
          <w:tab w:leader="none" w:pos="341" w:val="left"/>
        </w:tabs>
        <w:numPr>
          <w:ilvl w:val="0"/>
          <w:numId w:val="7"/>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Basel III common equity Tier 1 capital</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of $291 billion, Standardized ratio</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of 14.3% and Advanced ratio</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of 14.1%</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80" w:hanging="276"/>
        <w:spacing w:after="0"/>
        <w:tabs>
          <w:tab w:leader="none" w:pos="280" w:val="left"/>
        </w:tabs>
        <w:numPr>
          <w:ilvl w:val="0"/>
          <w:numId w:val="8"/>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Firm supplementary leverage ratio of 5.6%</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SUPPORTED CONSUMERS, BUSINESSES &amp; COMMUNITIES</w:t>
      </w:r>
    </w:p>
    <w:p>
      <w:pPr>
        <w:spacing w:after="0" w:line="46" w:lineRule="exact"/>
        <w:rPr>
          <w:sz w:val="20"/>
          <w:szCs w:val="20"/>
          <w:color w:val="auto"/>
        </w:rPr>
      </w:pPr>
    </w:p>
    <w:p>
      <w:pPr>
        <w:ind w:left="120" w:right="1000" w:hanging="116"/>
        <w:spacing w:after="0" w:line="258" w:lineRule="auto"/>
        <w:tabs>
          <w:tab w:leader="none" w:pos="272" w:val="left"/>
        </w:tabs>
        <w:numPr>
          <w:ilvl w:val="0"/>
          <w:numId w:val="9"/>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 xml:space="preserve">Approximately </w:t>
      </w:r>
      <w:r>
        <w:rPr>
          <w:rFonts w:ascii="Times New Roman" w:cs="Times New Roman" w:eastAsia="Times New Roman" w:hAnsi="Times New Roman"/>
          <w:sz w:val="16"/>
          <w:szCs w:val="16"/>
          <w:b w:val="1"/>
          <w:bCs w:val="1"/>
          <w:color w:val="auto"/>
        </w:rPr>
        <w:t>$855 billion</w:t>
      </w:r>
      <w:r>
        <w:rPr>
          <w:rFonts w:ascii="Times New Roman" w:cs="Times New Roman" w:eastAsia="Times New Roman" w:hAnsi="Times New Roman"/>
          <w:sz w:val="16"/>
          <w:szCs w:val="16"/>
          <w:color w:val="auto"/>
        </w:rPr>
        <w:t xml:space="preserve"> of credit and capital</w:t>
      </w: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6"/>
          <w:szCs w:val="16"/>
          <w:color w:val="auto"/>
        </w:rPr>
        <w:t xml:space="preserve"> raised in 1Q26: </w:t>
      </w:r>
      <w:r>
        <w:rPr>
          <w:rFonts w:ascii="Wingdings" w:cs="Wingdings" w:eastAsia="Wingdings" w:hAnsi="Wingdings"/>
          <w:sz w:val="16"/>
          <w:szCs w:val="16"/>
          <w:b w:val="1"/>
          <w:bCs w:val="1"/>
          <w:color w:val="7F7F7F"/>
        </w:rPr>
        <w:t xml:space="preserve">n </w:t>
      </w:r>
      <w:r>
        <w:rPr>
          <w:rFonts w:ascii="Times New Roman" w:cs="Times New Roman" w:eastAsia="Times New Roman" w:hAnsi="Times New Roman"/>
          <w:sz w:val="16"/>
          <w:szCs w:val="16"/>
          <w:b w:val="1"/>
          <w:bCs w:val="1"/>
          <w:color w:val="000000"/>
        </w:rPr>
        <w:t>$72 billion</w:t>
      </w:r>
      <w:r>
        <w:rPr>
          <w:rFonts w:ascii="Wingdings" w:cs="Wingdings" w:eastAsia="Wingdings" w:hAnsi="Wingdings"/>
          <w:sz w:val="16"/>
          <w:szCs w:val="16"/>
          <w:b w:val="1"/>
          <w:bCs w:val="1"/>
          <w:color w:val="7F7F7F"/>
        </w:rPr>
        <w:t xml:space="preserve"> </w:t>
      </w:r>
      <w:r>
        <w:rPr>
          <w:rFonts w:ascii="Times New Roman" w:cs="Times New Roman" w:eastAsia="Times New Roman" w:hAnsi="Times New Roman"/>
          <w:sz w:val="16"/>
          <w:szCs w:val="16"/>
          <w:color w:val="000000"/>
        </w:rPr>
        <w:t>of credit for consumers</w:t>
      </w:r>
    </w:p>
    <w:p>
      <w:pPr>
        <w:spacing w:after="0" w:line="2" w:lineRule="exact"/>
        <w:rPr>
          <w:sz w:val="20"/>
          <w:szCs w:val="20"/>
          <w:color w:val="auto"/>
        </w:rPr>
      </w:pPr>
    </w:p>
    <w:p>
      <w:pPr>
        <w:ind w:left="400" w:hanging="274"/>
        <w:spacing w:after="0"/>
        <w:tabs>
          <w:tab w:leader="none" w:pos="400" w:val="left"/>
        </w:tabs>
        <w:numPr>
          <w:ilvl w:val="0"/>
          <w:numId w:val="10"/>
        </w:numPr>
        <w:rPr>
          <w:rFonts w:ascii="Wingdings" w:cs="Wingdings" w:eastAsia="Wingdings" w:hAnsi="Wingdings"/>
          <w:sz w:val="16"/>
          <w:szCs w:val="16"/>
          <w:b w:val="1"/>
          <w:bCs w:val="1"/>
          <w:color w:val="7F7F7F"/>
        </w:rPr>
      </w:pPr>
      <w:r>
        <w:rPr>
          <w:rFonts w:ascii="Times New Roman" w:cs="Times New Roman" w:eastAsia="Times New Roman" w:hAnsi="Times New Roman"/>
          <w:sz w:val="16"/>
          <w:szCs w:val="16"/>
          <w:b w:val="1"/>
          <w:bCs w:val="1"/>
          <w:color w:val="auto"/>
        </w:rPr>
        <w:t xml:space="preserve">$8 billion </w:t>
      </w:r>
      <w:r>
        <w:rPr>
          <w:rFonts w:ascii="Times New Roman" w:cs="Times New Roman" w:eastAsia="Times New Roman" w:hAnsi="Times New Roman"/>
          <w:sz w:val="16"/>
          <w:szCs w:val="16"/>
          <w:color w:val="auto"/>
        </w:rPr>
        <w:t>of credit for U.S. small businesses</w:t>
      </w:r>
    </w:p>
    <w:p>
      <w:pPr>
        <w:spacing w:after="0" w:line="45" w:lineRule="exact"/>
        <w:rPr>
          <w:rFonts w:ascii="Wingdings" w:cs="Wingdings" w:eastAsia="Wingdings" w:hAnsi="Wingdings"/>
          <w:sz w:val="16"/>
          <w:szCs w:val="16"/>
          <w:b w:val="1"/>
          <w:bCs w:val="1"/>
          <w:color w:val="7F7F7F"/>
        </w:rPr>
      </w:pPr>
    </w:p>
    <w:p>
      <w:pPr>
        <w:ind w:left="360" w:right="240" w:hanging="234"/>
        <w:spacing w:after="0" w:line="272" w:lineRule="auto"/>
        <w:tabs>
          <w:tab w:leader="none" w:pos="400" w:val="left"/>
        </w:tabs>
        <w:numPr>
          <w:ilvl w:val="0"/>
          <w:numId w:val="10"/>
        </w:numPr>
        <w:rPr>
          <w:rFonts w:ascii="Wingdings" w:cs="Wingdings" w:eastAsia="Wingdings" w:hAnsi="Wingdings"/>
          <w:sz w:val="16"/>
          <w:szCs w:val="16"/>
          <w:b w:val="1"/>
          <w:bCs w:val="1"/>
          <w:color w:val="7F7F7F"/>
        </w:rPr>
      </w:pPr>
      <w:r>
        <w:rPr>
          <w:rFonts w:ascii="Times New Roman" w:cs="Times New Roman" w:eastAsia="Times New Roman" w:hAnsi="Times New Roman"/>
          <w:sz w:val="16"/>
          <w:szCs w:val="16"/>
          <w:b w:val="1"/>
          <w:bCs w:val="1"/>
          <w:color w:val="auto"/>
        </w:rPr>
        <w:t xml:space="preserve">$750 billion </w:t>
      </w:r>
      <w:r>
        <w:rPr>
          <w:rFonts w:ascii="Times New Roman" w:cs="Times New Roman" w:eastAsia="Times New Roman" w:hAnsi="Times New Roman"/>
          <w:sz w:val="16"/>
          <w:szCs w:val="16"/>
          <w:color w:val="auto"/>
        </w:rPr>
        <w:t>of credit and capital for corporations and non-U.S. government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entities</w:t>
      </w:r>
    </w:p>
    <w:p>
      <w:pPr>
        <w:spacing w:after="0" w:line="1" w:lineRule="exact"/>
        <w:rPr>
          <w:rFonts w:ascii="Wingdings" w:cs="Wingdings" w:eastAsia="Wingdings" w:hAnsi="Wingdings"/>
          <w:sz w:val="16"/>
          <w:szCs w:val="16"/>
          <w:b w:val="1"/>
          <w:bCs w:val="1"/>
          <w:color w:val="7F7F7F"/>
        </w:rPr>
      </w:pPr>
    </w:p>
    <w:p>
      <w:pPr>
        <w:ind w:left="360" w:right="280" w:hanging="234"/>
        <w:spacing w:after="0" w:line="283" w:lineRule="auto"/>
        <w:tabs>
          <w:tab w:leader="none" w:pos="400" w:val="left"/>
        </w:tabs>
        <w:numPr>
          <w:ilvl w:val="0"/>
          <w:numId w:val="10"/>
        </w:numPr>
        <w:rPr>
          <w:rFonts w:ascii="Wingdings" w:cs="Wingdings" w:eastAsia="Wingdings" w:hAnsi="Wingdings"/>
          <w:sz w:val="16"/>
          <w:szCs w:val="16"/>
          <w:b w:val="1"/>
          <w:bCs w:val="1"/>
          <w:color w:val="7F7F7F"/>
        </w:rPr>
      </w:pPr>
      <w:r>
        <w:rPr>
          <w:rFonts w:ascii="Times New Roman" w:cs="Times New Roman" w:eastAsia="Times New Roman" w:hAnsi="Times New Roman"/>
          <w:sz w:val="16"/>
          <w:szCs w:val="16"/>
          <w:b w:val="1"/>
          <w:bCs w:val="1"/>
          <w:color w:val="auto"/>
        </w:rPr>
        <w:t xml:space="preserve">$25 billion </w:t>
      </w:r>
      <w:r>
        <w:rPr>
          <w:rFonts w:ascii="Times New Roman" w:cs="Times New Roman" w:eastAsia="Times New Roman" w:hAnsi="Times New Roman"/>
          <w:sz w:val="16"/>
          <w:szCs w:val="16"/>
          <w:color w:val="auto"/>
        </w:rPr>
        <w:t>of credit and capital for nonprofit and U.S. government entities,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states, municipalities, hospitals and universities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188595</wp:posOffset>
            </wp:positionV>
            <wp:extent cx="7029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5420" w:space="240"/>
            <w:col w:w="5580"/>
          </w:cols>
          <w:pgMar w:left="320" w:top="121" w:right="339" w:bottom="932" w:gutter="0" w:footer="0" w:header="0"/>
          <w:type w:val="continuous"/>
        </w:sectPr>
      </w:pPr>
    </w:p>
    <w:p>
      <w:pPr>
        <w:ind w:left="100"/>
        <w:spacing w:after="0"/>
        <w:tabs>
          <w:tab w:leader="none" w:pos="7820" w:val="left"/>
        </w:tabs>
        <w:rPr>
          <w:sz w:val="20"/>
          <w:szCs w:val="20"/>
          <w:color w:val="auto"/>
        </w:rPr>
      </w:pPr>
      <w:r>
        <w:rPr>
          <w:rFonts w:ascii="Times New Roman" w:cs="Times New Roman" w:eastAsia="Times New Roman" w:hAnsi="Times New Roman"/>
          <w:sz w:val="16"/>
          <w:szCs w:val="16"/>
          <w:color w:val="auto"/>
        </w:rPr>
        <w:t>Investor Contact: Mikael Grubb (212) 270-2479</w:t>
      </w:r>
      <w:r>
        <w:rPr>
          <w:sz w:val="20"/>
          <w:szCs w:val="20"/>
          <w:color w:val="auto"/>
        </w:rPr>
        <w:tab/>
      </w:r>
      <w:r>
        <w:rPr>
          <w:rFonts w:ascii="Times New Roman" w:cs="Times New Roman" w:eastAsia="Times New Roman" w:hAnsi="Times New Roman"/>
          <w:sz w:val="16"/>
          <w:szCs w:val="16"/>
          <w:color w:val="auto"/>
        </w:rPr>
        <w:t>Media Contact: Joseph Evangelisti (212) 270-7438</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Note: Totals may not sum due to rounding.</w:t>
      </w:r>
    </w:p>
    <w:p>
      <w:pPr>
        <w:ind w:left="180" w:hanging="73"/>
        <w:spacing w:after="0" w:line="195" w:lineRule="auto"/>
        <w:tabs>
          <w:tab w:leader="none" w:pos="18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Percentage comparisons are for the first quarter of 2026 versus the prior-year first quarter, unless otherwise specified.</w:t>
      </w:r>
    </w:p>
    <w:p>
      <w:pPr>
        <w:spacing w:after="0" w:line="10" w:lineRule="exact"/>
        <w:rPr>
          <w:rFonts w:ascii="Times New Roman" w:cs="Times New Roman" w:eastAsia="Times New Roman" w:hAnsi="Times New Roman"/>
          <w:sz w:val="18"/>
          <w:szCs w:val="18"/>
          <w:color w:val="auto"/>
          <w:vertAlign w:val="superscript"/>
        </w:rPr>
      </w:pPr>
    </w:p>
    <w:p>
      <w:pPr>
        <w:ind w:left="100" w:right="5980"/>
        <w:spacing w:after="0" w:line="229"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For notes on non-GAAP financial measures, including managed basis reporting, see page 6. For additional notes, see page 7.</w:t>
      </w:r>
    </w:p>
    <w:p>
      <w:pPr>
        <w:sectPr>
          <w:pgSz w:w="11900" w:h="16838" w:orient="portrait"/>
          <w:cols w:equalWidth="0" w:num="1">
            <w:col w:w="11240"/>
          </w:cols>
          <w:pgMar w:left="320" w:top="121" w:right="339" w:bottom="932"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In the discussion below of Firmwide results of JPMorgan Chase &amp; Co. (“JPMorganChase” or the “Firm”), information is presented on a managed basis, which is a non-GAAP financial measure, unless otherwise specified. The discussion below of the Firm’s business segments and Corporate is also presented on a managed basis. For more information about managed basis and non-GAAP financial measures used by management to evaluate the performance of each line of business, refer to page 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Comparisons noted in the sections below are for the first quarter of 2026 versus the prior-year first quarter,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09803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FFFFFF"/>
        </w:rPr>
        <w:t>JPMORGANCHASE (JPM)</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080" w:type="dxa"/>
            <w:vAlign w:val="bottom"/>
            <w:tcBorders>
              <w:bottom w:val="single" w:sz="8" w:color="F4EFE7"/>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Results for JPM</w:t>
            </w:r>
          </w:p>
        </w:tc>
        <w:tc>
          <w:tcPr>
            <w:tcW w:w="240" w:type="dxa"/>
            <w:vAlign w:val="bottom"/>
            <w:tcBorders>
              <w:bottom w:val="single" w:sz="8" w:color="auto"/>
            </w:tcBorders>
            <w:shd w:val="clear" w:color="auto" w:fill="F4EFE7"/>
          </w:tcPr>
          <w:p>
            <w:pPr>
              <w:spacing w:after="0"/>
              <w:rPr>
                <w:sz w:val="19"/>
                <w:szCs w:val="19"/>
                <w:color w:val="auto"/>
              </w:rPr>
            </w:pPr>
          </w:p>
        </w:tc>
        <w:tc>
          <w:tcPr>
            <w:tcW w:w="960" w:type="dxa"/>
            <w:vAlign w:val="bottom"/>
            <w:tcBorders>
              <w:bottom w:val="single" w:sz="8" w:color="auto"/>
            </w:tcBorders>
            <w:shd w:val="clear" w:color="auto" w:fill="F4EFE7"/>
          </w:tcPr>
          <w:p>
            <w:pPr>
              <w:spacing w:after="0"/>
              <w:rPr>
                <w:sz w:val="19"/>
                <w:szCs w:val="19"/>
                <w:color w:val="auto"/>
              </w:rPr>
            </w:pPr>
          </w:p>
        </w:tc>
        <w:tc>
          <w:tcPr>
            <w:tcW w:w="100" w:type="dxa"/>
            <w:vAlign w:val="bottom"/>
            <w:tcBorders>
              <w:bottom w:val="single" w:sz="8" w:color="auto"/>
            </w:tcBorders>
            <w:shd w:val="clear" w:color="auto" w:fill="F4EFE7"/>
          </w:tcPr>
          <w:p>
            <w:pPr>
              <w:spacing w:after="0"/>
              <w:rPr>
                <w:sz w:val="19"/>
                <w:szCs w:val="19"/>
                <w:color w:val="auto"/>
              </w:rPr>
            </w:pPr>
          </w:p>
        </w:tc>
        <w:tc>
          <w:tcPr>
            <w:tcW w:w="260" w:type="dxa"/>
            <w:vAlign w:val="bottom"/>
            <w:tcBorders>
              <w:bottom w:val="single" w:sz="8" w:color="auto"/>
            </w:tcBorders>
            <w:shd w:val="clear" w:color="auto" w:fill="F4EFE7"/>
          </w:tcPr>
          <w:p>
            <w:pPr>
              <w:spacing w:after="0"/>
              <w:rPr>
                <w:sz w:val="19"/>
                <w:szCs w:val="19"/>
                <w:color w:val="auto"/>
              </w:rPr>
            </w:pPr>
          </w:p>
        </w:tc>
        <w:tc>
          <w:tcPr>
            <w:tcW w:w="940" w:type="dxa"/>
            <w:vAlign w:val="bottom"/>
            <w:tcBorders>
              <w:bottom w:val="single" w:sz="8" w:color="auto"/>
            </w:tcBorders>
            <w:shd w:val="clear" w:color="auto" w:fill="F4EFE7"/>
          </w:tcPr>
          <w:p>
            <w:pPr>
              <w:spacing w:after="0"/>
              <w:rPr>
                <w:sz w:val="19"/>
                <w:szCs w:val="19"/>
                <w:color w:val="auto"/>
              </w:rPr>
            </w:pPr>
          </w:p>
        </w:tc>
        <w:tc>
          <w:tcPr>
            <w:tcW w:w="120" w:type="dxa"/>
            <w:vAlign w:val="bottom"/>
            <w:tcBorders>
              <w:bottom w:val="single" w:sz="8" w:color="auto"/>
            </w:tcBorders>
            <w:shd w:val="clear" w:color="auto" w:fill="F4EFE7"/>
          </w:tcPr>
          <w:p>
            <w:pPr>
              <w:spacing w:after="0"/>
              <w:rPr>
                <w:sz w:val="19"/>
                <w:szCs w:val="19"/>
                <w:color w:val="auto"/>
              </w:rPr>
            </w:pPr>
          </w:p>
        </w:tc>
        <w:tc>
          <w:tcPr>
            <w:tcW w:w="240" w:type="dxa"/>
            <w:vAlign w:val="bottom"/>
            <w:tcBorders>
              <w:bottom w:val="single" w:sz="8" w:color="auto"/>
            </w:tcBorders>
            <w:shd w:val="clear" w:color="auto" w:fill="F4EFE7"/>
          </w:tcPr>
          <w:p>
            <w:pPr>
              <w:spacing w:after="0"/>
              <w:rPr>
                <w:sz w:val="19"/>
                <w:szCs w:val="19"/>
                <w:color w:val="auto"/>
              </w:rPr>
            </w:pPr>
          </w:p>
        </w:tc>
        <w:tc>
          <w:tcPr>
            <w:tcW w:w="1000" w:type="dxa"/>
            <w:vAlign w:val="bottom"/>
            <w:tcBorders>
              <w:bottom w:val="single" w:sz="8" w:color="auto"/>
            </w:tcBorders>
            <w:shd w:val="clear" w:color="auto" w:fill="F4EFE7"/>
          </w:tcPr>
          <w:p>
            <w:pPr>
              <w:spacing w:after="0"/>
              <w:rPr>
                <w:sz w:val="19"/>
                <w:szCs w:val="19"/>
                <w:color w:val="auto"/>
              </w:rPr>
            </w:pPr>
          </w:p>
        </w:tc>
        <w:tc>
          <w:tcPr>
            <w:tcW w:w="360" w:type="dxa"/>
            <w:vAlign w:val="bottom"/>
            <w:tcBorders>
              <w:bottom w:val="single" w:sz="8" w:color="auto"/>
            </w:tcBorders>
            <w:shd w:val="clear" w:color="auto" w:fill="F4EFE7"/>
          </w:tcPr>
          <w:p>
            <w:pPr>
              <w:spacing w:after="0"/>
              <w:rPr>
                <w:sz w:val="19"/>
                <w:szCs w:val="19"/>
                <w:color w:val="auto"/>
              </w:rPr>
            </w:pPr>
          </w:p>
        </w:tc>
        <w:tc>
          <w:tcPr>
            <w:tcW w:w="1720" w:type="dxa"/>
            <w:vAlign w:val="bottom"/>
            <w:tcBorders>
              <w:bottom w:val="single" w:sz="8" w:color="auto"/>
            </w:tcBorders>
            <w:gridSpan w:val="2"/>
            <w:shd w:val="clear" w:color="auto" w:fill="F4EFE7"/>
          </w:tcPr>
          <w:p>
            <w:pPr>
              <w:jc w:val="right"/>
              <w:ind w:right="710"/>
              <w:spacing w:after="0"/>
              <w:rPr>
                <w:sz w:val="20"/>
                <w:szCs w:val="20"/>
                <w:color w:val="auto"/>
              </w:rPr>
            </w:pPr>
            <w:r>
              <w:rPr>
                <w:rFonts w:ascii="Times New Roman" w:cs="Times New Roman" w:eastAsia="Times New Roman" w:hAnsi="Times New Roman"/>
                <w:sz w:val="18"/>
                <w:szCs w:val="18"/>
                <w:color w:val="auto"/>
              </w:rPr>
              <w:t>4Q25</w:t>
            </w:r>
          </w:p>
        </w:tc>
        <w:tc>
          <w:tcPr>
            <w:tcW w:w="260" w:type="dxa"/>
            <w:vAlign w:val="bottom"/>
            <w:tcBorders>
              <w:bottom w:val="single" w:sz="8" w:color="auto"/>
            </w:tcBorders>
            <w:shd w:val="clear" w:color="auto" w:fill="F4EFE7"/>
          </w:tcPr>
          <w:p>
            <w:pPr>
              <w:spacing w:after="0"/>
              <w:rPr>
                <w:sz w:val="19"/>
                <w:szCs w:val="19"/>
                <w:color w:val="auto"/>
              </w:rPr>
            </w:pPr>
          </w:p>
        </w:tc>
        <w:tc>
          <w:tcPr>
            <w:tcW w:w="1900" w:type="dxa"/>
            <w:vAlign w:val="bottom"/>
            <w:tcBorders>
              <w:bottom w:val="single" w:sz="8" w:color="auto"/>
            </w:tcBorders>
            <w:gridSpan w:val="2"/>
            <w:shd w:val="clear" w:color="auto" w:fill="F4EFE7"/>
          </w:tcPr>
          <w:p>
            <w:pPr>
              <w:ind w:left="680"/>
              <w:spacing w:after="0"/>
              <w:rPr>
                <w:sz w:val="20"/>
                <w:szCs w:val="20"/>
                <w:color w:val="auto"/>
              </w:rPr>
            </w:pPr>
            <w:r>
              <w:rPr>
                <w:rFonts w:ascii="Times New Roman" w:cs="Times New Roman" w:eastAsia="Times New Roman" w:hAnsi="Times New Roman"/>
                <w:sz w:val="18"/>
                <w:szCs w:val="18"/>
                <w:color w:val="auto"/>
              </w:rPr>
              <w:t>1Q25</w:t>
            </w:r>
          </w:p>
        </w:tc>
      </w:tr>
      <w:tr>
        <w:trPr>
          <w:trHeight w:val="223"/>
        </w:trPr>
        <w:tc>
          <w:tcPr>
            <w:tcW w:w="3080" w:type="dxa"/>
            <w:vAlign w:val="bottom"/>
            <w:tcBorders>
              <w:bottom w:val="single" w:sz="8" w:color="auto"/>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 millions, except per share data)</w:t>
            </w:r>
          </w:p>
        </w:tc>
        <w:tc>
          <w:tcPr>
            <w:tcW w:w="240" w:type="dxa"/>
            <w:vAlign w:val="bottom"/>
            <w:tcBorders>
              <w:bottom w:val="single" w:sz="8" w:color="auto"/>
            </w:tcBorders>
            <w:shd w:val="clear" w:color="auto" w:fill="F4EFE7"/>
          </w:tcPr>
          <w:p>
            <w:pPr>
              <w:spacing w:after="0"/>
              <w:rPr>
                <w:sz w:val="19"/>
                <w:szCs w:val="19"/>
                <w:color w:val="auto"/>
              </w:rPr>
            </w:pPr>
          </w:p>
        </w:tc>
        <w:tc>
          <w:tcPr>
            <w:tcW w:w="1060" w:type="dxa"/>
            <w:vAlign w:val="bottom"/>
            <w:tcBorders>
              <w:bottom w:val="single" w:sz="8" w:color="auto"/>
            </w:tcBorders>
            <w:gridSpan w:val="2"/>
            <w:shd w:val="clear" w:color="auto" w:fill="F4EFE7"/>
          </w:tcPr>
          <w:p>
            <w:pPr>
              <w:ind w:left="160"/>
              <w:spacing w:after="0"/>
              <w:rPr>
                <w:sz w:val="20"/>
                <w:szCs w:val="20"/>
                <w:color w:val="auto"/>
              </w:rPr>
            </w:pPr>
            <w:r>
              <w:rPr>
                <w:rFonts w:ascii="Times New Roman" w:cs="Times New Roman" w:eastAsia="Times New Roman" w:hAnsi="Times New Roman"/>
                <w:sz w:val="18"/>
                <w:szCs w:val="18"/>
                <w:color w:val="auto"/>
              </w:rPr>
              <w:t>1Q26</w:t>
            </w:r>
          </w:p>
        </w:tc>
        <w:tc>
          <w:tcPr>
            <w:tcW w:w="260" w:type="dxa"/>
            <w:vAlign w:val="bottom"/>
            <w:tcBorders>
              <w:bottom w:val="single" w:sz="8" w:color="auto"/>
            </w:tcBorders>
            <w:shd w:val="clear" w:color="auto" w:fill="F4EFE7"/>
          </w:tcPr>
          <w:p>
            <w:pPr>
              <w:spacing w:after="0"/>
              <w:rPr>
                <w:sz w:val="19"/>
                <w:szCs w:val="19"/>
                <w:color w:val="auto"/>
              </w:rPr>
            </w:pPr>
          </w:p>
        </w:tc>
        <w:tc>
          <w:tcPr>
            <w:tcW w:w="1060" w:type="dxa"/>
            <w:vAlign w:val="bottom"/>
            <w:tcBorders>
              <w:bottom w:val="single" w:sz="8" w:color="auto"/>
            </w:tcBorders>
            <w:gridSpan w:val="2"/>
            <w:shd w:val="clear" w:color="auto" w:fill="F4EFE7"/>
          </w:tcPr>
          <w:p>
            <w:pPr>
              <w:ind w:left="140"/>
              <w:spacing w:after="0"/>
              <w:rPr>
                <w:sz w:val="20"/>
                <w:szCs w:val="20"/>
                <w:color w:val="auto"/>
              </w:rPr>
            </w:pPr>
            <w:r>
              <w:rPr>
                <w:rFonts w:ascii="Times New Roman" w:cs="Times New Roman" w:eastAsia="Times New Roman" w:hAnsi="Times New Roman"/>
                <w:sz w:val="18"/>
                <w:szCs w:val="18"/>
                <w:color w:val="auto"/>
              </w:rPr>
              <w:t>4Q25</w:t>
            </w:r>
          </w:p>
        </w:tc>
        <w:tc>
          <w:tcPr>
            <w:tcW w:w="240" w:type="dxa"/>
            <w:vAlign w:val="bottom"/>
            <w:tcBorders>
              <w:bottom w:val="single" w:sz="8" w:color="auto"/>
            </w:tcBorders>
            <w:shd w:val="clear" w:color="auto" w:fill="F4EFE7"/>
          </w:tcPr>
          <w:p>
            <w:pPr>
              <w:spacing w:after="0"/>
              <w:rPr>
                <w:sz w:val="19"/>
                <w:szCs w:val="19"/>
                <w:color w:val="auto"/>
              </w:rPr>
            </w:pPr>
          </w:p>
        </w:tc>
        <w:tc>
          <w:tcPr>
            <w:tcW w:w="1000" w:type="dxa"/>
            <w:vAlign w:val="bottom"/>
            <w:tcBorders>
              <w:bottom w:val="single" w:sz="8" w:color="auto"/>
            </w:tcBorders>
            <w:shd w:val="clear" w:color="auto" w:fill="F4EFE7"/>
          </w:tcPr>
          <w:p>
            <w:pPr>
              <w:jc w:val="right"/>
              <w:ind w:right="350"/>
              <w:spacing w:after="0"/>
              <w:rPr>
                <w:sz w:val="20"/>
                <w:szCs w:val="20"/>
                <w:color w:val="auto"/>
              </w:rPr>
            </w:pPr>
            <w:r>
              <w:rPr>
                <w:rFonts w:ascii="Times New Roman" w:cs="Times New Roman" w:eastAsia="Times New Roman" w:hAnsi="Times New Roman"/>
                <w:sz w:val="18"/>
                <w:szCs w:val="18"/>
                <w:color w:val="auto"/>
              </w:rPr>
              <w:t>1Q25</w:t>
            </w:r>
          </w:p>
        </w:tc>
        <w:tc>
          <w:tcPr>
            <w:tcW w:w="360" w:type="dxa"/>
            <w:vAlign w:val="bottom"/>
            <w:tcBorders>
              <w:bottom w:val="single" w:sz="8" w:color="auto"/>
            </w:tcBorders>
            <w:shd w:val="clear" w:color="auto" w:fill="F4E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F4EFE7"/>
          </w:tcPr>
          <w:p>
            <w:pPr>
              <w:jc w:val="right"/>
              <w:ind w:right="110"/>
              <w:spacing w:after="0"/>
              <w:rPr>
                <w:sz w:val="20"/>
                <w:szCs w:val="20"/>
                <w:color w:val="auto"/>
              </w:rPr>
            </w:pPr>
            <w:r>
              <w:rPr>
                <w:rFonts w:ascii="Times New Roman" w:cs="Times New Roman" w:eastAsia="Times New Roman" w:hAnsi="Times New Roman"/>
                <w:sz w:val="18"/>
                <w:szCs w:val="18"/>
                <w:color w:val="auto"/>
                <w:w w:val="97"/>
              </w:rPr>
              <w:t>O/(U)</w:t>
            </w:r>
          </w:p>
        </w:tc>
        <w:tc>
          <w:tcPr>
            <w:tcW w:w="1080" w:type="dxa"/>
            <w:vAlign w:val="bottom"/>
            <w:tcBorders>
              <w:bottom w:val="single" w:sz="8" w:color="auto"/>
            </w:tcBorders>
            <w:shd w:val="clear" w:color="auto" w:fill="F4EFE7"/>
          </w:tcPr>
          <w:p>
            <w:pPr>
              <w:jc w:val="right"/>
              <w:ind w:right="130"/>
              <w:spacing w:after="0"/>
              <w:rPr>
                <w:sz w:val="20"/>
                <w:szCs w:val="20"/>
                <w:color w:val="auto"/>
              </w:rPr>
            </w:pPr>
            <w:r>
              <w:rPr>
                <w:rFonts w:ascii="Times New Roman" w:cs="Times New Roman" w:eastAsia="Times New Roman" w:hAnsi="Times New Roman"/>
                <w:sz w:val="18"/>
                <w:szCs w:val="18"/>
                <w:color w:val="auto"/>
              </w:rPr>
              <w:t>O/(U) %</w:t>
            </w:r>
          </w:p>
        </w:tc>
        <w:tc>
          <w:tcPr>
            <w:tcW w:w="26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110"/>
              <w:spacing w:after="0"/>
              <w:rPr>
                <w:sz w:val="20"/>
                <w:szCs w:val="20"/>
                <w:color w:val="auto"/>
              </w:rPr>
            </w:pPr>
            <w:r>
              <w:rPr>
                <w:rFonts w:ascii="Times New Roman" w:cs="Times New Roman" w:eastAsia="Times New Roman" w:hAnsi="Times New Roman"/>
                <w:sz w:val="18"/>
                <w:szCs w:val="18"/>
                <w:color w:val="auto"/>
              </w:rPr>
              <w:t>$ O/(U)</w:t>
            </w:r>
          </w:p>
        </w:tc>
        <w:tc>
          <w:tcPr>
            <w:tcW w:w="1100" w:type="dxa"/>
            <w:vAlign w:val="bottom"/>
            <w:tcBorders>
              <w:bottom w:val="single" w:sz="8" w:color="auto"/>
            </w:tcBorders>
            <w:shd w:val="clear" w:color="auto" w:fill="F4EFE7"/>
          </w:tcPr>
          <w:p>
            <w:pPr>
              <w:ind w:left="24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reported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49,836</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45,798</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45,310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managed</w:t>
            </w: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50,536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46,767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46,014</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26,850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23,597</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30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Borders>
              <w:bottom w:val="single" w:sz="8" w:color="828282"/>
            </w:tcBorders>
          </w:tcPr>
          <w:p>
            <w:pPr>
              <w:spacing w:after="0"/>
              <w:rPr>
                <w:sz w:val="20"/>
                <w:szCs w:val="20"/>
                <w:color w:val="auto"/>
              </w:rPr>
            </w:pPr>
          </w:p>
        </w:tc>
        <w:tc>
          <w:tcPr>
            <w:tcW w:w="96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Borders>
              <w:bottom w:val="single" w:sz="8" w:color="828282"/>
            </w:tcBorders>
          </w:tcPr>
          <w:p>
            <w:pPr>
              <w:spacing w:after="0"/>
              <w:rPr>
                <w:sz w:val="20"/>
                <w:szCs w:val="20"/>
                <w:color w:val="auto"/>
              </w:rPr>
            </w:pPr>
          </w:p>
        </w:tc>
        <w:tc>
          <w:tcPr>
            <w:tcW w:w="260" w:type="dxa"/>
            <w:vAlign w:val="bottom"/>
            <w:tcBorders>
              <w:bottom w:val="single" w:sz="8" w:color="828282"/>
            </w:tcBorders>
          </w:tcPr>
          <w:p>
            <w:pPr>
              <w:spacing w:after="0"/>
              <w:rPr>
                <w:sz w:val="20"/>
                <w:szCs w:val="20"/>
                <w:color w:val="auto"/>
              </w:rPr>
            </w:pPr>
          </w:p>
        </w:tc>
        <w:tc>
          <w:tcPr>
            <w:tcW w:w="94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4,655</w:t>
            </w:r>
          </w:p>
        </w:tc>
        <w:tc>
          <w:tcPr>
            <w:tcW w:w="120" w:type="dxa"/>
            <w:vAlign w:val="bottom"/>
            <w:tcBorders>
              <w:bottom w:val="single" w:sz="8" w:color="828282"/>
            </w:tcBorders>
          </w:tcPr>
          <w:p>
            <w:pPr>
              <w:spacing w:after="0"/>
              <w:rPr>
                <w:sz w:val="20"/>
                <w:szCs w:val="20"/>
                <w:color w:val="auto"/>
              </w:rPr>
            </w:pPr>
          </w:p>
        </w:tc>
        <w:tc>
          <w:tcPr>
            <w:tcW w:w="240" w:type="dxa"/>
            <w:vAlign w:val="bottom"/>
            <w:tcBorders>
              <w:bottom w:val="single" w:sz="8" w:color="828282"/>
            </w:tcBorders>
          </w:tcPr>
          <w:p>
            <w:pPr>
              <w:spacing w:after="0"/>
              <w:rPr>
                <w:sz w:val="20"/>
                <w:szCs w:val="20"/>
                <w:color w:val="auto"/>
              </w:rPr>
            </w:pPr>
          </w:p>
        </w:tc>
        <w:tc>
          <w:tcPr>
            <w:tcW w:w="1000" w:type="dxa"/>
            <w:vAlign w:val="bottom"/>
            <w:tcBorders>
              <w:bottom w:val="single" w:sz="8" w:color="828282"/>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3,305</w:t>
            </w:r>
          </w:p>
        </w:tc>
        <w:tc>
          <w:tcPr>
            <w:tcW w:w="360" w:type="dxa"/>
            <w:vAlign w:val="bottom"/>
            <w:tcBorders>
              <w:bottom w:val="single" w:sz="8" w:color="828282"/>
            </w:tcBorders>
          </w:tcPr>
          <w:p>
            <w:pPr>
              <w:spacing w:after="0"/>
              <w:rPr>
                <w:sz w:val="20"/>
                <w:szCs w:val="20"/>
                <w:color w:val="auto"/>
              </w:rPr>
            </w:pPr>
          </w:p>
        </w:tc>
        <w:tc>
          <w:tcPr>
            <w:tcW w:w="6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80" w:type="dxa"/>
            <w:vAlign w:val="bottom"/>
            <w:tcBorders>
              <w:bottom w:val="single" w:sz="8" w:color="828282"/>
            </w:tcBorders>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100" w:type="dxa"/>
            <w:vAlign w:val="bottom"/>
            <w:tcBorders>
              <w:bottom w:val="single" w:sz="8" w:color="828282"/>
            </w:tcBorders>
          </w:tcPr>
          <w:p>
            <w:pPr>
              <w:ind w:left="62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3080" w:type="dxa"/>
            <w:vAlign w:val="bottom"/>
            <w:tcBorders>
              <w:bottom w:val="single" w:sz="8" w:color="828282"/>
            </w:tcBorders>
            <w:shd w:val="clear" w:color="auto" w:fill="FEFD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828282"/>
            </w:tcBorders>
            <w:shd w:val="clear" w:color="auto" w:fill="FEFD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828282"/>
            </w:tcBorders>
            <w:shd w:val="clear" w:color="auto" w:fill="FEFDFC"/>
          </w:tcPr>
          <w:p>
            <w:pPr>
              <w:jc w:val="right"/>
              <w:ind w:right="130"/>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Borders>
              <w:bottom w:val="single" w:sz="8" w:color="828282"/>
            </w:tcBorders>
            <w:shd w:val="clear" w:color="auto" w:fill="FEFDFC"/>
          </w:tcPr>
          <w:p>
            <w:pPr>
              <w:spacing w:after="0"/>
              <w:rPr>
                <w:sz w:val="19"/>
                <w:szCs w:val="19"/>
                <w:color w:val="auto"/>
              </w:rPr>
            </w:pPr>
          </w:p>
        </w:tc>
        <w:tc>
          <w:tcPr>
            <w:tcW w:w="260" w:type="dxa"/>
            <w:vAlign w:val="bottom"/>
            <w:tcBorders>
              <w:bottom w:val="single" w:sz="8" w:color="828282"/>
            </w:tcBorders>
            <w:shd w:val="clear" w:color="auto" w:fill="FEFD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828282"/>
            </w:tcBorders>
            <w:shd w:val="clear" w:color="auto" w:fill="FEFDFC"/>
          </w:tcPr>
          <w:p>
            <w:pPr>
              <w:jc w:val="right"/>
              <w:ind w:right="130"/>
              <w:spacing w:after="0"/>
              <w:rPr>
                <w:sz w:val="20"/>
                <w:szCs w:val="20"/>
                <w:color w:val="auto"/>
              </w:rPr>
            </w:pPr>
            <w:r>
              <w:rPr>
                <w:rFonts w:ascii="Times New Roman" w:cs="Times New Roman" w:eastAsia="Times New Roman" w:hAnsi="Times New Roman"/>
                <w:sz w:val="18"/>
                <w:szCs w:val="18"/>
                <w:color w:val="auto"/>
              </w:rPr>
              <w:t>13,025</w:t>
            </w:r>
          </w:p>
        </w:tc>
        <w:tc>
          <w:tcPr>
            <w:tcW w:w="120" w:type="dxa"/>
            <w:vAlign w:val="bottom"/>
            <w:tcBorders>
              <w:bottom w:val="single" w:sz="8" w:color="828282"/>
            </w:tcBorders>
            <w:shd w:val="clear" w:color="auto" w:fill="FEFDFC"/>
          </w:tcPr>
          <w:p>
            <w:pPr>
              <w:spacing w:after="0"/>
              <w:rPr>
                <w:sz w:val="19"/>
                <w:szCs w:val="19"/>
                <w:color w:val="auto"/>
              </w:rPr>
            </w:pPr>
          </w:p>
        </w:tc>
        <w:tc>
          <w:tcPr>
            <w:tcW w:w="240" w:type="dxa"/>
            <w:vAlign w:val="bottom"/>
            <w:tcBorders>
              <w:bottom w:val="single" w:sz="8" w:color="828282"/>
            </w:tcBorders>
            <w:shd w:val="clear" w:color="auto" w:fill="FEFD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828282"/>
            </w:tcBorders>
            <w:shd w:val="clear" w:color="auto" w:fill="FEFDFC"/>
          </w:tcPr>
          <w:p>
            <w:pPr>
              <w:jc w:val="right"/>
              <w:ind w:right="170"/>
              <w:spacing w:after="0"/>
              <w:rPr>
                <w:sz w:val="20"/>
                <w:szCs w:val="20"/>
                <w:color w:val="auto"/>
              </w:rPr>
            </w:pPr>
            <w:r>
              <w:rPr>
                <w:rFonts w:ascii="Times New Roman" w:cs="Times New Roman" w:eastAsia="Times New Roman" w:hAnsi="Times New Roman"/>
                <w:sz w:val="18"/>
                <w:szCs w:val="18"/>
                <w:color w:val="auto"/>
              </w:rPr>
              <w:t>14,643</w:t>
            </w:r>
          </w:p>
        </w:tc>
        <w:tc>
          <w:tcPr>
            <w:tcW w:w="360" w:type="dxa"/>
            <w:vAlign w:val="bottom"/>
            <w:tcBorders>
              <w:bottom w:val="single" w:sz="8" w:color="828282"/>
            </w:tcBorders>
            <w:shd w:val="clear" w:color="auto" w:fill="FEFD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8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6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shd w:val="clear" w:color="auto" w:fill="FEFD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100" w:type="dxa"/>
            <w:vAlign w:val="bottom"/>
            <w:tcBorders>
              <w:bottom w:val="single" w:sz="8" w:color="828282"/>
            </w:tcBorders>
            <w:shd w:val="clear" w:color="auto" w:fill="FEFDFC"/>
          </w:tcPr>
          <w:p>
            <w:pPr>
              <w:ind w:left="700"/>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30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828282"/>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5.07</w:t>
            </w:r>
          </w:p>
        </w:tc>
        <w:tc>
          <w:tcPr>
            <w:tcW w:w="360" w:type="dxa"/>
            <w:vAlign w:val="bottom"/>
            <w:tcBorders>
              <w:bottom w:val="single" w:sz="8" w:color="828282"/>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8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100" w:type="dxa"/>
            <w:vAlign w:val="bottom"/>
            <w:tcBorders>
              <w:bottom w:val="single" w:sz="8" w:color="7F7F7F"/>
            </w:tcBorders>
          </w:tcPr>
          <w:p>
            <w:pPr>
              <w:ind w:left="700"/>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3080" w:type="dxa"/>
            <w:vAlign w:val="bottom"/>
            <w:tcBorders>
              <w:bottom w:val="single" w:sz="8" w:color="7F7F7F"/>
            </w:tcBorders>
          </w:tcPr>
          <w:p>
            <w:pPr>
              <w:ind w:left="20"/>
              <w:spacing w:after="0"/>
              <w:rPr>
                <w:sz w:val="20"/>
                <w:szCs w:val="20"/>
                <w:color w:val="auto"/>
              </w:rPr>
            </w:pPr>
            <w:r>
              <w:rPr>
                <w:rFonts w:ascii="Times New Roman" w:cs="Times New Roman" w:eastAsia="Times New Roman" w:hAnsi="Times New Roman"/>
                <w:sz w:val="18"/>
                <w:szCs w:val="18"/>
                <w:color w:val="auto"/>
              </w:rPr>
              <w:t>Return on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r>
        <w:trPr>
          <w:trHeight w:val="223"/>
        </w:trPr>
        <w:tc>
          <w:tcPr>
            <w:tcW w:w="3080" w:type="dxa"/>
            <w:vAlign w:val="bottom"/>
            <w:tcBorders>
              <w:bottom w:val="single" w:sz="8" w:color="7F7F7F"/>
            </w:tcBorders>
          </w:tcPr>
          <w:p>
            <w:pPr>
              <w:ind w:left="20"/>
              <w:spacing w:after="0"/>
              <w:rPr>
                <w:sz w:val="20"/>
                <w:szCs w:val="20"/>
                <w:color w:val="auto"/>
              </w:rPr>
            </w:pPr>
            <w:r>
              <w:rPr>
                <w:rFonts w:ascii="Times New Roman" w:cs="Times New Roman" w:eastAsia="Times New Roman" w:hAnsi="Times New Roman"/>
                <w:sz w:val="18"/>
                <w:szCs w:val="18"/>
                <w:color w:val="auto"/>
              </w:rPr>
              <w:t>Return on tangible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$16.5 billion, up 13%.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was $50.5 billion, up 10%. Net interest income was $25.5 billion, up 9%. Noninterest revenue was $25.1 billion, up 11%.</w:t>
      </w:r>
    </w:p>
    <w:p>
      <w:pPr>
        <w:spacing w:after="0" w:line="11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Net interest income excluding Markets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$23.3 billion, up 3%, driven by higher deposit balances, as well as higher revolving balances in Card Services, predominantly offset by the impact of lower rates. Noninterest revenue excluding Markets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$15.7 billion, up 14%, driven by higher asset management fees in AWM and CCB, higher investment banking fees, higher auto operating lease income and higher Payments fees. The increase was partially offset by the absence of the $588 million First Republic-related gain in the prior year. Markets revenue was $11.6 billion, up 20%.</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was $26.9 billion, up 14%, predominantly driven by higher compensation, including higher revenue-related compensation and growth in the number of front office employees, as well as higher brokerage expense and distribution fees, higher marketing expense and higher auto lease depreciation. The increase also reflected the absence of an FDIC special assessment accrual release in the prior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was $2.5 billion. Net charge-offs were $2.3 billion, down $16 million. The net reserve build was $191 million, and included a $327 million net build in Wholesale and a $139 million net release in Consumer. In the prior year, the provision was $3.3 billion, net charge-offs were $2.3 billion and the net reserve build was $973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331470</wp:posOffset>
            </wp:positionV>
            <wp:extent cx="6978015"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7801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FFFFFF"/>
        </w:rPr>
        <w:t>CONSUMER &amp; COMMUNITY BANKING (CCB)</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3620" w:type="dxa"/>
            <w:vAlign w:val="bottom"/>
            <w:tcBorders>
              <w:bottom w:val="single" w:sz="8" w:color="F4EFE7"/>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Results for CCB</w:t>
            </w:r>
          </w:p>
        </w:tc>
        <w:tc>
          <w:tcPr>
            <w:tcW w:w="200" w:type="dxa"/>
            <w:vAlign w:val="bottom"/>
            <w:tcBorders>
              <w:bottom w:val="single" w:sz="8" w:color="F4EFE7"/>
            </w:tcBorders>
            <w:shd w:val="clear" w:color="auto" w:fill="F4EFE7"/>
          </w:tcPr>
          <w:p>
            <w:pPr>
              <w:spacing w:after="0"/>
              <w:rPr>
                <w:sz w:val="19"/>
                <w:szCs w:val="19"/>
                <w:color w:val="auto"/>
              </w:rPr>
            </w:pPr>
          </w:p>
        </w:tc>
        <w:tc>
          <w:tcPr>
            <w:tcW w:w="78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780" w:type="dxa"/>
            <w:vAlign w:val="bottom"/>
            <w:tcBorders>
              <w:bottom w:val="single" w:sz="8" w:color="F4EFE7"/>
            </w:tcBorders>
            <w:shd w:val="clear" w:color="auto" w:fill="F4EFE7"/>
          </w:tcPr>
          <w:p>
            <w:pPr>
              <w:spacing w:after="0"/>
              <w:rPr>
                <w:sz w:val="19"/>
                <w:szCs w:val="19"/>
                <w:color w:val="auto"/>
              </w:rPr>
            </w:pPr>
          </w:p>
        </w:tc>
        <w:tc>
          <w:tcPr>
            <w:tcW w:w="260" w:type="dxa"/>
            <w:vAlign w:val="bottom"/>
            <w:tcBorders>
              <w:bottom w:val="single" w:sz="8" w:color="F4EFE7"/>
            </w:tcBorders>
            <w:shd w:val="clear" w:color="auto" w:fill="F4EFE7"/>
          </w:tcPr>
          <w:p>
            <w:pPr>
              <w:spacing w:after="0"/>
              <w:rPr>
                <w:sz w:val="19"/>
                <w:szCs w:val="19"/>
                <w:color w:val="auto"/>
              </w:rPr>
            </w:pPr>
          </w:p>
        </w:tc>
        <w:tc>
          <w:tcPr>
            <w:tcW w:w="86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1960" w:type="dxa"/>
            <w:vAlign w:val="bottom"/>
            <w:tcBorders>
              <w:bottom w:val="single" w:sz="8" w:color="auto"/>
            </w:tcBorders>
            <w:gridSpan w:val="2"/>
            <w:shd w:val="clear" w:color="auto" w:fill="F4EFE7"/>
          </w:tcPr>
          <w:p>
            <w:pPr>
              <w:jc w:val="right"/>
              <w:ind w:right="790"/>
              <w:spacing w:after="0"/>
              <w:rPr>
                <w:sz w:val="20"/>
                <w:szCs w:val="20"/>
                <w:color w:val="auto"/>
              </w:rPr>
            </w:pPr>
            <w:r>
              <w:rPr>
                <w:rFonts w:ascii="Times New Roman" w:cs="Times New Roman" w:eastAsia="Times New Roman" w:hAnsi="Times New Roman"/>
                <w:sz w:val="18"/>
                <w:szCs w:val="18"/>
                <w:color w:val="auto"/>
              </w:rPr>
              <w:t>4Q25</w:t>
            </w:r>
          </w:p>
        </w:tc>
        <w:tc>
          <w:tcPr>
            <w:tcW w:w="200" w:type="dxa"/>
            <w:vAlign w:val="bottom"/>
            <w:tcBorders>
              <w:bottom w:val="single" w:sz="8" w:color="auto"/>
            </w:tcBorders>
            <w:shd w:val="clear" w:color="auto" w:fill="F4EFE7"/>
          </w:tcPr>
          <w:p>
            <w:pPr>
              <w:spacing w:after="0"/>
              <w:rPr>
                <w:sz w:val="19"/>
                <w:szCs w:val="19"/>
                <w:color w:val="auto"/>
              </w:rPr>
            </w:pPr>
          </w:p>
        </w:tc>
        <w:tc>
          <w:tcPr>
            <w:tcW w:w="1900" w:type="dxa"/>
            <w:vAlign w:val="bottom"/>
            <w:tcBorders>
              <w:bottom w:val="single" w:sz="8" w:color="auto"/>
            </w:tcBorders>
            <w:gridSpan w:val="2"/>
            <w:shd w:val="clear" w:color="auto" w:fill="F4EFE7"/>
          </w:tcPr>
          <w:p>
            <w:pPr>
              <w:jc w:val="right"/>
              <w:ind w:right="730"/>
              <w:spacing w:after="0"/>
              <w:rPr>
                <w:sz w:val="20"/>
                <w:szCs w:val="20"/>
                <w:color w:val="auto"/>
              </w:rPr>
            </w:pPr>
            <w:r>
              <w:rPr>
                <w:rFonts w:ascii="Times New Roman" w:cs="Times New Roman" w:eastAsia="Times New Roman" w:hAnsi="Times New Roman"/>
                <w:sz w:val="18"/>
                <w:szCs w:val="18"/>
                <w:color w:val="auto"/>
              </w:rPr>
              <w:t>1Q25</w:t>
            </w:r>
          </w:p>
        </w:tc>
      </w:tr>
      <w:tr>
        <w:trPr>
          <w:trHeight w:val="223"/>
        </w:trPr>
        <w:tc>
          <w:tcPr>
            <w:tcW w:w="3620" w:type="dxa"/>
            <w:vAlign w:val="bottom"/>
            <w:tcBorders>
              <w:bottom w:val="single" w:sz="8" w:color="auto"/>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78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1Q26</w:t>
            </w:r>
          </w:p>
        </w:tc>
        <w:tc>
          <w:tcPr>
            <w:tcW w:w="280" w:type="dxa"/>
            <w:vAlign w:val="bottom"/>
            <w:tcBorders>
              <w:bottom w:val="single" w:sz="8" w:color="auto"/>
            </w:tcBorders>
            <w:shd w:val="clear" w:color="auto" w:fill="F4EFE7"/>
          </w:tcPr>
          <w:p>
            <w:pPr>
              <w:spacing w:after="0"/>
              <w:rPr>
                <w:sz w:val="19"/>
                <w:szCs w:val="19"/>
                <w:color w:val="auto"/>
              </w:rPr>
            </w:pPr>
          </w:p>
        </w:tc>
        <w:tc>
          <w:tcPr>
            <w:tcW w:w="78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4Q25</w:t>
            </w:r>
          </w:p>
        </w:tc>
        <w:tc>
          <w:tcPr>
            <w:tcW w:w="260" w:type="dxa"/>
            <w:vAlign w:val="bottom"/>
            <w:tcBorders>
              <w:bottom w:val="single" w:sz="8" w:color="auto"/>
            </w:tcBorders>
            <w:shd w:val="clear" w:color="auto" w:fill="F4EFE7"/>
          </w:tcPr>
          <w:p>
            <w:pPr>
              <w:spacing w:after="0"/>
              <w:rPr>
                <w:sz w:val="19"/>
                <w:szCs w:val="19"/>
                <w:color w:val="auto"/>
              </w:rPr>
            </w:pPr>
          </w:p>
        </w:tc>
        <w:tc>
          <w:tcPr>
            <w:tcW w:w="860" w:type="dxa"/>
            <w:vAlign w:val="bottom"/>
            <w:tcBorders>
              <w:bottom w:val="single" w:sz="8" w:color="auto"/>
            </w:tcBorders>
            <w:shd w:val="clear" w:color="auto" w:fill="F4EFE7"/>
          </w:tcPr>
          <w:p>
            <w:pPr>
              <w:jc w:val="right"/>
              <w:ind w:right="290"/>
              <w:spacing w:after="0"/>
              <w:rPr>
                <w:sz w:val="20"/>
                <w:szCs w:val="20"/>
                <w:color w:val="auto"/>
              </w:rPr>
            </w:pPr>
            <w:r>
              <w:rPr>
                <w:rFonts w:ascii="Times New Roman" w:cs="Times New Roman" w:eastAsia="Times New Roman" w:hAnsi="Times New Roman"/>
                <w:sz w:val="18"/>
                <w:szCs w:val="18"/>
                <w:color w:val="auto"/>
              </w:rPr>
              <w:t>1Q25</w:t>
            </w:r>
          </w:p>
        </w:tc>
        <w:tc>
          <w:tcPr>
            <w:tcW w:w="16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0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00" w:type="dxa"/>
            <w:vAlign w:val="bottom"/>
            <w:tcBorders>
              <w:bottom w:val="single" w:sz="8" w:color="auto"/>
            </w:tcBorders>
            <w:shd w:val="clear" w:color="auto" w:fill="F4EFE7"/>
          </w:tcPr>
          <w:p>
            <w:pPr>
              <w:jc w:val="right"/>
              <w:ind w:right="15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Banking &amp; Wealth Management</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10,577</w:t>
            </w:r>
          </w:p>
        </w:tc>
        <w:tc>
          <w:tcPr>
            <w:tcW w:w="2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10,870</w:t>
            </w:r>
          </w:p>
        </w:tc>
        <w:tc>
          <w:tcPr>
            <w:tcW w:w="2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10,254</w:t>
            </w:r>
          </w:p>
        </w:tc>
        <w:tc>
          <w:tcPr>
            <w:tcW w:w="1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323</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Lending</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w:t>
            </w:r>
          </w:p>
        </w:tc>
        <w:tc>
          <w:tcPr>
            <w:tcW w:w="2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1,207</w:t>
            </w:r>
          </w:p>
        </w:tc>
        <w:tc>
          <w:tcPr>
            <w:tcW w:w="1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Card Services &amp; Auto</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7,759</w:t>
            </w:r>
          </w:p>
        </w:tc>
        <w:tc>
          <w:tcPr>
            <w:tcW w:w="2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7,277</w:t>
            </w:r>
          </w:p>
        </w:tc>
        <w:tc>
          <w:tcPr>
            <w:tcW w:w="2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6,852</w:t>
            </w:r>
          </w:p>
        </w:tc>
        <w:tc>
          <w:tcPr>
            <w:tcW w:w="1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482</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907</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10,979</w:t>
            </w:r>
          </w:p>
        </w:tc>
        <w:tc>
          <w:tcPr>
            <w:tcW w:w="2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10,256</w:t>
            </w:r>
          </w:p>
        </w:tc>
        <w:tc>
          <w:tcPr>
            <w:tcW w:w="2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9,857</w:t>
            </w:r>
          </w:p>
        </w:tc>
        <w:tc>
          <w:tcPr>
            <w:tcW w:w="1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723</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1,122</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362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28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4,244</w:t>
            </w:r>
          </w:p>
        </w:tc>
        <w:tc>
          <w:tcPr>
            <w:tcW w:w="260" w:type="dxa"/>
            <w:vAlign w:val="bottom"/>
            <w:tcBorders>
              <w:bottom w:val="single" w:sz="8" w:color="828282"/>
            </w:tcBorders>
          </w:tcPr>
          <w:p>
            <w:pPr>
              <w:spacing w:after="0"/>
              <w:rPr>
                <w:sz w:val="20"/>
                <w:szCs w:val="20"/>
                <w:color w:val="auto"/>
              </w:rPr>
            </w:pPr>
          </w:p>
        </w:tc>
        <w:tc>
          <w:tcPr>
            <w:tcW w:w="86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2,629</w:t>
            </w:r>
          </w:p>
        </w:tc>
        <w:tc>
          <w:tcPr>
            <w:tcW w:w="16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(2,194)</w:t>
            </w:r>
          </w:p>
        </w:tc>
        <w:tc>
          <w:tcPr>
            <w:tcW w:w="1060" w:type="dxa"/>
            <w:vAlign w:val="bottom"/>
            <w:tcBorders>
              <w:bottom w:val="single" w:sz="8" w:color="828282"/>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(579)</w:t>
            </w:r>
          </w:p>
        </w:tc>
        <w:tc>
          <w:tcPr>
            <w:tcW w:w="100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62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4,976</w:t>
            </w:r>
          </w:p>
        </w:tc>
        <w:tc>
          <w:tcPr>
            <w:tcW w:w="2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3,642</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4,425</w:t>
            </w:r>
          </w:p>
        </w:tc>
        <w:tc>
          <w:tcPr>
            <w:tcW w:w="1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1,334</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551</w:t>
            </w:r>
          </w:p>
        </w:tc>
        <w:tc>
          <w:tcPr>
            <w:tcW w:w="10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$5.0 billion, up 12%.</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 was $19.6 billion, up 7%. Banking &amp; Wealth Management net revenue was $10.6 billion, up 3%, driven by higher asset management fees in J.P. Morgan Wealth Management and higher deposit-related fees. Home Lending net revenue was $1.2 billion, up 2%, driven by higher production revenue, partially offset by lower net interest income. Card Services &amp; Auto net revenue was $7.8 billion, up 13%, driven by higher Card Services net interest income largely on higher revolving balances, as well as higher auto operating lease income, partially offset by lower card income.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was $11.0 billion, up 11%, largely driven by higher marketing expense, higher auto lease depreciation and higher compensation for bankers and advisors.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was $2.1 billion. Net charge-offs were $2.2 billion, up $41 million, primarily driven by Card Services. The net reserve release was $145 million, predominantly driven by improvements in home prices. In the prior year, the provision was $2.6 billion, net charge-offs were $2.2 billion and the net reserve build was $475 million.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323215</wp:posOffset>
            </wp:positionV>
            <wp:extent cx="709803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COMMERCIAL &amp; INVESTMENT BANK (CIB)</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720" w:type="dxa"/>
            <w:vAlign w:val="bottom"/>
            <w:tcBorders>
              <w:bottom w:val="single" w:sz="8" w:color="F4EFE7"/>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Results for CIB</w:t>
            </w:r>
          </w:p>
        </w:tc>
        <w:tc>
          <w:tcPr>
            <w:tcW w:w="200" w:type="dxa"/>
            <w:vAlign w:val="bottom"/>
            <w:tcBorders>
              <w:bottom w:val="single" w:sz="8" w:color="F4EFE7"/>
            </w:tcBorders>
            <w:shd w:val="clear" w:color="auto" w:fill="F4EFE7"/>
          </w:tcPr>
          <w:p>
            <w:pPr>
              <w:spacing w:after="0"/>
              <w:rPr>
                <w:sz w:val="19"/>
                <w:szCs w:val="19"/>
                <w:color w:val="auto"/>
              </w:rPr>
            </w:pPr>
          </w:p>
        </w:tc>
        <w:tc>
          <w:tcPr>
            <w:tcW w:w="78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60" w:type="dxa"/>
            <w:vAlign w:val="bottom"/>
            <w:tcBorders>
              <w:bottom w:val="single" w:sz="8" w:color="F4EFE7"/>
            </w:tcBorders>
            <w:shd w:val="clear" w:color="auto" w:fill="F4EFE7"/>
          </w:tcPr>
          <w:p>
            <w:pPr>
              <w:spacing w:after="0"/>
              <w:rPr>
                <w:sz w:val="19"/>
                <w:szCs w:val="19"/>
                <w:color w:val="auto"/>
              </w:rPr>
            </w:pPr>
          </w:p>
        </w:tc>
        <w:tc>
          <w:tcPr>
            <w:tcW w:w="88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1960" w:type="dxa"/>
            <w:vAlign w:val="bottom"/>
            <w:tcBorders>
              <w:bottom w:val="single" w:sz="8" w:color="auto"/>
            </w:tcBorders>
            <w:gridSpan w:val="2"/>
            <w:shd w:val="clear" w:color="auto" w:fill="F4EFE7"/>
          </w:tcPr>
          <w:p>
            <w:pPr>
              <w:jc w:val="right"/>
              <w:ind w:right="790"/>
              <w:spacing w:after="0"/>
              <w:rPr>
                <w:sz w:val="20"/>
                <w:szCs w:val="20"/>
                <w:color w:val="auto"/>
              </w:rPr>
            </w:pPr>
            <w:r>
              <w:rPr>
                <w:rFonts w:ascii="Times New Roman" w:cs="Times New Roman" w:eastAsia="Times New Roman" w:hAnsi="Times New Roman"/>
                <w:sz w:val="18"/>
                <w:szCs w:val="18"/>
                <w:color w:val="auto"/>
              </w:rPr>
              <w:t>4Q25</w:t>
            </w:r>
          </w:p>
        </w:tc>
        <w:tc>
          <w:tcPr>
            <w:tcW w:w="200" w:type="dxa"/>
            <w:vAlign w:val="bottom"/>
            <w:tcBorders>
              <w:bottom w:val="single" w:sz="8" w:color="auto"/>
            </w:tcBorders>
            <w:shd w:val="clear" w:color="auto" w:fill="F4EFE7"/>
          </w:tcPr>
          <w:p>
            <w:pPr>
              <w:spacing w:after="0"/>
              <w:rPr>
                <w:sz w:val="19"/>
                <w:szCs w:val="19"/>
                <w:color w:val="auto"/>
              </w:rPr>
            </w:pPr>
          </w:p>
        </w:tc>
        <w:tc>
          <w:tcPr>
            <w:tcW w:w="1940" w:type="dxa"/>
            <w:vAlign w:val="bottom"/>
            <w:tcBorders>
              <w:bottom w:val="single" w:sz="8" w:color="auto"/>
            </w:tcBorders>
            <w:gridSpan w:val="2"/>
            <w:shd w:val="clear" w:color="auto" w:fill="F4EFE7"/>
          </w:tcPr>
          <w:p>
            <w:pPr>
              <w:ind w:left="700"/>
              <w:spacing w:after="0"/>
              <w:rPr>
                <w:sz w:val="20"/>
                <w:szCs w:val="20"/>
                <w:color w:val="auto"/>
              </w:rPr>
            </w:pPr>
            <w:r>
              <w:rPr>
                <w:rFonts w:ascii="Times New Roman" w:cs="Times New Roman" w:eastAsia="Times New Roman" w:hAnsi="Times New Roman"/>
                <w:sz w:val="18"/>
                <w:szCs w:val="18"/>
                <w:color w:val="auto"/>
              </w:rPr>
              <w:t>1Q25</w:t>
            </w:r>
          </w:p>
        </w:tc>
      </w:tr>
      <w:tr>
        <w:trPr>
          <w:trHeight w:val="223"/>
        </w:trPr>
        <w:tc>
          <w:tcPr>
            <w:tcW w:w="3720" w:type="dxa"/>
            <w:vAlign w:val="bottom"/>
            <w:tcBorders>
              <w:bottom w:val="single" w:sz="8" w:color="auto"/>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78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1Q26</w:t>
            </w:r>
          </w:p>
        </w:tc>
        <w:tc>
          <w:tcPr>
            <w:tcW w:w="28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30"/>
              <w:spacing w:after="0"/>
              <w:rPr>
                <w:sz w:val="20"/>
                <w:szCs w:val="20"/>
                <w:color w:val="auto"/>
              </w:rPr>
            </w:pPr>
            <w:r>
              <w:rPr>
                <w:rFonts w:ascii="Times New Roman" w:cs="Times New Roman" w:eastAsia="Times New Roman" w:hAnsi="Times New Roman"/>
                <w:sz w:val="18"/>
                <w:szCs w:val="18"/>
                <w:color w:val="auto"/>
              </w:rPr>
              <w:t>4Q25</w:t>
            </w:r>
          </w:p>
        </w:tc>
        <w:tc>
          <w:tcPr>
            <w:tcW w:w="260" w:type="dxa"/>
            <w:vAlign w:val="bottom"/>
            <w:tcBorders>
              <w:bottom w:val="single" w:sz="8" w:color="auto"/>
            </w:tcBorders>
            <w:shd w:val="clear" w:color="auto" w:fill="F4EFE7"/>
          </w:tcPr>
          <w:p>
            <w:pPr>
              <w:spacing w:after="0"/>
              <w:rPr>
                <w:sz w:val="19"/>
                <w:szCs w:val="19"/>
                <w:color w:val="auto"/>
              </w:rPr>
            </w:pPr>
          </w:p>
        </w:tc>
        <w:tc>
          <w:tcPr>
            <w:tcW w:w="880" w:type="dxa"/>
            <w:vAlign w:val="bottom"/>
            <w:tcBorders>
              <w:bottom w:val="single" w:sz="8" w:color="auto"/>
            </w:tcBorders>
            <w:shd w:val="clear" w:color="auto" w:fill="F4EFE7"/>
          </w:tcPr>
          <w:p>
            <w:pPr>
              <w:jc w:val="right"/>
              <w:ind w:right="290"/>
              <w:spacing w:after="0"/>
              <w:rPr>
                <w:sz w:val="20"/>
                <w:szCs w:val="20"/>
                <w:color w:val="auto"/>
              </w:rPr>
            </w:pPr>
            <w:r>
              <w:rPr>
                <w:rFonts w:ascii="Times New Roman" w:cs="Times New Roman" w:eastAsia="Times New Roman" w:hAnsi="Times New Roman"/>
                <w:sz w:val="18"/>
                <w:szCs w:val="18"/>
                <w:color w:val="auto"/>
              </w:rPr>
              <w:t>1Q25</w:t>
            </w:r>
          </w:p>
        </w:tc>
        <w:tc>
          <w:tcPr>
            <w:tcW w:w="160" w:type="dxa"/>
            <w:vAlign w:val="bottom"/>
            <w:tcBorders>
              <w:bottom w:val="single" w:sz="8" w:color="auto"/>
            </w:tcBorders>
            <w:shd w:val="clear" w:color="auto" w:fill="F4EFE7"/>
          </w:tcPr>
          <w:p>
            <w:pPr>
              <w:spacing w:after="0"/>
              <w:rPr>
                <w:sz w:val="19"/>
                <w:szCs w:val="19"/>
                <w:color w:val="auto"/>
              </w:rPr>
            </w:pPr>
          </w:p>
        </w:tc>
        <w:tc>
          <w:tcPr>
            <w:tcW w:w="880" w:type="dxa"/>
            <w:vAlign w:val="bottom"/>
            <w:tcBorders>
              <w:bottom w:val="single" w:sz="8" w:color="auto"/>
            </w:tcBorders>
            <w:shd w:val="clear" w:color="auto" w:fill="F4EFE7"/>
          </w:tcPr>
          <w:p>
            <w:pPr>
              <w:jc w:val="right"/>
              <w:ind w:right="190"/>
              <w:spacing w:after="0"/>
              <w:rPr>
                <w:sz w:val="20"/>
                <w:szCs w:val="20"/>
                <w:color w:val="auto"/>
              </w:rPr>
            </w:pPr>
            <w:r>
              <w:rPr>
                <w:rFonts w:ascii="Times New Roman" w:cs="Times New Roman" w:eastAsia="Times New Roman" w:hAnsi="Times New Roman"/>
                <w:sz w:val="18"/>
                <w:szCs w:val="18"/>
                <w:color w:val="auto"/>
              </w:rPr>
              <w:t>$ O/(U)</w:t>
            </w:r>
          </w:p>
        </w:tc>
        <w:tc>
          <w:tcPr>
            <w:tcW w:w="108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0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F4EFE7"/>
          </w:tcPr>
          <w:p>
            <w:pPr>
              <w:ind w:left="14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23,379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19,666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3,713</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Banking &amp; Payments</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10,425</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9,651</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8,754</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774</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1,671</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Markets &amp; Securities Services</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12,954</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9,724</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10,912</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3,230</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2,042</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11,136</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9,011</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9,842</w:t>
            </w:r>
          </w:p>
        </w:tc>
        <w:tc>
          <w:tcPr>
            <w:tcW w:w="1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2,125</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1,294</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372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1080" w:type="dxa"/>
            <w:vAlign w:val="bottom"/>
            <w:tcBorders>
              <w:bottom w:val="single" w:sz="8" w:color="828282"/>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(223)</w:t>
            </w:r>
          </w:p>
        </w:tc>
        <w:tc>
          <w:tcPr>
            <w:tcW w:w="1020" w:type="dxa"/>
            <w:vAlign w:val="bottom"/>
            <w:tcBorders>
              <w:bottom w:val="single" w:sz="8" w:color="828282"/>
            </w:tcBorders>
          </w:tcPr>
          <w:p>
            <w:pPr>
              <w:ind w:left="54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372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9,044</w:t>
            </w:r>
          </w:p>
        </w:tc>
        <w:tc>
          <w:tcPr>
            <w:tcW w:w="28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7,268</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6,942</w:t>
            </w:r>
          </w:p>
        </w:tc>
        <w:tc>
          <w:tcPr>
            <w:tcW w:w="1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828282"/>
            </w:tcBorders>
          </w:tcPr>
          <w:p>
            <w:pPr>
              <w:jc w:val="right"/>
              <w:ind w:right="70"/>
              <w:spacing w:after="0"/>
              <w:rPr>
                <w:sz w:val="20"/>
                <w:szCs w:val="20"/>
                <w:color w:val="auto"/>
              </w:rPr>
            </w:pPr>
            <w:r>
              <w:rPr>
                <w:rFonts w:ascii="Times New Roman" w:cs="Times New Roman" w:eastAsia="Times New Roman" w:hAnsi="Times New Roman"/>
                <w:sz w:val="18"/>
                <w:szCs w:val="18"/>
                <w:color w:val="auto"/>
              </w:rPr>
              <w:t>1,776</w:t>
            </w:r>
          </w:p>
        </w:tc>
        <w:tc>
          <w:tcPr>
            <w:tcW w:w="108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2,102</w:t>
            </w:r>
          </w:p>
        </w:tc>
        <w:tc>
          <w:tcPr>
            <w:tcW w:w="1020" w:type="dxa"/>
            <w:vAlign w:val="bottom"/>
            <w:tcBorders>
              <w:bottom w:val="single" w:sz="8" w:color="828282"/>
            </w:tcBorders>
          </w:tcPr>
          <w:p>
            <w:pPr>
              <w:ind w:left="620"/>
              <w:spacing w:after="0"/>
              <w:rPr>
                <w:sz w:val="20"/>
                <w:szCs w:val="20"/>
                <w:color w:val="auto"/>
              </w:rPr>
            </w:pPr>
            <w:r>
              <w:rPr>
                <w:rFonts w:ascii="Times New Roman" w:cs="Times New Roman" w:eastAsia="Times New Roman" w:hAnsi="Times New Roman"/>
                <w:sz w:val="18"/>
                <w:szCs w:val="18"/>
                <w:color w:val="auto"/>
              </w:rPr>
              <w:t>30 %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$9.0 billion, up 30%.</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 was $23.4 billion, up 19%. Banking &amp; Payments revenue was $10.4 billion, up 19%. Investment Banking revenue was $3.1 billion, up 38%. Investment Banking fees were $2.9 billion, up 28%, driven by higher advisory and equity underwriting fees, partially offset by lower debt underwriting fees. Payments revenue was $5.1 billion, up 12%, predominantly driven by higher deposit balances and fee growth. Lending revenue was $2.2 billion, up 13%, largely driven by mark-to-market gains on hedges of the retained lending portfolio and higher loan balances.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Markets &amp; Securities Services revenue was $13.0 billion, up 19%. Markets revenue was $11.6 billion, up 20%. Fixed Income Markets revenue was $7.1 billion, up 21%, driven by higher revenue on strong client activity in Commodities, Credit and Currencies &amp; Emerging Markets, as well as continued strength in Securitized Products, partially offset by lower revenue in Rates. Equity Markets revenue was $4.5 billion, up 17%, predominantly due to increased client activity. Securities Services revenue was $1.5 billion, up 18%, predominantly driven by fee growth on higher market levels and client activity, as well as higher deposit balances.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was $11.1 billion, up 13%, predominantly driven by higher compensation, including higher revenue-related compensation, as well as higher brokerage expense.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was $482 million, largely driven by changes in the credit quality of certain exposures. The net reserve build was $362 million, and net charge-offs were $120 million. In the prior year, the provision was $705 million, the net reserve build was $528 million and net charge-offs were $177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294640</wp:posOffset>
            </wp:positionV>
            <wp:extent cx="709803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ASSET &amp; WEALTH MANAGEMENT (AWM)</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80" w:type="dxa"/>
            <w:vAlign w:val="bottom"/>
            <w:tcBorders>
              <w:bottom w:val="single" w:sz="8" w:color="F4EFE7"/>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Results for AWM</w:t>
            </w:r>
          </w:p>
        </w:tc>
        <w:tc>
          <w:tcPr>
            <w:tcW w:w="20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6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60" w:type="dxa"/>
            <w:vAlign w:val="bottom"/>
            <w:tcBorders>
              <w:bottom w:val="single" w:sz="8" w:color="F4EFE7"/>
            </w:tcBorders>
            <w:shd w:val="clear" w:color="auto" w:fill="F4EFE7"/>
          </w:tcPr>
          <w:p>
            <w:pPr>
              <w:spacing w:after="0"/>
              <w:rPr>
                <w:sz w:val="19"/>
                <w:szCs w:val="19"/>
                <w:color w:val="auto"/>
              </w:rPr>
            </w:pPr>
          </w:p>
        </w:tc>
        <w:tc>
          <w:tcPr>
            <w:tcW w:w="88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1980" w:type="dxa"/>
            <w:vAlign w:val="bottom"/>
            <w:tcBorders>
              <w:bottom w:val="single" w:sz="8" w:color="auto"/>
            </w:tcBorders>
            <w:gridSpan w:val="2"/>
            <w:shd w:val="clear" w:color="auto" w:fill="F4EFE7"/>
          </w:tcPr>
          <w:p>
            <w:pPr>
              <w:jc w:val="right"/>
              <w:ind w:right="810"/>
              <w:spacing w:after="0"/>
              <w:rPr>
                <w:sz w:val="20"/>
                <w:szCs w:val="20"/>
                <w:color w:val="auto"/>
              </w:rPr>
            </w:pPr>
            <w:r>
              <w:rPr>
                <w:rFonts w:ascii="Times New Roman" w:cs="Times New Roman" w:eastAsia="Times New Roman" w:hAnsi="Times New Roman"/>
                <w:sz w:val="18"/>
                <w:szCs w:val="18"/>
                <w:color w:val="auto"/>
              </w:rPr>
              <w:t>4Q25</w:t>
            </w:r>
          </w:p>
        </w:tc>
        <w:tc>
          <w:tcPr>
            <w:tcW w:w="220" w:type="dxa"/>
            <w:vAlign w:val="bottom"/>
            <w:tcBorders>
              <w:bottom w:val="single" w:sz="8" w:color="auto"/>
            </w:tcBorders>
            <w:shd w:val="clear" w:color="auto" w:fill="F4EFE7"/>
          </w:tcPr>
          <w:p>
            <w:pPr>
              <w:spacing w:after="0"/>
              <w:rPr>
                <w:sz w:val="19"/>
                <w:szCs w:val="19"/>
                <w:color w:val="auto"/>
              </w:rPr>
            </w:pPr>
          </w:p>
        </w:tc>
        <w:tc>
          <w:tcPr>
            <w:tcW w:w="1940" w:type="dxa"/>
            <w:vAlign w:val="bottom"/>
            <w:tcBorders>
              <w:bottom w:val="single" w:sz="8" w:color="auto"/>
            </w:tcBorders>
            <w:gridSpan w:val="2"/>
            <w:shd w:val="clear" w:color="auto" w:fill="F4EFE7"/>
          </w:tcPr>
          <w:p>
            <w:pPr>
              <w:ind w:left="680"/>
              <w:spacing w:after="0"/>
              <w:rPr>
                <w:sz w:val="20"/>
                <w:szCs w:val="20"/>
                <w:color w:val="auto"/>
              </w:rPr>
            </w:pPr>
            <w:r>
              <w:rPr>
                <w:rFonts w:ascii="Times New Roman" w:cs="Times New Roman" w:eastAsia="Times New Roman" w:hAnsi="Times New Roman"/>
                <w:sz w:val="18"/>
                <w:szCs w:val="18"/>
                <w:color w:val="auto"/>
              </w:rPr>
              <w:t>1Q25</w:t>
            </w:r>
          </w:p>
        </w:tc>
      </w:tr>
      <w:tr>
        <w:trPr>
          <w:trHeight w:val="223"/>
        </w:trPr>
        <w:tc>
          <w:tcPr>
            <w:tcW w:w="3680" w:type="dxa"/>
            <w:vAlign w:val="bottom"/>
            <w:tcBorders>
              <w:bottom w:val="single" w:sz="8" w:color="auto"/>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30"/>
              <w:spacing w:after="0"/>
              <w:rPr>
                <w:sz w:val="20"/>
                <w:szCs w:val="20"/>
                <w:color w:val="auto"/>
              </w:rPr>
            </w:pPr>
            <w:r>
              <w:rPr>
                <w:rFonts w:ascii="Times New Roman" w:cs="Times New Roman" w:eastAsia="Times New Roman" w:hAnsi="Times New Roman"/>
                <w:sz w:val="18"/>
                <w:szCs w:val="18"/>
                <w:color w:val="auto"/>
              </w:rPr>
              <w:t>1Q26</w:t>
            </w:r>
          </w:p>
        </w:tc>
        <w:tc>
          <w:tcPr>
            <w:tcW w:w="26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30"/>
              <w:spacing w:after="0"/>
              <w:rPr>
                <w:sz w:val="20"/>
                <w:szCs w:val="20"/>
                <w:color w:val="auto"/>
              </w:rPr>
            </w:pPr>
            <w:r>
              <w:rPr>
                <w:rFonts w:ascii="Times New Roman" w:cs="Times New Roman" w:eastAsia="Times New Roman" w:hAnsi="Times New Roman"/>
                <w:sz w:val="18"/>
                <w:szCs w:val="18"/>
                <w:color w:val="auto"/>
              </w:rPr>
              <w:t>4Q25</w:t>
            </w:r>
          </w:p>
        </w:tc>
        <w:tc>
          <w:tcPr>
            <w:tcW w:w="260" w:type="dxa"/>
            <w:vAlign w:val="bottom"/>
            <w:tcBorders>
              <w:bottom w:val="single" w:sz="8" w:color="auto"/>
            </w:tcBorders>
            <w:shd w:val="clear" w:color="auto" w:fill="F4EFE7"/>
          </w:tcPr>
          <w:p>
            <w:pPr>
              <w:spacing w:after="0"/>
              <w:rPr>
                <w:sz w:val="19"/>
                <w:szCs w:val="19"/>
                <w:color w:val="auto"/>
              </w:rPr>
            </w:pPr>
          </w:p>
        </w:tc>
        <w:tc>
          <w:tcPr>
            <w:tcW w:w="880" w:type="dxa"/>
            <w:vAlign w:val="bottom"/>
            <w:tcBorders>
              <w:bottom w:val="single" w:sz="8" w:color="auto"/>
            </w:tcBorders>
            <w:shd w:val="clear" w:color="auto" w:fill="F4EFE7"/>
          </w:tcPr>
          <w:p>
            <w:pPr>
              <w:jc w:val="right"/>
              <w:ind w:right="290"/>
              <w:spacing w:after="0"/>
              <w:rPr>
                <w:sz w:val="20"/>
                <w:szCs w:val="20"/>
                <w:color w:val="auto"/>
              </w:rPr>
            </w:pPr>
            <w:r>
              <w:rPr>
                <w:rFonts w:ascii="Times New Roman" w:cs="Times New Roman" w:eastAsia="Times New Roman" w:hAnsi="Times New Roman"/>
                <w:sz w:val="18"/>
                <w:szCs w:val="18"/>
                <w:color w:val="auto"/>
              </w:rPr>
              <w:t>1Q25</w:t>
            </w:r>
          </w:p>
        </w:tc>
        <w:tc>
          <w:tcPr>
            <w:tcW w:w="16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ind w:left="40"/>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F4EFE7"/>
          </w:tcPr>
          <w:p>
            <w:pPr>
              <w:ind w:left="14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643</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4,167</w:t>
            </w:r>
          </w:p>
        </w:tc>
        <w:tc>
          <w:tcPr>
            <w:tcW w:w="2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4,068</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3,713</w:t>
            </w:r>
          </w:p>
        </w:tc>
        <w:tc>
          <w:tcPr>
            <w:tcW w:w="1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454</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36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ind w:left="48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Borders>
              <w:bottom w:val="single" w:sz="8" w:color="828282"/>
            </w:tcBorders>
          </w:tcPr>
          <w:p>
            <w:pPr>
              <w:ind w:left="440"/>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36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828282"/>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1,775</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1,808</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1,583</w:t>
            </w:r>
          </w:p>
        </w:tc>
        <w:tc>
          <w:tcPr>
            <w:tcW w:w="1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tcPr>
          <w:p>
            <w:pPr>
              <w:ind w:left="480"/>
              <w:spacing w:after="0"/>
              <w:rPr>
                <w:sz w:val="20"/>
                <w:szCs w:val="20"/>
                <w:color w:val="auto"/>
              </w:rPr>
            </w:pPr>
            <w:r>
              <w:rPr>
                <w:rFonts w:ascii="Times New Roman" w:cs="Times New Roman" w:eastAsia="Times New Roman" w:hAnsi="Times New Roman"/>
                <w:sz w:val="18"/>
                <w:szCs w:val="18"/>
                <w:color w:val="auto"/>
              </w:rPr>
              <w:t>192</w:t>
            </w:r>
          </w:p>
        </w:tc>
        <w:tc>
          <w:tcPr>
            <w:tcW w:w="1020" w:type="dxa"/>
            <w:vAlign w:val="bottom"/>
            <w:tcBorders>
              <w:bottom w:val="single" w:sz="8" w:color="828282"/>
            </w:tcBorders>
          </w:tcPr>
          <w:p>
            <w:pPr>
              <w:ind w:left="620"/>
              <w:spacing w:after="0"/>
              <w:rPr>
                <w:sz w:val="20"/>
                <w:szCs w:val="20"/>
                <w:color w:val="auto"/>
              </w:rPr>
            </w:pPr>
            <w:r>
              <w:rPr>
                <w:rFonts w:ascii="Times New Roman" w:cs="Times New Roman" w:eastAsia="Times New Roman" w:hAnsi="Times New Roman"/>
                <w:sz w:val="18"/>
                <w:szCs w:val="18"/>
                <w:color w:val="auto"/>
              </w:rPr>
              <w:t>12 %</w:t>
            </w: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$1.8 billion, up 12%.</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revenue was $6.4 billion, up 11%, predominantly driven by growth in management fees on strong net inflows and higher average market levels, as well as higher brokerage activity.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was $4.2 billion, up 12%, largely driven by higher compensation, primarily due to higher revenue-related compensation and continued growth in private banking advisor teams, as well as higher distribution fees.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under management were $4.8 trillion, up 16%, and client assets were $7.1 trillion, up 18%, driven by higher market levels and continued net inflows.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468630</wp:posOffset>
            </wp:positionV>
            <wp:extent cx="709803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CORPORATE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80" w:type="dxa"/>
            <w:vAlign w:val="bottom"/>
            <w:tcBorders>
              <w:bottom w:val="single" w:sz="8" w:color="F4EFE7"/>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Results for Corporate</w:t>
            </w:r>
          </w:p>
        </w:tc>
        <w:tc>
          <w:tcPr>
            <w:tcW w:w="20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6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60" w:type="dxa"/>
            <w:vAlign w:val="bottom"/>
            <w:tcBorders>
              <w:bottom w:val="single" w:sz="8" w:color="F4EFE7"/>
            </w:tcBorders>
            <w:shd w:val="clear" w:color="auto" w:fill="F4EFE7"/>
          </w:tcPr>
          <w:p>
            <w:pPr>
              <w:spacing w:after="0"/>
              <w:rPr>
                <w:sz w:val="19"/>
                <w:szCs w:val="19"/>
                <w:color w:val="auto"/>
              </w:rPr>
            </w:pPr>
          </w:p>
        </w:tc>
        <w:tc>
          <w:tcPr>
            <w:tcW w:w="88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1980" w:type="dxa"/>
            <w:vAlign w:val="bottom"/>
            <w:tcBorders>
              <w:bottom w:val="single" w:sz="8" w:color="auto"/>
            </w:tcBorders>
            <w:gridSpan w:val="2"/>
            <w:shd w:val="clear" w:color="auto" w:fill="F4EFE7"/>
          </w:tcPr>
          <w:p>
            <w:pPr>
              <w:jc w:val="right"/>
              <w:ind w:right="810"/>
              <w:spacing w:after="0"/>
              <w:rPr>
                <w:sz w:val="20"/>
                <w:szCs w:val="20"/>
                <w:color w:val="auto"/>
              </w:rPr>
            </w:pPr>
            <w:r>
              <w:rPr>
                <w:rFonts w:ascii="Times New Roman" w:cs="Times New Roman" w:eastAsia="Times New Roman" w:hAnsi="Times New Roman"/>
                <w:sz w:val="18"/>
                <w:szCs w:val="18"/>
                <w:color w:val="auto"/>
              </w:rPr>
              <w:t>4Q25</w:t>
            </w:r>
          </w:p>
        </w:tc>
        <w:tc>
          <w:tcPr>
            <w:tcW w:w="220" w:type="dxa"/>
            <w:vAlign w:val="bottom"/>
            <w:tcBorders>
              <w:bottom w:val="single" w:sz="8" w:color="auto"/>
            </w:tcBorders>
            <w:shd w:val="clear" w:color="auto" w:fill="F4EFE7"/>
          </w:tcPr>
          <w:p>
            <w:pPr>
              <w:spacing w:after="0"/>
              <w:rPr>
                <w:sz w:val="19"/>
                <w:szCs w:val="19"/>
                <w:color w:val="auto"/>
              </w:rPr>
            </w:pPr>
          </w:p>
        </w:tc>
        <w:tc>
          <w:tcPr>
            <w:tcW w:w="1940" w:type="dxa"/>
            <w:vAlign w:val="bottom"/>
            <w:tcBorders>
              <w:bottom w:val="single" w:sz="8" w:color="auto"/>
            </w:tcBorders>
            <w:gridSpan w:val="2"/>
            <w:shd w:val="clear" w:color="auto" w:fill="F4EFE7"/>
          </w:tcPr>
          <w:p>
            <w:pPr>
              <w:jc w:val="right"/>
              <w:ind w:right="770"/>
              <w:spacing w:after="0"/>
              <w:rPr>
                <w:sz w:val="20"/>
                <w:szCs w:val="20"/>
                <w:color w:val="auto"/>
              </w:rPr>
            </w:pPr>
            <w:r>
              <w:rPr>
                <w:rFonts w:ascii="Times New Roman" w:cs="Times New Roman" w:eastAsia="Times New Roman" w:hAnsi="Times New Roman"/>
                <w:sz w:val="18"/>
                <w:szCs w:val="18"/>
                <w:color w:val="auto"/>
              </w:rPr>
              <w:t>1Q25</w:t>
            </w:r>
          </w:p>
        </w:tc>
      </w:tr>
      <w:tr>
        <w:trPr>
          <w:trHeight w:val="223"/>
        </w:trPr>
        <w:tc>
          <w:tcPr>
            <w:tcW w:w="3680" w:type="dxa"/>
            <w:vAlign w:val="bottom"/>
            <w:tcBorders>
              <w:bottom w:val="single" w:sz="8" w:color="auto"/>
            </w:tcBorders>
            <w:shd w:val="clear" w:color="auto" w:fill="F4EFE7"/>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30"/>
              <w:spacing w:after="0"/>
              <w:rPr>
                <w:sz w:val="20"/>
                <w:szCs w:val="20"/>
                <w:color w:val="auto"/>
              </w:rPr>
            </w:pPr>
            <w:r>
              <w:rPr>
                <w:rFonts w:ascii="Times New Roman" w:cs="Times New Roman" w:eastAsia="Times New Roman" w:hAnsi="Times New Roman"/>
                <w:sz w:val="18"/>
                <w:szCs w:val="18"/>
                <w:color w:val="auto"/>
              </w:rPr>
              <w:t>1Q26</w:t>
            </w:r>
          </w:p>
        </w:tc>
        <w:tc>
          <w:tcPr>
            <w:tcW w:w="26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30"/>
              <w:spacing w:after="0"/>
              <w:rPr>
                <w:sz w:val="20"/>
                <w:szCs w:val="20"/>
                <w:color w:val="auto"/>
              </w:rPr>
            </w:pPr>
            <w:r>
              <w:rPr>
                <w:rFonts w:ascii="Times New Roman" w:cs="Times New Roman" w:eastAsia="Times New Roman" w:hAnsi="Times New Roman"/>
                <w:sz w:val="18"/>
                <w:szCs w:val="18"/>
                <w:color w:val="auto"/>
              </w:rPr>
              <w:t>4Q25</w:t>
            </w:r>
          </w:p>
        </w:tc>
        <w:tc>
          <w:tcPr>
            <w:tcW w:w="260" w:type="dxa"/>
            <w:vAlign w:val="bottom"/>
            <w:tcBorders>
              <w:bottom w:val="single" w:sz="8" w:color="auto"/>
            </w:tcBorders>
            <w:shd w:val="clear" w:color="auto" w:fill="F4EFE7"/>
          </w:tcPr>
          <w:p>
            <w:pPr>
              <w:spacing w:after="0"/>
              <w:rPr>
                <w:sz w:val="19"/>
                <w:szCs w:val="19"/>
                <w:color w:val="auto"/>
              </w:rPr>
            </w:pPr>
          </w:p>
        </w:tc>
        <w:tc>
          <w:tcPr>
            <w:tcW w:w="880" w:type="dxa"/>
            <w:vAlign w:val="bottom"/>
            <w:tcBorders>
              <w:bottom w:val="single" w:sz="8" w:color="auto"/>
            </w:tcBorders>
            <w:shd w:val="clear" w:color="auto" w:fill="F4EFE7"/>
          </w:tcPr>
          <w:p>
            <w:pPr>
              <w:jc w:val="right"/>
              <w:ind w:right="290"/>
              <w:spacing w:after="0"/>
              <w:rPr>
                <w:sz w:val="20"/>
                <w:szCs w:val="20"/>
                <w:color w:val="auto"/>
              </w:rPr>
            </w:pPr>
            <w:r>
              <w:rPr>
                <w:rFonts w:ascii="Times New Roman" w:cs="Times New Roman" w:eastAsia="Times New Roman" w:hAnsi="Times New Roman"/>
                <w:sz w:val="18"/>
                <w:szCs w:val="18"/>
                <w:color w:val="auto"/>
              </w:rPr>
              <w:t>1Q25</w:t>
            </w:r>
          </w:p>
        </w:tc>
        <w:tc>
          <w:tcPr>
            <w:tcW w:w="16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F4EFE7"/>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F4EFE7"/>
          </w:tcPr>
          <w:p>
            <w:pPr>
              <w:jc w:val="right"/>
              <w:ind w:right="17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r>
      <w:tr>
        <w:trPr>
          <w:trHeight w:val="234"/>
        </w:trPr>
        <w:tc>
          <w:tcPr>
            <w:tcW w:w="36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36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828282"/>
            </w:tcBorders>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1,693</w:t>
            </w:r>
          </w:p>
        </w:tc>
        <w:tc>
          <w:tcPr>
            <w:tcW w:w="1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392</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2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(994)</w:t>
            </w:r>
          </w:p>
        </w:tc>
        <w:tc>
          <w:tcPr>
            <w:tcW w:w="10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$699 million, down $994 million.</w:t>
      </w:r>
    </w:p>
    <w:p>
      <w:pPr>
        <w:spacing w:after="0" w:line="11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Net revenue was $1.2 billion, down $1.1 billion. Net interest income was $1.0 billion, down $625 million, predominantly driven by the impact of lower rates. Noninterest revenue was $189 million, down $464 million, largely due to the absence of the $588 million First Republic-related gain in the prior year.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 was $568 million, up $383 million, predominantly due to the absence of an FDIC special assessment accrual release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Notes on non-GAAP financial measures:</w:t>
      </w:r>
    </w:p>
    <w:p>
      <w:pPr>
        <w:spacing w:after="0" w:line="364" w:lineRule="exact"/>
        <w:rPr>
          <w:sz w:val="20"/>
          <w:szCs w:val="20"/>
          <w:color w:val="auto"/>
        </w:rPr>
      </w:pPr>
    </w:p>
    <w:p>
      <w:pPr>
        <w:jc w:val="both"/>
        <w:ind w:left="340" w:hanging="332"/>
        <w:spacing w:after="0" w:line="253" w:lineRule="auto"/>
        <w:tabs>
          <w:tab w:leader="none" w:pos="3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 prepares its Consolidated Financial Statements in accordance with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the U.S. GAAP financial statements of other companies.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as a whole and for each of the reportable business segments and Corporate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each of the lines of business and Corporate. For a reconciliation of the Firm’s results from a reported to managed basis, refer to page 7 of the Earnings Release Financial Supplement.</w:t>
      </w:r>
    </w:p>
    <w:p>
      <w:pPr>
        <w:spacing w:after="0" w:line="216"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common equity (“TCE”), return on tangible common equity (“ROTCE”) and tangible book value per share (“TBVPS”) are each non-GAAP financial measures. TCE represents the Firm’s common stockholders’ equity (i.e., total stockholders’ equity less preferred stock) less goodwill and identifiable intangible assets (other than mortgage servicing rights), net of related deferred tax liabilities. For a reconciliation from common stockholders’ equity to TCE, refer to page 10 of the Earnings Release Financial Supplement. ROTCE measures the Firm’s net income applicable to common equity as a percentage of average TCE. TBVPS represents the Firm’s TCE at period-end divided by common shares at period-end. Book value per share was $128.38, $126.99 and $119.24 at March 31, 2026, December 31, 2025 and March 31, 2025, respectively. TCE, ROTCE and TBVPS are utilized by the Firm, as well as investors and analysts, in assessing the Firm’s use of equity.</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reviewing net interest income (“NII”) and noninterest revenue (“NIR”) on a managed basis, management also reviews these metrics excluding Markets, which is composed of Fixed Income Markets and Equity Markets. Markets revenue consists of principal transactions, fees, commissions and other income, as well as net interest income. 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 reconciliation of NII and NIR from reported to excluding Markets, refer to page 28 of the Earnings Release Financial Supplement. For additional information on Markets revenue, refer to pages 73-74 of the Firm’s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35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4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Cash and marketable securities include end-of-period eligible high-quality liquid assets (“HQLA”), excluding regulatory prescribed haircuts under the liquidity coverage ratio (“LCR”) rule where applicable, for both the Firm and the excess HQLA-eligible securities included as part of the excess liquidity at JPMorgan Chase Bank, N.A., which are not transferable to non-bank affiliates and thus excluded from the Firm’s LCR. Also include other end-of-period unencumbered marketable securities, such as equity and debt securities. Does not include borrowing capacity at Federal Home Loan Banks and the discount window at the Federal Reserve Bank. Refer to Liquidity Risk Management on pages 100-107 of the Firm’s 2025 Form 10-K for additional information.</w:t>
      </w:r>
    </w:p>
    <w:p>
      <w:pPr>
        <w:spacing w:after="0" w:line="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Commercial Card.</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of all mobile platforms who have logged in within the past 90 days.</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deposits and other third party liabilities (“client deposits”) pertain to the Payments and Securities Services businesses.</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 (“AUM”).</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net impact of employee issuances. Excludes excise tax and commissions.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twelve months (“LTM”).</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provided to clients represents new and renewed credit, including loans and lending-related commitments, as well as unused amounts of advised uncommitted lines of credit where the Firm has discretion on whether or not to make a loan under these lines. Credit and capital for corporations and non-U.S. government entities includes Individuals and Individual Entities primarily consisting of Global Private Bank clients within AWM.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 (NYSE: JPM) is a leading financial services firm based in the United States of America (“U.S.”), with operations worldwide.</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JPMorganChase had $4.9 trillion in assets and $364 billion in stockholders’ equity as of March 31, 2026. The Firm is a leader in investment banking, financial services for consumers and small businesses, commercial banking, financial transaction processing and asset management. Under the J.P. Morgan and Chase brands, the Firm serves millions of customers predominantly in the U.S., and many of the world’s most prominent corporate, institutional and government clients globally. Information about JPMorgan Chase &amp; Co. is available at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JPMorgan Chase &amp; Co. will host a conference call today, April 14, 2026, at 8:30 a.m. (ET) to present first-quarter 2026 financial results. The general public can access the conference call by dialing the following numbers: 1 (888) 324-3618 in the U.S. and Canada; +1 (312) 470-7119 for international callers; use passcode 1364784#. Please dial in 15 minutes prior to the start of the call. The live audio webcast and presentation slides will be available on the Firm’s website,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 under Investor Relations, Events &amp; Presentations.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replay of the conference call also will be available by telephone beginning at approximately 11:00 a.m. (ET) on April 14, 2026 through 11:59 p.m. (ET) on April 29, 2026 at 1 (800) 841-4034 (U.S. and Canada); +1 (203) 369-3360 (International); use passcode 67371#. The replay will be available via webcast on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 xml:space="preserve"> under Investor Relations, Events &amp; Presentations. Additional detailed financial, statistical and business-related information is included in a financial supplement. The earnings release and the financial supplement are available at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earnings release contains forward-looking statements within the meaning of the Private Securities Litigation Reform Act of 1995. These statements are based on the current beliefs and expectations of JPMorgan Chase &amp; Co.’s management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2025, which has been filed with the Securities and Exchange Commission and is available on JPMorgan Chase &amp; Co.’s website (</w:t>
      </w:r>
      <w:r>
        <w:rPr>
          <w:rFonts w:ascii="Times New Roman" w:cs="Times New Roman" w:eastAsia="Times New Roman" w:hAnsi="Times New Roman"/>
          <w:sz w:val="18"/>
          <w:szCs w:val="18"/>
          <w:i w:val="1"/>
          <w:iCs w:val="1"/>
          <w:color w:val="006EBF"/>
        </w:rPr>
        <w:t>https://jpmorganchaseco.gcs-web.com/ir/sec-other-filings/overview</w:t>
      </w:r>
      <w:r>
        <w:rPr>
          <w:rFonts w:ascii="Times New Roman" w:cs="Times New Roman" w:eastAsia="Times New Roman" w:hAnsi="Times New Roman"/>
          <w:sz w:val="18"/>
          <w:szCs w:val="18"/>
          <w:i w:val="1"/>
          <w:iCs w:val="1"/>
          <w:color w:val="auto"/>
        </w:rPr>
        <w:t>), and on the Securities and Exchange Commission’s website (</w:t>
      </w:r>
      <w:r>
        <w:rPr>
          <w:rFonts w:ascii="Times New Roman" w:cs="Times New Roman" w:eastAsia="Times New Roman" w:hAnsi="Times New Roman"/>
          <w:sz w:val="18"/>
          <w:szCs w:val="18"/>
          <w:i w:val="1"/>
          <w:iCs w:val="1"/>
          <w:color w:val="006EBF"/>
        </w:rPr>
        <w:t>www.sec.gov</w:t>
      </w:r>
      <w:r>
        <w:rPr>
          <w:rFonts w:ascii="Times New Roman" w:cs="Times New Roman" w:eastAsia="Times New Roman" w:hAnsi="Times New Roman"/>
          <w:sz w:val="18"/>
          <w:szCs w:val="18"/>
          <w:i w:val="1"/>
          <w:iCs w:val="1"/>
          <w:color w:val="auto"/>
        </w:rPr>
        <w:t>). JPMorgan Chase &amp; Co.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982345</wp:posOffset>
            </wp:positionV>
            <wp:extent cx="3120390" cy="436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03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20"/>
        <w:spacing w:after="0" w:line="406" w:lineRule="auto"/>
        <w:rPr>
          <w:sz w:val="20"/>
          <w:szCs w:val="20"/>
          <w:color w:val="auto"/>
        </w:rPr>
      </w:pPr>
      <w:r>
        <w:rPr>
          <w:rFonts w:ascii="Arial" w:cs="Arial" w:eastAsia="Arial" w:hAnsi="Arial"/>
          <w:sz w:val="47"/>
          <w:szCs w:val="47"/>
          <w:b w:val="1"/>
          <w:bCs w:val="1"/>
          <w:color w:val="auto"/>
        </w:rPr>
        <w:t>EARNINGS RELEASE FINANCIAL SUPPLEMENT FIRST QUARTER 2026</w:t>
      </w:r>
    </w:p>
    <w:p>
      <w:pPr>
        <w:sectPr>
          <w:pgSz w:w="11900" w:h="16838" w:orient="portrait"/>
          <w:cols w:equalWidth="0" w:num="1">
            <w:col w:w="11000"/>
          </w:cols>
          <w:pgMar w:left="560" w:top="995" w:right="339" w:bottom="1440" w:gutter="0" w:footer="0" w:header="0"/>
        </w:sectPr>
      </w:pPr>
    </w:p>
    <w:bookmarkStart w:id="12" w:name="page13"/>
    <w:bookmarkEnd w:id="12"/>
    <w:p>
      <w:pPr>
        <w:ind w:left="1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5925820</wp:posOffset>
            </wp:positionH>
            <wp:positionV relativeFrom="page">
              <wp:posOffset>311785</wp:posOffset>
            </wp:positionV>
            <wp:extent cx="139700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3"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auto"/>
        </w:rPr>
        <w:t>TABLE OF CONTENTS</w:t>
      </w:r>
    </w:p>
    <w:p>
      <w:pPr>
        <w:spacing w:after="0" w:line="226" w:lineRule="exact"/>
        <w:rPr>
          <w:sz w:val="20"/>
          <w:szCs w:val="20"/>
          <w:color w:val="auto"/>
        </w:rPr>
      </w:pPr>
    </w:p>
    <w:tbl>
      <w:tblPr>
        <w:tblLayout w:type="fixed"/>
        <w:tblInd w:w="12" w:type="dxa"/>
        <w:tblCellMar>
          <w:top w:w="0" w:type="dxa"/>
          <w:left w:w="0" w:type="dxa"/>
          <w:bottom w:w="0" w:type="dxa"/>
          <w:right w:w="0" w:type="dxa"/>
        </w:tblCellMar>
      </w:tblPr>
      <w:tr>
        <w:trPr>
          <w:trHeight w:val="273"/>
        </w:trPr>
        <w:tc>
          <w:tcPr>
            <w:tcW w:w="7840" w:type="dxa"/>
            <w:vAlign w:val="bottom"/>
            <w:vMerge w:val="restart"/>
          </w:tcPr>
          <w:p>
            <w:pPr>
              <w:spacing w:after="0"/>
              <w:rPr>
                <w:sz w:val="20"/>
                <w:szCs w:val="20"/>
                <w:color w:val="auto"/>
              </w:rPr>
            </w:pPr>
            <w:r>
              <w:rPr>
                <w:rFonts w:ascii="Arial" w:cs="Arial" w:eastAsia="Arial" w:hAnsi="Arial"/>
                <w:sz w:val="20"/>
                <w:szCs w:val="20"/>
                <w:b w:val="1"/>
                <w:bCs w:val="1"/>
                <w:color w:val="auto"/>
              </w:rPr>
              <w:t>Consolidated Results</w:t>
            </w:r>
          </w:p>
        </w:tc>
        <w:tc>
          <w:tcPr>
            <w:tcW w:w="3300" w:type="dxa"/>
            <w:vAlign w:val="bottom"/>
          </w:tcPr>
          <w:p>
            <w:pPr>
              <w:ind w:left="2600"/>
              <w:spacing w:after="0"/>
              <w:rPr>
                <w:sz w:val="20"/>
                <w:szCs w:val="20"/>
                <w:color w:val="auto"/>
              </w:rPr>
            </w:pPr>
            <w:r>
              <w:rPr>
                <w:rFonts w:ascii="Arial" w:cs="Arial" w:eastAsia="Arial" w:hAnsi="Arial"/>
                <w:sz w:val="20"/>
                <w:szCs w:val="20"/>
                <w:b w:val="1"/>
                <w:bCs w:val="1"/>
                <w:color w:val="auto"/>
                <w:w w:val="94"/>
              </w:rPr>
              <w:t>Page(s)</w:t>
            </w:r>
          </w:p>
        </w:tc>
        <w:tc>
          <w:tcPr>
            <w:tcW w:w="0" w:type="dxa"/>
            <w:vAlign w:val="bottom"/>
          </w:tcPr>
          <w:p>
            <w:pPr>
              <w:spacing w:after="0"/>
              <w:rPr>
                <w:sz w:val="1"/>
                <w:szCs w:val="1"/>
                <w:color w:val="auto"/>
              </w:rPr>
            </w:pPr>
          </w:p>
        </w:tc>
      </w:tr>
      <w:tr>
        <w:trPr>
          <w:trHeight w:val="242"/>
        </w:trPr>
        <w:tc>
          <w:tcPr>
            <w:tcW w:w="7840" w:type="dxa"/>
            <w:vAlign w:val="bottom"/>
            <w:vMerge w:val="continue"/>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40" w:type="dxa"/>
            <w:vAlign w:val="bottom"/>
          </w:tcPr>
          <w:p>
            <w:pPr>
              <w:spacing w:after="0"/>
              <w:rPr>
                <w:sz w:val="20"/>
                <w:szCs w:val="20"/>
                <w:color w:val="auto"/>
              </w:rPr>
            </w:pPr>
            <w:r>
              <w:rPr>
                <w:rFonts w:ascii="Arial" w:cs="Arial" w:eastAsia="Arial" w:hAnsi="Arial"/>
                <w:sz w:val="20"/>
                <w:szCs w:val="20"/>
                <w:color w:val="auto"/>
              </w:rPr>
              <w:t>Consolidated Financial Highlights</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0"/>
                <w:szCs w:val="20"/>
                <w:color w:val="auto"/>
              </w:rPr>
            </w:pPr>
            <w:r>
              <w:rPr>
                <w:rFonts w:ascii="Arial" w:cs="Arial" w:eastAsia="Arial" w:hAnsi="Arial"/>
                <w:sz w:val="20"/>
                <w:szCs w:val="20"/>
                <w:color w:val="auto"/>
              </w:rPr>
              <w:t>Consolidated Statements of Income</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0"/>
                <w:szCs w:val="20"/>
                <w:color w:val="auto"/>
              </w:rPr>
            </w:pPr>
            <w:r>
              <w:rPr>
                <w:rFonts w:ascii="Arial" w:cs="Arial" w:eastAsia="Arial" w:hAnsi="Arial"/>
                <w:sz w:val="20"/>
                <w:szCs w:val="20"/>
                <w:color w:val="auto"/>
              </w:rPr>
              <w:t>Consolidated Balance Sheets</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0"/>
                <w:szCs w:val="20"/>
                <w:color w:val="auto"/>
              </w:rPr>
            </w:pPr>
            <w:r>
              <w:rPr>
                <w:rFonts w:ascii="Arial" w:cs="Arial" w:eastAsia="Arial" w:hAnsi="Arial"/>
                <w:sz w:val="20"/>
                <w:szCs w:val="20"/>
                <w:color w:val="auto"/>
              </w:rPr>
              <w:t>Condensed Average Balance Sheets and Annualized Yields</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256"/>
        </w:trPr>
        <w:tc>
          <w:tcPr>
            <w:tcW w:w="7840" w:type="dxa"/>
            <w:vAlign w:val="bottom"/>
          </w:tcPr>
          <w:p>
            <w:pPr>
              <w:spacing w:after="0"/>
              <w:rPr>
                <w:sz w:val="20"/>
                <w:szCs w:val="20"/>
                <w:color w:val="auto"/>
              </w:rPr>
            </w:pPr>
            <w:r>
              <w:rPr>
                <w:rFonts w:ascii="Arial" w:cs="Arial" w:eastAsia="Arial" w:hAnsi="Arial"/>
                <w:sz w:val="20"/>
                <w:szCs w:val="20"/>
                <w:color w:val="auto"/>
              </w:rPr>
              <w:t>Reconciliation from Reported to Managed Basis</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0"/>
                <w:szCs w:val="20"/>
                <w:color w:val="auto"/>
              </w:rPr>
            </w:pPr>
            <w:r>
              <w:rPr>
                <w:rFonts w:ascii="Arial" w:cs="Arial" w:eastAsia="Arial" w:hAnsi="Arial"/>
                <w:sz w:val="20"/>
                <w:szCs w:val="20"/>
                <w:color w:val="auto"/>
              </w:rPr>
              <w:t>Segment &amp; Corporate Results - Managed Basis</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89"/>
              </w:rPr>
              <w:t>8</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0"/>
                <w:szCs w:val="20"/>
                <w:color w:val="auto"/>
              </w:rPr>
            </w:pPr>
            <w:r>
              <w:rPr>
                <w:rFonts w:ascii="Arial" w:cs="Arial" w:eastAsia="Arial" w:hAnsi="Arial"/>
                <w:sz w:val="20"/>
                <w:szCs w:val="20"/>
                <w:color w:val="auto"/>
              </w:rPr>
              <w:t>Capital and Other Selected Balance Sheet Items</w:t>
            </w:r>
          </w:p>
        </w:tc>
        <w:tc>
          <w:tcPr>
            <w:tcW w:w="3300" w:type="dxa"/>
            <w:vAlign w:val="bottom"/>
          </w:tcPr>
          <w:p>
            <w:pPr>
              <w:jc w:val="center"/>
              <w:ind w:left="2481"/>
              <w:spacing w:after="0"/>
              <w:rPr>
                <w:sz w:val="20"/>
                <w:szCs w:val="20"/>
                <w:color w:val="auto"/>
              </w:rPr>
            </w:pPr>
            <w:r>
              <w:rPr>
                <w:rFonts w:ascii="Arial" w:cs="Arial" w:eastAsia="Arial" w:hAnsi="Arial"/>
                <w:sz w:val="20"/>
                <w:szCs w:val="20"/>
                <w:color w:val="auto"/>
                <w:w w:val="98"/>
              </w:rPr>
              <w:t>9–10</w:t>
            </w:r>
          </w:p>
        </w:tc>
        <w:tc>
          <w:tcPr>
            <w:tcW w:w="0" w:type="dxa"/>
            <w:vAlign w:val="bottom"/>
          </w:tcPr>
          <w:p>
            <w:pPr>
              <w:spacing w:after="0"/>
              <w:rPr>
                <w:sz w:val="1"/>
                <w:szCs w:val="1"/>
                <w:color w:val="auto"/>
              </w:rPr>
            </w:pPr>
          </w:p>
        </w:tc>
      </w:tr>
      <w:tr>
        <w:trPr>
          <w:trHeight w:val="261"/>
        </w:trPr>
        <w:tc>
          <w:tcPr>
            <w:tcW w:w="7840" w:type="dxa"/>
            <w:vAlign w:val="bottom"/>
          </w:tcPr>
          <w:p>
            <w:pPr>
              <w:spacing w:after="0"/>
              <w:rPr>
                <w:sz w:val="20"/>
                <w:szCs w:val="20"/>
                <w:color w:val="auto"/>
              </w:rPr>
            </w:pPr>
            <w:r>
              <w:rPr>
                <w:rFonts w:ascii="Arial" w:cs="Arial" w:eastAsia="Arial" w:hAnsi="Arial"/>
                <w:sz w:val="20"/>
                <w:szCs w:val="20"/>
                <w:color w:val="auto"/>
              </w:rPr>
              <w:t>Earnings Per Share and Related Information</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98"/>
              </w:rPr>
              <w:t>11</w:t>
            </w:r>
          </w:p>
        </w:tc>
        <w:tc>
          <w:tcPr>
            <w:tcW w:w="0" w:type="dxa"/>
            <w:vAlign w:val="bottom"/>
          </w:tcPr>
          <w:p>
            <w:pPr>
              <w:spacing w:after="0"/>
              <w:rPr>
                <w:sz w:val="1"/>
                <w:szCs w:val="1"/>
                <w:color w:val="auto"/>
              </w:rPr>
            </w:pPr>
          </w:p>
        </w:tc>
      </w:tr>
      <w:tr>
        <w:trPr>
          <w:trHeight w:val="468"/>
        </w:trPr>
        <w:tc>
          <w:tcPr>
            <w:tcW w:w="7840" w:type="dxa"/>
            <w:vAlign w:val="bottom"/>
          </w:tcPr>
          <w:p>
            <w:pPr>
              <w:spacing w:after="0"/>
              <w:rPr>
                <w:sz w:val="20"/>
                <w:szCs w:val="20"/>
                <w:color w:val="auto"/>
              </w:rPr>
            </w:pPr>
            <w:r>
              <w:rPr>
                <w:rFonts w:ascii="Arial" w:cs="Arial" w:eastAsia="Arial" w:hAnsi="Arial"/>
                <w:sz w:val="20"/>
                <w:szCs w:val="20"/>
                <w:b w:val="1"/>
                <w:bCs w:val="1"/>
                <w:color w:val="auto"/>
              </w:rPr>
              <w:t>Business Segment &amp; Corporate Results</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40" w:type="dxa"/>
            <w:vAlign w:val="bottom"/>
          </w:tcPr>
          <w:p>
            <w:pPr>
              <w:spacing w:after="0"/>
              <w:rPr>
                <w:sz w:val="20"/>
                <w:szCs w:val="20"/>
                <w:color w:val="auto"/>
              </w:rPr>
            </w:pPr>
            <w:r>
              <w:rPr>
                <w:rFonts w:ascii="Arial" w:cs="Arial" w:eastAsia="Arial" w:hAnsi="Arial"/>
                <w:sz w:val="20"/>
                <w:szCs w:val="20"/>
                <w:color w:val="auto"/>
              </w:rPr>
              <w:t>Consumer &amp; Community Banking (“CCB”)</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97"/>
              </w:rPr>
              <w:t>12–15</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0"/>
                <w:szCs w:val="20"/>
                <w:color w:val="auto"/>
              </w:rPr>
            </w:pPr>
            <w:r>
              <w:rPr>
                <w:rFonts w:ascii="Arial" w:cs="Arial" w:eastAsia="Arial" w:hAnsi="Arial"/>
                <w:sz w:val="20"/>
                <w:szCs w:val="20"/>
                <w:color w:val="auto"/>
              </w:rPr>
              <w:t>Commercial &amp; Investment Bank (“CIB”)</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97"/>
              </w:rPr>
              <w:t>16–19</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0"/>
                <w:szCs w:val="20"/>
                <w:color w:val="auto"/>
              </w:rPr>
            </w:pPr>
            <w:r>
              <w:rPr>
                <w:rFonts w:ascii="Arial" w:cs="Arial" w:eastAsia="Arial" w:hAnsi="Arial"/>
                <w:sz w:val="20"/>
                <w:szCs w:val="20"/>
                <w:color w:val="auto"/>
              </w:rPr>
              <w:t>Asset &amp; Wealth Management (“AWM”)</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97"/>
              </w:rPr>
              <w:t>20–22</w:t>
            </w:r>
          </w:p>
        </w:tc>
        <w:tc>
          <w:tcPr>
            <w:tcW w:w="0" w:type="dxa"/>
            <w:vAlign w:val="bottom"/>
          </w:tcPr>
          <w:p>
            <w:pPr>
              <w:spacing w:after="0"/>
              <w:rPr>
                <w:sz w:val="1"/>
                <w:szCs w:val="1"/>
                <w:color w:val="auto"/>
              </w:rPr>
            </w:pPr>
          </w:p>
        </w:tc>
      </w:tr>
      <w:tr>
        <w:trPr>
          <w:trHeight w:val="261"/>
        </w:trPr>
        <w:tc>
          <w:tcPr>
            <w:tcW w:w="7840" w:type="dxa"/>
            <w:vAlign w:val="bottom"/>
          </w:tcPr>
          <w:p>
            <w:pPr>
              <w:spacing w:after="0"/>
              <w:rPr>
                <w:sz w:val="20"/>
                <w:szCs w:val="20"/>
                <w:color w:val="auto"/>
              </w:rPr>
            </w:pPr>
            <w:r>
              <w:rPr>
                <w:rFonts w:ascii="Arial" w:cs="Arial" w:eastAsia="Arial" w:hAnsi="Arial"/>
                <w:sz w:val="20"/>
                <w:szCs w:val="20"/>
                <w:color w:val="auto"/>
              </w:rPr>
              <w:t>Corporate</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98"/>
              </w:rPr>
              <w:t>23</w:t>
            </w:r>
          </w:p>
        </w:tc>
        <w:tc>
          <w:tcPr>
            <w:tcW w:w="0" w:type="dxa"/>
            <w:vAlign w:val="bottom"/>
          </w:tcPr>
          <w:p>
            <w:pPr>
              <w:spacing w:after="0"/>
              <w:rPr>
                <w:sz w:val="1"/>
                <w:szCs w:val="1"/>
                <w:color w:val="auto"/>
              </w:rPr>
            </w:pPr>
          </w:p>
        </w:tc>
      </w:tr>
      <w:tr>
        <w:trPr>
          <w:trHeight w:val="473"/>
        </w:trPr>
        <w:tc>
          <w:tcPr>
            <w:tcW w:w="7840" w:type="dxa"/>
            <w:vAlign w:val="bottom"/>
          </w:tcPr>
          <w:p>
            <w:pPr>
              <w:spacing w:after="0"/>
              <w:rPr>
                <w:sz w:val="20"/>
                <w:szCs w:val="20"/>
                <w:color w:val="auto"/>
              </w:rPr>
            </w:pPr>
            <w:r>
              <w:rPr>
                <w:rFonts w:ascii="Arial" w:cs="Arial" w:eastAsia="Arial" w:hAnsi="Arial"/>
                <w:sz w:val="20"/>
                <w:szCs w:val="20"/>
                <w:color w:val="auto"/>
              </w:rPr>
              <w:t>Credit-Related Information</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97"/>
              </w:rPr>
              <w:t>24-27</w:t>
            </w:r>
          </w:p>
        </w:tc>
        <w:tc>
          <w:tcPr>
            <w:tcW w:w="0" w:type="dxa"/>
            <w:vAlign w:val="bottom"/>
          </w:tcPr>
          <w:p>
            <w:pPr>
              <w:spacing w:after="0"/>
              <w:rPr>
                <w:sz w:val="1"/>
                <w:szCs w:val="1"/>
                <w:color w:val="auto"/>
              </w:rPr>
            </w:pPr>
          </w:p>
        </w:tc>
      </w:tr>
      <w:tr>
        <w:trPr>
          <w:trHeight w:val="468"/>
        </w:trPr>
        <w:tc>
          <w:tcPr>
            <w:tcW w:w="7840" w:type="dxa"/>
            <w:vAlign w:val="bottom"/>
          </w:tcPr>
          <w:p>
            <w:pPr>
              <w:spacing w:after="0"/>
              <w:rPr>
                <w:sz w:val="20"/>
                <w:szCs w:val="20"/>
                <w:color w:val="auto"/>
              </w:rPr>
            </w:pPr>
            <w:r>
              <w:rPr>
                <w:rFonts w:ascii="Arial" w:cs="Arial" w:eastAsia="Arial" w:hAnsi="Arial"/>
                <w:sz w:val="20"/>
                <w:szCs w:val="20"/>
                <w:color w:val="auto"/>
              </w:rPr>
              <w:t>Non-GAAP Financial Measures</w:t>
            </w:r>
          </w:p>
        </w:tc>
        <w:tc>
          <w:tcPr>
            <w:tcW w:w="3300" w:type="dxa"/>
            <w:vAlign w:val="bottom"/>
          </w:tcPr>
          <w:p>
            <w:pPr>
              <w:jc w:val="center"/>
              <w:ind w:left="2501"/>
              <w:spacing w:after="0"/>
              <w:rPr>
                <w:sz w:val="20"/>
                <w:szCs w:val="20"/>
                <w:color w:val="auto"/>
              </w:rPr>
            </w:pPr>
            <w:r>
              <w:rPr>
                <w:rFonts w:ascii="Arial" w:cs="Arial" w:eastAsia="Arial" w:hAnsi="Arial"/>
                <w:sz w:val="20"/>
                <w:szCs w:val="20"/>
                <w:color w:val="auto"/>
                <w:w w:val="98"/>
              </w:rPr>
              <w:t>28</w:t>
            </w:r>
          </w:p>
        </w:tc>
        <w:tc>
          <w:tcPr>
            <w:tcW w:w="0" w:type="dxa"/>
            <w:vAlign w:val="bottom"/>
          </w:tcPr>
          <w:p>
            <w:pPr>
              <w:spacing w:after="0"/>
              <w:rPr>
                <w:sz w:val="1"/>
                <w:szCs w:val="1"/>
                <w:color w:val="auto"/>
              </w:rPr>
            </w:pPr>
          </w:p>
        </w:tc>
      </w:tr>
      <w:tr>
        <w:trPr>
          <w:trHeight w:val="261"/>
        </w:trPr>
        <w:tc>
          <w:tcPr>
            <w:tcW w:w="7840" w:type="dxa"/>
            <w:vAlign w:val="bottom"/>
          </w:tcPr>
          <w:p>
            <w:pPr>
              <w:spacing w:after="0"/>
              <w:rPr>
                <w:sz w:val="20"/>
                <w:szCs w:val="20"/>
                <w:color w:val="auto"/>
              </w:rPr>
            </w:pPr>
            <w:r>
              <w:rPr>
                <w:rFonts w:ascii="Arial" w:cs="Arial" w:eastAsia="Arial" w:hAnsi="Arial"/>
                <w:sz w:val="20"/>
                <w:szCs w:val="20"/>
                <w:color w:val="auto"/>
              </w:rPr>
              <w:t>Glossary of Terms and Acronyms (a)</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32" w:hanging="332"/>
        <w:spacing w:after="0" w:line="285" w:lineRule="auto"/>
        <w:tabs>
          <w:tab w:leader="none" w:pos="344"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Glossary of Terms and Acronyms on pages 320–327 of JPMorgan Chase &amp; Co.’s (the “Firm’s”) Annual Report on Form 10-K for the year ended December 31, 2025 (the “2025 Form 10-K”).</w:t>
      </w:r>
    </w:p>
    <w:p>
      <w:pPr>
        <w:sectPr>
          <w:pgSz w:w="11900" w:h="16838" w:orient="portrait"/>
          <w:cols w:equalWidth="0" w:num="1">
            <w:col w:w="11172"/>
          </w:cols>
          <w:pgMar w:left="328" w:top="858" w:right="399" w:bottom="1440" w:gutter="0" w:footer="0" w:header="0"/>
        </w:sectPr>
      </w:pPr>
    </w:p>
    <w:bookmarkStart w:id="13" w:name="page14"/>
    <w:bookmarkEnd w:id="13"/>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3963035</wp:posOffset>
            </wp:positionH>
            <wp:positionV relativeFrom="page">
              <wp:posOffset>311785</wp:posOffset>
            </wp:positionV>
            <wp:extent cx="139700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HIGHLIGHTS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 data)</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95"/>
              </w:rPr>
              <w:t>QUARTERLY TRENDS</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08"/>
        </w:trPr>
        <w:tc>
          <w:tcPr>
            <w:tcW w:w="2040" w:type="dxa"/>
            <w:vAlign w:val="bottom"/>
            <w:gridSpan w:val="7"/>
          </w:tcPr>
          <w:p>
            <w:pPr>
              <w:spacing w:after="0" w:line="108" w:lineRule="exact"/>
              <w:rPr>
                <w:sz w:val="20"/>
                <w:szCs w:val="20"/>
                <w:color w:val="auto"/>
              </w:rPr>
            </w:pPr>
            <w:r>
              <w:rPr>
                <w:rFonts w:ascii="Arial" w:cs="Arial" w:eastAsia="Arial" w:hAnsi="Arial"/>
                <w:sz w:val="11"/>
                <w:szCs w:val="11"/>
                <w:b w:val="1"/>
                <w:bCs w:val="1"/>
                <w:color w:val="auto"/>
              </w:rPr>
              <w:t>SELECTED INCOME STATEMENT</w:t>
            </w:r>
          </w:p>
        </w:tc>
        <w:tc>
          <w:tcPr>
            <w:tcW w:w="100" w:type="dxa"/>
            <w:vAlign w:val="bottom"/>
          </w:tcPr>
          <w:p>
            <w:pPr>
              <w:spacing w:after="0"/>
              <w:rPr>
                <w:sz w:val="9"/>
                <w:szCs w:val="9"/>
                <w:color w:val="auto"/>
              </w:rPr>
            </w:pPr>
          </w:p>
        </w:tc>
        <w:tc>
          <w:tcPr>
            <w:tcW w:w="5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1Q26</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4Q25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3Q25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2Q25</w:t>
            </w:r>
          </w:p>
        </w:tc>
        <w:tc>
          <w:tcPr>
            <w:tcW w:w="20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1Q25</w:t>
            </w:r>
          </w:p>
        </w:tc>
        <w:tc>
          <w:tcPr>
            <w:tcW w:w="9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DATA</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40" w:type="dxa"/>
            <w:vAlign w:val="bottom"/>
            <w:gridSpan w:val="7"/>
            <w:vMerge w:val="restart"/>
          </w:tcPr>
          <w:p>
            <w:pPr>
              <w:spacing w:after="0"/>
              <w:rPr>
                <w:sz w:val="20"/>
                <w:szCs w:val="20"/>
                <w:color w:val="auto"/>
              </w:rPr>
            </w:pPr>
            <w:r>
              <w:rPr>
                <w:rFonts w:ascii="Arial" w:cs="Arial" w:eastAsia="Arial" w:hAnsi="Arial"/>
                <w:sz w:val="11"/>
                <w:szCs w:val="11"/>
                <w:b w:val="1"/>
                <w:bCs w:val="1"/>
                <w:color w:val="auto"/>
              </w:rPr>
              <w:t>Reported Basis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4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40" w:type="dxa"/>
            <w:vAlign w:val="bottom"/>
            <w:gridSpan w:val="7"/>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49,836</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45,798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46,427</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44,912</w:t>
            </w:r>
          </w:p>
        </w:tc>
        <w:tc>
          <w:tcPr>
            <w:tcW w:w="16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45,310</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9 %</w:t>
            </w:r>
          </w:p>
        </w:tc>
        <w:tc>
          <w:tcPr>
            <w:tcW w:w="2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Total noninterest expense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26,850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23,983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24,281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23,779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23,597</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Pre-provision profit (a)</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22,986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21,815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22,146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21,133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21,713</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2,507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4,655</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3,403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2,849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3,305</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8"/>
        </w:trPr>
        <w:tc>
          <w:tcPr>
            <w:tcW w:w="2040" w:type="dxa"/>
            <w:vAlign w:val="bottom"/>
            <w:gridSpan w:val="7"/>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16,494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14,393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14,987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14,643</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324"/>
        </w:trPr>
        <w:tc>
          <w:tcPr>
            <w:tcW w:w="2040" w:type="dxa"/>
            <w:vAlign w:val="bottom"/>
            <w:gridSpan w:val="7"/>
          </w:tcPr>
          <w:p>
            <w:pPr>
              <w:spacing w:after="0"/>
              <w:rPr>
                <w:sz w:val="20"/>
                <w:szCs w:val="20"/>
                <w:color w:val="auto"/>
              </w:rPr>
            </w:pPr>
            <w:r>
              <w:rPr>
                <w:rFonts w:ascii="Arial" w:cs="Arial" w:eastAsia="Arial" w:hAnsi="Arial"/>
                <w:sz w:val="11"/>
                <w:szCs w:val="11"/>
                <w:b w:val="1"/>
                <w:bCs w:val="1"/>
                <w:color w:val="auto"/>
              </w:rPr>
              <w:t>Managed Basis (b)</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40" w:type="dxa"/>
            <w:vAlign w:val="bottom"/>
            <w:gridSpan w:val="7"/>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50,536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46,767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47,120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45,680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46,014</w:t>
            </w:r>
          </w:p>
        </w:tc>
        <w:tc>
          <w:tcPr>
            <w:tcW w:w="26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2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Total noninterest expense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26,850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23,983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24,281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23,779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23,597</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Pre-provision profit (a)</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23,686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22,784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22,839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21,901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22,417</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2,507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4,655</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3,403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2,849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3,305</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8"/>
        </w:trPr>
        <w:tc>
          <w:tcPr>
            <w:tcW w:w="2040" w:type="dxa"/>
            <w:vAlign w:val="bottom"/>
            <w:gridSpan w:val="7"/>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16,494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14,393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14,987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14,643</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98"/>
        </w:trPr>
        <w:tc>
          <w:tcPr>
            <w:tcW w:w="2040" w:type="dxa"/>
            <w:vAlign w:val="bottom"/>
            <w:gridSpan w:val="7"/>
          </w:tcPr>
          <w:p>
            <w:pPr>
              <w:spacing w:after="0"/>
              <w:rPr>
                <w:sz w:val="20"/>
                <w:szCs w:val="20"/>
                <w:color w:val="auto"/>
              </w:rPr>
            </w:pPr>
            <w:r>
              <w:rPr>
                <w:rFonts w:ascii="Arial" w:cs="Arial" w:eastAsia="Arial" w:hAnsi="Arial"/>
                <w:sz w:val="11"/>
                <w:szCs w:val="11"/>
                <w:b w:val="1"/>
                <w:bCs w:val="1"/>
                <w:color w:val="auto"/>
              </w:rPr>
              <w:t>EARNINGS PER SHARE DATA</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4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Net income: Basic</w:t>
            </w:r>
          </w:p>
        </w:tc>
        <w:tc>
          <w:tcPr>
            <w:tcW w:w="500" w:type="dxa"/>
            <w:vAlign w:val="bottom"/>
            <w:gridSpan w:val="3"/>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5.95</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4.64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5.08</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5.25</w:t>
            </w:r>
          </w:p>
        </w:tc>
        <w:tc>
          <w:tcPr>
            <w:tcW w:w="16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5.08</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760" w:type="dxa"/>
            <w:vAlign w:val="bottom"/>
            <w:gridSpan w:val="6"/>
          </w:tcPr>
          <w:p>
            <w:pPr>
              <w:ind w:left="580"/>
              <w:spacing w:after="0"/>
              <w:rPr>
                <w:sz w:val="20"/>
                <w:szCs w:val="20"/>
                <w:color w:val="auto"/>
              </w:rPr>
            </w:pPr>
            <w:r>
              <w:rPr>
                <w:rFonts w:ascii="Arial" w:cs="Arial" w:eastAsia="Arial" w:hAnsi="Arial"/>
                <w:sz w:val="11"/>
                <w:szCs w:val="11"/>
                <w:color w:val="auto"/>
              </w:rPr>
              <w:t>Diluted</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5.94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5.24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5.07</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Average shares: Basic</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2,716.2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2,735.3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2,762.4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2,788.7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2,819.4</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760" w:type="dxa"/>
            <w:vAlign w:val="bottom"/>
            <w:gridSpan w:val="6"/>
          </w:tcPr>
          <w:p>
            <w:pPr>
              <w:ind w:left="580"/>
              <w:spacing w:after="0"/>
              <w:rPr>
                <w:sz w:val="20"/>
                <w:szCs w:val="20"/>
                <w:color w:val="auto"/>
              </w:rPr>
            </w:pPr>
            <w:r>
              <w:rPr>
                <w:rFonts w:ascii="Arial" w:cs="Arial" w:eastAsia="Arial" w:hAnsi="Arial"/>
                <w:sz w:val="11"/>
                <w:szCs w:val="11"/>
                <w:color w:val="auto"/>
              </w:rPr>
              <w:t>Diluted</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2,720.2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2,740.5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2,767.6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2,793.7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2,824.3</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03"/>
        </w:trPr>
        <w:tc>
          <w:tcPr>
            <w:tcW w:w="2040" w:type="dxa"/>
            <w:vAlign w:val="bottom"/>
            <w:gridSpan w:val="7"/>
          </w:tcPr>
          <w:p>
            <w:pPr>
              <w:spacing w:after="0"/>
              <w:rPr>
                <w:sz w:val="20"/>
                <w:szCs w:val="20"/>
                <w:color w:val="auto"/>
              </w:rPr>
            </w:pPr>
            <w:r>
              <w:rPr>
                <w:rFonts w:ascii="Arial" w:cs="Arial" w:eastAsia="Arial" w:hAnsi="Arial"/>
                <w:sz w:val="11"/>
                <w:szCs w:val="11"/>
                <w:b w:val="1"/>
                <w:bCs w:val="1"/>
                <w:color w:val="auto"/>
              </w:rPr>
              <w:t>MARKET AND PER COMMON SHARE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20" w:type="dxa"/>
            <w:vAlign w:val="bottom"/>
            <w:tcBorders>
              <w:top w:val="single" w:sz="8" w:color="auto"/>
            </w:tcBorders>
            <w:gridSpan w:val="6"/>
          </w:tcPr>
          <w:p>
            <w:pPr>
              <w:spacing w:after="0" w:line="88" w:lineRule="exact"/>
              <w:rPr>
                <w:sz w:val="20"/>
                <w:szCs w:val="20"/>
                <w:color w:val="auto"/>
              </w:rPr>
            </w:pPr>
            <w:r>
              <w:rPr>
                <w:rFonts w:ascii="Arial" w:cs="Arial" w:eastAsia="Arial" w:hAnsi="Arial"/>
                <w:sz w:val="10"/>
                <w:szCs w:val="10"/>
                <w:b w:val="1"/>
                <w:bCs w:val="1"/>
                <w:color w:val="auto"/>
              </w:rPr>
              <w:t>DATA</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40" w:type="dxa"/>
            <w:vAlign w:val="bottom"/>
            <w:gridSpan w:val="7"/>
          </w:tcPr>
          <w:p>
            <w:pPr>
              <w:spacing w:after="0"/>
              <w:rPr>
                <w:sz w:val="20"/>
                <w:szCs w:val="20"/>
                <w:color w:val="auto"/>
              </w:rPr>
            </w:pPr>
            <w:r>
              <w:rPr>
                <w:rFonts w:ascii="Arial" w:cs="Arial" w:eastAsia="Arial" w:hAnsi="Arial"/>
                <w:sz w:val="11"/>
                <w:szCs w:val="11"/>
                <w:color w:val="auto"/>
              </w:rPr>
              <w:t>Market capitalization</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788,205</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868,793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858,683</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797,181</w:t>
            </w:r>
          </w:p>
        </w:tc>
        <w:tc>
          <w:tcPr>
            <w:tcW w:w="16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681,712</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Common shares at period-end</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2,679.5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2,696.2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2,722.2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2,749.7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2,779.1</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Book value per share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128.38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126.99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124.96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122.51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119.24</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28"/>
        </w:trPr>
        <w:tc>
          <w:tcPr>
            <w:tcW w:w="2040" w:type="dxa"/>
            <w:vAlign w:val="bottom"/>
            <w:gridSpan w:val="7"/>
          </w:tcPr>
          <w:p>
            <w:pPr>
              <w:spacing w:after="0"/>
              <w:rPr>
                <w:sz w:val="20"/>
                <w:szCs w:val="20"/>
                <w:color w:val="auto"/>
              </w:rPr>
            </w:pPr>
            <w:r>
              <w:rPr>
                <w:rFonts w:ascii="Arial" w:cs="Arial" w:eastAsia="Arial" w:hAnsi="Arial"/>
                <w:sz w:val="11"/>
                <w:szCs w:val="11"/>
                <w:color w:val="auto"/>
              </w:rPr>
              <w:t>Tangible book value per share (“TBVPS”)</w:t>
            </w: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108.87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107.56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105.70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103.40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100.36</w:t>
            </w:r>
          </w:p>
        </w:tc>
        <w:tc>
          <w:tcPr>
            <w:tcW w:w="260" w:type="dxa"/>
            <w:vAlign w:val="bottom"/>
          </w:tcPr>
          <w:p>
            <w:pPr>
              <w:spacing w:after="0"/>
              <w:rPr>
                <w:sz w:val="11"/>
                <w:szCs w:val="11"/>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2"/>
        </w:trPr>
        <w:tc>
          <w:tcPr>
            <w:tcW w:w="2040" w:type="dxa"/>
            <w:vAlign w:val="bottom"/>
            <w:gridSpan w:val="7"/>
          </w:tcPr>
          <w:p>
            <w:pPr>
              <w:spacing w:after="0"/>
              <w:rPr>
                <w:sz w:val="20"/>
                <w:szCs w:val="20"/>
                <w:color w:val="auto"/>
              </w:rPr>
            </w:pPr>
            <w:r>
              <w:rPr>
                <w:rFonts w:ascii="Arial" w:cs="Arial" w:eastAsia="Arial" w:hAnsi="Arial"/>
                <w:sz w:val="11"/>
                <w:szCs w:val="11"/>
                <w:color w:val="auto"/>
              </w:rPr>
              <w:t>(a)</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Cash dividends declared per share</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1.40</w:t>
            </w:r>
          </w:p>
        </w:tc>
        <w:tc>
          <w:tcPr>
            <w:tcW w:w="2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03"/>
        </w:trPr>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FINANCIAL RATIOS (c)</w:t>
            </w:r>
          </w:p>
        </w:tc>
        <w:tc>
          <w:tcPr>
            <w:tcW w:w="8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40" w:type="dxa"/>
            <w:vAlign w:val="bottom"/>
            <w:gridSpan w:val="7"/>
          </w:tcPr>
          <w:p>
            <w:pPr>
              <w:spacing w:after="0"/>
              <w:rPr>
                <w:sz w:val="20"/>
                <w:szCs w:val="20"/>
                <w:color w:val="auto"/>
              </w:rPr>
            </w:pPr>
            <w:r>
              <w:rPr>
                <w:rFonts w:ascii="Arial" w:cs="Arial" w:eastAsia="Arial" w:hAnsi="Arial"/>
                <w:sz w:val="11"/>
                <w:szCs w:val="11"/>
                <w:color w:val="auto"/>
              </w:rPr>
              <w:t>Return on common equity (“ROE”)</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19 %</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18 %</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40" w:type="dxa"/>
            <w:vAlign w:val="bottom"/>
            <w:gridSpan w:val="7"/>
          </w:tcPr>
          <w:p>
            <w:pPr>
              <w:spacing w:after="0"/>
              <w:rPr>
                <w:sz w:val="20"/>
                <w:szCs w:val="20"/>
                <w:color w:val="auto"/>
              </w:rPr>
            </w:pPr>
            <w:r>
              <w:rPr>
                <w:rFonts w:ascii="Arial" w:cs="Arial" w:eastAsia="Arial" w:hAnsi="Arial"/>
                <w:sz w:val="11"/>
                <w:szCs w:val="11"/>
                <w:color w:val="auto"/>
              </w:rPr>
              <w:t>Return on tangible common equity</w:t>
            </w: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21</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40" w:type="dxa"/>
            <w:vAlign w:val="bottom"/>
            <w:gridSpan w:val="7"/>
          </w:tcPr>
          <w:p>
            <w:pPr>
              <w:spacing w:after="0"/>
              <w:rPr>
                <w:sz w:val="20"/>
                <w:szCs w:val="20"/>
                <w:color w:val="auto"/>
              </w:rPr>
            </w:pPr>
            <w:r>
              <w:rPr>
                <w:rFonts w:ascii="Arial" w:cs="Arial" w:eastAsia="Arial" w:hAnsi="Arial"/>
                <w:sz w:val="11"/>
                <w:szCs w:val="11"/>
                <w:color w:val="auto"/>
              </w:rPr>
              <w:t>(“ROTCE”) (a)</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Return on assets</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CAPITAL RATIOS</w:t>
            </w:r>
          </w:p>
        </w:tc>
        <w:tc>
          <w:tcPr>
            <w:tcW w:w="11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40" w:type="dxa"/>
            <w:vAlign w:val="bottom"/>
            <w:gridSpan w:val="7"/>
          </w:tcPr>
          <w:p>
            <w:pPr>
              <w:spacing w:after="0"/>
              <w:rPr>
                <w:sz w:val="20"/>
                <w:szCs w:val="20"/>
                <w:color w:val="auto"/>
              </w:rPr>
            </w:pPr>
            <w:r>
              <w:rPr>
                <w:rFonts w:ascii="Arial" w:cs="Arial" w:eastAsia="Arial" w:hAnsi="Arial"/>
                <w:sz w:val="11"/>
                <w:szCs w:val="11"/>
                <w:color w:val="auto"/>
              </w:rPr>
              <w:t>Common equity Tier 1 (“CET1”) capital</w:t>
            </w:r>
          </w:p>
        </w:tc>
        <w:tc>
          <w:tcPr>
            <w:tcW w:w="100" w:type="dxa"/>
            <w:vAlign w:val="bottom"/>
          </w:tcPr>
          <w:p>
            <w:pPr>
              <w:spacing w:after="0"/>
              <w:rPr>
                <w:sz w:val="11"/>
                <w:szCs w:val="11"/>
                <w:color w:val="auto"/>
              </w:rPr>
            </w:pPr>
          </w:p>
        </w:tc>
        <w:tc>
          <w:tcPr>
            <w:tcW w:w="82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14.3 % (e)</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14.6 %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14.8 %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15.1 %</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15.4 %</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40" w:type="dxa"/>
            <w:vAlign w:val="bottom"/>
            <w:gridSpan w:val="7"/>
          </w:tcPr>
          <w:p>
            <w:pPr>
              <w:spacing w:after="0"/>
              <w:rPr>
                <w:sz w:val="20"/>
                <w:szCs w:val="20"/>
                <w:color w:val="auto"/>
              </w:rPr>
            </w:pPr>
            <w:r>
              <w:rPr>
                <w:rFonts w:ascii="Arial" w:cs="Arial" w:eastAsia="Arial" w:hAnsi="Arial"/>
                <w:sz w:val="11"/>
                <w:szCs w:val="11"/>
                <w:color w:val="auto"/>
              </w:rPr>
              <w:t>ratio - Standardized (d)</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Tier 1 capital ratio - Standardized (d)</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15.2</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16.5</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Total capital ratio - Standardized (d)</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17.1</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18.2</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Tier 1 leverage ratio</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6.6</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7.2</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gridSpan w:val="7"/>
          </w:tcPr>
          <w:p>
            <w:pPr>
              <w:spacing w:after="0"/>
              <w:rPr>
                <w:sz w:val="20"/>
                <w:szCs w:val="20"/>
                <w:color w:val="auto"/>
              </w:rPr>
            </w:pPr>
            <w:r>
              <w:rPr>
                <w:rFonts w:ascii="Arial" w:cs="Arial" w:eastAsia="Arial" w:hAnsi="Arial"/>
                <w:sz w:val="11"/>
                <w:szCs w:val="11"/>
                <w:color w:val="auto"/>
              </w:rPr>
              <w:t>Supplementary leverage ratio (“SLR”)</w:t>
            </w: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5.6</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303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1"/>
          <w:szCs w:val="11"/>
          <w:color w:val="auto"/>
        </w:rPr>
        <w:t>On January 7, 2026, JPMorganChase announced that Chase will become the new issuer of Apple Card. The Firm entered into a forward purchase commitment on December 30, 2025 to acquire the Apple credit card portfolio (the “Apple Card transaction”), with an expected closing date approximately 24 months thereafter. Refer to Notes 4, 13, 27 and 28 of the Firm’s 2025 Form 10-K for additional information.</w:t>
      </w:r>
    </w:p>
    <w:p>
      <w:pPr>
        <w:spacing w:after="0" w:line="38" w:lineRule="exact"/>
        <w:rPr>
          <w:sz w:val="20"/>
          <w:szCs w:val="20"/>
          <w:color w:val="auto"/>
        </w:rPr>
      </w:pPr>
    </w:p>
    <w:p>
      <w:pPr>
        <w:ind w:left="180" w:right="80" w:hanging="172"/>
        <w:spacing w:after="0" w:line="249" w:lineRule="auto"/>
        <w:tabs>
          <w:tab w:leader="none" w:pos="177" w:val="left"/>
        </w:tabs>
        <w:numPr>
          <w:ilvl w:val="0"/>
          <w:numId w:val="15"/>
        </w:numPr>
        <w:rPr>
          <w:rFonts w:ascii="Arial" w:cs="Arial" w:eastAsia="Arial" w:hAnsi="Arial"/>
          <w:sz w:val="11"/>
          <w:szCs w:val="11"/>
          <w:color w:val="auto"/>
        </w:rPr>
      </w:pPr>
      <w:r>
        <w:rPr>
          <w:rFonts w:ascii="Arial" w:cs="Arial" w:eastAsia="Arial" w:hAnsi="Arial"/>
          <w:sz w:val="11"/>
          <w:szCs w:val="11"/>
          <w:color w:val="auto"/>
        </w:rPr>
        <w:t>Pre-provision profit, TBVPS and ROTCE are each non-GAAP financial measures. Tangible common equity (“TCE”) is also a non-GAAP financial measure; refer to page 10 for a reconciliation of common stockholders’ equity to TCE. Refer to page 28 for a further discussion of these measures.</w:t>
      </w:r>
    </w:p>
    <w:p>
      <w:pPr>
        <w:ind w:left="160" w:hanging="152"/>
        <w:spacing w:after="0"/>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spacing w:after="0" w:line="8"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Ratios are based upon annualized amounts.</w:t>
      </w:r>
    </w:p>
    <w:p>
      <w:pPr>
        <w:ind w:left="160" w:hanging="152"/>
        <w:spacing w:after="0"/>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As of March 31, 2026 and December 31, 2025, the Advanced risk-based ratios were more binding on the Firm than the Standardized risk-based ratios. Refer to page 9 for further information on the Firm’s capital metrics.</w:t>
      </w:r>
    </w:p>
    <w:p>
      <w:pPr>
        <w:spacing w:after="0" w:line="5"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Estimated.</w:t>
      </w:r>
    </w:p>
    <w:p>
      <w:pPr>
        <w:ind w:left="160" w:hanging="152"/>
        <w:spacing w:after="0"/>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Included $2.2 billion associated with the Apple Card transaction. Refer to Note 13 of the Firm’s 2025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w:t>
      </w:r>
    </w:p>
    <w:p>
      <w:pPr>
        <w:sectPr>
          <w:pgSz w:w="11900" w:h="16838" w:orient="portrait"/>
          <w:cols w:equalWidth="0" w:num="1">
            <w:col w:w="11240"/>
          </w:cols>
          <w:pgMar w:left="320" w:top="491"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4151630</wp:posOffset>
            </wp:positionH>
            <wp:positionV relativeFrom="page">
              <wp:posOffset>311785</wp:posOffset>
            </wp:positionV>
            <wp:extent cx="139700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HIGHLIGHTS, CONTINUED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ratios, employee data and where</w:t>
      </w:r>
    </w:p>
    <w:p>
      <w:pPr>
        <w:ind w:left="20"/>
        <w:spacing w:after="0"/>
        <w:rPr>
          <w:sz w:val="20"/>
          <w:szCs w:val="20"/>
          <w:color w:val="auto"/>
        </w:rPr>
      </w:pPr>
      <w:r>
        <w:rPr>
          <w:rFonts w:ascii="Arial" w:cs="Arial" w:eastAsia="Arial" w:hAnsi="Arial"/>
          <w:sz w:val="11"/>
          <w:szCs w:val="11"/>
          <w:b w:val="1"/>
          <w:bCs w:val="1"/>
          <w:color w:val="auto"/>
        </w:rPr>
        <w:t>otherwise noted)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center"/>
              <w:ind w:left="466"/>
              <w:spacing w:after="0"/>
              <w:rPr>
                <w:sz w:val="20"/>
                <w:szCs w:val="20"/>
                <w:color w:val="auto"/>
              </w:rPr>
            </w:pPr>
            <w:r>
              <w:rPr>
                <w:rFonts w:ascii="Arial" w:cs="Arial" w:eastAsia="Arial" w:hAnsi="Arial"/>
                <w:sz w:val="11"/>
                <w:szCs w:val="11"/>
                <w:b w:val="1"/>
                <w:bCs w:val="1"/>
                <w:color w:val="auto"/>
                <w:w w:val="95"/>
              </w:rPr>
              <w:t>QUARTERLY TRENDS</w:t>
            </w: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1"/>
                <w:szCs w:val="11"/>
                <w:b w:val="1"/>
                <w:bCs w:val="1"/>
                <w:color w:val="auto"/>
              </w:rPr>
              <w:t>1Q26 Change</w:t>
            </w: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b w:val="1"/>
                <w:bCs w:val="1"/>
                <w:color w:val="auto"/>
              </w:rPr>
              <w:t>1Q26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4Q25</w:t>
            </w:r>
          </w:p>
        </w:tc>
        <w:tc>
          <w:tcPr>
            <w:tcW w:w="8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3Q25</w:t>
            </w:r>
          </w:p>
        </w:tc>
        <w:tc>
          <w:tcPr>
            <w:tcW w:w="8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2Q25</w:t>
            </w:r>
          </w:p>
        </w:tc>
        <w:tc>
          <w:tcPr>
            <w:tcW w:w="12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1Q25</w:t>
            </w:r>
          </w:p>
        </w:tc>
        <w:tc>
          <w:tcPr>
            <w:tcW w:w="38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4Q25</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rPr>
              <w:t>1Q25</w:t>
            </w:r>
          </w:p>
        </w:tc>
      </w:tr>
      <w:tr>
        <w:trPr>
          <w:trHeight w:val="108"/>
        </w:trPr>
        <w:tc>
          <w:tcPr>
            <w:tcW w:w="20" w:type="dxa"/>
            <w:vAlign w:val="bottom"/>
          </w:tcPr>
          <w:p>
            <w:pPr>
              <w:spacing w:after="0"/>
              <w:rPr>
                <w:sz w:val="9"/>
                <w:szCs w:val="9"/>
                <w:color w:val="auto"/>
              </w:rPr>
            </w:pPr>
          </w:p>
        </w:tc>
        <w:tc>
          <w:tcPr>
            <w:tcW w:w="2180" w:type="dxa"/>
            <w:vAlign w:val="bottom"/>
            <w:gridSpan w:val="7"/>
          </w:tcPr>
          <w:p>
            <w:pPr>
              <w:spacing w:after="0" w:line="108" w:lineRule="exact"/>
              <w:rPr>
                <w:sz w:val="20"/>
                <w:szCs w:val="20"/>
                <w:color w:val="auto"/>
              </w:rPr>
            </w:pPr>
            <w:r>
              <w:rPr>
                <w:rFonts w:ascii="Arial" w:cs="Arial" w:eastAsia="Arial" w:hAnsi="Arial"/>
                <w:sz w:val="11"/>
                <w:szCs w:val="11"/>
                <w:b w:val="1"/>
                <w:bCs w:val="1"/>
                <w:color w:val="auto"/>
              </w:rPr>
              <w:t>SELECTED BALANCE SHEET DATA</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r>
      <w:tr>
        <w:trPr>
          <w:trHeight w:val="88"/>
        </w:trPr>
        <w:tc>
          <w:tcPr>
            <w:tcW w:w="20" w:type="dxa"/>
            <w:vAlign w:val="bottom"/>
          </w:tcPr>
          <w:p>
            <w:pPr>
              <w:spacing w:after="0"/>
              <w:rPr>
                <w:sz w:val="7"/>
                <w:szCs w:val="7"/>
                <w:color w:val="auto"/>
              </w:rPr>
            </w:pPr>
          </w:p>
        </w:tc>
        <w:tc>
          <w:tcPr>
            <w:tcW w:w="6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gridSpan w:val="4"/>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r>
      <w:tr>
        <w:trPr>
          <w:trHeight w:val="163"/>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4,900,475</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4,424,900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4,560,205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4,552,482</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4,357,856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11 %</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12 %</w:t>
            </w:r>
          </w:p>
        </w:tc>
      </w:tr>
      <w:tr>
        <w:trPr>
          <w:trHeight w:val="162"/>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180" w:type="dxa"/>
            <w:vAlign w:val="bottom"/>
            <w:gridSpan w:val="7"/>
          </w:tcPr>
          <w:p>
            <w:pPr>
              <w:ind w:left="120"/>
              <w:spacing w:after="0"/>
              <w:rPr>
                <w:sz w:val="20"/>
                <w:szCs w:val="20"/>
                <w:color w:val="auto"/>
              </w:rPr>
            </w:pPr>
            <w:r>
              <w:rPr>
                <w:rFonts w:ascii="Arial" w:cs="Arial" w:eastAsia="Arial" w:hAnsi="Arial"/>
                <w:sz w:val="11"/>
                <w:szCs w:val="11"/>
                <w:color w:val="auto"/>
              </w:rPr>
              <w:t>Consumer, excluding credit card loans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391,660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402,258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393,084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394,040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391,138</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162"/>
        </w:trPr>
        <w:tc>
          <w:tcPr>
            <w:tcW w:w="20" w:type="dxa"/>
            <w:vAlign w:val="bottom"/>
          </w:tcPr>
          <w:p>
            <w:pPr>
              <w:spacing w:after="0"/>
              <w:rPr>
                <w:sz w:val="14"/>
                <w:szCs w:val="14"/>
                <w:color w:val="auto"/>
              </w:rPr>
            </w:pPr>
          </w:p>
        </w:tc>
        <w:tc>
          <w:tcPr>
            <w:tcW w:w="2180" w:type="dxa"/>
            <w:vAlign w:val="bottom"/>
            <w:gridSpan w:val="7"/>
          </w:tcPr>
          <w:p>
            <w:pPr>
              <w:ind w:left="120"/>
              <w:spacing w:after="0"/>
              <w:rPr>
                <w:sz w:val="20"/>
                <w:szCs w:val="20"/>
                <w:color w:val="auto"/>
              </w:rPr>
            </w:pPr>
            <w:r>
              <w:rPr>
                <w:rFonts w:ascii="Arial" w:cs="Arial" w:eastAsia="Arial" w:hAnsi="Arial"/>
                <w:sz w:val="11"/>
                <w:szCs w:val="11"/>
                <w:color w:val="auto"/>
              </w:rPr>
              <w:t>Credit card loans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239,123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247,797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235,475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232,943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223,384</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76"/>
        </w:trPr>
        <w:tc>
          <w:tcPr>
            <w:tcW w:w="20" w:type="dxa"/>
            <w:vAlign w:val="bottom"/>
          </w:tcPr>
          <w:p>
            <w:pPr>
              <w:spacing w:after="0"/>
              <w:rPr>
                <w:sz w:val="15"/>
                <w:szCs w:val="15"/>
                <w:color w:val="auto"/>
              </w:rPr>
            </w:pPr>
          </w:p>
        </w:tc>
        <w:tc>
          <w:tcPr>
            <w:tcW w:w="2180" w:type="dxa"/>
            <w:vAlign w:val="bottom"/>
            <w:gridSpan w:val="7"/>
          </w:tcPr>
          <w:p>
            <w:pPr>
              <w:ind w:left="120"/>
              <w:spacing w:after="0"/>
              <w:rPr>
                <w:sz w:val="20"/>
                <w:szCs w:val="20"/>
                <w:color w:val="auto"/>
              </w:rPr>
            </w:pPr>
            <w:r>
              <w:rPr>
                <w:rFonts w:ascii="Arial" w:cs="Arial" w:eastAsia="Arial" w:hAnsi="Arial"/>
                <w:sz w:val="11"/>
                <w:szCs w:val="11"/>
                <w:color w:val="auto"/>
              </w:rPr>
              <w:t>Wholesale loans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872,737</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843,374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806,687</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785,009</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741,173</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18</w:t>
            </w:r>
          </w:p>
        </w:tc>
      </w:tr>
      <w:tr>
        <w:trPr>
          <w:trHeight w:val="148"/>
        </w:trPr>
        <w:tc>
          <w:tcPr>
            <w:tcW w:w="20" w:type="dxa"/>
            <w:vAlign w:val="bottom"/>
          </w:tcPr>
          <w:p>
            <w:pPr>
              <w:spacing w:after="0"/>
              <w:rPr>
                <w:sz w:val="12"/>
                <w:szCs w:val="12"/>
                <w:color w:val="auto"/>
              </w:rPr>
            </w:pPr>
          </w:p>
        </w:tc>
        <w:tc>
          <w:tcPr>
            <w:tcW w:w="2180" w:type="dxa"/>
            <w:vAlign w:val="bottom"/>
            <w:gridSpan w:val="7"/>
          </w:tcPr>
          <w:p>
            <w:pPr>
              <w:ind w:left="2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1,503,520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1,493,429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1,435,246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1,411,992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1,355,695</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210"/>
        </w:trPr>
        <w:tc>
          <w:tcPr>
            <w:tcW w:w="20" w:type="dxa"/>
            <w:vAlign w:val="bottom"/>
          </w:tcPr>
          <w:p>
            <w:pPr>
              <w:spacing w:after="0"/>
              <w:rPr>
                <w:sz w:val="18"/>
                <w:szCs w:val="18"/>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Deposits: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180" w:type="dxa"/>
            <w:vAlign w:val="bottom"/>
            <w:gridSpan w:val="7"/>
          </w:tcPr>
          <w:p>
            <w:pPr>
              <w:ind w:left="120"/>
              <w:spacing w:after="0"/>
              <w:rPr>
                <w:sz w:val="20"/>
                <w:szCs w:val="20"/>
                <w:color w:val="auto"/>
              </w:rPr>
            </w:pPr>
            <w:r>
              <w:rPr>
                <w:rFonts w:ascii="Arial" w:cs="Arial" w:eastAsia="Arial" w:hAnsi="Arial"/>
                <w:sz w:val="11"/>
                <w:szCs w:val="11"/>
                <w:color w:val="auto"/>
              </w:rPr>
              <w:t>U.S. offices: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180" w:type="dxa"/>
            <w:vAlign w:val="bottom"/>
            <w:gridSpan w:val="7"/>
          </w:tcPr>
          <w:p>
            <w:pPr>
              <w:ind w:left="200"/>
              <w:spacing w:after="0"/>
              <w:rPr>
                <w:sz w:val="20"/>
                <w:szCs w:val="20"/>
                <w:color w:val="auto"/>
              </w:rPr>
            </w:pPr>
            <w:r>
              <w:rPr>
                <w:rFonts w:ascii="Arial" w:cs="Arial" w:eastAsia="Arial" w:hAnsi="Arial"/>
                <w:sz w:val="11"/>
                <w:szCs w:val="11"/>
                <w:color w:val="auto"/>
              </w:rPr>
              <w:t>Noninterest-bearing</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595,424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583,342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589,105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591,177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581,623</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r>
      <w:tr>
        <w:trPr>
          <w:trHeight w:val="162"/>
        </w:trPr>
        <w:tc>
          <w:tcPr>
            <w:tcW w:w="20" w:type="dxa"/>
            <w:vAlign w:val="bottom"/>
          </w:tcPr>
          <w:p>
            <w:pPr>
              <w:spacing w:after="0"/>
              <w:rPr>
                <w:sz w:val="14"/>
                <w:szCs w:val="14"/>
                <w:color w:val="auto"/>
              </w:rPr>
            </w:pPr>
          </w:p>
        </w:tc>
        <w:tc>
          <w:tcPr>
            <w:tcW w:w="2180" w:type="dxa"/>
            <w:vAlign w:val="bottom"/>
            <w:gridSpan w:val="7"/>
          </w:tcPr>
          <w:p>
            <w:pPr>
              <w:ind w:left="200"/>
              <w:spacing w:after="0"/>
              <w:rPr>
                <w:sz w:val="20"/>
                <w:szCs w:val="20"/>
                <w:color w:val="auto"/>
              </w:rPr>
            </w:pPr>
            <w:r>
              <w:rPr>
                <w:rFonts w:ascii="Arial" w:cs="Arial" w:eastAsia="Arial" w:hAnsi="Arial"/>
                <w:sz w:val="11"/>
                <w:szCs w:val="11"/>
                <w:color w:val="auto"/>
              </w:rPr>
              <w:t>Interest-bearing</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1,508,682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1,452,729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1,433,404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1,441,905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1,416,585</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62"/>
        </w:trPr>
        <w:tc>
          <w:tcPr>
            <w:tcW w:w="20" w:type="dxa"/>
            <w:vAlign w:val="bottom"/>
          </w:tcPr>
          <w:p>
            <w:pPr>
              <w:spacing w:after="0"/>
              <w:rPr>
                <w:sz w:val="14"/>
                <w:szCs w:val="14"/>
                <w:color w:val="auto"/>
              </w:rPr>
            </w:pPr>
          </w:p>
        </w:tc>
        <w:tc>
          <w:tcPr>
            <w:tcW w:w="2180" w:type="dxa"/>
            <w:vAlign w:val="bottom"/>
            <w:gridSpan w:val="7"/>
          </w:tcPr>
          <w:p>
            <w:pPr>
              <w:ind w:left="120"/>
              <w:spacing w:after="0"/>
              <w:rPr>
                <w:sz w:val="20"/>
                <w:szCs w:val="20"/>
                <w:color w:val="auto"/>
              </w:rPr>
            </w:pPr>
            <w:r>
              <w:rPr>
                <w:rFonts w:ascii="Arial" w:cs="Arial" w:eastAsia="Arial" w:hAnsi="Arial"/>
                <w:sz w:val="11"/>
                <w:szCs w:val="11"/>
                <w:color w:val="auto"/>
              </w:rPr>
              <w:t>Non-U.S. offices: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180" w:type="dxa"/>
            <w:vAlign w:val="bottom"/>
            <w:gridSpan w:val="7"/>
          </w:tcPr>
          <w:p>
            <w:pPr>
              <w:ind w:left="200"/>
              <w:spacing w:after="0"/>
              <w:rPr>
                <w:sz w:val="20"/>
                <w:szCs w:val="20"/>
                <w:color w:val="auto"/>
              </w:rPr>
            </w:pPr>
            <w:r>
              <w:rPr>
                <w:rFonts w:ascii="Arial" w:cs="Arial" w:eastAsia="Arial" w:hAnsi="Arial"/>
                <w:sz w:val="11"/>
                <w:szCs w:val="11"/>
                <w:color w:val="auto"/>
              </w:rPr>
              <w:t>Noninterest-bearing</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43,775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37,057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34,255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29,976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29,856</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18</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47</w:t>
            </w:r>
          </w:p>
        </w:tc>
      </w:tr>
      <w:tr>
        <w:trPr>
          <w:trHeight w:val="176"/>
        </w:trPr>
        <w:tc>
          <w:tcPr>
            <w:tcW w:w="20" w:type="dxa"/>
            <w:vAlign w:val="bottom"/>
          </w:tcPr>
          <w:p>
            <w:pPr>
              <w:spacing w:after="0"/>
              <w:rPr>
                <w:sz w:val="15"/>
                <w:szCs w:val="15"/>
                <w:color w:val="auto"/>
              </w:rPr>
            </w:pPr>
          </w:p>
        </w:tc>
        <w:tc>
          <w:tcPr>
            <w:tcW w:w="2180" w:type="dxa"/>
            <w:vAlign w:val="bottom"/>
            <w:gridSpan w:val="7"/>
          </w:tcPr>
          <w:p>
            <w:pPr>
              <w:ind w:left="200"/>
              <w:spacing w:after="0"/>
              <w:rPr>
                <w:sz w:val="20"/>
                <w:szCs w:val="20"/>
                <w:color w:val="auto"/>
              </w:rPr>
            </w:pPr>
            <w:r>
              <w:rPr>
                <w:rFonts w:ascii="Arial" w:cs="Arial" w:eastAsia="Arial" w:hAnsi="Arial"/>
                <w:sz w:val="11"/>
                <w:szCs w:val="11"/>
                <w:color w:val="auto"/>
              </w:rPr>
              <w:t>Interest-bearing</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527,639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486,192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491,712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499,322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467,813</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w:t>
            </w:r>
          </w:p>
        </w:tc>
      </w:tr>
      <w:tr>
        <w:trPr>
          <w:trHeight w:val="148"/>
        </w:trPr>
        <w:tc>
          <w:tcPr>
            <w:tcW w:w="20" w:type="dxa"/>
            <w:vAlign w:val="bottom"/>
          </w:tcPr>
          <w:p>
            <w:pPr>
              <w:spacing w:after="0"/>
              <w:rPr>
                <w:sz w:val="12"/>
                <w:szCs w:val="12"/>
                <w:color w:val="auto"/>
              </w:rPr>
            </w:pPr>
          </w:p>
        </w:tc>
        <w:tc>
          <w:tcPr>
            <w:tcW w:w="2180" w:type="dxa"/>
            <w:vAlign w:val="bottom"/>
            <w:gridSpan w:val="7"/>
          </w:tcPr>
          <w:p>
            <w:pPr>
              <w:ind w:left="340"/>
              <w:spacing w:after="0"/>
              <w:rPr>
                <w:sz w:val="20"/>
                <w:szCs w:val="20"/>
                <w:color w:val="auto"/>
              </w:rPr>
            </w:pPr>
            <w:r>
              <w:rPr>
                <w:rFonts w:ascii="Arial" w:cs="Arial" w:eastAsia="Arial" w:hAnsi="Arial"/>
                <w:sz w:val="11"/>
                <w:szCs w:val="11"/>
                <w:b w:val="1"/>
                <w:bCs w:val="1"/>
                <w:color w:val="auto"/>
              </w:rPr>
              <w:t>Total deposits</w:t>
            </w:r>
          </w:p>
        </w:tc>
        <w:tc>
          <w:tcPr>
            <w:tcW w:w="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2,675,520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2,559,320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2,548,476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2,562,380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2,495,877</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210"/>
        </w:trPr>
        <w:tc>
          <w:tcPr>
            <w:tcW w:w="20" w:type="dxa"/>
            <w:vAlign w:val="bottom"/>
          </w:tcPr>
          <w:p>
            <w:pPr>
              <w:spacing w:after="0"/>
              <w:rPr>
                <w:sz w:val="18"/>
                <w:szCs w:val="18"/>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Long-term debt</w:t>
            </w:r>
          </w:p>
        </w:tc>
        <w:tc>
          <w:tcPr>
            <w:tcW w:w="8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448,764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435,206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427,203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419,802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407,224</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8"/>
                <w:szCs w:val="18"/>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w:t>
            </w:r>
          </w:p>
        </w:tc>
      </w:tr>
      <w:tr>
        <w:trPr>
          <w:trHeight w:val="162"/>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343,993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342,393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340,167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336,879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331,375</w:t>
            </w:r>
          </w:p>
        </w:tc>
        <w:tc>
          <w:tcPr>
            <w:tcW w:w="38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r>
      <w:tr>
        <w:trPr>
          <w:trHeight w:val="162"/>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Total stockholders’ equity</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364,038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362,438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360,212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356,924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351,420</w:t>
            </w:r>
          </w:p>
        </w:tc>
        <w:tc>
          <w:tcPr>
            <w:tcW w:w="38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r>
      <w:tr>
        <w:trPr>
          <w:trHeight w:val="216"/>
        </w:trPr>
        <w:tc>
          <w:tcPr>
            <w:tcW w:w="20" w:type="dxa"/>
            <w:vAlign w:val="bottom"/>
          </w:tcPr>
          <w:p>
            <w:pPr>
              <w:spacing w:after="0"/>
              <w:rPr>
                <w:sz w:val="18"/>
                <w:szCs w:val="18"/>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Loans-to-deposits ratio</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56 %</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56 %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54 %</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180" w:type="dxa"/>
            <w:vAlign w:val="bottom"/>
            <w:gridSpan w:val="7"/>
          </w:tcPr>
          <w:p>
            <w:pPr>
              <w:spacing w:after="0"/>
              <w:rPr>
                <w:sz w:val="20"/>
                <w:szCs w:val="20"/>
                <w:color w:val="auto"/>
              </w:rPr>
            </w:pPr>
            <w:r>
              <w:rPr>
                <w:rFonts w:ascii="Arial" w:cs="Arial" w:eastAsia="Arial" w:hAnsi="Arial"/>
                <w:sz w:val="11"/>
                <w:szCs w:val="11"/>
                <w:b w:val="1"/>
                <w:bCs w:val="1"/>
                <w:color w:val="auto"/>
              </w:rPr>
              <w:t>Employees</w:t>
            </w:r>
          </w:p>
        </w:tc>
        <w:tc>
          <w:tcPr>
            <w:tcW w:w="80" w:type="dxa"/>
            <w:vAlign w:val="bottom"/>
          </w:tcPr>
          <w:p>
            <w:pPr>
              <w:spacing w:after="0"/>
              <w:rPr>
                <w:sz w:val="19"/>
                <w:szCs w:val="19"/>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320,079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318,512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318,153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317,160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318,477</w:t>
            </w:r>
          </w:p>
        </w:tc>
        <w:tc>
          <w:tcPr>
            <w:tcW w:w="380" w:type="dxa"/>
            <w:vAlign w:val="bottom"/>
          </w:tcPr>
          <w:p>
            <w:pPr>
              <w:spacing w:after="0"/>
              <w:rPr>
                <w:sz w:val="19"/>
                <w:szCs w:val="19"/>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r>
      <w:tr>
        <w:trPr>
          <w:trHeight w:val="189"/>
        </w:trPr>
        <w:tc>
          <w:tcPr>
            <w:tcW w:w="20" w:type="dxa"/>
            <w:vAlign w:val="bottom"/>
          </w:tcPr>
          <w:p>
            <w:pPr>
              <w:spacing w:after="0"/>
              <w:rPr>
                <w:sz w:val="16"/>
                <w:szCs w:val="16"/>
                <w:color w:val="auto"/>
              </w:rPr>
            </w:pPr>
          </w:p>
        </w:tc>
        <w:tc>
          <w:tcPr>
            <w:tcW w:w="2180" w:type="dxa"/>
            <w:vAlign w:val="bottom"/>
            <w:gridSpan w:val="7"/>
          </w:tcPr>
          <w:p>
            <w:pPr>
              <w:spacing w:after="0"/>
              <w:rPr>
                <w:sz w:val="20"/>
                <w:szCs w:val="20"/>
                <w:color w:val="auto"/>
              </w:rPr>
            </w:pPr>
            <w:r>
              <w:rPr>
                <w:rFonts w:ascii="Arial" w:cs="Arial" w:eastAsia="Arial" w:hAnsi="Arial"/>
                <w:sz w:val="11"/>
                <w:szCs w:val="11"/>
                <w:b w:val="1"/>
                <w:bCs w:val="1"/>
                <w:color w:val="auto"/>
              </w:rPr>
              <w:t>95% CONFIDENCE LEVEL - TOTAL VaR</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2020" w:type="dxa"/>
            <w:vAlign w:val="bottom"/>
            <w:tcBorders>
              <w:top w:val="single" w:sz="8" w:color="auto"/>
            </w:tcBorders>
            <w:gridSpan w:val="6"/>
          </w:tcPr>
          <w:p>
            <w:pPr>
              <w:spacing w:after="0"/>
              <w:rPr>
                <w:sz w:val="20"/>
                <w:szCs w:val="20"/>
                <w:color w:val="auto"/>
              </w:rPr>
            </w:pPr>
            <w:r>
              <w:rPr>
                <w:rFonts w:ascii="Arial" w:cs="Arial" w:eastAsia="Arial" w:hAnsi="Arial"/>
                <w:sz w:val="11"/>
                <w:szCs w:val="11"/>
                <w:color w:val="auto"/>
              </w:rPr>
              <w:t>Average VaR (a)</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35</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42</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w:t>
            </w:r>
          </w:p>
        </w:tc>
      </w:tr>
      <w:tr>
        <w:trPr>
          <w:trHeight w:val="196"/>
        </w:trPr>
        <w:tc>
          <w:tcPr>
            <w:tcW w:w="20" w:type="dxa"/>
            <w:vAlign w:val="bottom"/>
          </w:tcPr>
          <w:p>
            <w:pPr>
              <w:spacing w:after="0"/>
              <w:rPr>
                <w:sz w:val="17"/>
                <w:szCs w:val="17"/>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Earnings-at-Risk (in billions) (b)</w:t>
            </w:r>
          </w:p>
        </w:tc>
        <w:tc>
          <w:tcPr>
            <w:tcW w:w="5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68"/>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b w:val="1"/>
                <w:bCs w:val="1"/>
                <w:color w:val="auto"/>
              </w:rPr>
              <w:t>Parallel shift: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180" w:type="dxa"/>
            <w:vAlign w:val="bottom"/>
            <w:gridSpan w:val="7"/>
          </w:tcPr>
          <w:p>
            <w:pPr>
              <w:ind w:left="120"/>
              <w:spacing w:after="0"/>
              <w:rPr>
                <w:sz w:val="20"/>
                <w:szCs w:val="20"/>
                <w:color w:val="auto"/>
              </w:rPr>
            </w:pPr>
            <w:r>
              <w:rPr>
                <w:rFonts w:ascii="Arial" w:cs="Arial" w:eastAsia="Arial" w:hAnsi="Arial"/>
                <w:sz w:val="11"/>
                <w:szCs w:val="11"/>
                <w:color w:val="auto"/>
              </w:rPr>
              <w:t>+100 bps shift in rates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w:t>
            </w:r>
          </w:p>
        </w:tc>
      </w:tr>
      <w:tr>
        <w:trPr>
          <w:trHeight w:val="162"/>
        </w:trPr>
        <w:tc>
          <w:tcPr>
            <w:tcW w:w="20" w:type="dxa"/>
            <w:vAlign w:val="bottom"/>
          </w:tcPr>
          <w:p>
            <w:pPr>
              <w:spacing w:after="0"/>
              <w:rPr>
                <w:sz w:val="14"/>
                <w:szCs w:val="14"/>
                <w:color w:val="auto"/>
              </w:rPr>
            </w:pPr>
          </w:p>
        </w:tc>
        <w:tc>
          <w:tcPr>
            <w:tcW w:w="2180" w:type="dxa"/>
            <w:vAlign w:val="bottom"/>
            <w:gridSpan w:val="7"/>
          </w:tcPr>
          <w:p>
            <w:pPr>
              <w:ind w:left="120"/>
              <w:spacing w:after="0"/>
              <w:rPr>
                <w:sz w:val="20"/>
                <w:szCs w:val="20"/>
                <w:color w:val="auto"/>
              </w:rPr>
            </w:pPr>
            <w:r>
              <w:rPr>
                <w:rFonts w:ascii="Arial" w:cs="Arial" w:eastAsia="Arial" w:hAnsi="Arial"/>
                <w:sz w:val="11"/>
                <w:szCs w:val="11"/>
                <w:color w:val="auto"/>
              </w:rPr>
              <w:t>-100 bps shift in rates</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195"/>
        </w:trPr>
        <w:tc>
          <w:tcPr>
            <w:tcW w:w="20" w:type="dxa"/>
            <w:vAlign w:val="bottom"/>
          </w:tcPr>
          <w:p>
            <w:pPr>
              <w:spacing w:after="0"/>
              <w:rPr>
                <w:sz w:val="17"/>
                <w:szCs w:val="17"/>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7"/>
              </w:rPr>
              <w:t>LINE OF BUSINESS (“LOB”) &amp;</w:t>
            </w:r>
          </w:p>
        </w:tc>
        <w:tc>
          <w:tcPr>
            <w:tcW w:w="6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88"/>
        </w:trPr>
        <w:tc>
          <w:tcPr>
            <w:tcW w:w="20" w:type="dxa"/>
            <w:vAlign w:val="bottom"/>
          </w:tcPr>
          <w:p>
            <w:pPr>
              <w:spacing w:after="0"/>
              <w:rPr>
                <w:sz w:val="7"/>
                <w:szCs w:val="7"/>
                <w:color w:val="auto"/>
              </w:rPr>
            </w:pPr>
          </w:p>
        </w:tc>
        <w:tc>
          <w:tcPr>
            <w:tcW w:w="2180" w:type="dxa"/>
            <w:vAlign w:val="bottom"/>
            <w:gridSpan w:val="7"/>
          </w:tcPr>
          <w:p>
            <w:pPr>
              <w:spacing w:after="0" w:line="88" w:lineRule="exact"/>
              <w:rPr>
                <w:sz w:val="20"/>
                <w:szCs w:val="20"/>
                <w:color w:val="auto"/>
              </w:rPr>
            </w:pPr>
            <w:r>
              <w:rPr>
                <w:rFonts w:ascii="Arial" w:cs="Arial" w:eastAsia="Arial" w:hAnsi="Arial"/>
                <w:sz w:val="10"/>
                <w:szCs w:val="10"/>
                <w:b w:val="1"/>
                <w:bCs w:val="1"/>
                <w:color w:val="auto"/>
              </w:rPr>
              <w:t>CORPORATE NET REVENUE (c)</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r>
      <w:tr>
        <w:trPr>
          <w:trHeight w:val="163"/>
        </w:trPr>
        <w:tc>
          <w:tcPr>
            <w:tcW w:w="20" w:type="dxa"/>
            <w:vAlign w:val="bottom"/>
          </w:tcPr>
          <w:p>
            <w:pPr>
              <w:spacing w:after="0"/>
              <w:rPr>
                <w:sz w:val="14"/>
                <w:szCs w:val="14"/>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w w:val="99"/>
              </w:rPr>
              <w:t>Consumer &amp; Community Banking</w:t>
            </w:r>
          </w:p>
        </w:tc>
        <w:tc>
          <w:tcPr>
            <w:tcW w:w="540" w:type="dxa"/>
            <w:vAlign w:val="bottom"/>
            <w:gridSpan w:val="4"/>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19,568</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19,396</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19,473</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18,847</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18,313</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62"/>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23,379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19,375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19,878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19,535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19,666</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21</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19</w:t>
            </w:r>
          </w:p>
        </w:tc>
      </w:tr>
      <w:tr>
        <w:trPr>
          <w:trHeight w:val="162"/>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6,374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6,516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6,066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5,760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5,731</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175"/>
        </w:trPr>
        <w:tc>
          <w:tcPr>
            <w:tcW w:w="20" w:type="dxa"/>
            <w:vAlign w:val="bottom"/>
          </w:tcPr>
          <w:p>
            <w:pPr>
              <w:spacing w:after="0"/>
              <w:rPr>
                <w:sz w:val="15"/>
                <w:szCs w:val="15"/>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1,215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1,480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1,703</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1,538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2,304</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42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(47)</w:t>
            </w:r>
          </w:p>
        </w:tc>
      </w:tr>
      <w:tr>
        <w:trPr>
          <w:trHeight w:val="169"/>
        </w:trPr>
        <w:tc>
          <w:tcPr>
            <w:tcW w:w="20" w:type="dxa"/>
            <w:vAlign w:val="bottom"/>
          </w:tcPr>
          <w:p>
            <w:pPr>
              <w:spacing w:after="0"/>
              <w:rPr>
                <w:sz w:val="14"/>
                <w:szCs w:val="14"/>
                <w:color w:val="auto"/>
              </w:rPr>
            </w:pPr>
          </w:p>
        </w:tc>
        <w:tc>
          <w:tcPr>
            <w:tcW w:w="21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50,536</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46,767</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47,120</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45,680</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46,014</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w:t>
            </w:r>
          </w:p>
        </w:tc>
      </w:tr>
      <w:tr>
        <w:trPr>
          <w:trHeight w:val="162"/>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b w:val="1"/>
                <w:bCs w:val="1"/>
                <w:color w:val="auto"/>
              </w:rPr>
              <w:t>LOB &amp; CORPORATE NET INCOME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76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Consumer &amp; Community Banking</w:t>
            </w:r>
          </w:p>
        </w:tc>
        <w:tc>
          <w:tcPr>
            <w:tcW w:w="420" w:type="dxa"/>
            <w:vAlign w:val="bottom"/>
            <w:gridSpan w:val="3"/>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4,976</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3,642</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5,009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5,169</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4,425</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37</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162"/>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9,044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7,268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6,901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6,650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6,942</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30</w:t>
            </w:r>
          </w:p>
        </w:tc>
      </w:tr>
      <w:tr>
        <w:trPr>
          <w:trHeight w:val="162"/>
        </w:trPr>
        <w:tc>
          <w:tcPr>
            <w:tcW w:w="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1,808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1,658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1,473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1,583</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175"/>
        </w:trPr>
        <w:tc>
          <w:tcPr>
            <w:tcW w:w="20" w:type="dxa"/>
            <w:vAlign w:val="bottom"/>
          </w:tcPr>
          <w:p>
            <w:pPr>
              <w:spacing w:after="0"/>
              <w:rPr>
                <w:sz w:val="15"/>
                <w:szCs w:val="15"/>
                <w:color w:val="auto"/>
              </w:rPr>
            </w:pPr>
          </w:p>
        </w:tc>
        <w:tc>
          <w:tcPr>
            <w:tcW w:w="21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699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307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825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1,695</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1,693</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128</w:t>
            </w:r>
          </w:p>
        </w:tc>
        <w:tc>
          <w:tcPr>
            <w:tcW w:w="42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(59)</w:t>
            </w:r>
          </w:p>
        </w:tc>
      </w:tr>
      <w:tr>
        <w:trPr>
          <w:trHeight w:val="169"/>
        </w:trPr>
        <w:tc>
          <w:tcPr>
            <w:tcW w:w="20" w:type="dxa"/>
            <w:vAlign w:val="bottom"/>
          </w:tcPr>
          <w:p>
            <w:pPr>
              <w:spacing w:after="0"/>
              <w:rPr>
                <w:sz w:val="14"/>
                <w:szCs w:val="14"/>
                <w:color w:val="auto"/>
              </w:rPr>
            </w:pPr>
          </w:p>
        </w:tc>
        <w:tc>
          <w:tcPr>
            <w:tcW w:w="2180" w:type="dxa"/>
            <w:vAlign w:val="bottom"/>
            <w:gridSpan w:val="7"/>
          </w:tcPr>
          <w:p>
            <w:pPr>
              <w:ind w:left="120"/>
              <w:spacing w:after="0"/>
              <w:rPr>
                <w:sz w:val="20"/>
                <w:szCs w:val="20"/>
                <w:color w:val="auto"/>
              </w:rPr>
            </w:pPr>
            <w:r>
              <w:rPr>
                <w:rFonts w:ascii="Arial" w:cs="Arial" w:eastAsia="Arial" w:hAnsi="Arial"/>
                <w:sz w:val="11"/>
                <w:szCs w:val="11"/>
                <w:b w:val="1"/>
                <w:bCs w:val="1"/>
                <w:color w:val="auto"/>
              </w:rPr>
              <w:t>NET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16,494</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13,025</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14,393</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14,987</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14,643</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27</w:t>
            </w:r>
          </w:p>
        </w:tc>
        <w:tc>
          <w:tcPr>
            <w:tcW w:w="4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w:t>
            </w:r>
          </w:p>
        </w:tc>
      </w:tr>
      <w:tr>
        <w:trPr>
          <w:trHeight w:val="95"/>
        </w:trPr>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r>
    </w:tbl>
    <w:p>
      <w:pPr>
        <w:spacing w:after="0" w:line="108" w:lineRule="exact"/>
        <w:rPr>
          <w:sz w:val="20"/>
          <w:szCs w:val="20"/>
          <w:color w:val="auto"/>
        </w:rPr>
      </w:pPr>
    </w:p>
    <w:p>
      <w:pPr>
        <w:ind w:left="180" w:right="320" w:hanging="172"/>
        <w:spacing w:after="0" w:line="262" w:lineRule="auto"/>
        <w:tabs>
          <w:tab w:leader="none" w:pos="177" w:val="left"/>
        </w:tabs>
        <w:numPr>
          <w:ilvl w:val="0"/>
          <w:numId w:val="16"/>
        </w:numPr>
        <w:rPr>
          <w:rFonts w:ascii="Arial" w:cs="Arial" w:eastAsia="Arial" w:hAnsi="Arial"/>
          <w:sz w:val="11"/>
          <w:szCs w:val="11"/>
          <w:color w:val="auto"/>
        </w:rPr>
      </w:pPr>
      <w:r>
        <w:rPr>
          <w:rFonts w:ascii="Arial" w:cs="Arial" w:eastAsia="Arial" w:hAnsi="Arial"/>
          <w:sz w:val="11"/>
          <w:szCs w:val="11"/>
          <w:color w:val="auto"/>
        </w:rPr>
        <w:t>Effective April 1, 2025, the Firm refined the historical proxy time series inputs to one of its VaR models to more appropriately reflect the risk exposure from certain securitization warehousing loan positions. With this refined time series, the average Total VaR for the three months ended March 31, 2025 would have been lower by $(5) million. Refer to Commercial &amp; Investment Bank VaR on page 19 for further information.</w:t>
      </w:r>
    </w:p>
    <w:p>
      <w:pPr>
        <w:ind w:left="180" w:right="300" w:hanging="172"/>
        <w:spacing w:after="0" w:line="243" w:lineRule="auto"/>
        <w:tabs>
          <w:tab w:leader="none" w:pos="177" w:val="left"/>
        </w:tabs>
        <w:numPr>
          <w:ilvl w:val="0"/>
          <w:numId w:val="16"/>
        </w:numPr>
        <w:rPr>
          <w:rFonts w:ascii="Arial" w:cs="Arial" w:eastAsia="Arial" w:hAnsi="Arial"/>
          <w:sz w:val="11"/>
          <w:szCs w:val="11"/>
          <w:color w:val="auto"/>
        </w:rPr>
      </w:pPr>
      <w:r>
        <w:rPr>
          <w:rFonts w:ascii="Arial" w:cs="Arial" w:eastAsia="Arial" w:hAnsi="Arial"/>
          <w:sz w:val="11"/>
          <w:szCs w:val="11"/>
          <w:color w:val="auto"/>
        </w:rPr>
        <w:t>Earnings-at-risk estimates the Firm’s interest rate exposure for a given interest rate scenario. The Firm’s actual net interest income results may differ compared to the instantaneous rate changes modelled in the earnings-at-risk estimates. Refer to pages 140-141 of the Firm’s 2025 Form 10-K for additional information.</w:t>
      </w:r>
    </w:p>
    <w:p>
      <w:pPr>
        <w:ind w:left="160" w:hanging="152"/>
        <w:spacing w:after="0" w:line="236" w:lineRule="auto"/>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ind w:left="160" w:hanging="152"/>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Estimated.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3</w:t>
      </w:r>
    </w:p>
    <w:p>
      <w:pPr>
        <w:sectPr>
          <w:pgSz w:w="11900" w:h="16838" w:orient="portrait"/>
          <w:cols w:equalWidth="0" w:num="1">
            <w:col w:w="11240"/>
          </w:cols>
          <w:pgMar w:left="320" w:top="491"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4074160</wp:posOffset>
            </wp:positionH>
            <wp:positionV relativeFrom="page">
              <wp:posOffset>311785</wp:posOffset>
            </wp:positionV>
            <wp:extent cx="139700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OF INCOME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w:t>
      </w:r>
    </w:p>
    <w:p>
      <w:pPr>
        <w:ind w:left="20"/>
        <w:spacing w:after="0"/>
        <w:rPr>
          <w:sz w:val="20"/>
          <w:szCs w:val="20"/>
          <w:color w:val="auto"/>
        </w:rPr>
      </w:pPr>
      <w:r>
        <w:rPr>
          <w:rFonts w:ascii="Arial" w:cs="Arial" w:eastAsia="Arial" w:hAnsi="Arial"/>
          <w:sz w:val="11"/>
          <w:szCs w:val="11"/>
          <w:b w:val="1"/>
          <w:bCs w:val="1"/>
          <w:color w:val="auto"/>
        </w:rPr>
        <w:t>data)</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1"/>
                <w:szCs w:val="11"/>
                <w:b w:val="1"/>
                <w:bCs w:val="1"/>
                <w:color w:val="auto"/>
              </w:rPr>
              <w:t>QUARTERLY TRENDS</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22"/>
        </w:trPr>
        <w:tc>
          <w:tcPr>
            <w:tcW w:w="224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REVENUE</w:t>
            </w:r>
          </w:p>
        </w:tc>
        <w:tc>
          <w:tcPr>
            <w:tcW w:w="14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1Q26</w:t>
            </w:r>
          </w:p>
        </w:tc>
        <w:tc>
          <w:tcPr>
            <w:tcW w:w="12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4Q25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3Q25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2Q25</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1Q25</w:t>
            </w:r>
          </w:p>
        </w:tc>
        <w:tc>
          <w:tcPr>
            <w:tcW w:w="280" w:type="dxa"/>
            <w:vAlign w:val="bottom"/>
          </w:tcPr>
          <w:p>
            <w:pPr>
              <w:spacing w:after="0"/>
              <w:rPr>
                <w:sz w:val="10"/>
                <w:szCs w:val="10"/>
                <w:color w:val="auto"/>
              </w:rPr>
            </w:pPr>
          </w:p>
        </w:tc>
        <w:tc>
          <w:tcPr>
            <w:tcW w:w="90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4Q25</w:t>
            </w:r>
          </w:p>
        </w:tc>
        <w:tc>
          <w:tcPr>
            <w:tcW w:w="6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240" w:type="dxa"/>
            <w:vAlign w:val="bottom"/>
            <w:gridSpan w:val="5"/>
            <w:vMerge w:val="restart"/>
          </w:tcPr>
          <w:p>
            <w:pPr>
              <w:spacing w:after="0"/>
              <w:rPr>
                <w:sz w:val="20"/>
                <w:szCs w:val="20"/>
                <w:color w:val="auto"/>
              </w:rPr>
            </w:pPr>
            <w:r>
              <w:rPr>
                <w:rFonts w:ascii="Arial" w:cs="Arial" w:eastAsia="Arial" w:hAnsi="Arial"/>
                <w:sz w:val="11"/>
                <w:szCs w:val="11"/>
                <w:color w:val="auto"/>
              </w:rPr>
              <w:t>Investment banking fees</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240" w:type="dxa"/>
            <w:vAlign w:val="bottom"/>
            <w:gridSpan w:val="5"/>
            <w:vMerge w:val="continue"/>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2,858</w:t>
            </w:r>
          </w:p>
        </w:tc>
        <w:tc>
          <w:tcPr>
            <w:tcW w:w="1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2,326</w:t>
            </w:r>
          </w:p>
        </w:tc>
        <w:tc>
          <w:tcPr>
            <w:tcW w:w="24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2,612</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2,499</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2,178</w:t>
            </w:r>
          </w:p>
        </w:tc>
        <w:tc>
          <w:tcPr>
            <w:tcW w:w="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23 %</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31 %</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Principal transactions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7,987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5,340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7,109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7,149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7,614</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2,394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2,364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2,349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2,248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2,132</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Asset management fees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5,515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5,701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5,120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4,806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4,700</w:t>
            </w:r>
          </w:p>
        </w:tc>
        <w:tc>
          <w:tcPr>
            <w:tcW w:w="2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Commissions and other fees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2,482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2,108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2,204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2,194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2,033</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Investment securities gains/(losses)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280" w:type="dxa"/>
            <w:vAlign w:val="bottom"/>
          </w:tcPr>
          <w:p>
            <w:pPr>
              <w:spacing w:after="0"/>
              <w:rPr>
                <w:sz w:val="14"/>
                <w:szCs w:val="14"/>
                <w:color w:val="auto"/>
              </w:rPr>
            </w:pPr>
          </w:p>
        </w:tc>
        <w:tc>
          <w:tcPr>
            <w:tcW w:w="900" w:type="dxa"/>
            <w:vAlign w:val="bottom"/>
            <w:gridSpan w:val="2"/>
          </w:tcPr>
          <w:p>
            <w:pPr>
              <w:ind w:left="440"/>
              <w:spacing w:after="0"/>
              <w:rPr>
                <w:sz w:val="20"/>
                <w:szCs w:val="20"/>
                <w:color w:val="auto"/>
              </w:rPr>
            </w:pPr>
            <w:r>
              <w:rPr>
                <w:rFonts w:ascii="Arial" w:cs="Arial" w:eastAsia="Arial" w:hAnsi="Arial"/>
                <w:sz w:val="11"/>
                <w:szCs w:val="11"/>
                <w:color w:val="auto"/>
              </w:rPr>
              <w:t>NM</w:t>
            </w:r>
          </w:p>
        </w:tc>
        <w:tc>
          <w:tcPr>
            <w:tcW w:w="6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Mortgage fees and related income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357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383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363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278</w:t>
            </w:r>
          </w:p>
        </w:tc>
        <w:tc>
          <w:tcPr>
            <w:tcW w:w="2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Card income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1,190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1,020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1,140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1,344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1,216</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5"/>
        </w:trPr>
        <w:tc>
          <w:tcPr>
            <w:tcW w:w="2240" w:type="dxa"/>
            <w:vAlign w:val="bottom"/>
            <w:gridSpan w:val="5"/>
          </w:tcPr>
          <w:p>
            <w:pPr>
              <w:spacing w:after="0"/>
              <w:rPr>
                <w:sz w:val="20"/>
                <w:szCs w:val="20"/>
                <w:color w:val="auto"/>
              </w:rPr>
            </w:pPr>
            <w:r>
              <w:rPr>
                <w:rFonts w:ascii="Arial" w:cs="Arial" w:eastAsia="Arial" w:hAnsi="Arial"/>
                <w:sz w:val="11"/>
                <w:szCs w:val="11"/>
                <w:color w:val="auto"/>
              </w:rPr>
              <w:t>Other income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1,671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1,658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1,439</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1,154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1,923</w:t>
            </w:r>
          </w:p>
        </w:tc>
        <w:tc>
          <w:tcPr>
            <w:tcW w:w="280" w:type="dxa"/>
            <w:vAlign w:val="bottom"/>
          </w:tcPr>
          <w:p>
            <w:pPr>
              <w:spacing w:after="0"/>
              <w:rPr>
                <w:sz w:val="15"/>
                <w:szCs w:val="15"/>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8"/>
        </w:trPr>
        <w:tc>
          <w:tcPr>
            <w:tcW w:w="2240" w:type="dxa"/>
            <w:vAlign w:val="bottom"/>
            <w:gridSpan w:val="5"/>
          </w:tcPr>
          <w:p>
            <w:pPr>
              <w:ind w:left="20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24,470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20,803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22,461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21,703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22,037</w:t>
            </w:r>
          </w:p>
        </w:tc>
        <w:tc>
          <w:tcPr>
            <w:tcW w:w="28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2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6"/>
        </w:trPr>
        <w:tc>
          <w:tcPr>
            <w:tcW w:w="2240" w:type="dxa"/>
            <w:vAlign w:val="bottom"/>
            <w:gridSpan w:val="5"/>
          </w:tcPr>
          <w:p>
            <w:pPr>
              <w:spacing w:after="0"/>
              <w:rPr>
                <w:sz w:val="20"/>
                <w:szCs w:val="20"/>
                <w:color w:val="auto"/>
              </w:rPr>
            </w:pPr>
            <w:r>
              <w:rPr>
                <w:rFonts w:ascii="Arial" w:cs="Arial" w:eastAsia="Arial" w:hAnsi="Arial"/>
                <w:sz w:val="11"/>
                <w:szCs w:val="11"/>
                <w:color w:val="auto"/>
              </w:rPr>
              <w:t>Interest income</w:t>
            </w: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49,191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48,808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49,439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48,241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46,853</w:t>
            </w:r>
          </w:p>
        </w:tc>
        <w:tc>
          <w:tcPr>
            <w:tcW w:w="280" w:type="dxa"/>
            <w:vAlign w:val="bottom"/>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3"/>
                <w:szCs w:val="1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6"/>
        </w:trPr>
        <w:tc>
          <w:tcPr>
            <w:tcW w:w="2240" w:type="dxa"/>
            <w:vAlign w:val="bottom"/>
            <w:gridSpan w:val="5"/>
          </w:tcPr>
          <w:p>
            <w:pPr>
              <w:spacing w:after="0"/>
              <w:rPr>
                <w:sz w:val="20"/>
                <w:szCs w:val="20"/>
                <w:color w:val="auto"/>
              </w:rPr>
            </w:pPr>
            <w:r>
              <w:rPr>
                <w:rFonts w:ascii="Arial" w:cs="Arial" w:eastAsia="Arial" w:hAnsi="Arial"/>
                <w:sz w:val="11"/>
                <w:szCs w:val="11"/>
                <w:color w:val="auto"/>
              </w:rPr>
              <w:t>Interest expense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23,825</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23,813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25,473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25,032</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23,580</w:t>
            </w:r>
          </w:p>
        </w:tc>
        <w:tc>
          <w:tcPr>
            <w:tcW w:w="28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5"/>
        </w:trPr>
        <w:tc>
          <w:tcPr>
            <w:tcW w:w="2240" w:type="dxa"/>
            <w:vAlign w:val="bottom"/>
            <w:gridSpan w:val="5"/>
          </w:tcPr>
          <w:p>
            <w:pPr>
              <w:ind w:left="200"/>
              <w:spacing w:after="0"/>
              <w:rPr>
                <w:sz w:val="20"/>
                <w:szCs w:val="20"/>
                <w:color w:val="auto"/>
              </w:rPr>
            </w:pPr>
            <w:r>
              <w:rPr>
                <w:rFonts w:ascii="Arial" w:cs="Arial" w:eastAsia="Arial" w:hAnsi="Arial"/>
                <w:sz w:val="11"/>
                <w:szCs w:val="11"/>
                <w:b w:val="1"/>
                <w:bCs w:val="1"/>
                <w:color w:val="auto"/>
              </w:rPr>
              <w:t>Net interest income</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25,366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24,995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23,966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23,209</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23,273</w:t>
            </w:r>
          </w:p>
        </w:tc>
        <w:tc>
          <w:tcPr>
            <w:tcW w:w="280" w:type="dxa"/>
            <w:vAlign w:val="bottom"/>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3"/>
                <w:szCs w:val="1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8"/>
        </w:trPr>
        <w:tc>
          <w:tcPr>
            <w:tcW w:w="224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NET REVENUE</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49,836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45,798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46,427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44,912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45,310</w:t>
            </w:r>
          </w:p>
        </w:tc>
        <w:tc>
          <w:tcPr>
            <w:tcW w:w="28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2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318"/>
        </w:trPr>
        <w:tc>
          <w:tcPr>
            <w:tcW w:w="224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2,507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4,655</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3,403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2,849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3,305</w:t>
            </w:r>
          </w:p>
        </w:tc>
        <w:tc>
          <w:tcPr>
            <w:tcW w:w="280" w:type="dxa"/>
            <w:vAlign w:val="bottom"/>
          </w:tcPr>
          <w:p>
            <w:pPr>
              <w:spacing w:after="0"/>
              <w:rPr>
                <w:sz w:val="24"/>
                <w:szCs w:val="2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28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303"/>
        </w:trPr>
        <w:tc>
          <w:tcPr>
            <w:tcW w:w="224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Compensation expense</w:t>
            </w:r>
          </w:p>
        </w:tc>
        <w:tc>
          <w:tcPr>
            <w:tcW w:w="9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15,339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13,118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13,566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13,710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14,093</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Occupancy expense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1,447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1,264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1,302</w:t>
            </w:r>
          </w:p>
        </w:tc>
        <w:tc>
          <w:tcPr>
            <w:tcW w:w="2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28"/>
        </w:trPr>
        <w:tc>
          <w:tcPr>
            <w:tcW w:w="2240" w:type="dxa"/>
            <w:vAlign w:val="bottom"/>
            <w:gridSpan w:val="5"/>
          </w:tcPr>
          <w:p>
            <w:pPr>
              <w:spacing w:after="0"/>
              <w:rPr>
                <w:sz w:val="20"/>
                <w:szCs w:val="20"/>
                <w:color w:val="auto"/>
              </w:rPr>
            </w:pPr>
            <w:r>
              <w:rPr>
                <w:rFonts w:ascii="Arial" w:cs="Arial" w:eastAsia="Arial" w:hAnsi="Arial"/>
                <w:sz w:val="11"/>
                <w:szCs w:val="11"/>
                <w:color w:val="auto"/>
              </w:rPr>
              <w:t>Technology, communications and equipment</w:t>
            </w:r>
          </w:p>
        </w:tc>
        <w:tc>
          <w:tcPr>
            <w:tcW w:w="140" w:type="dxa"/>
            <w:vAlign w:val="bottom"/>
          </w:tcPr>
          <w:p>
            <w:pPr>
              <w:spacing w:after="0"/>
              <w:rPr>
                <w:sz w:val="11"/>
                <w:szCs w:val="11"/>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3,021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2,908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2,839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2,704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2,578</w:t>
            </w:r>
          </w:p>
        </w:tc>
        <w:tc>
          <w:tcPr>
            <w:tcW w:w="2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2"/>
        </w:trPr>
        <w:tc>
          <w:tcPr>
            <w:tcW w:w="2240" w:type="dxa"/>
            <w:vAlign w:val="bottom"/>
            <w:gridSpan w:val="5"/>
          </w:tcPr>
          <w:p>
            <w:pPr>
              <w:spacing w:after="0"/>
              <w:rPr>
                <w:sz w:val="20"/>
                <w:szCs w:val="20"/>
                <w:color w:val="auto"/>
              </w:rPr>
            </w:pPr>
            <w:r>
              <w:rPr>
                <w:rFonts w:ascii="Arial" w:cs="Arial" w:eastAsia="Arial" w:hAnsi="Arial"/>
                <w:sz w:val="11"/>
                <w:szCs w:val="11"/>
                <w:color w:val="auto"/>
              </w:rPr>
              <w:t>expense</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Professional and outside services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3,483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3,338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3,173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3,006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2,839</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Marketing</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1,604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1,468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1,480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1,279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1,304</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75"/>
        </w:trPr>
        <w:tc>
          <w:tcPr>
            <w:tcW w:w="2240" w:type="dxa"/>
            <w:vAlign w:val="bottom"/>
            <w:gridSpan w:val="5"/>
          </w:tcPr>
          <w:p>
            <w:pPr>
              <w:spacing w:after="0"/>
              <w:rPr>
                <w:sz w:val="20"/>
                <w:szCs w:val="20"/>
                <w:color w:val="auto"/>
              </w:rPr>
            </w:pPr>
            <w:r>
              <w:rPr>
                <w:rFonts w:ascii="Arial" w:cs="Arial" w:eastAsia="Arial" w:hAnsi="Arial"/>
                <w:sz w:val="11"/>
                <w:szCs w:val="11"/>
                <w:color w:val="auto"/>
              </w:rPr>
              <w:t>Other expense (a)</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1,956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1,676</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1,803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1,816</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1,481</w:t>
            </w:r>
          </w:p>
        </w:tc>
        <w:tc>
          <w:tcPr>
            <w:tcW w:w="280" w:type="dxa"/>
            <w:vAlign w:val="bottom"/>
          </w:tcPr>
          <w:p>
            <w:pPr>
              <w:ind w:left="20"/>
              <w:spacing w:after="0"/>
              <w:rPr>
                <w:sz w:val="20"/>
                <w:szCs w:val="20"/>
                <w:color w:val="auto"/>
              </w:rPr>
            </w:pPr>
            <w:r>
              <w:rPr>
                <w:rFonts w:ascii="Arial" w:cs="Arial" w:eastAsia="Arial" w:hAnsi="Arial"/>
                <w:sz w:val="11"/>
                <w:szCs w:val="11"/>
                <w:color w:val="auto"/>
              </w:rPr>
              <w:t>(e)</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280" w:type="dxa"/>
            <w:vAlign w:val="bottom"/>
          </w:tcPr>
          <w:p>
            <w:pPr>
              <w:spacing w:after="0"/>
              <w:rPr>
                <w:sz w:val="15"/>
                <w:szCs w:val="15"/>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6"/>
        </w:trPr>
        <w:tc>
          <w:tcPr>
            <w:tcW w:w="224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26,850</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23,983</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24,281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23,779</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23,597</w:t>
            </w:r>
          </w:p>
        </w:tc>
        <w:tc>
          <w:tcPr>
            <w:tcW w:w="280" w:type="dxa"/>
            <w:vAlign w:val="bottom"/>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280" w:type="dxa"/>
            <w:vAlign w:val="bottom"/>
          </w:tcPr>
          <w:p>
            <w:pPr>
              <w:spacing w:after="0"/>
              <w:rPr>
                <w:sz w:val="13"/>
                <w:szCs w:val="1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8"/>
        </w:trPr>
        <w:tc>
          <w:tcPr>
            <w:tcW w:w="2240" w:type="dxa"/>
            <w:vAlign w:val="bottom"/>
            <w:gridSpan w:val="5"/>
          </w:tcPr>
          <w:p>
            <w:pPr>
              <w:ind w:left="200"/>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20,479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17,160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18,743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18,284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18,408</w:t>
            </w:r>
          </w:p>
        </w:tc>
        <w:tc>
          <w:tcPr>
            <w:tcW w:w="28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28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9"/>
        </w:trPr>
        <w:tc>
          <w:tcPr>
            <w:tcW w:w="2240" w:type="dxa"/>
            <w:vAlign w:val="bottom"/>
            <w:gridSpan w:val="5"/>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3,985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4,135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4,350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3,297</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3,765</w:t>
            </w:r>
          </w:p>
        </w:tc>
        <w:tc>
          <w:tcPr>
            <w:tcW w:w="2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9"/>
        </w:trPr>
        <w:tc>
          <w:tcPr>
            <w:tcW w:w="2240" w:type="dxa"/>
            <w:vAlign w:val="bottom"/>
            <w:gridSpan w:val="5"/>
          </w:tcPr>
          <w:p>
            <w:pPr>
              <w:ind w:left="20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16,494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13,025</w:t>
            </w:r>
          </w:p>
        </w:tc>
        <w:tc>
          <w:tcPr>
            <w:tcW w:w="24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14,393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14,987</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14,643</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432"/>
        </w:trPr>
        <w:tc>
          <w:tcPr>
            <w:tcW w:w="22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7"/>
              </w:rPr>
              <w:t>NET INCOME PER COMMON SHARE DATA</w:t>
            </w: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40" w:type="dxa"/>
            <w:vAlign w:val="bottom"/>
            <w:gridSpan w:val="5"/>
          </w:tcPr>
          <w:p>
            <w:pPr>
              <w:spacing w:after="0"/>
              <w:rPr>
                <w:sz w:val="20"/>
                <w:szCs w:val="20"/>
                <w:color w:val="auto"/>
              </w:rPr>
            </w:pPr>
            <w:r>
              <w:rPr>
                <w:rFonts w:ascii="Arial" w:cs="Arial" w:eastAsia="Arial" w:hAnsi="Arial"/>
                <w:sz w:val="11"/>
                <w:szCs w:val="11"/>
                <w:color w:val="auto"/>
              </w:rPr>
              <w:t>Basic earnings per share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5.95</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4.64</w:t>
            </w:r>
          </w:p>
        </w:tc>
        <w:tc>
          <w:tcPr>
            <w:tcW w:w="24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5.08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5.25</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5.08</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Diluted earnings per share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5.94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5.07</w:t>
            </w:r>
          </w:p>
        </w:tc>
        <w:tc>
          <w:tcPr>
            <w:tcW w:w="2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2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303"/>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FINANCIAL RATIOS</w:t>
            </w:r>
          </w:p>
        </w:tc>
        <w:tc>
          <w:tcPr>
            <w:tcW w:w="122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40" w:type="dxa"/>
            <w:vAlign w:val="bottom"/>
            <w:gridSpan w:val="5"/>
          </w:tcPr>
          <w:p>
            <w:pPr>
              <w:spacing w:after="0"/>
              <w:rPr>
                <w:sz w:val="20"/>
                <w:szCs w:val="20"/>
                <w:color w:val="auto"/>
              </w:rPr>
            </w:pPr>
            <w:r>
              <w:rPr>
                <w:rFonts w:ascii="Arial" w:cs="Arial" w:eastAsia="Arial" w:hAnsi="Arial"/>
                <w:sz w:val="11"/>
                <w:szCs w:val="11"/>
                <w:color w:val="auto"/>
              </w:rPr>
              <w:t>Return on common equity (b)</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15 %</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18 %</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18 %</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Return on tangible common equity (b)(c)</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Return on assets (b)</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1.41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1.40</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Effective income tax rate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18.0</w:t>
            </w:r>
          </w:p>
        </w:tc>
        <w:tc>
          <w:tcPr>
            <w:tcW w:w="420" w:type="dxa"/>
            <w:vAlign w:val="bottom"/>
            <w:gridSpan w:val="2"/>
          </w:tcPr>
          <w:p>
            <w:pPr>
              <w:ind w:left="20"/>
              <w:spacing w:after="0"/>
              <w:rPr>
                <w:sz w:val="20"/>
                <w:szCs w:val="20"/>
                <w:color w:val="auto"/>
              </w:rPr>
            </w:pPr>
            <w:r>
              <w:rPr>
                <w:rFonts w:ascii="Arial" w:cs="Arial" w:eastAsia="Arial" w:hAnsi="Arial"/>
                <w:sz w:val="11"/>
                <w:szCs w:val="11"/>
                <w:color w:val="auto"/>
              </w:rPr>
              <w:t>(f)</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20.5</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5"/>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52</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431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right="260" w:hanging="172"/>
        <w:spacing w:after="0" w:line="249" w:lineRule="auto"/>
        <w:tabs>
          <w:tab w:leader="none" w:pos="177"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Included Firmwide legal expense of $223 million, $60 million, $62 million, $118 million and $121 million for the three months ended March 31, 2026, December 31, 2025, September 30, 2025, June 30, 2025 and March 31, 2025, respectively.</w:t>
      </w:r>
    </w:p>
    <w:p>
      <w:pPr>
        <w:ind w:left="160" w:hanging="152"/>
        <w:spacing w:after="0" w:line="236" w:lineRule="auto"/>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Ratios are based upon annualized amounts.</w:t>
      </w:r>
    </w:p>
    <w:p>
      <w:pPr>
        <w:ind w:left="160" w:hanging="152"/>
        <w:spacing w:after="0"/>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Refer to page 28 for a further discussion of ROTCE.</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Refer to footnote (f) on page 2 for additional information.</w:t>
      </w:r>
    </w:p>
    <w:p>
      <w:pPr>
        <w:spacing w:after="0" w:line="8" w:lineRule="exact"/>
        <w:rPr>
          <w:rFonts w:ascii="Arial" w:cs="Arial" w:eastAsia="Arial" w:hAnsi="Arial"/>
          <w:sz w:val="11"/>
          <w:szCs w:val="11"/>
          <w:color w:val="auto"/>
        </w:rPr>
      </w:pPr>
    </w:p>
    <w:p>
      <w:pPr>
        <w:ind w:left="180" w:right="120" w:hanging="172"/>
        <w:spacing w:after="0" w:line="243" w:lineRule="auto"/>
        <w:tabs>
          <w:tab w:leader="none" w:pos="177"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Included FDIC special assessment accrual releases of $326 million and $323 million for the three months ended December 31, 2025 and March 31, 2025, respectively. Refer to Note 6 on page 221 of the Firm’s 2025 Form 10-K for additional information.</w:t>
      </w:r>
    </w:p>
    <w:p>
      <w:pPr>
        <w:ind w:left="160" w:hanging="152"/>
        <w:spacing w:after="0"/>
        <w:tabs>
          <w:tab w:leader="none" w:pos="160"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Included a $774 million income tax benefit in Corporate driven by the resolution of certain tax audits and the impact of tax regulations related to foreign currency translation gains and losses finalized in 2024 and effective for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4</w:t>
      </w:r>
    </w:p>
    <w:p>
      <w:pPr>
        <w:sectPr>
          <w:pgSz w:w="11900" w:h="16838" w:orient="portrait"/>
          <w:cols w:equalWidth="0" w:num="1">
            <w:col w:w="11240"/>
          </w:cols>
          <w:pgMar w:left="320" w:top="491"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3885565</wp:posOffset>
            </wp:positionH>
            <wp:positionV relativeFrom="page">
              <wp:posOffset>311785</wp:posOffset>
            </wp:positionV>
            <wp:extent cx="139700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266"/>
              <w:spacing w:after="0"/>
              <w:rPr>
                <w:sz w:val="20"/>
                <w:szCs w:val="20"/>
                <w:color w:val="auto"/>
              </w:rPr>
            </w:pPr>
            <w:r>
              <w:rPr>
                <w:rFonts w:ascii="Arial" w:cs="Arial" w:eastAsia="Arial" w:hAnsi="Arial"/>
                <w:sz w:val="11"/>
                <w:szCs w:val="11"/>
                <w:b w:val="1"/>
                <w:bCs w:val="1"/>
                <w:color w:val="auto"/>
              </w:rPr>
              <w:t>Mar 31, 2026</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Sep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Mar 31,</w:t>
            </w:r>
          </w:p>
        </w:tc>
        <w:tc>
          <w:tcPr>
            <w:tcW w:w="200" w:type="dxa"/>
            <w:vAlign w:val="bottom"/>
          </w:tcPr>
          <w:p>
            <w:pPr>
              <w:spacing w:after="0"/>
              <w:rPr>
                <w:sz w:val="12"/>
                <w:szCs w:val="12"/>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Dec 31,</w:t>
            </w:r>
          </w:p>
        </w:tc>
        <w:tc>
          <w:tcPr>
            <w:tcW w:w="540" w:type="dxa"/>
            <w:vAlign w:val="bottom"/>
          </w:tcPr>
          <w:p>
            <w:pPr>
              <w:jc w:val="right"/>
              <w:ind w:right="26"/>
              <w:spacing w:after="0"/>
              <w:rPr>
                <w:sz w:val="20"/>
                <w:szCs w:val="20"/>
                <w:color w:val="auto"/>
              </w:rPr>
            </w:pPr>
            <w:r>
              <w:rPr>
                <w:rFonts w:ascii="Arial" w:cs="Arial" w:eastAsia="Arial" w:hAnsi="Arial"/>
                <w:sz w:val="11"/>
                <w:szCs w:val="11"/>
                <w:b w:val="1"/>
                <w:bCs w:val="1"/>
                <w:color w:val="auto"/>
              </w:rPr>
              <w:t>Mar 31,</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08"/>
        </w:trPr>
        <w:tc>
          <w:tcPr>
            <w:tcW w:w="4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5"/>
              </w:rPr>
              <w:t>ASSETS</w:t>
            </w:r>
          </w:p>
        </w:tc>
        <w:tc>
          <w:tcPr>
            <w:tcW w:w="2160" w:type="dxa"/>
            <w:vAlign w:val="bottom"/>
            <w:gridSpan w:val="3"/>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600" w:type="dxa"/>
            <w:vAlign w:val="bottom"/>
            <w:gridSpan w:val="4"/>
          </w:tcPr>
          <w:p>
            <w:pPr>
              <w:spacing w:after="0"/>
              <w:rPr>
                <w:sz w:val="20"/>
                <w:szCs w:val="20"/>
                <w:color w:val="auto"/>
              </w:rPr>
            </w:pPr>
            <w:r>
              <w:rPr>
                <w:rFonts w:ascii="Arial" w:cs="Arial" w:eastAsia="Arial" w:hAnsi="Arial"/>
                <w:sz w:val="11"/>
                <w:szCs w:val="11"/>
                <w:color w:val="auto"/>
              </w:rPr>
              <w:t>Cash and due from banks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22,039</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21,742</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21,821</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23,759</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22,066</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290,103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321,596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281,615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396,568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403,837</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Federal funds sold and securities purchased under</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gridSpan w:val="4"/>
          </w:tcPr>
          <w:p>
            <w:pPr>
              <w:ind w:left="60"/>
              <w:spacing w:after="0"/>
              <w:rPr>
                <w:sz w:val="20"/>
                <w:szCs w:val="20"/>
                <w:color w:val="auto"/>
              </w:rPr>
            </w:pPr>
            <w:r>
              <w:rPr>
                <w:rFonts w:ascii="Arial" w:cs="Arial" w:eastAsia="Arial" w:hAnsi="Arial"/>
                <w:sz w:val="11"/>
                <w:szCs w:val="11"/>
                <w:color w:val="auto"/>
              </w:rPr>
              <w:t>resale agreements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482,704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336,426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425,815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470,589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429,506</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43</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284,524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286,191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248,368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223,976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238,702</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Trading assets: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997,751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745,096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892,928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829,510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814,664</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Derivative receivables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71,584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57,777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59,849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60,346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60,539</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Available-for-sale (“AFS”) securities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549,037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507,198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490,499</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485,380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399,363</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76"/>
        </w:trPr>
        <w:tc>
          <w:tcPr>
            <w:tcW w:w="2600" w:type="dxa"/>
            <w:vAlign w:val="bottom"/>
            <w:gridSpan w:val="4"/>
          </w:tcPr>
          <w:p>
            <w:pPr>
              <w:spacing w:after="0"/>
              <w:rPr>
                <w:sz w:val="20"/>
                <w:szCs w:val="20"/>
                <w:color w:val="auto"/>
              </w:rPr>
            </w:pPr>
            <w:r>
              <w:rPr>
                <w:rFonts w:ascii="Arial" w:cs="Arial" w:eastAsia="Arial" w:hAnsi="Arial"/>
                <w:sz w:val="11"/>
                <w:szCs w:val="11"/>
                <w:color w:val="auto"/>
              </w:rPr>
              <w:t>Held-to-maturity (”HTM”) securities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272,142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270,134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293,446</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260,559</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265,084</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95"/>
        </w:trPr>
        <w:tc>
          <w:tcPr>
            <w:tcW w:w="2600" w:type="dxa"/>
            <w:vAlign w:val="bottom"/>
            <w:gridSpan w:val="4"/>
          </w:tcPr>
          <w:p>
            <w:pPr>
              <w:ind w:left="120"/>
              <w:spacing w:after="0" w:line="95" w:lineRule="exact"/>
              <w:rPr>
                <w:sz w:val="20"/>
                <w:szCs w:val="20"/>
                <w:color w:val="auto"/>
              </w:rPr>
            </w:pPr>
            <w:r>
              <w:rPr>
                <w:rFonts w:ascii="Arial" w:cs="Arial" w:eastAsia="Arial" w:hAnsi="Arial"/>
                <w:sz w:val="10"/>
                <w:szCs w:val="10"/>
                <w:b w:val="1"/>
                <w:bCs w:val="1"/>
                <w:color w:val="auto"/>
              </w:rPr>
              <w:t>Investment securities, net of allowance for</w:t>
            </w: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821,179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777,332</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783,945</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745,939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664,447</w:t>
            </w:r>
          </w:p>
        </w:tc>
        <w:tc>
          <w:tcPr>
            <w:tcW w:w="7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8"/>
        </w:trPr>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credit losses</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00" w:type="dxa"/>
            <w:vAlign w:val="bottom"/>
            <w:gridSpan w:val="4"/>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1,503,520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1,493,429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1,435,246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1,411,992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1,355,695</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600" w:type="dxa"/>
            <w:vAlign w:val="bottom"/>
            <w:gridSpan w:val="4"/>
          </w:tcPr>
          <w:p>
            <w:pPr>
              <w:spacing w:after="0"/>
              <w:rPr>
                <w:sz w:val="20"/>
                <w:szCs w:val="20"/>
                <w:color w:val="auto"/>
              </w:rPr>
            </w:pPr>
            <w:r>
              <w:rPr>
                <w:rFonts w:ascii="Arial" w:cs="Arial" w:eastAsia="Arial" w:hAnsi="Arial"/>
                <w:sz w:val="11"/>
                <w:szCs w:val="11"/>
                <w:color w:val="auto"/>
              </w:rPr>
              <w:t>Less: Allowance for loan losses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25,928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25,765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25,735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24,953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25,208</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8"/>
        </w:trPr>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Loans, net of allowance for loan losses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1,477,592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1,467,664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1,409,511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1,387,039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1,330,487</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6"/>
        </w:trPr>
        <w:tc>
          <w:tcPr>
            <w:tcW w:w="2600" w:type="dxa"/>
            <w:vAlign w:val="bottom"/>
            <w:gridSpan w:val="4"/>
          </w:tcPr>
          <w:p>
            <w:pPr>
              <w:spacing w:after="0"/>
              <w:rPr>
                <w:sz w:val="20"/>
                <w:szCs w:val="20"/>
                <w:color w:val="auto"/>
              </w:rPr>
            </w:pPr>
            <w:r>
              <w:rPr>
                <w:rFonts w:ascii="Arial" w:cs="Arial" w:eastAsia="Arial" w:hAnsi="Arial"/>
                <w:sz w:val="11"/>
                <w:szCs w:val="11"/>
                <w:color w:val="auto"/>
              </w:rPr>
              <w:t>Accrued interest and accounts receivable</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142,334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111,599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141,876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124,463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117,845</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Premises and equipment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36,771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36,244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35,063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33,562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32,811</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Goodwill, MSRs and other intangible assets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64,289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64,458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64,442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64,465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64,525</w:t>
            </w:r>
          </w:p>
        </w:tc>
        <w:tc>
          <w:tcPr>
            <w:tcW w:w="2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600" w:type="dxa"/>
            <w:vAlign w:val="bottom"/>
            <w:gridSpan w:val="4"/>
          </w:tcPr>
          <w:p>
            <w:pPr>
              <w:spacing w:after="0"/>
              <w:rPr>
                <w:sz w:val="20"/>
                <w:szCs w:val="20"/>
                <w:color w:val="auto"/>
              </w:rPr>
            </w:pPr>
            <w:r>
              <w:rPr>
                <w:rFonts w:ascii="Arial" w:cs="Arial" w:eastAsia="Arial" w:hAnsi="Arial"/>
                <w:sz w:val="11"/>
                <w:szCs w:val="11"/>
                <w:color w:val="auto"/>
              </w:rPr>
              <w:t>Other assets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209,605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198,775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194,972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192,266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178,427</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9"/>
        </w:trPr>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4,900,475</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4,424,900</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4,560,205</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4,552,482</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4,357,856</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70"/>
        </w:trPr>
        <w:tc>
          <w:tcPr>
            <w:tcW w:w="2600" w:type="dxa"/>
            <w:vAlign w:val="bottom"/>
            <w:gridSpan w:val="4"/>
          </w:tcPr>
          <w:p>
            <w:pPr>
              <w:spacing w:after="0"/>
              <w:rPr>
                <w:sz w:val="20"/>
                <w:szCs w:val="20"/>
                <w:color w:val="auto"/>
              </w:rPr>
            </w:pPr>
            <w:r>
              <w:rPr>
                <w:rFonts w:ascii="Arial" w:cs="Arial" w:eastAsia="Arial" w:hAnsi="Arial"/>
                <w:sz w:val="11"/>
                <w:szCs w:val="11"/>
                <w:b w:val="1"/>
                <w:bCs w:val="1"/>
                <w:color w:val="auto"/>
              </w:rPr>
              <w:t>LIABILITIES</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62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Deposits</w:t>
            </w:r>
          </w:p>
        </w:tc>
        <w:tc>
          <w:tcPr>
            <w:tcW w:w="1980" w:type="dxa"/>
            <w:vAlign w:val="bottom"/>
            <w:gridSpan w:val="2"/>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2,675,520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2,559,320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2,548,476</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2,562,380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2,495,877</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28"/>
        </w:trPr>
        <w:tc>
          <w:tcPr>
            <w:tcW w:w="2600" w:type="dxa"/>
            <w:vAlign w:val="bottom"/>
            <w:gridSpan w:val="4"/>
          </w:tcPr>
          <w:p>
            <w:pPr>
              <w:spacing w:after="0"/>
              <w:rPr>
                <w:sz w:val="20"/>
                <w:szCs w:val="20"/>
                <w:color w:val="auto"/>
              </w:rPr>
            </w:pPr>
            <w:r>
              <w:rPr>
                <w:rFonts w:ascii="Arial" w:cs="Arial" w:eastAsia="Arial" w:hAnsi="Arial"/>
                <w:sz w:val="11"/>
                <w:szCs w:val="11"/>
                <w:color w:val="auto"/>
              </w:rPr>
              <w:t>Federal funds purchased and securities loaned or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gridSpan w:val="4"/>
          </w:tcPr>
          <w:p>
            <w:pPr>
              <w:spacing w:after="0"/>
              <w:rPr>
                <w:sz w:val="20"/>
                <w:szCs w:val="20"/>
                <w:color w:val="auto"/>
              </w:rPr>
            </w:pPr>
            <w:r>
              <w:rPr>
                <w:rFonts w:ascii="Arial" w:cs="Arial" w:eastAsia="Arial" w:hAnsi="Arial"/>
                <w:sz w:val="11"/>
                <w:szCs w:val="11"/>
                <w:color w:val="auto"/>
              </w:rPr>
              <w:t>sold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0" w:type="dxa"/>
            <w:vAlign w:val="bottom"/>
            <w:gridSpan w:val="4"/>
          </w:tcPr>
          <w:p>
            <w:pPr>
              <w:ind w:left="60"/>
              <w:spacing w:after="0"/>
              <w:rPr>
                <w:sz w:val="20"/>
                <w:szCs w:val="20"/>
                <w:color w:val="auto"/>
              </w:rPr>
            </w:pPr>
            <w:r>
              <w:rPr>
                <w:rFonts w:ascii="Arial" w:cs="Arial" w:eastAsia="Arial" w:hAnsi="Arial"/>
                <w:sz w:val="11"/>
                <w:szCs w:val="11"/>
                <w:color w:val="auto"/>
              </w:rPr>
              <w:t>under repurchase agreements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716,623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442,396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567,574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595,340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533,046</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Short-term borrowings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68,048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64,776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69,355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65,293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64,980</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Trading liabilities: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196,546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169,690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195,859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173,292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149,871</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2"/>
        </w:trPr>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Derivative payables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51,290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46,329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46,403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48,110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37,232</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Accounts payable and other liabilities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352,561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316,794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316,896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303,641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293,538</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27,085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27,951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28,227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27,700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24,668</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5"/>
        </w:trPr>
        <w:tc>
          <w:tcPr>
            <w:tcW w:w="2600" w:type="dxa"/>
            <w:vAlign w:val="bottom"/>
            <w:gridSpan w:val="4"/>
          </w:tcPr>
          <w:p>
            <w:pPr>
              <w:spacing w:after="0"/>
              <w:rPr>
                <w:sz w:val="20"/>
                <w:szCs w:val="20"/>
                <w:color w:val="auto"/>
              </w:rPr>
            </w:pPr>
            <w:r>
              <w:rPr>
                <w:rFonts w:ascii="Arial" w:cs="Arial" w:eastAsia="Arial" w:hAnsi="Arial"/>
                <w:sz w:val="11"/>
                <w:szCs w:val="11"/>
                <w:color w:val="auto"/>
              </w:rPr>
              <w:t>Long-term debt</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448,764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435,206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427,203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419,802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407,224</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8"/>
        </w:trPr>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LIABILITIES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4,536,437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4,062,462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4,199,993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4,195,558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4,006,436</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98"/>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STOCKHOLDERS’ EQUITY</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600" w:type="dxa"/>
            <w:vAlign w:val="bottom"/>
            <w:gridSpan w:val="4"/>
          </w:tcPr>
          <w:p>
            <w:pPr>
              <w:spacing w:after="0"/>
              <w:rPr>
                <w:sz w:val="20"/>
                <w:szCs w:val="20"/>
                <w:color w:val="auto"/>
              </w:rPr>
            </w:pPr>
            <w:r>
              <w:rPr>
                <w:rFonts w:ascii="Arial" w:cs="Arial" w:eastAsia="Arial" w:hAnsi="Arial"/>
                <w:sz w:val="11"/>
                <w:szCs w:val="11"/>
                <w:color w:val="auto"/>
              </w:rPr>
              <w:t>Preferred stock</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20,045</w:t>
            </w:r>
          </w:p>
        </w:tc>
        <w:tc>
          <w:tcPr>
            <w:tcW w:w="2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Common stock</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Additional paid-in capital</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90,087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91,114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90,865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90,576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90,223</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Retained earnings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428,206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416,055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407,401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397,424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386,616</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600" w:type="dxa"/>
            <w:vAlign w:val="bottom"/>
            <w:gridSpan w:val="4"/>
          </w:tcPr>
          <w:p>
            <w:pPr>
              <w:spacing w:after="0"/>
              <w:rPr>
                <w:sz w:val="20"/>
                <w:szCs w:val="20"/>
                <w:color w:val="auto"/>
              </w:rPr>
            </w:pPr>
            <w:r>
              <w:rPr>
                <w:rFonts w:ascii="Arial" w:cs="Arial" w:eastAsia="Arial" w:hAnsi="Arial"/>
                <w:sz w:val="11"/>
                <w:szCs w:val="11"/>
                <w:color w:val="auto"/>
              </w:rPr>
              <w:t>Accumulated other comprehensive loss (“AOCI”)</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(6,689)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(5,878)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(7,243)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(9,111)</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(56)</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75"/>
        </w:trPr>
        <w:tc>
          <w:tcPr>
            <w:tcW w:w="2600" w:type="dxa"/>
            <w:vAlign w:val="bottom"/>
            <w:gridSpan w:val="4"/>
          </w:tcPr>
          <w:p>
            <w:pPr>
              <w:spacing w:after="0"/>
              <w:rPr>
                <w:sz w:val="20"/>
                <w:szCs w:val="20"/>
                <w:color w:val="auto"/>
              </w:rPr>
            </w:pPr>
            <w:r>
              <w:rPr>
                <w:rFonts w:ascii="Arial" w:cs="Arial" w:eastAsia="Arial" w:hAnsi="Arial"/>
                <w:sz w:val="11"/>
                <w:szCs w:val="11"/>
                <w:color w:val="auto"/>
              </w:rPr>
              <w:t>Treasury stock, at cost</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(171,716)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(164,591)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(156,326)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(147,983)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(140,458)</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5"/>
        </w:trPr>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364,038</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362,438</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360,212</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356,924</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351,420</w:t>
            </w:r>
          </w:p>
        </w:tc>
        <w:tc>
          <w:tcPr>
            <w:tcW w:w="20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5"/>
        </w:trPr>
        <w:tc>
          <w:tcPr>
            <w:tcW w:w="2600" w:type="dxa"/>
            <w:vAlign w:val="bottom"/>
            <w:gridSpan w:val="4"/>
          </w:tcPr>
          <w:p>
            <w:pPr>
              <w:ind w:left="120"/>
              <w:spacing w:after="0" w:line="95" w:lineRule="exact"/>
              <w:rPr>
                <w:sz w:val="20"/>
                <w:szCs w:val="20"/>
                <w:color w:val="auto"/>
              </w:rPr>
            </w:pPr>
            <w:r>
              <w:rPr>
                <w:rFonts w:ascii="Arial" w:cs="Arial" w:eastAsia="Arial" w:hAnsi="Arial"/>
                <w:sz w:val="10"/>
                <w:szCs w:val="10"/>
                <w:b w:val="1"/>
                <w:bCs w:val="1"/>
                <w:color w:val="auto"/>
              </w:rPr>
              <w:t>TOTAL LIABILITIES AND STOCKHOLDERS’</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4,900,475</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4,424,900</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4,560,205</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4,552,482</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4,357,856</w:t>
            </w:r>
          </w:p>
        </w:tc>
        <w:tc>
          <w:tcPr>
            <w:tcW w:w="7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0"/>
        </w:trPr>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EQUITY</w:t>
            </w: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654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1"/>
          <w:szCs w:val="11"/>
          <w:color w:val="auto"/>
        </w:rPr>
        <w:t>(a) During the third quarter of 2025, the Firm transferred $44.1 billion of investment securities from AFS to HTM for asset-liability management purposes.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5</w:t>
      </w:r>
    </w:p>
    <w:p>
      <w:pPr>
        <w:sectPr>
          <w:pgSz w:w="11900" w:h="16838" w:orient="portrait"/>
          <w:cols w:equalWidth="0" w:num="1">
            <w:col w:w="11240"/>
          </w:cols>
          <w:pgMar w:left="320" w:top="491"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4057015</wp:posOffset>
            </wp:positionH>
            <wp:positionV relativeFrom="page">
              <wp:posOffset>311785</wp:posOffset>
            </wp:positionV>
            <wp:extent cx="139700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right="7840"/>
        <w:spacing w:after="0" w:line="256" w:lineRule="auto"/>
        <w:rPr>
          <w:sz w:val="20"/>
          <w:szCs w:val="20"/>
          <w:color w:val="auto"/>
        </w:rPr>
      </w:pPr>
      <w:r>
        <w:rPr>
          <w:rFonts w:ascii="Arial" w:cs="Arial" w:eastAsia="Arial" w:hAnsi="Arial"/>
          <w:sz w:val="14"/>
          <w:szCs w:val="14"/>
          <w:b w:val="1"/>
          <w:bCs w:val="1"/>
          <w:color w:val="auto"/>
        </w:rPr>
        <w:t>CONDENSED AVERAGE BALANCE SHEETS AND ANNUALIZED YIELDS</w:t>
      </w:r>
    </w:p>
    <w:p>
      <w:pPr>
        <w:ind w:left="20"/>
        <w:spacing w:after="0"/>
        <w:rPr>
          <w:sz w:val="20"/>
          <w:szCs w:val="20"/>
          <w:color w:val="auto"/>
        </w:rPr>
      </w:pPr>
      <w:r>
        <w:rPr>
          <w:rFonts w:ascii="Arial" w:cs="Arial" w:eastAsia="Arial" w:hAnsi="Arial"/>
          <w:sz w:val="11"/>
          <w:szCs w:val="11"/>
          <w:b w:val="1"/>
          <w:bCs w:val="1"/>
          <w:color w:val="auto"/>
        </w:rPr>
        <w:t>(in millions, except rates)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QUARTERLY TRENDS</w:t>
            </w: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AVERAGE BALANCES</w:t>
            </w:r>
          </w:p>
        </w:tc>
        <w:tc>
          <w:tcPr>
            <w:tcW w:w="8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1Q26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4Q25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3Q25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2Q25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1Q25</w:t>
            </w:r>
          </w:p>
        </w:tc>
        <w:tc>
          <w:tcPr>
            <w:tcW w:w="280" w:type="dxa"/>
            <w:vAlign w:val="bottom"/>
          </w:tcPr>
          <w:p>
            <w:pPr>
              <w:spacing w:after="0"/>
              <w:rPr>
                <w:sz w:val="10"/>
                <w:szCs w:val="10"/>
                <w:color w:val="auto"/>
              </w:rPr>
            </w:pPr>
          </w:p>
        </w:tc>
        <w:tc>
          <w:tcPr>
            <w:tcW w:w="92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4Q25</w:t>
            </w:r>
          </w:p>
        </w:tc>
        <w:tc>
          <w:tcPr>
            <w:tcW w:w="6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ASSETS</w:t>
            </w:r>
          </w:p>
        </w:tc>
        <w:tc>
          <w:tcPr>
            <w:tcW w:w="1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312,890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335,623</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360,156</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405,213</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446,044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Federal funds sold and securities purchased</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437,916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330,694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424,346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432,714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377,998</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32</w:t>
            </w:r>
          </w:p>
        </w:tc>
        <w:tc>
          <w:tcPr>
            <w:tcW w:w="2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under resale agreements</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286,689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261,877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234,112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234,024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241,003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682,348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620,465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580,985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562,967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495,143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802,265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788,922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768,599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727,651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664,970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1,486,145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1,461,079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1,417,466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1,380,726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1,339,391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All other interest-earning assets (a)</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127,484</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125,164</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110,100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102,687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103,835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interest-earning assets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4,135,737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3,923,824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3,895,764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3,845,982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3,668,384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assets - equity and other instruments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241,307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241,351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264,681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239,996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225,468</w:t>
            </w:r>
          </w:p>
        </w:tc>
        <w:tc>
          <w:tcPr>
            <w:tcW w:w="28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assets - derivative receivables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68,328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57,543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61,842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57,601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59,099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19</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All other noninterest-earning assets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313,365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306,700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297,658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294,039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282,363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4,758,737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4,529,418</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4,519,945</w:t>
            </w: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4,437,618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4,235,314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LIABILITIES</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1,991,590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1,949,049</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1,913,958</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1,902,337</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1,842,888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Federal funds purchased and securities loaned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or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ind w:left="60"/>
              <w:spacing w:after="0"/>
              <w:rPr>
                <w:sz w:val="20"/>
                <w:szCs w:val="20"/>
                <w:color w:val="auto"/>
              </w:rPr>
            </w:pPr>
            <w:r>
              <w:rPr>
                <w:rFonts w:ascii="Arial" w:cs="Arial" w:eastAsia="Arial" w:hAnsi="Arial"/>
                <w:sz w:val="11"/>
                <w:szCs w:val="11"/>
                <w:color w:val="auto"/>
              </w:rPr>
              <w:t>sold under repurchase agreements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657,816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517,849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567,920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558,043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465,203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27</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Short-term borrowings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55,469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56,265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53,755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55,059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49,291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liabilities - debt and all other interest-</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324,559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306,567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314,591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300,126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288,140</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bearing liabilities (b)</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27,519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27,327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28,884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26,185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25,775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367,478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359,910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350,368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348,372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344,945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3,424,431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3,216,967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3,229,476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3,190,122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3,016,242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Noninterest-bearing deposits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611,294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615,559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610,601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602,777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587,417</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liabilities - equity and other instruments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57,021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52,059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48,628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44,159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37,671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liabilities - derivative payables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55,309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47,591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47,926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40,865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41,087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16</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All other noninterest-bearing liabilities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249,587</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236,876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226,934</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209,853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208,539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LIABILITIES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4,397,642</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4,169,052</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4,163,565</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4,087,776</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3,890,956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Preferred stock</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20,013</w:t>
            </w:r>
          </w:p>
        </w:tc>
        <w:tc>
          <w:tcPr>
            <w:tcW w:w="28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341,050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340,321</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336,335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329,797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324,345</w:t>
            </w:r>
          </w:p>
        </w:tc>
        <w:tc>
          <w:tcPr>
            <w:tcW w:w="28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361,095</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360,366</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356,380</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349,842</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344,358</w:t>
            </w:r>
          </w:p>
        </w:tc>
        <w:tc>
          <w:tcPr>
            <w:tcW w:w="28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gridSpan w:val="3"/>
          </w:tcPr>
          <w:p>
            <w:pPr>
              <w:ind w:left="120"/>
              <w:spacing w:after="0" w:line="95" w:lineRule="exact"/>
              <w:rPr>
                <w:sz w:val="20"/>
                <w:szCs w:val="20"/>
                <w:color w:val="auto"/>
              </w:rPr>
            </w:pPr>
            <w:r>
              <w:rPr>
                <w:rFonts w:ascii="Arial" w:cs="Arial" w:eastAsia="Arial" w:hAnsi="Arial"/>
                <w:sz w:val="10"/>
                <w:szCs w:val="10"/>
                <w:b w:val="1"/>
                <w:bCs w:val="1"/>
                <w:color w:val="auto"/>
              </w:rPr>
              <w:t>TOTAL LIABILITIES AND</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4,758,737</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4,529,418</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4,519,945</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4,437,618</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4,235,314</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8"/>
                <w:szCs w:val="8"/>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STOCKHOLDERS’ EQUITY</w:t>
            </w: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AVERAGE RATES (c)</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INTEREST-EARNING ASSETS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3.10</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3.36</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3.76</w:t>
            </w: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Federal funds sold and securities purchased</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4.06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4.24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4.24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4.52</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under resale agreements</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3.55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3.67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3.88</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4.56</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3.69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3.84</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6.57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6.80</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All other interest-earning assets (a)(d)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7.43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6.87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7.63</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Total interest-earning assets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4.83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4.95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5.19</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INTEREST-BEARING LIABILITIES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Federal funds purchased and securities loaned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or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ind w:left="60"/>
              <w:spacing w:after="0"/>
              <w:rPr>
                <w:sz w:val="20"/>
                <w:szCs w:val="20"/>
                <w:color w:val="auto"/>
              </w:rPr>
            </w:pPr>
            <w:r>
              <w:rPr>
                <w:rFonts w:ascii="Arial" w:cs="Arial" w:eastAsia="Arial" w:hAnsi="Arial"/>
                <w:sz w:val="11"/>
                <w:szCs w:val="11"/>
                <w:color w:val="auto"/>
              </w:rPr>
              <w:t>sold under repurchase agreements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3.99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4.52</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Short-term borrowings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4.01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4.40</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Trading liabilities - debt and all other interest-</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2.95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3.04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2.94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bearing liabilities (b)</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3.92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4.58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4.66</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4.92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5.16</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6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2.82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3.13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3.17</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rPr>
              <w:t>INTEREST RATE SPREAD</w:t>
            </w: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2.02</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1"/>
                <w:szCs w:val="11"/>
                <w:b w:val="1"/>
                <w:bCs w:val="1"/>
                <w:color w:val="auto"/>
                <w:w w:val="99"/>
              </w:rPr>
              <w:t>NET YIELD ON INTEREST-EARNING ASSETS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2.50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2.54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2.58</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Memo: Net yield on interest-earning assets</w:t>
            </w:r>
          </w:p>
        </w:tc>
        <w:tc>
          <w:tcPr>
            <w:tcW w:w="8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3.72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3.76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3.73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3.71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3.80</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excluding Markets (e)</w:t>
            </w: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160" w:hanging="172"/>
        <w:spacing w:after="0" w:line="249" w:lineRule="auto"/>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Includes brokerage-related held-for-investment customer receivables, which are classified in accrued interest and accounts receivable, and all other interest-earning assets, which are classified in other assets, on the Consolidated Balance Sheets.</w:t>
      </w:r>
    </w:p>
    <w:p>
      <w:pPr>
        <w:ind w:left="260" w:hanging="252"/>
        <w:spacing w:after="0" w:line="211" w:lineRule="auto"/>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All other interest-bearing liabilities include brokerage-related customer payables.</w:t>
      </w:r>
    </w:p>
    <w:p>
      <w:pPr>
        <w:ind w:left="260" w:hanging="252"/>
        <w:spacing w:after="0"/>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Includes the effect of derivatives that qualify for hedge accounting. Taxable-equivalent amounts are used where applicable. Refer to Note 5 of the Firm’s 2025 Form 10-K for additional information on hedge accounting.</w:t>
      </w:r>
    </w:p>
    <w:p>
      <w:pPr>
        <w:spacing w:after="0" w:line="5" w:lineRule="exact"/>
        <w:rPr>
          <w:rFonts w:ascii="Arial" w:cs="Arial" w:eastAsia="Arial" w:hAnsi="Arial"/>
          <w:sz w:val="11"/>
          <w:szCs w:val="11"/>
          <w:color w:val="auto"/>
        </w:rPr>
      </w:pPr>
    </w:p>
    <w:p>
      <w:pPr>
        <w:ind w:left="180" w:hanging="172"/>
        <w:spacing w:after="0"/>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rates reflect the impact of interest earned on cash collateral where the cash collateral has been netted against certain derivative payables.</w:t>
      </w:r>
    </w:p>
    <w:p>
      <w:pPr>
        <w:spacing w:after="0" w:line="8" w:lineRule="exact"/>
        <w:rPr>
          <w:rFonts w:ascii="Arial" w:cs="Arial" w:eastAsia="Arial" w:hAnsi="Arial"/>
          <w:sz w:val="11"/>
          <w:szCs w:val="11"/>
          <w:color w:val="auto"/>
        </w:rPr>
      </w:pPr>
    </w:p>
    <w:p>
      <w:pPr>
        <w:ind w:left="260" w:hanging="252"/>
        <w:spacing w:after="0"/>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Net yield on interest-earning assets excluding Markets is a non-GAAP financial measure. Refer to page 28 for a further discussion of this measure.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6</w:t>
      </w:r>
    </w:p>
    <w:p>
      <w:pPr>
        <w:sectPr>
          <w:pgSz w:w="11900" w:h="16838" w:orient="portrait"/>
          <w:cols w:equalWidth="0" w:num="1">
            <w:col w:w="11240"/>
          </w:cols>
          <w:pgMar w:left="320" w:top="491"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5925820</wp:posOffset>
            </wp:positionH>
            <wp:positionV relativeFrom="page">
              <wp:posOffset>311785</wp:posOffset>
            </wp:positionV>
            <wp:extent cx="139700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FROM REPORTED TO MANAGED BASIS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ratios)</w:t>
      </w:r>
    </w:p>
    <w:p>
      <w:pPr>
        <w:spacing w:after="0" w:line="279" w:lineRule="exact"/>
        <w:rPr>
          <w:sz w:val="20"/>
          <w:szCs w:val="20"/>
          <w:color w:val="auto"/>
        </w:rPr>
      </w:pPr>
    </w:p>
    <w:p>
      <w:pPr>
        <w:ind w:right="20"/>
        <w:spacing w:after="0" w:line="274" w:lineRule="auto"/>
        <w:rPr>
          <w:sz w:val="20"/>
          <w:szCs w:val="20"/>
          <w:color w:val="auto"/>
        </w:rPr>
      </w:pPr>
      <w:r>
        <w:rPr>
          <w:rFonts w:ascii="Arial" w:cs="Arial" w:eastAsia="Arial" w:hAnsi="Arial"/>
          <w:sz w:val="10"/>
          <w:szCs w:val="10"/>
          <w:color w:val="auto"/>
        </w:rPr>
        <w:t>The Firm prepares its Consolidated Financial Statements using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other companies’ U.S. GAAP financial statements. In addition to analyzing the Firm’s results on a reported</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1"/>
          <w:szCs w:val="11"/>
          <w:color w:val="auto"/>
        </w:rPr>
        <w:t>basis, management reviews Firmwide results, including the overhead ratio, on a “managed” basis; these Firmwide managed basis results are non-GAAP financial measures. The Firm also reviews the results of the LOBs on a managed basis. Refer to the notes on Non-GAAP Financial Measures on page 28 for additional information on managed basis.</w:t>
      </w: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summary table provides a reconciliation from reported U.S. GAAP results to managed basis.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1"/>
                <w:szCs w:val="11"/>
                <w:b w:val="1"/>
                <w:bCs w:val="1"/>
                <w:color w:val="auto"/>
                <w:w w:val="95"/>
              </w:rPr>
              <w:t>QUARTERLY TRENDS</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1Q26 Change</w:t>
            </w:r>
          </w:p>
        </w:tc>
      </w:tr>
      <w:tr>
        <w:trPr>
          <w:trHeight w:val="156"/>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4Q25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3Q25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2Q25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1Q25</w:t>
            </w:r>
          </w:p>
        </w:tc>
        <w:tc>
          <w:tcPr>
            <w:tcW w:w="4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4Q25</w:t>
            </w: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1Q25</w:t>
            </w:r>
          </w:p>
        </w:tc>
      </w:tr>
      <w:tr>
        <w:trPr>
          <w:trHeight w:val="108"/>
        </w:trPr>
        <w:tc>
          <w:tcPr>
            <w:tcW w:w="2560" w:type="dxa"/>
            <w:vAlign w:val="bottom"/>
            <w:gridSpan w:val="8"/>
          </w:tcPr>
          <w:p>
            <w:pPr>
              <w:spacing w:after="0" w:line="108" w:lineRule="exact"/>
              <w:rPr>
                <w:sz w:val="20"/>
                <w:szCs w:val="20"/>
                <w:color w:val="auto"/>
              </w:rPr>
            </w:pPr>
            <w:r>
              <w:rPr>
                <w:rFonts w:ascii="Arial" w:cs="Arial" w:eastAsia="Arial" w:hAnsi="Arial"/>
                <w:sz w:val="11"/>
                <w:szCs w:val="11"/>
                <w:b w:val="1"/>
                <w:bCs w:val="1"/>
                <w:color w:val="auto"/>
              </w:rPr>
              <w:t>OTHER INCOME</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Other income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1,671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1,658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1,439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1,154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1,923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color w:val="auto"/>
              </w:rPr>
              <w:t>Fully taxable-equivalent adjustments (a)</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856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588</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663</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(31)</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Other income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2,258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2,514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2,027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1,817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2,525</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w:t>
            </w:r>
          </w:p>
        </w:tc>
      </w:tr>
      <w:tr>
        <w:trPr>
          <w:trHeight w:val="270"/>
        </w:trPr>
        <w:tc>
          <w:tcPr>
            <w:tcW w:w="172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7"/>
              </w:rPr>
              <w:t>TOTAL NONINTEREST REVENUE</w:t>
            </w:r>
          </w:p>
        </w:tc>
        <w:tc>
          <w:tcPr>
            <w:tcW w:w="840" w:type="dxa"/>
            <w:vAlign w:val="bottom"/>
            <w:gridSpan w:val="2"/>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68"/>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Total noninterest revenue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24,470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20,803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22,461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21,703</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22,037</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856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588</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663</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(31)</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Total noninterest revenue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25,057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21,659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23,049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22,366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22,639</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270"/>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8"/>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25,366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24,995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23,966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23,209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23,273</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r>
      <w:tr>
        <w:trPr>
          <w:trHeight w:val="170"/>
        </w:trPr>
        <w:tc>
          <w:tcPr>
            <w:tcW w:w="2560" w:type="dxa"/>
            <w:vAlign w:val="bottom"/>
            <w:gridSpan w:val="8"/>
          </w:tcPr>
          <w:p>
            <w:pPr>
              <w:spacing w:after="0"/>
              <w:rPr>
                <w:sz w:val="20"/>
                <w:szCs w:val="20"/>
                <w:color w:val="auto"/>
              </w:rPr>
            </w:pPr>
            <w:r>
              <w:rPr>
                <w:rFonts w:ascii="Arial" w:cs="Arial" w:eastAsia="Arial" w:hAnsi="Arial"/>
                <w:sz w:val="11"/>
                <w:szCs w:val="11"/>
                <w:color w:val="auto"/>
              </w:rPr>
              <w:t>Fully taxable-equivalent adjustments (a)</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w:t>
            </w:r>
          </w:p>
        </w:tc>
        <w:tc>
          <w:tcPr>
            <w:tcW w:w="4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25,479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25,108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24,071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23,314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23,375</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r>
      <w:tr>
        <w:trPr>
          <w:trHeight w:val="270"/>
        </w:trPr>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TOTAL NET REVENUE</w:t>
            </w:r>
          </w:p>
        </w:tc>
        <w:tc>
          <w:tcPr>
            <w:tcW w:w="1400" w:type="dxa"/>
            <w:vAlign w:val="bottom"/>
            <w:gridSpan w:val="5"/>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Total net revenue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49,836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45,798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46,427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44,912</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45,310</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693</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768</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704</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Total net revenue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50,536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46,767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47,120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45,680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46,014</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w:t>
            </w:r>
          </w:p>
        </w:tc>
      </w:tr>
      <w:tr>
        <w:trPr>
          <w:trHeight w:val="270"/>
        </w:trPr>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w w:val="97"/>
              </w:rPr>
              <w:t>PRE-PROVISION PROFIT</w:t>
            </w:r>
          </w:p>
        </w:tc>
        <w:tc>
          <w:tcPr>
            <w:tcW w:w="126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68"/>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Pre-provision profit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22,986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21,815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22,146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21,133</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21,713</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693</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768</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704</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Pre-provision profit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23,686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22,784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22,839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21,901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22,417</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w:t>
            </w:r>
          </w:p>
        </w:tc>
      </w:tr>
      <w:tr>
        <w:trPr>
          <w:trHeight w:val="270"/>
        </w:trPr>
        <w:tc>
          <w:tcPr>
            <w:tcW w:w="2160" w:type="dxa"/>
            <w:vAlign w:val="bottom"/>
            <w:tcBorders>
              <w:bottom w:val="single" w:sz="8" w:color="auto"/>
            </w:tcBorders>
            <w:gridSpan w:val="7"/>
          </w:tcPr>
          <w:p>
            <w:pPr>
              <w:spacing w:after="0"/>
              <w:rPr>
                <w:sz w:val="20"/>
                <w:szCs w:val="20"/>
                <w:color w:val="auto"/>
              </w:rPr>
            </w:pPr>
            <w:r>
              <w:rPr>
                <w:rFonts w:ascii="Arial" w:cs="Arial" w:eastAsia="Arial" w:hAnsi="Arial"/>
                <w:sz w:val="11"/>
                <w:szCs w:val="11"/>
                <w:b w:val="1"/>
                <w:bCs w:val="1"/>
                <w:color w:val="auto"/>
                <w:w w:val="97"/>
              </w:rPr>
              <w:t>INCOME BEFORE INCOME TAX EXPENSE</w:t>
            </w:r>
          </w:p>
        </w:tc>
        <w:tc>
          <w:tcPr>
            <w:tcW w:w="4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68"/>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Income before income tax expense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20,479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17,160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18,743</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18,284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18,408</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170"/>
        </w:trPr>
        <w:tc>
          <w:tcPr>
            <w:tcW w:w="256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693</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768</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704</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Income before income tax expense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21,179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18,129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19,436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19,052</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19,112</w:t>
            </w:r>
          </w:p>
        </w:tc>
        <w:tc>
          <w:tcPr>
            <w:tcW w:w="960" w:type="dxa"/>
            <w:vAlign w:val="bottom"/>
            <w:gridSpan w:val="2"/>
          </w:tcPr>
          <w:p>
            <w:pPr>
              <w:jc w:val="right"/>
              <w:ind w:right="86"/>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270"/>
        </w:trPr>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INCOME TAX EXPENSE</w:t>
            </w:r>
          </w:p>
        </w:tc>
        <w:tc>
          <w:tcPr>
            <w:tcW w:w="1320" w:type="dxa"/>
            <w:vAlign w:val="bottom"/>
            <w:gridSpan w:val="4"/>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68"/>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Income tax expense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3,985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4,135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4,350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3,297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3,765</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w:t>
            </w:r>
          </w:p>
        </w:tc>
      </w:tr>
      <w:tr>
        <w:trPr>
          <w:trHeight w:val="170"/>
        </w:trPr>
        <w:tc>
          <w:tcPr>
            <w:tcW w:w="256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704</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Income tax expense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4,685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5,104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5,043</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4,065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4,469</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w:t>
            </w:r>
          </w:p>
        </w:tc>
      </w:tr>
      <w:tr>
        <w:trPr>
          <w:trHeight w:val="270"/>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OVERHEAD RATIO</w:t>
            </w:r>
          </w:p>
        </w:tc>
        <w:tc>
          <w:tcPr>
            <w:tcW w:w="1580" w:type="dxa"/>
            <w:vAlign w:val="bottom"/>
            <w:gridSpan w:val="6"/>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69"/>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Overhead ratio - reported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52</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52</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53</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52</w:t>
            </w:r>
          </w:p>
        </w:tc>
        <w:tc>
          <w:tcPr>
            <w:tcW w:w="40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560" w:type="dxa"/>
            <w:vAlign w:val="bottom"/>
            <w:gridSpan w:val="8"/>
          </w:tcPr>
          <w:p>
            <w:pPr>
              <w:spacing w:after="0"/>
              <w:rPr>
                <w:sz w:val="20"/>
                <w:szCs w:val="20"/>
                <w:color w:val="auto"/>
              </w:rPr>
            </w:pPr>
            <w:r>
              <w:rPr>
                <w:rFonts w:ascii="Arial" w:cs="Arial" w:eastAsia="Arial" w:hAnsi="Arial"/>
                <w:sz w:val="11"/>
                <w:szCs w:val="11"/>
                <w:b w:val="1"/>
                <w:bCs w:val="1"/>
                <w:color w:val="auto"/>
              </w:rPr>
              <w:t>Overhead ratio - managed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51</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637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(a) For other income, recognized in CIB, and for net interest income, predominantly recognized in CIB and Corporate.</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7</w:t>
      </w:r>
    </w:p>
    <w:p>
      <w:pPr>
        <w:sectPr>
          <w:pgSz w:w="11900" w:h="16838" w:orient="portrait"/>
          <w:cols w:equalWidth="0" w:num="1">
            <w:col w:w="11240"/>
          </w:cols>
          <w:pgMar w:left="320" w:top="491"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4057015</wp:posOffset>
            </wp:positionH>
            <wp:positionV relativeFrom="page">
              <wp:posOffset>311785</wp:posOffset>
            </wp:positionV>
            <wp:extent cx="139700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&amp; CORPORATE RESULTS -</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MANAGED BASIS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386"/>
              <w:spacing w:after="0"/>
              <w:rPr>
                <w:sz w:val="20"/>
                <w:szCs w:val="20"/>
                <w:color w:val="auto"/>
              </w:rPr>
            </w:pPr>
            <w:r>
              <w:rPr>
                <w:rFonts w:ascii="Arial" w:cs="Arial" w:eastAsia="Arial" w:hAnsi="Arial"/>
                <w:sz w:val="11"/>
                <w:szCs w:val="11"/>
                <w:b w:val="1"/>
                <w:bCs w:val="1"/>
                <w:color w:val="auto"/>
              </w:rPr>
              <w:t>QUARTERLY TRENDS</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1Q26 Change</w:t>
            </w: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1Q26</w:t>
            </w: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4Q25</w:t>
            </w: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3Q25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2Q25</w:t>
            </w: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280" w:type="dxa"/>
            <w:vAlign w:val="bottom"/>
          </w:tcPr>
          <w:p>
            <w:pPr>
              <w:spacing w:after="0"/>
              <w:rPr>
                <w:sz w:val="13"/>
                <w:szCs w:val="13"/>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4Q25</w:t>
            </w:r>
          </w:p>
        </w:tc>
        <w:tc>
          <w:tcPr>
            <w:tcW w:w="640" w:type="dxa"/>
            <w:vAlign w:val="bottom"/>
          </w:tcPr>
          <w:p>
            <w:pPr>
              <w:jc w:val="right"/>
              <w:ind w:right="126"/>
              <w:spacing w:after="0"/>
              <w:rPr>
                <w:sz w:val="20"/>
                <w:szCs w:val="20"/>
                <w:color w:val="auto"/>
              </w:rPr>
            </w:pPr>
            <w:r>
              <w:rPr>
                <w:rFonts w:ascii="Arial" w:cs="Arial" w:eastAsia="Arial" w:hAnsi="Arial"/>
                <w:sz w:val="11"/>
                <w:szCs w:val="11"/>
                <w:b w:val="1"/>
                <w:bCs w:val="1"/>
                <w:color w:val="auto"/>
              </w:rPr>
              <w:t>1Q25</w:t>
            </w:r>
          </w:p>
        </w:tc>
      </w:tr>
      <w:tr>
        <w:trPr>
          <w:trHeight w:val="108"/>
        </w:trPr>
        <w:tc>
          <w:tcPr>
            <w:tcW w:w="20" w:type="dxa"/>
            <w:vAlign w:val="bottom"/>
          </w:tcPr>
          <w:p>
            <w:pPr>
              <w:spacing w:after="0"/>
              <w:rPr>
                <w:sz w:val="9"/>
                <w:szCs w:val="9"/>
                <w:color w:val="auto"/>
              </w:rPr>
            </w:pPr>
          </w:p>
        </w:tc>
        <w:tc>
          <w:tcPr>
            <w:tcW w:w="2580" w:type="dxa"/>
            <w:vAlign w:val="bottom"/>
            <w:gridSpan w:val="7"/>
          </w:tcPr>
          <w:p>
            <w:pPr>
              <w:spacing w:after="0" w:line="108" w:lineRule="exact"/>
              <w:rPr>
                <w:sz w:val="20"/>
                <w:szCs w:val="20"/>
                <w:color w:val="auto"/>
              </w:rPr>
            </w:pPr>
            <w:r>
              <w:rPr>
                <w:rFonts w:ascii="Arial" w:cs="Arial" w:eastAsia="Arial" w:hAnsi="Arial"/>
                <w:sz w:val="11"/>
                <w:szCs w:val="11"/>
                <w:b w:val="1"/>
                <w:bCs w:val="1"/>
                <w:color w:val="auto"/>
              </w:rPr>
              <w:t>TOTAL NET REVENUE (fully taxable-equivalent</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r>
      <w:tr>
        <w:trPr>
          <w:trHeight w:val="88"/>
        </w:trPr>
        <w:tc>
          <w:tcPr>
            <w:tcW w:w="20" w:type="dxa"/>
            <w:vAlign w:val="bottom"/>
          </w:tcPr>
          <w:p>
            <w:pPr>
              <w:spacing w:after="0"/>
              <w:rPr>
                <w:sz w:val="7"/>
                <w:szCs w:val="7"/>
                <w:color w:val="auto"/>
              </w:rPr>
            </w:pPr>
          </w:p>
        </w:tc>
        <w:tc>
          <w:tcPr>
            <w:tcW w:w="2420" w:type="dxa"/>
            <w:vAlign w:val="bottom"/>
            <w:tcBorders>
              <w:top w:val="single" w:sz="8" w:color="auto"/>
            </w:tcBorders>
            <w:gridSpan w:val="6"/>
          </w:tcPr>
          <w:p>
            <w:pPr>
              <w:spacing w:after="0" w:line="88" w:lineRule="exact"/>
              <w:rPr>
                <w:sz w:val="20"/>
                <w:szCs w:val="20"/>
                <w:color w:val="auto"/>
              </w:rPr>
            </w:pPr>
            <w:r>
              <w:rPr>
                <w:rFonts w:ascii="Arial" w:cs="Arial" w:eastAsia="Arial" w:hAnsi="Arial"/>
                <w:sz w:val="10"/>
                <w:szCs w:val="10"/>
                <w:b w:val="1"/>
                <w:bCs w:val="1"/>
                <w:color w:val="auto"/>
              </w:rPr>
              <w:t>(“FTE”))</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19,568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19,396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19,473</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18,847</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18,313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7 %</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23,379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19,375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19,878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19,535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19,666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21</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6,374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6,066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5,760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5,731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w:t>
            </w:r>
          </w:p>
        </w:tc>
      </w:tr>
      <w:tr>
        <w:trPr>
          <w:trHeight w:val="176"/>
        </w:trPr>
        <w:tc>
          <w:tcPr>
            <w:tcW w:w="20" w:type="dxa"/>
            <w:vAlign w:val="bottom"/>
          </w:tcPr>
          <w:p>
            <w:pPr>
              <w:spacing w:after="0"/>
              <w:rPr>
                <w:sz w:val="15"/>
                <w:szCs w:val="15"/>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1,215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1,480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1,703</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1,538</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2,304</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28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(47)</w:t>
            </w:r>
          </w:p>
        </w:tc>
      </w:tr>
      <w:tr>
        <w:trPr>
          <w:trHeight w:val="169"/>
        </w:trPr>
        <w:tc>
          <w:tcPr>
            <w:tcW w:w="20" w:type="dxa"/>
            <w:vAlign w:val="bottom"/>
          </w:tcPr>
          <w:p>
            <w:pPr>
              <w:spacing w:after="0"/>
              <w:rPr>
                <w:sz w:val="14"/>
                <w:szCs w:val="14"/>
                <w:color w:val="auto"/>
              </w:rPr>
            </w:pPr>
          </w:p>
        </w:tc>
        <w:tc>
          <w:tcPr>
            <w:tcW w:w="25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50,536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46,767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47,120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45,680</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46,014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w:t>
            </w:r>
          </w:p>
        </w:tc>
      </w:tr>
      <w:tr>
        <w:trPr>
          <w:trHeight w:val="270"/>
        </w:trPr>
        <w:tc>
          <w:tcPr>
            <w:tcW w:w="20" w:type="dxa"/>
            <w:vAlign w:val="bottom"/>
          </w:tcPr>
          <w:p>
            <w:pPr>
              <w:spacing w:after="0"/>
              <w:rPr>
                <w:sz w:val="23"/>
                <w:szCs w:val="23"/>
                <w:color w:val="auto"/>
              </w:rPr>
            </w:pPr>
          </w:p>
        </w:tc>
        <w:tc>
          <w:tcPr>
            <w:tcW w:w="2580" w:type="dxa"/>
            <w:vAlign w:val="bottom"/>
            <w:gridSpan w:val="7"/>
          </w:tcPr>
          <w:p>
            <w:pPr>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63"/>
        </w:trPr>
        <w:tc>
          <w:tcPr>
            <w:tcW w:w="20" w:type="dxa"/>
            <w:vAlign w:val="bottom"/>
          </w:tcPr>
          <w:p>
            <w:pPr>
              <w:spacing w:after="0"/>
              <w:rPr>
                <w:sz w:val="14"/>
                <w:szCs w:val="14"/>
                <w:color w:val="auto"/>
              </w:rPr>
            </w:pPr>
          </w:p>
        </w:tc>
        <w:tc>
          <w:tcPr>
            <w:tcW w:w="170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Consumer &amp; Community Banking</w:t>
            </w:r>
          </w:p>
        </w:tc>
        <w:tc>
          <w:tcPr>
            <w:tcW w:w="880" w:type="dxa"/>
            <w:vAlign w:val="bottom"/>
            <w:gridSpan w:val="3"/>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10,979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10,256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10,296</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9,858</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9,857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11,136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9,011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9,722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9,641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9,842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4,167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3,733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3,713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w:t>
            </w:r>
          </w:p>
        </w:tc>
      </w:tr>
      <w:tr>
        <w:trPr>
          <w:trHeight w:val="175"/>
        </w:trPr>
        <w:tc>
          <w:tcPr>
            <w:tcW w:w="20" w:type="dxa"/>
            <w:vAlign w:val="bottom"/>
          </w:tcPr>
          <w:p>
            <w:pPr>
              <w:spacing w:after="0"/>
              <w:rPr>
                <w:sz w:val="15"/>
                <w:szCs w:val="15"/>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648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445</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547</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28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207</w:t>
            </w:r>
          </w:p>
        </w:tc>
      </w:tr>
      <w:tr>
        <w:trPr>
          <w:trHeight w:val="169"/>
        </w:trPr>
        <w:tc>
          <w:tcPr>
            <w:tcW w:w="20" w:type="dxa"/>
            <w:vAlign w:val="bottom"/>
          </w:tcPr>
          <w:p>
            <w:pPr>
              <w:spacing w:after="0"/>
              <w:rPr>
                <w:sz w:val="14"/>
                <w:szCs w:val="14"/>
                <w:color w:val="auto"/>
              </w:rPr>
            </w:pPr>
          </w:p>
        </w:tc>
        <w:tc>
          <w:tcPr>
            <w:tcW w:w="25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26,850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23,983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24,281</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23,779</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23,597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w:t>
            </w:r>
          </w:p>
        </w:tc>
      </w:tr>
      <w:tr>
        <w:trPr>
          <w:trHeight w:val="270"/>
        </w:trPr>
        <w:tc>
          <w:tcPr>
            <w:tcW w:w="20" w:type="dxa"/>
            <w:vAlign w:val="bottom"/>
          </w:tcPr>
          <w:p>
            <w:pPr>
              <w:spacing w:after="0"/>
              <w:rPr>
                <w:sz w:val="23"/>
                <w:szCs w:val="23"/>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PRE-PROVISION PROFIT</w:t>
            </w:r>
          </w:p>
        </w:tc>
        <w:tc>
          <w:tcPr>
            <w:tcW w:w="1280" w:type="dxa"/>
            <w:vAlign w:val="bottom"/>
            <w:gridSpan w:val="4"/>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63"/>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8,589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9,140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9,177</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8,989</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8,456</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12,243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10,364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10,156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9,894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9,824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18</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2,207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2,248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2,018</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w:t>
            </w:r>
          </w:p>
        </w:tc>
      </w:tr>
      <w:tr>
        <w:trPr>
          <w:trHeight w:val="175"/>
        </w:trPr>
        <w:tc>
          <w:tcPr>
            <w:tcW w:w="20" w:type="dxa"/>
            <w:vAlign w:val="bottom"/>
          </w:tcPr>
          <w:p>
            <w:pPr>
              <w:spacing w:after="0"/>
              <w:rPr>
                <w:sz w:val="15"/>
                <w:szCs w:val="15"/>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647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1,258</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2,119</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(22)</w:t>
            </w:r>
          </w:p>
        </w:tc>
        <w:tc>
          <w:tcPr>
            <w:tcW w:w="28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(69)</w:t>
            </w:r>
          </w:p>
        </w:tc>
      </w:tr>
      <w:tr>
        <w:trPr>
          <w:trHeight w:val="169"/>
        </w:trPr>
        <w:tc>
          <w:tcPr>
            <w:tcW w:w="20" w:type="dxa"/>
            <w:vAlign w:val="bottom"/>
          </w:tcPr>
          <w:p>
            <w:pPr>
              <w:spacing w:after="0"/>
              <w:rPr>
                <w:sz w:val="14"/>
                <w:szCs w:val="14"/>
                <w:color w:val="auto"/>
              </w:rPr>
            </w:pPr>
          </w:p>
        </w:tc>
        <w:tc>
          <w:tcPr>
            <w:tcW w:w="2580" w:type="dxa"/>
            <w:vAlign w:val="bottom"/>
            <w:gridSpan w:val="7"/>
          </w:tcPr>
          <w:p>
            <w:pPr>
              <w:ind w:left="120"/>
              <w:spacing w:after="0"/>
              <w:rPr>
                <w:sz w:val="20"/>
                <w:szCs w:val="20"/>
                <w:color w:val="auto"/>
              </w:rPr>
            </w:pPr>
            <w:r>
              <w:rPr>
                <w:rFonts w:ascii="Arial" w:cs="Arial" w:eastAsia="Arial" w:hAnsi="Arial"/>
                <w:sz w:val="11"/>
                <w:szCs w:val="11"/>
                <w:b w:val="1"/>
                <w:bCs w:val="1"/>
                <w:color w:val="auto"/>
              </w:rPr>
              <w:t>PRE-PROVISION PROFIT</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23,686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22,784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22,839</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21,901</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22,417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w:t>
            </w:r>
          </w:p>
        </w:tc>
      </w:tr>
      <w:tr>
        <w:trPr>
          <w:trHeight w:val="270"/>
        </w:trPr>
        <w:tc>
          <w:tcPr>
            <w:tcW w:w="20" w:type="dxa"/>
            <w:vAlign w:val="bottom"/>
          </w:tcPr>
          <w:p>
            <w:pPr>
              <w:spacing w:after="0"/>
              <w:rPr>
                <w:sz w:val="23"/>
                <w:szCs w:val="23"/>
                <w:color w:val="auto"/>
              </w:rPr>
            </w:pPr>
          </w:p>
        </w:tc>
        <w:tc>
          <w:tcPr>
            <w:tcW w:w="2580" w:type="dxa"/>
            <w:vAlign w:val="bottom"/>
            <w:gridSpan w:val="7"/>
          </w:tcPr>
          <w:p>
            <w:pPr>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63"/>
        </w:trPr>
        <w:tc>
          <w:tcPr>
            <w:tcW w:w="20" w:type="dxa"/>
            <w:vAlign w:val="bottom"/>
          </w:tcPr>
          <w:p>
            <w:pPr>
              <w:spacing w:after="0"/>
              <w:rPr>
                <w:sz w:val="14"/>
                <w:szCs w:val="14"/>
                <w:color w:val="auto"/>
              </w:rPr>
            </w:pPr>
          </w:p>
        </w:tc>
        <w:tc>
          <w:tcPr>
            <w:tcW w:w="176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Consumer &amp; Community Banking</w:t>
            </w:r>
          </w:p>
        </w:tc>
        <w:tc>
          <w:tcPr>
            <w:tcW w:w="82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2,050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4,244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2,538</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2,082</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2,629</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(52)</w:t>
            </w:r>
          </w:p>
        </w:tc>
        <w:tc>
          <w:tcPr>
            <w:tcW w:w="2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482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705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19</w:t>
            </w:r>
          </w:p>
        </w:tc>
        <w:tc>
          <w:tcPr>
            <w:tcW w:w="2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(32)</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w:t>
            </w:r>
          </w:p>
        </w:tc>
        <w:tc>
          <w:tcPr>
            <w:tcW w:w="280" w:type="dxa"/>
            <w:vAlign w:val="bottom"/>
          </w:tcPr>
          <w:p>
            <w:pPr>
              <w:spacing w:after="0"/>
              <w:rPr>
                <w:sz w:val="14"/>
                <w:szCs w:val="14"/>
                <w:color w:val="auto"/>
              </w:rPr>
            </w:pPr>
          </w:p>
        </w:tc>
        <w:tc>
          <w:tcPr>
            <w:tcW w:w="920" w:type="dxa"/>
            <w:vAlign w:val="bottom"/>
            <w:gridSpan w:val="2"/>
          </w:tcPr>
          <w:p>
            <w:pPr>
              <w:ind w:left="460"/>
              <w:spacing w:after="0"/>
              <w:rPr>
                <w:sz w:val="20"/>
                <w:szCs w:val="20"/>
                <w:color w:val="auto"/>
              </w:rPr>
            </w:pPr>
            <w:r>
              <w:rPr>
                <w:rFonts w:ascii="Arial" w:cs="Arial" w:eastAsia="Arial" w:hAnsi="Arial"/>
                <w:sz w:val="11"/>
                <w:szCs w:val="11"/>
                <w:color w:val="auto"/>
              </w:rPr>
              <w:t>NM</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(140)</w:t>
            </w:r>
          </w:p>
        </w:tc>
      </w:tr>
      <w:tr>
        <w:trPr>
          <w:trHeight w:val="175"/>
        </w:trPr>
        <w:tc>
          <w:tcPr>
            <w:tcW w:w="20" w:type="dxa"/>
            <w:vAlign w:val="bottom"/>
          </w:tcPr>
          <w:p>
            <w:pPr>
              <w:spacing w:after="0"/>
              <w:rPr>
                <w:sz w:val="15"/>
                <w:szCs w:val="15"/>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280" w:type="dxa"/>
            <w:vAlign w:val="bottom"/>
          </w:tcPr>
          <w:p>
            <w:pPr>
              <w:spacing w:after="0"/>
              <w:rPr>
                <w:sz w:val="15"/>
                <w:szCs w:val="15"/>
                <w:color w:val="auto"/>
              </w:rPr>
            </w:pPr>
          </w:p>
        </w:tc>
        <w:tc>
          <w:tcPr>
            <w:tcW w:w="920" w:type="dxa"/>
            <w:vAlign w:val="bottom"/>
            <w:gridSpan w:val="2"/>
          </w:tcPr>
          <w:p>
            <w:pPr>
              <w:ind w:left="460"/>
              <w:spacing w:after="0"/>
              <w:rPr>
                <w:sz w:val="20"/>
                <w:szCs w:val="20"/>
                <w:color w:val="auto"/>
              </w:rPr>
            </w:pPr>
            <w:r>
              <w:rPr>
                <w:rFonts w:ascii="Arial" w:cs="Arial" w:eastAsia="Arial" w:hAnsi="Arial"/>
                <w:sz w:val="11"/>
                <w:szCs w:val="11"/>
                <w:color w:val="auto"/>
              </w:rPr>
              <w:t>NM</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95</w:t>
            </w:r>
          </w:p>
        </w:tc>
      </w:tr>
      <w:tr>
        <w:trPr>
          <w:trHeight w:val="169"/>
        </w:trPr>
        <w:tc>
          <w:tcPr>
            <w:tcW w:w="20" w:type="dxa"/>
            <w:vAlign w:val="bottom"/>
          </w:tcPr>
          <w:p>
            <w:pPr>
              <w:spacing w:after="0"/>
              <w:rPr>
                <w:sz w:val="14"/>
                <w:szCs w:val="14"/>
                <w:color w:val="auto"/>
              </w:rPr>
            </w:pPr>
          </w:p>
        </w:tc>
        <w:tc>
          <w:tcPr>
            <w:tcW w:w="2580" w:type="dxa"/>
            <w:vAlign w:val="bottom"/>
            <w:gridSpan w:val="7"/>
          </w:tcPr>
          <w:p>
            <w:pPr>
              <w:ind w:left="120"/>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2,507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4,655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3,403</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2,849</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3,305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(46)</w:t>
            </w:r>
          </w:p>
        </w:tc>
        <w:tc>
          <w:tcPr>
            <w:tcW w:w="2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(24)</w:t>
            </w:r>
          </w:p>
        </w:tc>
      </w:tr>
      <w:tr>
        <w:trPr>
          <w:trHeight w:val="270"/>
        </w:trPr>
        <w:tc>
          <w:tcPr>
            <w:tcW w:w="20" w:type="dxa"/>
            <w:vAlign w:val="bottom"/>
          </w:tcPr>
          <w:p>
            <w:pPr>
              <w:spacing w:after="0"/>
              <w:rPr>
                <w:sz w:val="23"/>
                <w:szCs w:val="23"/>
                <w:color w:val="auto"/>
              </w:rPr>
            </w:pPr>
          </w:p>
        </w:tc>
        <w:tc>
          <w:tcPr>
            <w:tcW w:w="2580" w:type="dxa"/>
            <w:vAlign w:val="bottom"/>
            <w:gridSpan w:val="7"/>
          </w:tcPr>
          <w:p>
            <w:pPr>
              <w:spacing w:after="0"/>
              <w:rPr>
                <w:sz w:val="20"/>
                <w:szCs w:val="20"/>
                <w:color w:val="auto"/>
              </w:rPr>
            </w:pPr>
            <w:r>
              <w:rPr>
                <w:rFonts w:ascii="Arial" w:cs="Arial" w:eastAsia="Arial" w:hAnsi="Arial"/>
                <w:sz w:val="11"/>
                <w:szCs w:val="11"/>
                <w:b w:val="1"/>
                <w:bCs w:val="1"/>
                <w:color w:val="auto"/>
              </w:rPr>
              <w:t>NET INCOME</w:t>
            </w: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4,976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3,642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5,009</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5,169</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4,425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37</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Commercial &amp; Investment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9,044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7,268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6,901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6,650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6,942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30</w:t>
            </w:r>
          </w:p>
        </w:tc>
      </w:tr>
      <w:tr>
        <w:trPr>
          <w:trHeight w:val="162"/>
        </w:trPr>
        <w:tc>
          <w:tcPr>
            <w:tcW w:w="2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1,775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1,808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1,658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1,473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1,583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w:t>
            </w:r>
          </w:p>
        </w:tc>
      </w:tr>
      <w:tr>
        <w:trPr>
          <w:trHeight w:val="175"/>
        </w:trPr>
        <w:tc>
          <w:tcPr>
            <w:tcW w:w="20" w:type="dxa"/>
            <w:vAlign w:val="bottom"/>
          </w:tcPr>
          <w:p>
            <w:pPr>
              <w:spacing w:after="0"/>
              <w:rPr>
                <w:sz w:val="15"/>
                <w:szCs w:val="15"/>
                <w:color w:val="auto"/>
              </w:rPr>
            </w:pPr>
          </w:p>
        </w:tc>
        <w:tc>
          <w:tcPr>
            <w:tcW w:w="25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825</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128</w:t>
            </w:r>
          </w:p>
        </w:tc>
        <w:tc>
          <w:tcPr>
            <w:tcW w:w="28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(59)</w:t>
            </w:r>
          </w:p>
        </w:tc>
      </w:tr>
      <w:tr>
        <w:trPr>
          <w:trHeight w:val="169"/>
        </w:trPr>
        <w:tc>
          <w:tcPr>
            <w:tcW w:w="20" w:type="dxa"/>
            <w:vAlign w:val="bottom"/>
          </w:tcPr>
          <w:p>
            <w:pPr>
              <w:spacing w:after="0"/>
              <w:rPr>
                <w:sz w:val="14"/>
                <w:szCs w:val="14"/>
                <w:color w:val="auto"/>
              </w:rPr>
            </w:pPr>
          </w:p>
        </w:tc>
        <w:tc>
          <w:tcPr>
            <w:tcW w:w="25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INCOME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16,494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13,025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14,393</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14,987</w:t>
            </w:r>
          </w:p>
        </w:tc>
        <w:tc>
          <w:tcPr>
            <w:tcW w:w="2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14,643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27</w:t>
            </w:r>
          </w:p>
        </w:tc>
        <w:tc>
          <w:tcPr>
            <w:tcW w:w="2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w:t>
            </w:r>
          </w:p>
        </w:tc>
      </w:tr>
      <w:tr>
        <w:trPr>
          <w:trHeight w:val="310"/>
        </w:trPr>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8</w:t>
      </w:r>
    </w:p>
    <w:p>
      <w:pPr>
        <w:sectPr>
          <w:pgSz w:w="11900" w:h="16838" w:orient="portrait"/>
          <w:cols w:equalWidth="0" w:num="1">
            <w:col w:w="11240"/>
          </w:cols>
          <w:pgMar w:left="320" w:top="491"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4142740</wp:posOffset>
            </wp:positionH>
            <wp:positionV relativeFrom="page">
              <wp:posOffset>311785</wp:posOffset>
            </wp:positionV>
            <wp:extent cx="139700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right="7640"/>
        <w:spacing w:after="0" w:line="256" w:lineRule="auto"/>
        <w:rPr>
          <w:sz w:val="20"/>
          <w:szCs w:val="20"/>
          <w:color w:val="auto"/>
        </w:rPr>
      </w:pPr>
      <w:r>
        <w:rPr>
          <w:rFonts w:ascii="Arial" w:cs="Arial" w:eastAsia="Arial" w:hAnsi="Arial"/>
          <w:sz w:val="14"/>
          <w:szCs w:val="14"/>
          <w:b w:val="1"/>
          <w:bCs w:val="1"/>
          <w:color w:val="auto"/>
        </w:rPr>
        <w:t>CAPITAL AND OTHER SELECTED BALANCE SHEET ITEMS</w:t>
      </w: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4"/>
          </w:tcPr>
          <w:p>
            <w:pPr>
              <w:ind w:left="440"/>
              <w:spacing w:after="0"/>
              <w:rPr>
                <w:sz w:val="20"/>
                <w:szCs w:val="20"/>
                <w:color w:val="auto"/>
              </w:rPr>
            </w:pPr>
            <w:r>
              <w:rPr>
                <w:rFonts w:ascii="Arial" w:cs="Arial" w:eastAsia="Arial" w:hAnsi="Arial"/>
                <w:sz w:val="11"/>
                <w:szCs w:val="11"/>
                <w:b w:val="1"/>
                <w:bCs w:val="1"/>
                <w:color w:val="auto"/>
              </w:rPr>
              <w:t>Mar 31, 2026</w:t>
            </w:r>
          </w:p>
        </w:tc>
        <w:tc>
          <w:tcPr>
            <w:tcW w:w="0" w:type="dxa"/>
            <w:vAlign w:val="bottom"/>
          </w:tcPr>
          <w:p>
            <w:pPr>
              <w:spacing w:after="0"/>
              <w:rPr>
                <w:sz w:val="1"/>
                <w:szCs w:val="1"/>
                <w:color w:val="auto"/>
              </w:rPr>
            </w:pPr>
          </w:p>
        </w:tc>
      </w:tr>
      <w:tr>
        <w:trPr>
          <w:trHeight w:val="170"/>
        </w:trPr>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gridSpan w:val="3"/>
          </w:tcPr>
          <w:p>
            <w:pPr>
              <w:ind w:left="560"/>
              <w:spacing w:after="0"/>
              <w:rPr>
                <w:sz w:val="20"/>
                <w:szCs w:val="20"/>
                <w:color w:val="auto"/>
              </w:rPr>
            </w:pPr>
            <w:r>
              <w:rPr>
                <w:rFonts w:ascii="Arial" w:cs="Arial" w:eastAsia="Arial" w:hAnsi="Arial"/>
                <w:sz w:val="11"/>
                <w:szCs w:val="11"/>
                <w:b w:val="1"/>
                <w:bCs w:val="1"/>
                <w:color w:val="auto"/>
              </w:rPr>
              <w:t>Change</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26"/>
              <w:spacing w:after="0"/>
              <w:rPr>
                <w:sz w:val="20"/>
                <w:szCs w:val="20"/>
                <w:color w:val="auto"/>
              </w:rPr>
            </w:pPr>
            <w:r>
              <w:rPr>
                <w:rFonts w:ascii="Arial" w:cs="Arial" w:eastAsia="Arial" w:hAnsi="Arial"/>
                <w:sz w:val="11"/>
                <w:szCs w:val="11"/>
                <w:b w:val="1"/>
                <w:bCs w:val="1"/>
                <w:color w:val="auto"/>
              </w:rPr>
              <w:t>Mar 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2"/>
                <w:szCs w:val="12"/>
                <w:color w:val="auto"/>
              </w:rPr>
            </w:pP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Mar 31,</w:t>
            </w:r>
          </w:p>
        </w:tc>
        <w:tc>
          <w:tcPr>
            <w:tcW w:w="280" w:type="dxa"/>
            <w:vAlign w:val="bottom"/>
          </w:tcPr>
          <w:p>
            <w:pPr>
              <w:spacing w:after="0"/>
              <w:rPr>
                <w:sz w:val="12"/>
                <w:szCs w:val="12"/>
                <w:color w:val="auto"/>
              </w:rPr>
            </w:pP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Dec 31,</w:t>
            </w: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rPr>
              <w:t>Mar 31,</w:t>
            </w:r>
          </w:p>
        </w:tc>
        <w:tc>
          <w:tcPr>
            <w:tcW w:w="0" w:type="dxa"/>
            <w:vAlign w:val="bottom"/>
          </w:tcPr>
          <w:p>
            <w:pPr>
              <w:spacing w:after="0"/>
              <w:rPr>
                <w:sz w:val="1"/>
                <w:szCs w:val="1"/>
                <w:color w:val="auto"/>
              </w:rPr>
            </w:pPr>
          </w:p>
        </w:tc>
      </w:tr>
      <w:tr>
        <w:trPr>
          <w:trHeight w:val="170"/>
        </w:trPr>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2025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rPr>
              <w:t>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226"/>
              <w:spacing w:after="0"/>
              <w:rPr>
                <w:sz w:val="20"/>
                <w:szCs w:val="20"/>
                <w:color w:val="auto"/>
              </w:rPr>
            </w:pPr>
            <w:r>
              <w:rPr>
                <w:rFonts w:ascii="Arial" w:cs="Arial" w:eastAsia="Arial" w:hAnsi="Arial"/>
                <w:sz w:val="11"/>
                <w:szCs w:val="11"/>
                <w:b w:val="1"/>
                <w:bCs w:val="1"/>
                <w:color w:val="auto"/>
              </w:rPr>
              <w:t>2025</w:t>
            </w:r>
          </w:p>
        </w:tc>
        <w:tc>
          <w:tcPr>
            <w:tcW w:w="90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08"/>
        </w:trPr>
        <w:tc>
          <w:tcPr>
            <w:tcW w:w="220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CAPITAL</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Risk-based capital metrics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120"/>
              <w:spacing w:after="0"/>
              <w:rPr>
                <w:sz w:val="20"/>
                <w:szCs w:val="20"/>
                <w:color w:val="auto"/>
              </w:rPr>
            </w:pPr>
            <w:r>
              <w:rPr>
                <w:rFonts w:ascii="Arial" w:cs="Arial" w:eastAsia="Arial" w:hAnsi="Arial"/>
                <w:sz w:val="11"/>
                <w:szCs w:val="11"/>
                <w:b w:val="1"/>
                <w:bCs w:val="1"/>
                <w:color w:val="auto"/>
              </w:rPr>
              <w:t>Standardized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291,090</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288,469</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287,297</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283,854</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279,791</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310,253</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307,630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306,599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303,189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299,132</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349,894</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343,843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343,215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335,307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330,533</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Risk-weighted assets</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2,041,683</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1,981,692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1,935,868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1,882,718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1,815,045</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80" w:type="dxa"/>
            <w:vAlign w:val="bottom"/>
          </w:tcPr>
          <w:p>
            <w:pPr>
              <w:spacing w:after="0"/>
              <w:rPr>
                <w:sz w:val="14"/>
                <w:szCs w:val="14"/>
                <w:color w:val="auto"/>
              </w:rPr>
            </w:pP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14.3 % (b)</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14.6 %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14.8 %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15.1 %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15.4 %</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15.2</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16.5</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17.1</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18.2</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200" w:type="dxa"/>
            <w:vAlign w:val="bottom"/>
            <w:gridSpan w:val="2"/>
          </w:tcPr>
          <w:p>
            <w:pPr>
              <w:ind w:left="120"/>
              <w:spacing w:after="0"/>
              <w:rPr>
                <w:sz w:val="20"/>
                <w:szCs w:val="20"/>
                <w:color w:val="auto"/>
              </w:rPr>
            </w:pPr>
            <w:r>
              <w:rPr>
                <w:rFonts w:ascii="Arial" w:cs="Arial" w:eastAsia="Arial" w:hAnsi="Arial"/>
                <w:sz w:val="11"/>
                <w:szCs w:val="11"/>
                <w:b w:val="1"/>
                <w:bCs w:val="1"/>
                <w:color w:val="auto"/>
              </w:rPr>
              <w:t>Advanced</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291,090</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288,469</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287,297</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283,854</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279,791</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310,253</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307,630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306,599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303,189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299,132</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334,305</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328,962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328,356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320,809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316,529</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8"/>
        </w:trPr>
        <w:tc>
          <w:tcPr>
            <w:tcW w:w="2200" w:type="dxa"/>
            <w:vAlign w:val="bottom"/>
            <w:gridSpan w:val="2"/>
            <w:vMerge w:val="restart"/>
          </w:tcPr>
          <w:p>
            <w:pPr>
              <w:ind w:left="200"/>
              <w:spacing w:after="0"/>
              <w:rPr>
                <w:sz w:val="20"/>
                <w:szCs w:val="20"/>
                <w:color w:val="auto"/>
              </w:rPr>
            </w:pPr>
            <w:r>
              <w:rPr>
                <w:rFonts w:ascii="Arial" w:cs="Arial" w:eastAsia="Arial" w:hAnsi="Arial"/>
                <w:sz w:val="11"/>
                <w:szCs w:val="11"/>
                <w:color w:val="auto"/>
              </w:rPr>
              <w:t>Risk-weighted assets</w:t>
            </w:r>
          </w:p>
        </w:tc>
        <w:tc>
          <w:tcPr>
            <w:tcW w:w="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w w:val="93"/>
              </w:rPr>
              <w:t>2,063,578</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w w:val="93"/>
              </w:rPr>
              <w:t>2,045,249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w w:val="93"/>
              </w:rPr>
              <w:t>1,932,404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1,873,142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1,799,055</w:t>
            </w:r>
          </w:p>
        </w:tc>
        <w:tc>
          <w:tcPr>
            <w:tcW w:w="90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2"/>
        </w:trPr>
        <w:tc>
          <w:tcPr>
            <w:tcW w:w="2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80" w:type="dxa"/>
            <w:vAlign w:val="bottom"/>
          </w:tcPr>
          <w:p>
            <w:pPr>
              <w:spacing w:after="0"/>
              <w:rPr>
                <w:sz w:val="14"/>
                <w:szCs w:val="14"/>
                <w:color w:val="auto"/>
              </w:rPr>
            </w:pP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14.1 % (b)</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14.1 %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14.9 %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15.6 %</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15.9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16.6</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16.2</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16.1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17.0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17.6</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Leverage-based capital metrics</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Adjusted average assets (a)</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4,702,917</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4,472,394</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4,464,441</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4,382,220</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4,180,147</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Tier 1 leverage ratio</w:t>
            </w:r>
          </w:p>
        </w:tc>
        <w:tc>
          <w:tcPr>
            <w:tcW w:w="80" w:type="dxa"/>
            <w:vAlign w:val="bottom"/>
          </w:tcPr>
          <w:p>
            <w:pPr>
              <w:spacing w:after="0"/>
              <w:rPr>
                <w:sz w:val="14"/>
                <w:szCs w:val="14"/>
                <w:color w:val="auto"/>
              </w:rPr>
            </w:pP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6.6 % (b)</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7.2 %</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Total leverage exposure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5,576,092</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5,302,001</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5,272,950</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5,161,360</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4,953,480</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SLR</w:t>
            </w:r>
          </w:p>
        </w:tc>
        <w:tc>
          <w:tcPr>
            <w:tcW w:w="80" w:type="dxa"/>
            <w:vAlign w:val="bottom"/>
          </w:tcPr>
          <w:p>
            <w:pPr>
              <w:spacing w:after="0"/>
              <w:rPr>
                <w:sz w:val="14"/>
                <w:szCs w:val="14"/>
                <w:color w:val="auto"/>
              </w:rPr>
            </w:pP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5.6 % (b)</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5.9 %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6.0 %</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Total Loss-Absorbing Capacity (“TLAC”)</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Eligible external TLAC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572,078</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563,743</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567,557</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559,897</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558,303</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62"/>
        </w:trPr>
        <w:tc>
          <w:tcPr>
            <w:tcW w:w="2200" w:type="dxa"/>
            <w:vAlign w:val="bottom"/>
            <w:gridSpan w:val="2"/>
          </w:tcPr>
          <w:p>
            <w:pPr>
              <w:spacing w:after="0"/>
              <w:rPr>
                <w:sz w:val="20"/>
                <w:szCs w:val="20"/>
                <w:color w:val="auto"/>
              </w:rPr>
            </w:pPr>
            <w:r>
              <w:rPr>
                <w:rFonts w:ascii="Arial" w:cs="Arial" w:eastAsia="Arial" w:hAnsi="Arial"/>
                <w:sz w:val="11"/>
                <w:szCs w:val="11"/>
                <w:b w:val="1"/>
                <w:bCs w:val="1"/>
                <w:color w:val="auto"/>
              </w:rPr>
              <w:t>MEMO: CET1 CAPITAL ROLLFORWARD</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20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Standardized/Advanced CET1 capital,</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288,469</w:t>
            </w:r>
          </w:p>
        </w:tc>
        <w:tc>
          <w:tcPr>
            <w:tcW w:w="2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287,297</w:t>
            </w:r>
          </w:p>
        </w:tc>
        <w:tc>
          <w:tcPr>
            <w:tcW w:w="1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283,854</w:t>
            </w:r>
          </w:p>
        </w:tc>
        <w:tc>
          <w:tcPr>
            <w:tcW w:w="1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279,791</w:t>
            </w:r>
          </w:p>
        </w:tc>
        <w:tc>
          <w:tcPr>
            <w:tcW w:w="16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275,513</w:t>
            </w:r>
          </w:p>
        </w:tc>
        <w:tc>
          <w:tcPr>
            <w:tcW w:w="280" w:type="dxa"/>
            <w:vAlign w:val="bottom"/>
          </w:tcPr>
          <w:p>
            <w:pPr>
              <w:spacing w:after="0"/>
              <w:rPr>
                <w:sz w:val="10"/>
                <w:szCs w:val="10"/>
                <w:color w:val="auto"/>
              </w:rPr>
            </w:pPr>
          </w:p>
        </w:tc>
        <w:tc>
          <w:tcPr>
            <w:tcW w:w="1000" w:type="dxa"/>
            <w:vAlign w:val="bottom"/>
            <w:gridSpan w:val="3"/>
            <w:vMerge w:val="restart"/>
          </w:tcPr>
          <w:p>
            <w:pPr>
              <w:jc w:val="right"/>
              <w:ind w:right="5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beginning balance</w:t>
            </w: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Net income applicable to common equity</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16,218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12,745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14,111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14,705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14,388</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27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Dividends declared on common stock</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(4,067)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(4,091)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(4,134)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(3,897)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(3,938)</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Net purchase of treasury stock</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(7,125)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(8,265)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(8,343)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(7,525)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(6,440)</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Changes in additional paid-in capital</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(1,027)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289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353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(688)</w:t>
            </w:r>
          </w:p>
        </w:tc>
        <w:tc>
          <w:tcPr>
            <w:tcW w:w="280" w:type="dxa"/>
            <w:vAlign w:val="bottom"/>
          </w:tcPr>
          <w:p>
            <w:pPr>
              <w:spacing w:after="0"/>
              <w:rPr>
                <w:sz w:val="14"/>
                <w:szCs w:val="14"/>
                <w:color w:val="auto"/>
              </w:rPr>
            </w:pPr>
          </w:p>
        </w:tc>
        <w:tc>
          <w:tcPr>
            <w:tcW w:w="1000" w:type="dxa"/>
            <w:vAlign w:val="bottom"/>
            <w:gridSpan w:val="3"/>
          </w:tcPr>
          <w:p>
            <w:pPr>
              <w:ind w:left="420"/>
              <w:spacing w:after="0"/>
              <w:rPr>
                <w:sz w:val="20"/>
                <w:szCs w:val="20"/>
                <w:color w:val="auto"/>
              </w:rPr>
            </w:pPr>
            <w:r>
              <w:rPr>
                <w:rFonts w:ascii="Arial" w:cs="Arial" w:eastAsia="Arial" w:hAnsi="Arial"/>
                <w:sz w:val="11"/>
                <w:szCs w:val="11"/>
                <w:color w:val="auto"/>
              </w:rPr>
              <w:t>NM</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28"/>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Changes related to AOCI applicable to</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capital: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Unrealized gains/(losses) on investment</w:t>
            </w: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(2,401)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1,295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1,509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(188)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953</w:t>
            </w:r>
          </w:p>
        </w:tc>
        <w:tc>
          <w:tcPr>
            <w:tcW w:w="280" w:type="dxa"/>
            <w:vAlign w:val="bottom"/>
          </w:tcPr>
          <w:p>
            <w:pPr>
              <w:spacing w:after="0"/>
              <w:rPr>
                <w:sz w:val="11"/>
                <w:szCs w:val="11"/>
                <w:color w:val="auto"/>
              </w:rPr>
            </w:pPr>
          </w:p>
        </w:tc>
        <w:tc>
          <w:tcPr>
            <w:tcW w:w="1000" w:type="dxa"/>
            <w:vAlign w:val="bottom"/>
            <w:gridSpan w:val="3"/>
            <w:vMerge w:val="restart"/>
          </w:tcPr>
          <w:p>
            <w:pPr>
              <w:ind w:left="420"/>
              <w:spacing w:after="0"/>
              <w:rPr>
                <w:sz w:val="20"/>
                <w:szCs w:val="20"/>
                <w:color w:val="auto"/>
              </w:rPr>
            </w:pPr>
            <w:r>
              <w:rPr>
                <w:rFonts w:ascii="Arial" w:cs="Arial" w:eastAsia="Arial" w:hAnsi="Arial"/>
                <w:sz w:val="11"/>
                <w:szCs w:val="11"/>
                <w:color w:val="auto"/>
              </w:rPr>
              <w:t>NM</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securities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Translation adjustments, net of hedges</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(167)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868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489</w:t>
            </w:r>
          </w:p>
        </w:tc>
        <w:tc>
          <w:tcPr>
            <w:tcW w:w="280" w:type="dxa"/>
            <w:vAlign w:val="bottom"/>
          </w:tcPr>
          <w:p>
            <w:pPr>
              <w:spacing w:after="0"/>
              <w:rPr>
                <w:sz w:val="14"/>
                <w:szCs w:val="14"/>
                <w:color w:val="auto"/>
              </w:rPr>
            </w:pPr>
          </w:p>
        </w:tc>
        <w:tc>
          <w:tcPr>
            <w:tcW w:w="1000" w:type="dxa"/>
            <w:vAlign w:val="bottom"/>
            <w:gridSpan w:val="3"/>
          </w:tcPr>
          <w:p>
            <w:pPr>
              <w:ind w:left="420"/>
              <w:spacing w:after="0"/>
              <w:rPr>
                <w:sz w:val="20"/>
                <w:szCs w:val="20"/>
                <w:color w:val="auto"/>
              </w:rPr>
            </w:pPr>
            <w:r>
              <w:rPr>
                <w:rFonts w:ascii="Arial" w:cs="Arial" w:eastAsia="Arial" w:hAnsi="Arial"/>
                <w:sz w:val="11"/>
                <w:szCs w:val="11"/>
                <w:color w:val="auto"/>
              </w:rPr>
              <w:t>NM</w:t>
            </w:r>
          </w:p>
        </w:tc>
        <w:tc>
          <w:tcPr>
            <w:tcW w:w="5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Fair value hedges</w:t>
            </w:r>
          </w:p>
        </w:tc>
        <w:tc>
          <w:tcPr>
            <w:tcW w:w="8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900" w:type="dxa"/>
            <w:vAlign w:val="bottom"/>
            <w:gridSpan w:val="2"/>
          </w:tcPr>
          <w:p>
            <w:pPr>
              <w:jc w:val="right"/>
              <w:ind w:right="106"/>
              <w:spacing w:after="0"/>
              <w:rPr>
                <w:sz w:val="20"/>
                <w:szCs w:val="20"/>
                <w:color w:val="auto"/>
              </w:rPr>
            </w:pPr>
            <w:r>
              <w:rPr>
                <w:rFonts w:ascii="Arial" w:cs="Arial" w:eastAsia="Arial" w:hAnsi="Arial"/>
                <w:sz w:val="11"/>
                <w:szCs w:val="11"/>
                <w:color w:val="auto"/>
              </w:rPr>
              <w:t>486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28"/>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Defined benefit pension and other</w:t>
            </w:r>
          </w:p>
        </w:tc>
        <w:tc>
          <w:tcPr>
            <w:tcW w:w="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619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(28)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(16)</w:t>
            </w:r>
          </w:p>
        </w:tc>
        <w:tc>
          <w:tcPr>
            <w:tcW w:w="90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(99)</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0"/>
              <w:spacing w:after="0"/>
              <w:rPr>
                <w:sz w:val="20"/>
                <w:szCs w:val="20"/>
                <w:color w:val="auto"/>
              </w:rPr>
            </w:pPr>
            <w:r>
              <w:rPr>
                <w:rFonts w:ascii="Arial" w:cs="Arial" w:eastAsia="Arial" w:hAnsi="Arial"/>
                <w:sz w:val="11"/>
                <w:szCs w:val="11"/>
                <w:color w:val="auto"/>
              </w:rPr>
              <w:t>postretirement employee benefit plans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Changes related to other CET1 capital</w:t>
            </w:r>
          </w:p>
        </w:tc>
        <w:tc>
          <w:tcPr>
            <w:tcW w:w="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1,145</w:t>
            </w:r>
          </w:p>
        </w:tc>
        <w:tc>
          <w:tcPr>
            <w:tcW w:w="260" w:type="dxa"/>
            <w:vAlign w:val="bottom"/>
            <w:vMerge w:val="restart"/>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1"/>
                <w:szCs w:val="11"/>
                <w:color w:val="auto"/>
              </w:rPr>
            </w:pPr>
          </w:p>
        </w:tc>
        <w:tc>
          <w:tcPr>
            <w:tcW w:w="620" w:type="dxa"/>
            <w:vAlign w:val="bottom"/>
            <w:vMerge w:val="restart"/>
          </w:tcPr>
          <w:p>
            <w:pPr>
              <w:jc w:val="right"/>
              <w:ind w:right="66"/>
              <w:spacing w:after="0"/>
              <w:rPr>
                <w:sz w:val="20"/>
                <w:szCs w:val="20"/>
                <w:color w:val="auto"/>
              </w:rPr>
            </w:pPr>
            <w:r>
              <w:rPr>
                <w:rFonts w:ascii="Arial" w:cs="Arial" w:eastAsia="Arial" w:hAnsi="Arial"/>
                <w:sz w:val="11"/>
                <w:szCs w:val="11"/>
                <w:color w:val="auto"/>
              </w:rPr>
              <w:t>(1,381)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66"/>
              <w:spacing w:after="0"/>
              <w:rPr>
                <w:sz w:val="20"/>
                <w:szCs w:val="20"/>
                <w:color w:val="auto"/>
              </w:rPr>
            </w:pPr>
            <w:r>
              <w:rPr>
                <w:rFonts w:ascii="Arial" w:cs="Arial" w:eastAsia="Arial" w:hAnsi="Arial"/>
                <w:sz w:val="11"/>
                <w:szCs w:val="11"/>
                <w:color w:val="auto"/>
              </w:rPr>
              <w:t>(18)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(217)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(498)</w:t>
            </w:r>
          </w:p>
        </w:tc>
        <w:tc>
          <w:tcPr>
            <w:tcW w:w="280" w:type="dxa"/>
            <w:vAlign w:val="bottom"/>
          </w:tcPr>
          <w:p>
            <w:pPr>
              <w:spacing w:after="0"/>
              <w:rPr>
                <w:sz w:val="11"/>
                <w:szCs w:val="11"/>
                <w:color w:val="auto"/>
              </w:rPr>
            </w:pPr>
          </w:p>
        </w:tc>
        <w:tc>
          <w:tcPr>
            <w:tcW w:w="1000" w:type="dxa"/>
            <w:vAlign w:val="bottom"/>
            <w:gridSpan w:val="3"/>
            <w:vMerge w:val="restart"/>
          </w:tcPr>
          <w:p>
            <w:pPr>
              <w:ind w:left="420"/>
              <w:spacing w:after="0"/>
              <w:rPr>
                <w:sz w:val="20"/>
                <w:szCs w:val="20"/>
                <w:color w:val="auto"/>
              </w:rPr>
            </w:pPr>
            <w:r>
              <w:rPr>
                <w:rFonts w:ascii="Arial" w:cs="Arial" w:eastAsia="Arial" w:hAnsi="Arial"/>
                <w:sz w:val="11"/>
                <w:szCs w:val="11"/>
                <w:color w:val="auto"/>
              </w:rPr>
              <w:t>NM</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5"/>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adjustments</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200" w:type="dxa"/>
            <w:vAlign w:val="bottom"/>
            <w:gridSpan w:val="2"/>
          </w:tcPr>
          <w:p>
            <w:pPr>
              <w:ind w:left="120"/>
              <w:spacing w:after="0" w:line="95" w:lineRule="exact"/>
              <w:rPr>
                <w:sz w:val="20"/>
                <w:szCs w:val="20"/>
                <w:color w:val="auto"/>
              </w:rPr>
            </w:pPr>
            <w:r>
              <w:rPr>
                <w:rFonts w:ascii="Arial" w:cs="Arial" w:eastAsia="Arial" w:hAnsi="Arial"/>
                <w:sz w:val="10"/>
                <w:szCs w:val="10"/>
                <w:b w:val="1"/>
                <w:bCs w:val="1"/>
                <w:color w:val="auto"/>
              </w:rPr>
              <w:t>Change in Standardized/Advanced</w:t>
            </w:r>
          </w:p>
        </w:tc>
        <w:tc>
          <w:tcPr>
            <w:tcW w:w="80" w:type="dxa"/>
            <w:vAlign w:val="bottom"/>
          </w:tcPr>
          <w:p>
            <w:pPr>
              <w:spacing w:after="0"/>
              <w:rPr>
                <w:sz w:val="8"/>
                <w:szCs w:val="8"/>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2,621</w:t>
            </w:r>
          </w:p>
        </w:tc>
        <w:tc>
          <w:tcPr>
            <w:tcW w:w="260" w:type="dxa"/>
            <w:vAlign w:val="bottom"/>
            <w:vMerge w:val="restart"/>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8"/>
                <w:szCs w:val="8"/>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1,172</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3,443</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4,063</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4,278</w:t>
            </w:r>
          </w:p>
        </w:tc>
        <w:tc>
          <w:tcPr>
            <w:tcW w:w="90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124</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55"/>
        </w:trPr>
        <w:tc>
          <w:tcPr>
            <w:tcW w:w="2200" w:type="dxa"/>
            <w:vAlign w:val="bottom"/>
            <w:gridSpan w:val="2"/>
          </w:tcPr>
          <w:p>
            <w:pPr>
              <w:ind w:left="120"/>
              <w:spacing w:after="0"/>
              <w:rPr>
                <w:sz w:val="20"/>
                <w:szCs w:val="20"/>
                <w:color w:val="auto"/>
              </w:rPr>
            </w:pPr>
            <w:r>
              <w:rPr>
                <w:rFonts w:ascii="Arial" w:cs="Arial" w:eastAsia="Arial" w:hAnsi="Arial"/>
                <w:sz w:val="11"/>
                <w:szCs w:val="11"/>
                <w:b w:val="1"/>
                <w:bCs w:val="1"/>
                <w:color w:val="auto"/>
              </w:rPr>
              <w:t>CET1 capital</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200" w:type="dxa"/>
            <w:vAlign w:val="bottom"/>
            <w:gridSpan w:val="2"/>
          </w:tcPr>
          <w:p>
            <w:pPr>
              <w:ind w:left="120"/>
              <w:spacing w:after="0" w:line="95" w:lineRule="exact"/>
              <w:rPr>
                <w:sz w:val="20"/>
                <w:szCs w:val="20"/>
                <w:color w:val="auto"/>
              </w:rPr>
            </w:pPr>
            <w:r>
              <w:rPr>
                <w:rFonts w:ascii="Arial" w:cs="Arial" w:eastAsia="Arial" w:hAnsi="Arial"/>
                <w:sz w:val="10"/>
                <w:szCs w:val="10"/>
                <w:b w:val="1"/>
                <w:bCs w:val="1"/>
                <w:color w:val="auto"/>
              </w:rPr>
              <w:t>Standardized/Advanced CET1 capital,</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291,090</w:t>
            </w:r>
          </w:p>
        </w:tc>
        <w:tc>
          <w:tcPr>
            <w:tcW w:w="260" w:type="dxa"/>
            <w:vAlign w:val="bottom"/>
            <w:vMerge w:val="restart"/>
          </w:tcPr>
          <w:p>
            <w:pPr>
              <w:jc w:val="right"/>
              <w:ind w:right="66"/>
              <w:spacing w:after="0"/>
              <w:rPr>
                <w:sz w:val="20"/>
                <w:szCs w:val="20"/>
                <w:color w:val="auto"/>
              </w:rPr>
            </w:pPr>
            <w:r>
              <w:rPr>
                <w:rFonts w:ascii="Arial" w:cs="Arial" w:eastAsia="Arial" w:hAnsi="Arial"/>
                <w:sz w:val="11"/>
                <w:szCs w:val="11"/>
                <w:color w:val="auto"/>
                <w:w w:val="88"/>
              </w:rPr>
              <w:t>(b)</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288,469</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287,297</w:t>
            </w:r>
          </w:p>
        </w:tc>
        <w:tc>
          <w:tcPr>
            <w:tcW w:w="1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283,854</w:t>
            </w:r>
          </w:p>
        </w:tc>
        <w:tc>
          <w:tcPr>
            <w:tcW w:w="1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279,791</w:t>
            </w:r>
          </w:p>
        </w:tc>
        <w:tc>
          <w:tcPr>
            <w:tcW w:w="90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0"/>
        </w:trPr>
        <w:tc>
          <w:tcPr>
            <w:tcW w:w="220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405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58" w:lineRule="exact"/>
        <w:rPr>
          <w:sz w:val="20"/>
          <w:szCs w:val="20"/>
          <w:color w:val="auto"/>
        </w:rPr>
      </w:pPr>
    </w:p>
    <w:p>
      <w:pPr>
        <w:ind w:left="180" w:right="160" w:hanging="172"/>
        <w:spacing w:after="0" w:line="249" w:lineRule="auto"/>
        <w:tabs>
          <w:tab w:leader="none" w:pos="177" w:val="left"/>
        </w:tabs>
        <w:numPr>
          <w:ilvl w:val="0"/>
          <w:numId w:val="19"/>
        </w:numPr>
        <w:rPr>
          <w:rFonts w:ascii="Arial" w:cs="Arial" w:eastAsia="Arial" w:hAnsi="Arial"/>
          <w:sz w:val="11"/>
          <w:szCs w:val="11"/>
          <w:color w:val="auto"/>
        </w:rPr>
      </w:pPr>
      <w:r>
        <w:rPr>
          <w:rFonts w:ascii="Arial" w:cs="Arial" w:eastAsia="Arial" w:hAnsi="Arial"/>
          <w:sz w:val="11"/>
          <w:szCs w:val="11"/>
          <w:color w:val="auto"/>
        </w:rPr>
        <w:t>Adjusted average assets, for purposes of calculating the leverage ratios, includes quarterly average assets adjusted for on-balance sheet assets that are subject to deduction from Tier 1 capital, predominantly goodwill (inclusive of estimated equity method goodwill) and other intangible assets.</w:t>
      </w:r>
    </w:p>
    <w:p>
      <w:pPr>
        <w:ind w:left="160" w:hanging="152"/>
        <w:spacing w:after="0" w:line="236" w:lineRule="auto"/>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Estimated.</w:t>
      </w:r>
    </w:p>
    <w:p>
      <w:pPr>
        <w:ind w:left="180" w:right="480" w:hanging="172"/>
        <w:spacing w:after="0" w:line="266" w:lineRule="auto"/>
        <w:tabs>
          <w:tab w:leader="none" w:pos="171" w:val="left"/>
        </w:tabs>
        <w:numPr>
          <w:ilvl w:val="0"/>
          <w:numId w:val="19"/>
        </w:numPr>
        <w:rPr>
          <w:rFonts w:ascii="Arial" w:cs="Arial" w:eastAsia="Arial" w:hAnsi="Arial"/>
          <w:sz w:val="11"/>
          <w:szCs w:val="11"/>
          <w:color w:val="auto"/>
        </w:rPr>
      </w:pPr>
      <w:r>
        <w:rPr>
          <w:rFonts w:ascii="Arial" w:cs="Arial" w:eastAsia="Arial" w:hAnsi="Arial"/>
          <w:sz w:val="11"/>
          <w:szCs w:val="11"/>
          <w:color w:val="auto"/>
        </w:rPr>
        <w:t>As of March 31, 2026, reflects the updated impact to the amount of risk-weighted assets (“RWA”) resulting from the completion of the necessary modeling steps for the Apple Card transaction of approximately $30 billion, as compared to the impact of approximately $110 billion as of December 31, 2025. Refer to Capital Risk Management on pages 89-99 of the Firm’s 2025 Form 10-K for additional information.</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9</w:t>
      </w:r>
    </w:p>
    <w:p>
      <w:pPr>
        <w:sectPr>
          <w:pgSz w:w="11900" w:h="16838" w:orient="portrait"/>
          <w:cols w:equalWidth="0" w:num="1">
            <w:col w:w="11240"/>
          </w:cols>
          <w:pgMar w:left="320" w:top="491"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4022725</wp:posOffset>
            </wp:positionH>
            <wp:positionV relativeFrom="page">
              <wp:posOffset>311785</wp:posOffset>
            </wp:positionV>
            <wp:extent cx="1397000" cy="197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right="7120"/>
        <w:spacing w:after="0" w:line="256" w:lineRule="auto"/>
        <w:rPr>
          <w:sz w:val="20"/>
          <w:szCs w:val="20"/>
          <w:color w:val="auto"/>
        </w:rPr>
      </w:pPr>
      <w:r>
        <w:rPr>
          <w:rFonts w:ascii="Arial" w:cs="Arial" w:eastAsia="Arial" w:hAnsi="Arial"/>
          <w:sz w:val="14"/>
          <w:szCs w:val="14"/>
          <w:b w:val="1"/>
          <w:bCs w:val="1"/>
          <w:color w:val="auto"/>
        </w:rPr>
        <w:t>CAPITAL AND OTHER SELECTED BALANCE SHEET ITEMS, CONTINUED</w:t>
      </w: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4"/>
          </w:tcPr>
          <w:p>
            <w:pPr>
              <w:jc w:val="right"/>
              <w:ind w:right="366"/>
              <w:spacing w:after="0"/>
              <w:rPr>
                <w:sz w:val="20"/>
                <w:szCs w:val="20"/>
                <w:color w:val="auto"/>
              </w:rPr>
            </w:pPr>
            <w:r>
              <w:rPr>
                <w:rFonts w:ascii="Arial" w:cs="Arial" w:eastAsia="Arial" w:hAnsi="Arial"/>
                <w:sz w:val="11"/>
                <w:szCs w:val="11"/>
                <w:b w:val="1"/>
                <w:bCs w:val="1"/>
                <w:color w:val="auto"/>
              </w:rPr>
              <w:t>Mar 31, 2026</w:t>
            </w:r>
          </w:p>
        </w:tc>
      </w:tr>
      <w:tr>
        <w:trPr>
          <w:trHeight w:val="170"/>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gridSpan w:val="3"/>
          </w:tcPr>
          <w:p>
            <w:pPr>
              <w:ind w:left="560"/>
              <w:spacing w:after="0"/>
              <w:rPr>
                <w:sz w:val="20"/>
                <w:szCs w:val="20"/>
                <w:color w:val="auto"/>
              </w:rPr>
            </w:pPr>
            <w:r>
              <w:rPr>
                <w:rFonts w:ascii="Arial" w:cs="Arial" w:eastAsia="Arial" w:hAnsi="Arial"/>
                <w:sz w:val="11"/>
                <w:szCs w:val="11"/>
                <w:b w:val="1"/>
                <w:bCs w:val="1"/>
                <w:color w:val="auto"/>
                <w:w w:val="99"/>
              </w:rPr>
              <w:t>Change</w:t>
            </w:r>
          </w:p>
        </w:tc>
        <w:tc>
          <w:tcPr>
            <w:tcW w:w="520" w:type="dxa"/>
            <w:vAlign w:val="bottom"/>
            <w:tcBorders>
              <w:bottom w:val="single" w:sz="8" w:color="auto"/>
            </w:tcBorders>
          </w:tcPr>
          <w:p>
            <w:pPr>
              <w:spacing w:after="0"/>
              <w:rPr>
                <w:sz w:val="14"/>
                <w:szCs w:val="14"/>
                <w:color w:val="auto"/>
              </w:rPr>
            </w:pPr>
          </w:p>
        </w:tc>
      </w:tr>
      <w:tr>
        <w:trPr>
          <w:trHeight w:val="148"/>
        </w:trPr>
        <w:tc>
          <w:tcPr>
            <w:tcW w:w="1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2"/>
                <w:szCs w:val="12"/>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Mar 31,</w:t>
            </w:r>
          </w:p>
        </w:tc>
        <w:tc>
          <w:tcPr>
            <w:tcW w:w="280" w:type="dxa"/>
            <w:vAlign w:val="bottom"/>
          </w:tcPr>
          <w:p>
            <w:pPr>
              <w:spacing w:after="0"/>
              <w:rPr>
                <w:sz w:val="12"/>
                <w:szCs w:val="12"/>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98"/>
              </w:rPr>
              <w:t>Dec 31,</w:t>
            </w: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rPr>
              <w:t>Mar 31,</w:t>
            </w:r>
          </w:p>
        </w:tc>
      </w:tr>
      <w:tr>
        <w:trPr>
          <w:trHeight w:val="170"/>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2025</w:t>
            </w:r>
          </w:p>
        </w:tc>
        <w:tc>
          <w:tcPr>
            <w:tcW w:w="88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2025</w:t>
            </w:r>
          </w:p>
        </w:tc>
      </w:tr>
      <w:tr>
        <w:trPr>
          <w:trHeight w:val="108"/>
        </w:trPr>
        <w:tc>
          <w:tcPr>
            <w:tcW w:w="234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1"/>
                <w:szCs w:val="11"/>
                <w:b w:val="1"/>
                <w:bCs w:val="1"/>
                <w:color w:val="auto"/>
                <w:w w:val="97"/>
              </w:rPr>
              <w:t>TANGIBLE COMMON EQUITY (period-end) (a)</w:t>
            </w: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r>
      <w:tr>
        <w:trPr>
          <w:trHeight w:val="163"/>
        </w:trPr>
        <w:tc>
          <w:tcPr>
            <w:tcW w:w="2520" w:type="dxa"/>
            <w:vAlign w:val="bottom"/>
            <w:gridSpan w:val="4"/>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343,993</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342,393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340,167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336,879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331,375</w:t>
            </w:r>
          </w:p>
        </w:tc>
        <w:tc>
          <w:tcPr>
            <w:tcW w:w="28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1"/>
                <w:szCs w:val="11"/>
                <w:color w:val="auto"/>
              </w:rPr>
              <w:t>— %</w:t>
            </w:r>
          </w:p>
        </w:tc>
        <w:tc>
          <w:tcPr>
            <w:tcW w:w="520" w:type="dxa"/>
            <w:vAlign w:val="bottom"/>
          </w:tcPr>
          <w:p>
            <w:pPr>
              <w:jc w:val="right"/>
              <w:spacing w:after="0"/>
              <w:rPr>
                <w:sz w:val="20"/>
                <w:szCs w:val="20"/>
                <w:color w:val="auto"/>
              </w:rPr>
            </w:pPr>
            <w:r>
              <w:rPr>
                <w:rFonts w:ascii="Arial" w:cs="Arial" w:eastAsia="Arial" w:hAnsi="Arial"/>
                <w:sz w:val="11"/>
                <w:szCs w:val="11"/>
                <w:color w:val="auto"/>
              </w:rPr>
              <w:t>4 %</w:t>
            </w: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Less: Goodwill</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52,621</w:t>
            </w:r>
          </w:p>
        </w:tc>
        <w:tc>
          <w:tcPr>
            <w:tcW w:w="28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Less: Other intangible assets</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2,490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2,560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2,777</w:t>
            </w: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(10)</w:t>
            </w:r>
          </w:p>
        </w:tc>
      </w:tr>
      <w:tr>
        <w:trPr>
          <w:trHeight w:val="175"/>
        </w:trPr>
        <w:tc>
          <w:tcPr>
            <w:tcW w:w="2520" w:type="dxa"/>
            <w:vAlign w:val="bottom"/>
            <w:gridSpan w:val="4"/>
          </w:tcPr>
          <w:p>
            <w:pPr>
              <w:spacing w:after="0"/>
              <w:rPr>
                <w:sz w:val="20"/>
                <w:szCs w:val="20"/>
                <w:color w:val="auto"/>
              </w:rPr>
            </w:pPr>
            <w:r>
              <w:rPr>
                <w:rFonts w:ascii="Arial" w:cs="Arial" w:eastAsia="Arial" w:hAnsi="Arial"/>
                <w:sz w:val="11"/>
                <w:szCs w:val="11"/>
                <w:color w:val="auto"/>
              </w:rPr>
              <w:t>Add: Certain deferred tax liabilities (b)</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2,911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2,916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2,906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2,928</w:t>
            </w:r>
          </w:p>
        </w:tc>
        <w:tc>
          <w:tcPr>
            <w:tcW w:w="280" w:type="dxa"/>
            <w:vAlign w:val="bottom"/>
          </w:tcPr>
          <w:p>
            <w:pPr>
              <w:spacing w:after="0"/>
              <w:rPr>
                <w:sz w:val="15"/>
                <w:szCs w:val="15"/>
                <w:color w:val="auto"/>
              </w:rPr>
            </w:pPr>
          </w:p>
        </w:tc>
        <w:tc>
          <w:tcPr>
            <w:tcW w:w="98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69"/>
        </w:trPr>
        <w:tc>
          <w:tcPr>
            <w:tcW w:w="25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291,708</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290,018</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287,741</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284,333</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278,905</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w:t>
            </w: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b w:val="1"/>
                <w:bCs w:val="1"/>
                <w:color w:val="auto"/>
              </w:rPr>
              <w:t>TANGIBLE COMMON EQUITY (average) (a)</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Common stockholders’ equity</w:t>
            </w:r>
          </w:p>
        </w:tc>
        <w:tc>
          <w:tcPr>
            <w:tcW w:w="340" w:type="dxa"/>
            <w:vAlign w:val="bottom"/>
            <w:gridSpan w:val="2"/>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341,050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340,321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336,335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329,797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324,345</w:t>
            </w:r>
          </w:p>
        </w:tc>
        <w:tc>
          <w:tcPr>
            <w:tcW w:w="28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w:t>
            </w: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Less: Goodwill</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52,737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52,703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52,692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52,581</w:t>
            </w:r>
          </w:p>
        </w:tc>
        <w:tc>
          <w:tcPr>
            <w:tcW w:w="28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Less: Other intangible assets</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2,678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2,830</w:t>
            </w: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(11)</w:t>
            </w:r>
          </w:p>
        </w:tc>
      </w:tr>
      <w:tr>
        <w:trPr>
          <w:trHeight w:val="175"/>
        </w:trPr>
        <w:tc>
          <w:tcPr>
            <w:tcW w:w="2520" w:type="dxa"/>
            <w:vAlign w:val="bottom"/>
            <w:gridSpan w:val="4"/>
          </w:tcPr>
          <w:p>
            <w:pPr>
              <w:spacing w:after="0"/>
              <w:rPr>
                <w:sz w:val="20"/>
                <w:szCs w:val="20"/>
                <w:color w:val="auto"/>
              </w:rPr>
            </w:pPr>
            <w:r>
              <w:rPr>
                <w:rFonts w:ascii="Arial" w:cs="Arial" w:eastAsia="Arial" w:hAnsi="Arial"/>
                <w:sz w:val="11"/>
                <w:szCs w:val="11"/>
                <w:color w:val="auto"/>
              </w:rPr>
              <w:t>Add: Certain deferred tax liabilities (b)</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2,915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2,903</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2,917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2,926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2,938</w:t>
            </w:r>
          </w:p>
        </w:tc>
        <w:tc>
          <w:tcPr>
            <w:tcW w:w="280" w:type="dxa"/>
            <w:vAlign w:val="bottom"/>
          </w:tcPr>
          <w:p>
            <w:pPr>
              <w:spacing w:after="0"/>
              <w:rPr>
                <w:sz w:val="15"/>
                <w:szCs w:val="15"/>
                <w:color w:val="auto"/>
              </w:rPr>
            </w:pPr>
          </w:p>
        </w:tc>
        <w:tc>
          <w:tcPr>
            <w:tcW w:w="98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69"/>
        </w:trPr>
        <w:tc>
          <w:tcPr>
            <w:tcW w:w="25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288,710</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287,947</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283,843</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277,290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271,872</w:t>
            </w:r>
          </w:p>
        </w:tc>
        <w:tc>
          <w:tcPr>
            <w:tcW w:w="28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w:t>
            </w:r>
          </w:p>
        </w:tc>
      </w:tr>
      <w:tr>
        <w:trPr>
          <w:trHeight w:val="162"/>
        </w:trPr>
        <w:tc>
          <w:tcPr>
            <w:tcW w:w="17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INTANGIBLE ASSETS (period-end)</w:t>
            </w:r>
          </w:p>
        </w:tc>
        <w:tc>
          <w:tcPr>
            <w:tcW w:w="7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2520" w:type="dxa"/>
            <w:vAlign w:val="bottom"/>
            <w:gridSpan w:val="4"/>
          </w:tcPr>
          <w:p>
            <w:pPr>
              <w:spacing w:after="0"/>
              <w:rPr>
                <w:sz w:val="20"/>
                <w:szCs w:val="20"/>
                <w:color w:val="auto"/>
              </w:rPr>
            </w:pPr>
            <w:r>
              <w:rPr>
                <w:rFonts w:ascii="Arial" w:cs="Arial" w:eastAsia="Arial" w:hAnsi="Arial"/>
                <w:sz w:val="11"/>
                <w:szCs w:val="11"/>
                <w:color w:val="auto"/>
              </w:rPr>
              <w:t>Goodwill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52,706</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52,731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52,717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52,747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52,621</w:t>
            </w:r>
          </w:p>
        </w:tc>
        <w:tc>
          <w:tcPr>
            <w:tcW w:w="28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Mortgage servicing rights</w:t>
            </w: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9,093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9,167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9,110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8,996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9,127</w:t>
            </w: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75"/>
        </w:trPr>
        <w:tc>
          <w:tcPr>
            <w:tcW w:w="2520" w:type="dxa"/>
            <w:vAlign w:val="bottom"/>
            <w:gridSpan w:val="4"/>
          </w:tcPr>
          <w:p>
            <w:pPr>
              <w:spacing w:after="0"/>
              <w:rPr>
                <w:sz w:val="20"/>
                <w:szCs w:val="20"/>
                <w:color w:val="auto"/>
              </w:rPr>
            </w:pPr>
            <w:r>
              <w:rPr>
                <w:rFonts w:ascii="Arial" w:cs="Arial" w:eastAsia="Arial" w:hAnsi="Arial"/>
                <w:sz w:val="11"/>
                <w:szCs w:val="11"/>
                <w:color w:val="auto"/>
              </w:rPr>
              <w:t>Other intangible assets</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2,490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2,560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2,615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2,777</w:t>
            </w: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(10)</w:t>
            </w:r>
          </w:p>
        </w:tc>
      </w:tr>
      <w:tr>
        <w:trPr>
          <w:trHeight w:val="169"/>
        </w:trPr>
        <w:tc>
          <w:tcPr>
            <w:tcW w:w="25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intangible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64,289</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64,458</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64,442</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64,465</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64,525</w:t>
            </w:r>
          </w:p>
        </w:tc>
        <w:tc>
          <w:tcPr>
            <w:tcW w:w="28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602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385"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Refer to page 28 for further discussion of TCE.</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Represents deferred tax liabilities related to tax-deductible goodwill and to identifiable intangibles created in nontaxable transactions, which are netted against goodwill and other intangibles when calculating TCE.</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10</w:t>
      </w:r>
    </w:p>
    <w:p>
      <w:pPr>
        <w:sectPr>
          <w:pgSz w:w="11900" w:h="16838" w:orient="portrait"/>
          <w:cols w:equalWidth="0" w:num="1">
            <w:col w:w="11240"/>
          </w:cols>
          <w:pgMar w:left="320" w:top="491" w:right="339" w:bottom="1440" w:gutter="0" w:footer="0" w:header="0"/>
        </w:sectPr>
      </w:pPr>
    </w:p>
    <w:bookmarkStart w:id="22" w:name="page23"/>
    <w:bookmarkEnd w:id="22"/>
    <w:p>
      <w:pPr>
        <w:ind w:left="12"/>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4100195</wp:posOffset>
            </wp:positionH>
            <wp:positionV relativeFrom="page">
              <wp:posOffset>311785</wp:posOffset>
            </wp:positionV>
            <wp:extent cx="139700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12" w:right="7480"/>
        <w:spacing w:after="0" w:line="276" w:lineRule="auto"/>
        <w:rPr>
          <w:sz w:val="20"/>
          <w:szCs w:val="20"/>
          <w:color w:val="auto"/>
        </w:rPr>
      </w:pPr>
      <w:r>
        <w:rPr>
          <w:rFonts w:ascii="Arial" w:cs="Arial" w:eastAsia="Arial" w:hAnsi="Arial"/>
          <w:sz w:val="14"/>
          <w:szCs w:val="14"/>
          <w:b w:val="1"/>
          <w:bCs w:val="1"/>
          <w:color w:val="auto"/>
        </w:rPr>
        <w:t xml:space="preserve">EARNINGS PER SHARE AND RELATED INFORMATION </w:t>
      </w:r>
      <w:r>
        <w:rPr>
          <w:rFonts w:ascii="Arial" w:cs="Arial" w:eastAsia="Arial" w:hAnsi="Arial"/>
          <w:sz w:val="10"/>
          <w:szCs w:val="10"/>
          <w:b w:val="1"/>
          <w:bCs w:val="1"/>
          <w:color w:val="auto"/>
        </w:rPr>
        <w:t>(in millions, except per share and ratio data)</w:t>
      </w:r>
    </w:p>
    <w:p>
      <w:pPr>
        <w:spacing w:after="0" w:line="260" w:lineRule="exact"/>
        <w:rPr>
          <w:sz w:val="20"/>
          <w:szCs w:val="20"/>
          <w:color w:val="auto"/>
        </w:rPr>
      </w:pPr>
    </w:p>
    <w:tbl>
      <w:tblPr>
        <w:tblLayout w:type="fixed"/>
        <w:tblInd w:w="12" w:type="dxa"/>
        <w:tblCellMar>
          <w:top w:w="0" w:type="dxa"/>
          <w:left w:w="0" w:type="dxa"/>
          <w:bottom w:w="0" w:type="dxa"/>
          <w:right w:w="0" w:type="dxa"/>
        </w:tblCellMar>
      </w:tblP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right"/>
              <w:ind w:right="6"/>
              <w:spacing w:after="0"/>
              <w:rPr>
                <w:sz w:val="20"/>
                <w:szCs w:val="20"/>
                <w:color w:val="auto"/>
              </w:rPr>
            </w:pPr>
            <w:r>
              <w:rPr>
                <w:rFonts w:ascii="Arial" w:cs="Arial" w:eastAsia="Arial" w:hAnsi="Arial"/>
                <w:sz w:val="11"/>
                <w:szCs w:val="11"/>
                <w:b w:val="1"/>
                <w:bCs w:val="1"/>
                <w:color w:val="auto"/>
              </w:rPr>
              <w:t>QUARTERLY TRENDS</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1Q26</w:t>
            </w:r>
          </w:p>
        </w:tc>
        <w:tc>
          <w:tcPr>
            <w:tcW w:w="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4Q25</w:t>
            </w:r>
          </w:p>
        </w:tc>
        <w:tc>
          <w:tcPr>
            <w:tcW w:w="12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3Q25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2Q25</w:t>
            </w:r>
          </w:p>
        </w:tc>
        <w:tc>
          <w:tcPr>
            <w:tcW w:w="200" w:type="dxa"/>
            <w:vAlign w:val="bottom"/>
          </w:tcPr>
          <w:p>
            <w:pPr>
              <w:spacing w:after="0"/>
              <w:rPr>
                <w:sz w:val="13"/>
                <w:szCs w:val="13"/>
                <w:color w:val="auto"/>
              </w:rPr>
            </w:pPr>
          </w:p>
        </w:tc>
        <w:tc>
          <w:tcPr>
            <w:tcW w:w="560" w:type="dxa"/>
            <w:vAlign w:val="bottom"/>
          </w:tcPr>
          <w:p>
            <w:pPr>
              <w:jc w:val="right"/>
              <w:ind w:right="206"/>
              <w:spacing w:after="0"/>
              <w:rPr>
                <w:sz w:val="20"/>
                <w:szCs w:val="20"/>
                <w:color w:val="auto"/>
              </w:rPr>
            </w:pPr>
            <w:r>
              <w:rPr>
                <w:rFonts w:ascii="Arial" w:cs="Arial" w:eastAsia="Arial" w:hAnsi="Arial"/>
                <w:sz w:val="11"/>
                <w:szCs w:val="11"/>
                <w:b w:val="1"/>
                <w:bCs w:val="1"/>
                <w:color w:val="auto"/>
              </w:rPr>
              <w:t>1Q25</w:t>
            </w:r>
          </w:p>
        </w:tc>
        <w:tc>
          <w:tcPr>
            <w:tcW w:w="26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108"/>
        </w:trPr>
        <w:tc>
          <w:tcPr>
            <w:tcW w:w="1240" w:type="dxa"/>
            <w:vAlign w:val="bottom"/>
            <w:tcBorders>
              <w:bottom w:val="single" w:sz="8" w:color="auto"/>
            </w:tcBorders>
            <w:gridSpan w:val="4"/>
          </w:tcPr>
          <w:p>
            <w:pPr>
              <w:spacing w:after="0" w:line="108" w:lineRule="exact"/>
              <w:rPr>
                <w:sz w:val="20"/>
                <w:szCs w:val="20"/>
                <w:color w:val="auto"/>
              </w:rPr>
            </w:pPr>
            <w:r>
              <w:rPr>
                <w:rFonts w:ascii="Arial" w:cs="Arial" w:eastAsia="Arial" w:hAnsi="Arial"/>
                <w:sz w:val="11"/>
                <w:szCs w:val="11"/>
                <w:b w:val="1"/>
                <w:bCs w:val="1"/>
                <w:color w:val="auto"/>
                <w:w w:val="97"/>
              </w:rPr>
              <w:t>EARNINGS PER SHARE</w:t>
            </w:r>
          </w:p>
        </w:tc>
        <w:tc>
          <w:tcPr>
            <w:tcW w:w="106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300" w:type="dxa"/>
            <w:vAlign w:val="bottom"/>
            <w:gridSpan w:val="6"/>
          </w:tcPr>
          <w:p>
            <w:pPr>
              <w:spacing w:after="0"/>
              <w:rPr>
                <w:sz w:val="20"/>
                <w:szCs w:val="20"/>
                <w:color w:val="auto"/>
              </w:rPr>
            </w:pPr>
            <w:r>
              <w:rPr>
                <w:rFonts w:ascii="Arial" w:cs="Arial" w:eastAsia="Arial" w:hAnsi="Arial"/>
                <w:sz w:val="11"/>
                <w:szCs w:val="11"/>
                <w:b w:val="1"/>
                <w:bCs w:val="1"/>
                <w:color w:val="auto"/>
              </w:rPr>
              <w:t>Basic earnings per share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gridSpan w:val="6"/>
          </w:tcPr>
          <w:p>
            <w:pPr>
              <w:ind w:left="120"/>
              <w:spacing w:after="0"/>
              <w:rPr>
                <w:sz w:val="20"/>
                <w:szCs w:val="20"/>
                <w:color w:val="auto"/>
              </w:rPr>
            </w:pPr>
            <w:r>
              <w:rPr>
                <w:rFonts w:ascii="Arial" w:cs="Arial" w:eastAsia="Arial" w:hAnsi="Arial"/>
                <w:sz w:val="11"/>
                <w:szCs w:val="11"/>
                <w:color w:val="auto"/>
              </w:rPr>
              <w:t>Net income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16,494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13,025</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14,393</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14,987</w:t>
            </w:r>
          </w:p>
        </w:tc>
        <w:tc>
          <w:tcPr>
            <w:tcW w:w="2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14,643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27 %</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75"/>
        </w:trPr>
        <w:tc>
          <w:tcPr>
            <w:tcW w:w="2300" w:type="dxa"/>
            <w:vAlign w:val="bottom"/>
            <w:gridSpan w:val="6"/>
          </w:tcPr>
          <w:p>
            <w:pPr>
              <w:ind w:left="120"/>
              <w:spacing w:after="0"/>
              <w:rPr>
                <w:sz w:val="20"/>
                <w:szCs w:val="20"/>
                <w:color w:val="auto"/>
              </w:rPr>
            </w:pPr>
            <w:r>
              <w:rPr>
                <w:rFonts w:ascii="Arial" w:cs="Arial" w:eastAsia="Arial" w:hAnsi="Arial"/>
                <w:sz w:val="11"/>
                <w:szCs w:val="11"/>
                <w:color w:val="auto"/>
              </w:rPr>
              <w:t>Less: Preferred stock dividends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276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280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282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282</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255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95"/>
        </w:trPr>
        <w:tc>
          <w:tcPr>
            <w:tcW w:w="2300" w:type="dxa"/>
            <w:vAlign w:val="bottom"/>
            <w:gridSpan w:val="6"/>
          </w:tcPr>
          <w:p>
            <w:pPr>
              <w:ind w:left="200"/>
              <w:spacing w:after="0" w:line="95" w:lineRule="exact"/>
              <w:rPr>
                <w:sz w:val="20"/>
                <w:szCs w:val="20"/>
                <w:color w:val="auto"/>
              </w:rPr>
            </w:pPr>
            <w:r>
              <w:rPr>
                <w:rFonts w:ascii="Arial" w:cs="Arial" w:eastAsia="Arial" w:hAnsi="Arial"/>
                <w:sz w:val="10"/>
                <w:szCs w:val="10"/>
                <w:b w:val="1"/>
                <w:bCs w:val="1"/>
                <w:color w:val="auto"/>
              </w:rPr>
              <w:t>Net income applicable to common</w:t>
            </w:r>
          </w:p>
        </w:tc>
        <w:tc>
          <w:tcPr>
            <w:tcW w:w="12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16,218</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12,745</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14,111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14,705</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14,388</w:t>
            </w:r>
          </w:p>
        </w:tc>
        <w:tc>
          <w:tcPr>
            <w:tcW w:w="9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27</w:t>
            </w:r>
          </w:p>
        </w:tc>
        <w:tc>
          <w:tcPr>
            <w:tcW w:w="260" w:type="dxa"/>
            <w:vAlign w:val="bottom"/>
          </w:tcPr>
          <w:p>
            <w:pPr>
              <w:spacing w:after="0"/>
              <w:rPr>
                <w:sz w:val="8"/>
                <w:szCs w:val="8"/>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8"/>
        </w:trPr>
        <w:tc>
          <w:tcPr>
            <w:tcW w:w="2300" w:type="dxa"/>
            <w:vAlign w:val="bottom"/>
            <w:gridSpan w:val="6"/>
          </w:tcPr>
          <w:p>
            <w:pPr>
              <w:ind w:left="200"/>
              <w:spacing w:after="0"/>
              <w:rPr>
                <w:sz w:val="20"/>
                <w:szCs w:val="20"/>
                <w:color w:val="auto"/>
              </w:rPr>
            </w:pPr>
            <w:r>
              <w:rPr>
                <w:rFonts w:ascii="Arial" w:cs="Arial" w:eastAsia="Arial" w:hAnsi="Arial"/>
                <w:sz w:val="11"/>
                <w:szCs w:val="11"/>
                <w:b w:val="1"/>
                <w:bCs w:val="1"/>
                <w:color w:val="auto"/>
              </w:rPr>
              <w:t>equity</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00" w:type="dxa"/>
            <w:vAlign w:val="bottom"/>
            <w:gridSpan w:val="6"/>
          </w:tcPr>
          <w:p>
            <w:pPr>
              <w:ind w:left="120"/>
              <w:spacing w:after="0" w:line="122" w:lineRule="exact"/>
              <w:rPr>
                <w:sz w:val="20"/>
                <w:szCs w:val="20"/>
                <w:color w:val="auto"/>
              </w:rPr>
            </w:pPr>
            <w:r>
              <w:rPr>
                <w:rFonts w:ascii="Arial" w:cs="Arial" w:eastAsia="Arial" w:hAnsi="Arial"/>
                <w:sz w:val="11"/>
                <w:szCs w:val="11"/>
                <w:color w:val="auto"/>
              </w:rPr>
              <w:t>Less: Dividends and undistributed earnings</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00" w:type="dxa"/>
            <w:vAlign w:val="bottom"/>
            <w:gridSpan w:val="6"/>
          </w:tcPr>
          <w:p>
            <w:pPr>
              <w:ind w:left="120"/>
              <w:spacing w:after="0"/>
              <w:rPr>
                <w:sz w:val="20"/>
                <w:szCs w:val="20"/>
                <w:color w:val="auto"/>
              </w:rPr>
            </w:pPr>
            <w:r>
              <w:rPr>
                <w:rFonts w:ascii="Arial" w:cs="Arial" w:eastAsia="Arial" w:hAnsi="Arial"/>
                <w:sz w:val="11"/>
                <w:szCs w:val="11"/>
                <w:color w:val="auto"/>
              </w:rPr>
              <w:t>allocated to</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6"/>
          </w:tcPr>
          <w:p>
            <w:pPr>
              <w:ind w:left="160"/>
              <w:spacing w:after="0"/>
              <w:rPr>
                <w:sz w:val="20"/>
                <w:szCs w:val="20"/>
                <w:color w:val="auto"/>
              </w:rPr>
            </w:pPr>
            <w:r>
              <w:rPr>
                <w:rFonts w:ascii="Arial" w:cs="Arial" w:eastAsia="Arial" w:hAnsi="Arial"/>
                <w:sz w:val="11"/>
                <w:szCs w:val="11"/>
                <w:color w:val="auto"/>
              </w:rPr>
              <w:t>participating securities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71</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25</w:t>
            </w:r>
          </w:p>
        </w:tc>
        <w:tc>
          <w:tcPr>
            <w:tcW w:w="26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5"/>
        </w:trPr>
        <w:tc>
          <w:tcPr>
            <w:tcW w:w="2300" w:type="dxa"/>
            <w:vAlign w:val="bottom"/>
            <w:gridSpan w:val="6"/>
          </w:tcPr>
          <w:p>
            <w:pPr>
              <w:ind w:left="200"/>
              <w:spacing w:after="0" w:line="95" w:lineRule="exact"/>
              <w:rPr>
                <w:sz w:val="20"/>
                <w:szCs w:val="20"/>
                <w:color w:val="auto"/>
              </w:rPr>
            </w:pPr>
            <w:r>
              <w:rPr>
                <w:rFonts w:ascii="Arial" w:cs="Arial" w:eastAsia="Arial" w:hAnsi="Arial"/>
                <w:sz w:val="10"/>
                <w:szCs w:val="10"/>
                <w:b w:val="1"/>
                <w:bCs w:val="1"/>
                <w:color w:val="auto"/>
              </w:rPr>
              <w:t>Net income applicable to common</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16,148</w:t>
            </w:r>
          </w:p>
        </w:tc>
        <w:tc>
          <w:tcPr>
            <w:tcW w:w="18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12,689</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14,043</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14,630</w:t>
            </w:r>
          </w:p>
        </w:tc>
        <w:tc>
          <w:tcPr>
            <w:tcW w:w="200" w:type="dxa"/>
            <w:vAlign w:val="bottom"/>
          </w:tcPr>
          <w:p>
            <w:pPr>
              <w:spacing w:after="0"/>
              <w:rPr>
                <w:sz w:val="8"/>
                <w:szCs w:val="8"/>
                <w:color w:val="auto"/>
              </w:rPr>
            </w:pPr>
          </w:p>
        </w:tc>
        <w:tc>
          <w:tcPr>
            <w:tcW w:w="2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14,317</w:t>
            </w:r>
          </w:p>
        </w:tc>
        <w:tc>
          <w:tcPr>
            <w:tcW w:w="9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27</w:t>
            </w:r>
          </w:p>
        </w:tc>
        <w:tc>
          <w:tcPr>
            <w:tcW w:w="260" w:type="dxa"/>
            <w:vAlign w:val="bottom"/>
          </w:tcPr>
          <w:p>
            <w:pPr>
              <w:spacing w:after="0"/>
              <w:rPr>
                <w:sz w:val="8"/>
                <w:szCs w:val="8"/>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5"/>
        </w:trPr>
        <w:tc>
          <w:tcPr>
            <w:tcW w:w="2300" w:type="dxa"/>
            <w:vAlign w:val="bottom"/>
            <w:gridSpan w:val="6"/>
          </w:tcPr>
          <w:p>
            <w:pPr>
              <w:ind w:left="200"/>
              <w:spacing w:after="0"/>
              <w:rPr>
                <w:sz w:val="20"/>
                <w:szCs w:val="20"/>
                <w:color w:val="auto"/>
              </w:rPr>
            </w:pPr>
            <w:r>
              <w:rPr>
                <w:rFonts w:ascii="Arial" w:cs="Arial" w:eastAsia="Arial" w:hAnsi="Arial"/>
                <w:sz w:val="11"/>
                <w:szCs w:val="11"/>
                <w:b w:val="1"/>
                <w:bCs w:val="1"/>
                <w:color w:val="auto"/>
              </w:rPr>
              <w:t>stockholders</w:t>
            </w: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00" w:type="dxa"/>
            <w:vAlign w:val="bottom"/>
            <w:gridSpan w:val="6"/>
          </w:tcPr>
          <w:p>
            <w:pPr>
              <w:ind w:left="120"/>
              <w:spacing w:after="0"/>
              <w:rPr>
                <w:sz w:val="20"/>
                <w:szCs w:val="20"/>
                <w:color w:val="auto"/>
              </w:rPr>
            </w:pPr>
            <w:r>
              <w:rPr>
                <w:rFonts w:ascii="Arial" w:cs="Arial" w:eastAsia="Arial" w:hAnsi="Arial"/>
                <w:sz w:val="11"/>
                <w:szCs w:val="11"/>
                <w:color w:val="auto"/>
              </w:rPr>
              <w:t>Total weighted-average basic shares</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w w:val="97"/>
              </w:rPr>
              <w:t>2,716.2</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2,735.3</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w w:val="97"/>
              </w:rPr>
              <w:t>2,762.4</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2,788.7</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2,819.4</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7"/>
                <w:szCs w:val="17"/>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5"/>
        </w:trPr>
        <w:tc>
          <w:tcPr>
            <w:tcW w:w="2300" w:type="dxa"/>
            <w:vAlign w:val="bottom"/>
            <w:gridSpan w:val="6"/>
          </w:tcPr>
          <w:p>
            <w:pPr>
              <w:ind w:left="120"/>
              <w:spacing w:after="0"/>
              <w:rPr>
                <w:sz w:val="20"/>
                <w:szCs w:val="20"/>
                <w:color w:val="auto"/>
              </w:rPr>
            </w:pPr>
            <w:r>
              <w:rPr>
                <w:rFonts w:ascii="Arial" w:cs="Arial" w:eastAsia="Arial" w:hAnsi="Arial"/>
                <w:sz w:val="11"/>
                <w:szCs w:val="11"/>
                <w:color w:val="auto"/>
              </w:rPr>
              <w:t>outstanding</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0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 per share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5.95</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4.64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5.25</w:t>
            </w:r>
          </w:p>
        </w:tc>
        <w:tc>
          <w:tcPr>
            <w:tcW w:w="20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5.08</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28</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96"/>
        </w:trPr>
        <w:tc>
          <w:tcPr>
            <w:tcW w:w="2300" w:type="dxa"/>
            <w:vAlign w:val="bottom"/>
            <w:gridSpan w:val="6"/>
          </w:tcPr>
          <w:p>
            <w:pPr>
              <w:spacing w:after="0"/>
              <w:rPr>
                <w:sz w:val="20"/>
                <w:szCs w:val="20"/>
                <w:color w:val="auto"/>
              </w:rPr>
            </w:pPr>
            <w:r>
              <w:rPr>
                <w:rFonts w:ascii="Arial" w:cs="Arial" w:eastAsia="Arial" w:hAnsi="Arial"/>
                <w:sz w:val="11"/>
                <w:szCs w:val="11"/>
                <w:b w:val="1"/>
                <w:bCs w:val="1"/>
                <w:color w:val="auto"/>
              </w:rPr>
              <w:t>Diluted earnings per share</w:t>
            </w: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300" w:type="dxa"/>
            <w:vAlign w:val="bottom"/>
            <w:gridSpan w:val="6"/>
          </w:tcPr>
          <w:p>
            <w:pPr>
              <w:ind w:left="120"/>
              <w:spacing w:after="0" w:line="122" w:lineRule="exact"/>
              <w:rPr>
                <w:sz w:val="20"/>
                <w:szCs w:val="20"/>
                <w:color w:val="auto"/>
              </w:rPr>
            </w:pPr>
            <w:r>
              <w:rPr>
                <w:rFonts w:ascii="Arial" w:cs="Arial" w:eastAsia="Arial" w:hAnsi="Arial"/>
                <w:sz w:val="11"/>
                <w:szCs w:val="11"/>
                <w:b w:val="1"/>
                <w:bCs w:val="1"/>
                <w:color w:val="auto"/>
              </w:rPr>
              <w:t>Net income applicable to common</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16,148</w:t>
            </w:r>
          </w:p>
        </w:tc>
        <w:tc>
          <w:tcPr>
            <w:tcW w:w="1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12,689</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14,043</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14,630</w:t>
            </w:r>
          </w:p>
        </w:tc>
        <w:tc>
          <w:tcPr>
            <w:tcW w:w="200" w:type="dxa"/>
            <w:vAlign w:val="bottom"/>
          </w:tcPr>
          <w:p>
            <w:pPr>
              <w:spacing w:after="0"/>
              <w:rPr>
                <w:sz w:val="10"/>
                <w:szCs w:val="10"/>
                <w:color w:val="auto"/>
              </w:rPr>
            </w:pPr>
          </w:p>
        </w:tc>
        <w:tc>
          <w:tcPr>
            <w:tcW w:w="200" w:type="dxa"/>
            <w:vAlign w:val="bottom"/>
            <w:vMerge w:val="restart"/>
          </w:tcPr>
          <w:p>
            <w:pPr>
              <w:jc w:val="right"/>
              <w:ind w:right="66"/>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14,317</w:t>
            </w:r>
          </w:p>
        </w:tc>
        <w:tc>
          <w:tcPr>
            <w:tcW w:w="9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27</w:t>
            </w:r>
          </w:p>
        </w:tc>
        <w:tc>
          <w:tcPr>
            <w:tcW w:w="260" w:type="dxa"/>
            <w:vAlign w:val="bottom"/>
          </w:tcPr>
          <w:p>
            <w:pPr>
              <w:spacing w:after="0"/>
              <w:rPr>
                <w:sz w:val="10"/>
                <w:szCs w:val="10"/>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8"/>
        </w:trPr>
        <w:tc>
          <w:tcPr>
            <w:tcW w:w="2300" w:type="dxa"/>
            <w:vAlign w:val="bottom"/>
            <w:gridSpan w:val="6"/>
          </w:tcPr>
          <w:p>
            <w:pPr>
              <w:ind w:left="120"/>
              <w:spacing w:after="0"/>
              <w:rPr>
                <w:sz w:val="20"/>
                <w:szCs w:val="20"/>
                <w:color w:val="auto"/>
              </w:rPr>
            </w:pPr>
            <w:r>
              <w:rPr>
                <w:rFonts w:ascii="Arial" w:cs="Arial" w:eastAsia="Arial" w:hAnsi="Arial"/>
                <w:sz w:val="11"/>
                <w:szCs w:val="11"/>
                <w:b w:val="1"/>
                <w:bCs w:val="1"/>
                <w:color w:val="auto"/>
              </w:rPr>
              <w:t>stockholders</w:t>
            </w: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00" w:type="dxa"/>
            <w:vAlign w:val="bottom"/>
            <w:gridSpan w:val="6"/>
          </w:tcPr>
          <w:p>
            <w:pPr>
              <w:ind w:left="120"/>
              <w:spacing w:after="0" w:line="122" w:lineRule="exact"/>
              <w:rPr>
                <w:sz w:val="20"/>
                <w:szCs w:val="20"/>
                <w:color w:val="auto"/>
              </w:rPr>
            </w:pPr>
            <w:r>
              <w:rPr>
                <w:rFonts w:ascii="Arial" w:cs="Arial" w:eastAsia="Arial" w:hAnsi="Arial"/>
                <w:sz w:val="11"/>
                <w:szCs w:val="11"/>
                <w:color w:val="auto"/>
              </w:rPr>
              <w:t>Total weighted-average basic shares</w:t>
            </w:r>
          </w:p>
        </w:tc>
        <w:tc>
          <w:tcPr>
            <w:tcW w:w="120" w:type="dxa"/>
            <w:vAlign w:val="bottom"/>
          </w:tcPr>
          <w:p>
            <w:pPr>
              <w:spacing w:after="0"/>
              <w:rPr>
                <w:sz w:val="10"/>
                <w:szCs w:val="10"/>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w w:val="97"/>
              </w:rPr>
              <w:t>2,716.2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2,735.3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w w:val="97"/>
              </w:rPr>
              <w:t>2,762.4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2,788.7</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2,819.4</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0"/>
                <w:szCs w:val="10"/>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2"/>
        </w:trPr>
        <w:tc>
          <w:tcPr>
            <w:tcW w:w="2300" w:type="dxa"/>
            <w:vAlign w:val="bottom"/>
            <w:gridSpan w:val="6"/>
          </w:tcPr>
          <w:p>
            <w:pPr>
              <w:ind w:left="120"/>
              <w:spacing w:after="0"/>
              <w:rPr>
                <w:sz w:val="20"/>
                <w:szCs w:val="20"/>
                <w:color w:val="auto"/>
              </w:rPr>
            </w:pPr>
            <w:r>
              <w:rPr>
                <w:rFonts w:ascii="Arial" w:cs="Arial" w:eastAsia="Arial" w:hAnsi="Arial"/>
                <w:sz w:val="11"/>
                <w:szCs w:val="11"/>
                <w:color w:val="auto"/>
              </w:rPr>
              <w:t>outstanding</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00" w:type="dxa"/>
            <w:vAlign w:val="bottom"/>
            <w:gridSpan w:val="6"/>
          </w:tcPr>
          <w:p>
            <w:pPr>
              <w:ind w:left="120"/>
              <w:spacing w:after="0"/>
              <w:rPr>
                <w:sz w:val="20"/>
                <w:szCs w:val="20"/>
                <w:color w:val="auto"/>
              </w:rPr>
            </w:pPr>
            <w:r>
              <w:rPr>
                <w:rFonts w:ascii="Arial" w:cs="Arial" w:eastAsia="Arial" w:hAnsi="Arial"/>
                <w:sz w:val="11"/>
                <w:szCs w:val="11"/>
                <w:color w:val="auto"/>
              </w:rPr>
              <w:t>Add: Dilutive impact of unvested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0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performance share units</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00" w:type="dxa"/>
            <w:vAlign w:val="bottom"/>
            <w:gridSpan w:val="6"/>
          </w:tcPr>
          <w:p>
            <w:pPr>
              <w:ind w:left="240"/>
              <w:spacing w:after="0" w:line="108" w:lineRule="exact"/>
              <w:rPr>
                <w:sz w:val="20"/>
                <w:szCs w:val="20"/>
                <w:color w:val="auto"/>
              </w:rPr>
            </w:pPr>
            <w:r>
              <w:rPr>
                <w:rFonts w:ascii="Arial" w:cs="Arial" w:eastAsia="Arial" w:hAnsi="Arial"/>
                <w:sz w:val="11"/>
                <w:szCs w:val="11"/>
                <w:color w:val="auto"/>
              </w:rPr>
              <w:t>(“PSUs”), nondividend-earning restricted</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0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stock units</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00" w:type="dxa"/>
            <w:vAlign w:val="bottom"/>
            <w:gridSpan w:val="6"/>
          </w:tcPr>
          <w:p>
            <w:pPr>
              <w:ind w:left="240"/>
              <w:spacing w:after="0" w:line="108" w:lineRule="exact"/>
              <w:rPr>
                <w:sz w:val="20"/>
                <w:szCs w:val="20"/>
                <w:color w:val="auto"/>
              </w:rPr>
            </w:pPr>
            <w:r>
              <w:rPr>
                <w:rFonts w:ascii="Arial" w:cs="Arial" w:eastAsia="Arial" w:hAnsi="Arial"/>
                <w:sz w:val="11"/>
                <w:szCs w:val="11"/>
                <w:color w:val="auto"/>
              </w:rPr>
              <w:t>(“RSUs”) and stock appreciation rights</w:t>
            </w:r>
          </w:p>
        </w:tc>
        <w:tc>
          <w:tcPr>
            <w:tcW w:w="120" w:type="dxa"/>
            <w:vAlign w:val="bottom"/>
          </w:tcPr>
          <w:p>
            <w:pPr>
              <w:spacing w:after="0"/>
              <w:rPr>
                <w:sz w:val="9"/>
                <w:szCs w:val="9"/>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4.0</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5.2</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4.9</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(23)</w:t>
            </w:r>
          </w:p>
        </w:tc>
        <w:tc>
          <w:tcPr>
            <w:tcW w:w="260" w:type="dxa"/>
            <w:vAlign w:val="bottom"/>
          </w:tcPr>
          <w:p>
            <w:pPr>
              <w:spacing w:after="0"/>
              <w:rPr>
                <w:sz w:val="9"/>
                <w:szCs w:val="9"/>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5"/>
        </w:trPr>
        <w:tc>
          <w:tcPr>
            <w:tcW w:w="2300" w:type="dxa"/>
            <w:vAlign w:val="bottom"/>
            <w:gridSpan w:val="6"/>
          </w:tcPr>
          <w:p>
            <w:pPr>
              <w:ind w:left="120"/>
              <w:spacing w:after="0"/>
              <w:rPr>
                <w:sz w:val="20"/>
                <w:szCs w:val="20"/>
                <w:color w:val="auto"/>
              </w:rPr>
            </w:pPr>
            <w:r>
              <w:rPr>
                <w:rFonts w:ascii="Arial" w:cs="Arial" w:eastAsia="Arial" w:hAnsi="Arial"/>
                <w:sz w:val="11"/>
                <w:szCs w:val="11"/>
                <w:color w:val="auto"/>
              </w:rPr>
              <w:t>(“SARs”)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300" w:type="dxa"/>
            <w:vAlign w:val="bottom"/>
            <w:gridSpan w:val="6"/>
          </w:tcPr>
          <w:p>
            <w:pPr>
              <w:ind w:left="200"/>
              <w:spacing w:after="0" w:line="95" w:lineRule="exact"/>
              <w:rPr>
                <w:sz w:val="20"/>
                <w:szCs w:val="20"/>
                <w:color w:val="auto"/>
              </w:rPr>
            </w:pPr>
            <w:r>
              <w:rPr>
                <w:rFonts w:ascii="Arial" w:cs="Arial" w:eastAsia="Arial" w:hAnsi="Arial"/>
                <w:sz w:val="10"/>
                <w:szCs w:val="10"/>
                <w:b w:val="1"/>
                <w:bCs w:val="1"/>
                <w:color w:val="auto"/>
              </w:rPr>
              <w:t>Total weighted-average diluted shares</w:t>
            </w:r>
          </w:p>
        </w:tc>
        <w:tc>
          <w:tcPr>
            <w:tcW w:w="12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7"/>
              </w:rPr>
              <w:t>2,720.2</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2,740.5</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7"/>
              </w:rPr>
              <w:t>2,767.6</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2,793.7</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2,824.3</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8"/>
                <w:szCs w:val="8"/>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5"/>
        </w:trPr>
        <w:tc>
          <w:tcPr>
            <w:tcW w:w="2300" w:type="dxa"/>
            <w:vAlign w:val="bottom"/>
            <w:gridSpan w:val="6"/>
          </w:tcPr>
          <w:p>
            <w:pPr>
              <w:ind w:left="200"/>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0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income per share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5.94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4.63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5.07</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5.24</w:t>
            </w:r>
          </w:p>
        </w:tc>
        <w:tc>
          <w:tcPr>
            <w:tcW w:w="20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5.07</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28</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70"/>
        </w:trPr>
        <w:tc>
          <w:tcPr>
            <w:tcW w:w="2300" w:type="dxa"/>
            <w:vAlign w:val="bottom"/>
            <w:gridSpan w:val="6"/>
          </w:tcPr>
          <w:p>
            <w:pPr>
              <w:spacing w:after="0"/>
              <w:rPr>
                <w:sz w:val="20"/>
                <w:szCs w:val="20"/>
                <w:color w:val="auto"/>
              </w:rPr>
            </w:pPr>
            <w:r>
              <w:rPr>
                <w:rFonts w:ascii="Arial" w:cs="Arial" w:eastAsia="Arial" w:hAnsi="Arial"/>
                <w:sz w:val="11"/>
                <w:szCs w:val="11"/>
                <w:b w:val="1"/>
                <w:bCs w:val="1"/>
                <w:color w:val="auto"/>
              </w:rPr>
              <w:t>COMMON DIVIDENDS</w:t>
            </w: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300" w:type="dxa"/>
            <w:vAlign w:val="bottom"/>
            <w:gridSpan w:val="6"/>
          </w:tcPr>
          <w:p>
            <w:pPr>
              <w:spacing w:after="0"/>
              <w:rPr>
                <w:sz w:val="20"/>
                <w:szCs w:val="20"/>
                <w:color w:val="auto"/>
              </w:rPr>
            </w:pPr>
            <w:r>
              <w:rPr>
                <w:rFonts w:ascii="Arial" w:cs="Arial" w:eastAsia="Arial" w:hAnsi="Arial"/>
                <w:sz w:val="11"/>
                <w:szCs w:val="11"/>
                <w:color w:val="auto"/>
              </w:rPr>
              <w:t>Cash dividends declared per share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1.50</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(c)  $</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1.40</w:t>
            </w:r>
          </w:p>
        </w:tc>
        <w:tc>
          <w:tcPr>
            <w:tcW w:w="200" w:type="dxa"/>
            <w:vAlign w:val="bottom"/>
          </w:tcPr>
          <w:p>
            <w:pPr>
              <w:spacing w:after="0"/>
              <w:rPr>
                <w:sz w:val="21"/>
                <w:szCs w:val="2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1.40</w:t>
            </w:r>
          </w:p>
        </w:tc>
        <w:tc>
          <w:tcPr>
            <w:tcW w:w="26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Dividend payout ratio</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27 %</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27 %</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300" w:type="dxa"/>
            <w:vAlign w:val="bottom"/>
            <w:gridSpan w:val="6"/>
          </w:tcPr>
          <w:p>
            <w:pPr>
              <w:spacing w:after="0"/>
              <w:rPr>
                <w:sz w:val="20"/>
                <w:szCs w:val="20"/>
                <w:color w:val="auto"/>
              </w:rPr>
            </w:pPr>
            <w:r>
              <w:rPr>
                <w:rFonts w:ascii="Arial" w:cs="Arial" w:eastAsia="Arial" w:hAnsi="Arial"/>
                <w:sz w:val="11"/>
                <w:szCs w:val="11"/>
                <w:b w:val="1"/>
                <w:bCs w:val="1"/>
                <w:color w:val="auto"/>
              </w:rPr>
              <w:t>COMMON SHARE REPURCHASE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PROGRAM (a)</w:t>
            </w:r>
          </w:p>
        </w:tc>
        <w:tc>
          <w:tcPr>
            <w:tcW w:w="960" w:type="dxa"/>
            <w:vAlign w:val="bottom"/>
            <w:tcBorders>
              <w:top w:val="single" w:sz="8" w:color="auto"/>
            </w:tcBorders>
            <w:gridSpan w:val="4"/>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300" w:type="dxa"/>
            <w:vAlign w:val="bottom"/>
            <w:gridSpan w:val="6"/>
          </w:tcPr>
          <w:p>
            <w:pPr>
              <w:spacing w:after="0"/>
              <w:rPr>
                <w:sz w:val="20"/>
                <w:szCs w:val="20"/>
                <w:color w:val="auto"/>
              </w:rPr>
            </w:pPr>
            <w:r>
              <w:rPr>
                <w:rFonts w:ascii="Arial" w:cs="Arial" w:eastAsia="Arial" w:hAnsi="Arial"/>
                <w:sz w:val="11"/>
                <w:szCs w:val="11"/>
                <w:color w:val="auto"/>
              </w:rPr>
              <w:t>Total shares of common stock repurchased</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27.5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29.8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30.0</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Average price paid per share of common stock</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302.75</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309.81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297.10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251.67</w:t>
            </w:r>
          </w:p>
        </w:tc>
        <w:tc>
          <w:tcPr>
            <w:tcW w:w="20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252.50</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2300" w:type="dxa"/>
            <w:vAlign w:val="bottom"/>
            <w:gridSpan w:val="6"/>
          </w:tcPr>
          <w:p>
            <w:pPr>
              <w:spacing w:after="0"/>
              <w:rPr>
                <w:sz w:val="20"/>
                <w:szCs w:val="20"/>
                <w:color w:val="auto"/>
              </w:rPr>
            </w:pPr>
            <w:r>
              <w:rPr>
                <w:rFonts w:ascii="Arial" w:cs="Arial" w:eastAsia="Arial" w:hAnsi="Arial"/>
                <w:sz w:val="11"/>
                <w:szCs w:val="11"/>
                <w:color w:val="auto"/>
              </w:rPr>
              <w:t>Aggregate repurchases of common stock</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8,328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8,262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8,315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7,500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7,563</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303"/>
        </w:trPr>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EMPLOYEE ISSUANCE</w:t>
            </w:r>
          </w:p>
        </w:tc>
        <w:tc>
          <w:tcPr>
            <w:tcW w:w="11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300" w:type="dxa"/>
            <w:vAlign w:val="bottom"/>
            <w:gridSpan w:val="6"/>
          </w:tcPr>
          <w:p>
            <w:pPr>
              <w:spacing w:after="0"/>
              <w:rPr>
                <w:sz w:val="20"/>
                <w:szCs w:val="20"/>
                <w:color w:val="auto"/>
              </w:rPr>
            </w:pPr>
            <w:r>
              <w:rPr>
                <w:rFonts w:ascii="Arial" w:cs="Arial" w:eastAsia="Arial" w:hAnsi="Arial"/>
                <w:sz w:val="11"/>
                <w:szCs w:val="11"/>
                <w:color w:val="auto"/>
              </w:rPr>
              <w:t>Shares issued from treasury stock related to</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00" w:type="dxa"/>
            <w:vAlign w:val="bottom"/>
            <w:gridSpan w:val="6"/>
          </w:tcPr>
          <w:p>
            <w:pPr>
              <w:spacing w:after="0"/>
              <w:rPr>
                <w:sz w:val="20"/>
                <w:szCs w:val="20"/>
                <w:color w:val="auto"/>
              </w:rPr>
            </w:pPr>
            <w:r>
              <w:rPr>
                <w:rFonts w:ascii="Arial" w:cs="Arial" w:eastAsia="Arial" w:hAnsi="Arial"/>
                <w:sz w:val="11"/>
                <w:szCs w:val="11"/>
                <w:color w:val="auto"/>
              </w:rPr>
              <w:t>employee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00" w:type="dxa"/>
            <w:vAlign w:val="bottom"/>
            <w:gridSpan w:val="6"/>
          </w:tcPr>
          <w:p>
            <w:pPr>
              <w:ind w:left="60"/>
              <w:spacing w:after="0"/>
              <w:rPr>
                <w:sz w:val="20"/>
                <w:szCs w:val="20"/>
                <w:color w:val="auto"/>
              </w:rPr>
            </w:pPr>
            <w:r>
              <w:rPr>
                <w:rFonts w:ascii="Arial" w:cs="Arial" w:eastAsia="Arial" w:hAnsi="Arial"/>
                <w:sz w:val="11"/>
                <w:szCs w:val="11"/>
                <w:color w:val="auto"/>
              </w:rPr>
              <w:t>stock-based compensation awards and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00" w:type="dxa"/>
            <w:vAlign w:val="bottom"/>
            <w:gridSpan w:val="6"/>
          </w:tcPr>
          <w:p>
            <w:pPr>
              <w:ind w:left="60"/>
              <w:spacing w:after="0"/>
              <w:rPr>
                <w:sz w:val="20"/>
                <w:szCs w:val="20"/>
                <w:color w:val="auto"/>
              </w:rPr>
            </w:pPr>
            <w:r>
              <w:rPr>
                <w:rFonts w:ascii="Arial" w:cs="Arial" w:eastAsia="Arial" w:hAnsi="Arial"/>
                <w:sz w:val="11"/>
                <w:szCs w:val="11"/>
                <w:color w:val="auto"/>
              </w:rPr>
              <w:t>employee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gridSpan w:val="6"/>
          </w:tcPr>
          <w:p>
            <w:pPr>
              <w:ind w:left="60"/>
              <w:spacing w:after="0"/>
              <w:rPr>
                <w:sz w:val="20"/>
                <w:szCs w:val="20"/>
                <w:color w:val="auto"/>
              </w:rPr>
            </w:pPr>
            <w:r>
              <w:rPr>
                <w:rFonts w:ascii="Arial" w:cs="Arial" w:eastAsia="Arial" w:hAnsi="Arial"/>
                <w:sz w:val="11"/>
                <w:szCs w:val="11"/>
                <w:color w:val="auto"/>
              </w:rPr>
              <w:t>purchase plans</w:t>
            </w: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10.8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0.7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0.4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11.5</w:t>
            </w:r>
          </w:p>
        </w:tc>
        <w:tc>
          <w:tcPr>
            <w:tcW w:w="260" w:type="dxa"/>
            <w:vAlign w:val="bottom"/>
          </w:tcPr>
          <w:p>
            <w:pPr>
              <w:spacing w:after="0"/>
              <w:rPr>
                <w:sz w:val="14"/>
                <w:szCs w:val="14"/>
                <w:color w:val="auto"/>
              </w:rPr>
            </w:pPr>
          </w:p>
        </w:tc>
        <w:tc>
          <w:tcPr>
            <w:tcW w:w="920" w:type="dxa"/>
            <w:vAlign w:val="bottom"/>
            <w:gridSpan w:val="2"/>
          </w:tcPr>
          <w:p>
            <w:pPr>
              <w:ind w:left="460"/>
              <w:spacing w:after="0"/>
              <w:rPr>
                <w:sz w:val="20"/>
                <w:szCs w:val="20"/>
                <w:color w:val="auto"/>
              </w:rPr>
            </w:pPr>
            <w:r>
              <w:rPr>
                <w:rFonts w:ascii="Arial" w:cs="Arial" w:eastAsia="Arial" w:hAnsi="Arial"/>
                <w:sz w:val="11"/>
                <w:szCs w:val="11"/>
                <w:color w:val="auto"/>
              </w:rPr>
              <w:t>NM</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8"/>
        </w:trPr>
        <w:tc>
          <w:tcPr>
            <w:tcW w:w="2300" w:type="dxa"/>
            <w:vAlign w:val="bottom"/>
            <w:gridSpan w:val="6"/>
          </w:tcPr>
          <w:p>
            <w:pPr>
              <w:spacing w:after="0"/>
              <w:rPr>
                <w:sz w:val="20"/>
                <w:szCs w:val="20"/>
                <w:color w:val="auto"/>
              </w:rPr>
            </w:pPr>
            <w:r>
              <w:rPr>
                <w:rFonts w:ascii="Arial" w:cs="Arial" w:eastAsia="Arial" w:hAnsi="Arial"/>
                <w:sz w:val="11"/>
                <w:szCs w:val="11"/>
                <w:color w:val="auto"/>
              </w:rPr>
              <w:t>Net impact of employee issuances on</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221</w:t>
            </w:r>
          </w:p>
        </w:tc>
        <w:tc>
          <w:tcPr>
            <w:tcW w:w="1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322</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339</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419</w:t>
            </w:r>
          </w:p>
        </w:tc>
        <w:tc>
          <w:tcPr>
            <w:tcW w:w="200" w:type="dxa"/>
            <w:vAlign w:val="bottom"/>
          </w:tcPr>
          <w:p>
            <w:pPr>
              <w:spacing w:after="0"/>
              <w:rPr>
                <w:sz w:val="11"/>
                <w:szCs w:val="11"/>
                <w:color w:val="auto"/>
              </w:rPr>
            </w:pPr>
          </w:p>
        </w:tc>
        <w:tc>
          <w:tcPr>
            <w:tcW w:w="200" w:type="dxa"/>
            <w:vAlign w:val="bottom"/>
            <w:vMerge w:val="restart"/>
          </w:tcPr>
          <w:p>
            <w:pPr>
              <w:jc w:val="right"/>
              <w:ind w:right="66"/>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476</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(31)</w:t>
            </w:r>
          </w:p>
        </w:tc>
        <w:tc>
          <w:tcPr>
            <w:tcW w:w="260" w:type="dxa"/>
            <w:vAlign w:val="bottom"/>
          </w:tcPr>
          <w:p>
            <w:pPr>
              <w:spacing w:after="0"/>
              <w:rPr>
                <w:sz w:val="11"/>
                <w:szCs w:val="11"/>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42"/>
        </w:trPr>
        <w:tc>
          <w:tcPr>
            <w:tcW w:w="2300" w:type="dxa"/>
            <w:vAlign w:val="bottom"/>
            <w:gridSpan w:val="6"/>
          </w:tcPr>
          <w:p>
            <w:pPr>
              <w:spacing w:after="0"/>
              <w:rPr>
                <w:sz w:val="20"/>
                <w:szCs w:val="20"/>
                <w:color w:val="auto"/>
              </w:rPr>
            </w:pPr>
            <w:r>
              <w:rPr>
                <w:rFonts w:ascii="Arial" w:cs="Arial" w:eastAsia="Arial" w:hAnsi="Arial"/>
                <w:sz w:val="11"/>
                <w:szCs w:val="11"/>
                <w:color w:val="auto"/>
              </w:rPr>
              <w:t>stockholders’ equity (b)</w:t>
            </w: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1465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72" w:right="400" w:hanging="172"/>
        <w:spacing w:after="0"/>
        <w:tabs>
          <w:tab w:leader="none" w:pos="169"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Firm’s Board of Directors has authorized a common share repurchase program of up to $50 billion, effective July 1, 2025, which replaced the previous program that commenced in the third quarter of 2024 and authorized repurchases of up to $30 billion.</w:t>
      </w:r>
    </w:p>
    <w:p>
      <w:pPr>
        <w:ind w:left="172" w:right="380" w:hanging="172"/>
        <w:spacing w:after="0" w:line="230" w:lineRule="auto"/>
        <w:tabs>
          <w:tab w:leader="none" w:pos="169"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net impact of employee issuances on stockholders’ equity is driven by the cost of equity compensation awards that is recognized over the applicable vesting periods. The cost is partially offset by tax impacts related to the distribution of shares.</w:t>
      </w:r>
    </w:p>
    <w:p>
      <w:pPr>
        <w:ind w:left="152" w:hanging="152"/>
        <w:spacing w:after="0"/>
        <w:tabs>
          <w:tab w:leader="none" w:pos="152" w:val="left"/>
        </w:tabs>
        <w:numPr>
          <w:ilvl w:val="0"/>
          <w:numId w:val="21"/>
        </w:numPr>
        <w:rPr>
          <w:rFonts w:ascii="Arial" w:cs="Arial" w:eastAsia="Arial" w:hAnsi="Arial"/>
          <w:sz w:val="11"/>
          <w:szCs w:val="11"/>
          <w:color w:val="auto"/>
        </w:rPr>
      </w:pPr>
      <w:r>
        <w:rPr>
          <w:rFonts w:ascii="Arial" w:cs="Arial" w:eastAsia="Arial" w:hAnsi="Arial"/>
          <w:sz w:val="11"/>
          <w:szCs w:val="11"/>
          <w:color w:val="auto"/>
        </w:rPr>
        <w:t>On September 16, 2025, the Board of Directors declared quarterly common stock dividends of $1.50 per share.</w:t>
      </w:r>
    </w:p>
    <w:p>
      <w:pPr>
        <w:sectPr>
          <w:pgSz w:w="11900" w:h="16838" w:orient="portrait"/>
          <w:cols w:equalWidth="0" w:num="1">
            <w:col w:w="11232"/>
          </w:cols>
          <w:pgMar w:left="328" w:top="4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832"/>
        <w:spacing w:after="0"/>
        <w:rPr>
          <w:sz w:val="20"/>
          <w:szCs w:val="20"/>
          <w:color w:val="auto"/>
        </w:rPr>
      </w:pPr>
      <w:r>
        <w:rPr>
          <w:rFonts w:ascii="Arial" w:cs="Arial" w:eastAsia="Arial" w:hAnsi="Arial"/>
          <w:sz w:val="10"/>
          <w:szCs w:val="10"/>
          <w:color w:val="auto"/>
        </w:rPr>
        <w:t>Page 11</w:t>
      </w:r>
    </w:p>
    <w:p>
      <w:pPr>
        <w:sectPr>
          <w:pgSz w:w="11900" w:h="16838" w:orient="portrait"/>
          <w:cols w:equalWidth="0" w:num="1">
            <w:col w:w="11232"/>
          </w:cols>
          <w:pgMar w:left="328" w:top="491" w:right="33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3620135</wp:posOffset>
            </wp:positionH>
            <wp:positionV relativeFrom="page">
              <wp:posOffset>311785</wp:posOffset>
            </wp:positionV>
            <wp:extent cx="139700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COMMUNITY BANKING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ind w:right="406"/>
              <w:spacing w:after="0"/>
              <w:rPr>
                <w:sz w:val="20"/>
                <w:szCs w:val="20"/>
                <w:color w:val="auto"/>
              </w:rPr>
            </w:pPr>
            <w:r>
              <w:rPr>
                <w:rFonts w:ascii="Arial" w:cs="Arial" w:eastAsia="Arial" w:hAnsi="Arial"/>
                <w:sz w:val="11"/>
                <w:szCs w:val="11"/>
                <w:b w:val="1"/>
                <w:bCs w:val="1"/>
                <w:color w:val="auto"/>
              </w:rPr>
              <w:t>QUARTERLY TRENDS</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1Q26</w:t>
            </w: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4Q25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3Q25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2Q25</w:t>
            </w:r>
          </w:p>
        </w:tc>
        <w:tc>
          <w:tcPr>
            <w:tcW w:w="160" w:type="dxa"/>
            <w:vAlign w:val="bottom"/>
          </w:tcPr>
          <w:p>
            <w:pPr>
              <w:spacing w:after="0"/>
              <w:rPr>
                <w:sz w:val="13"/>
                <w:szCs w:val="13"/>
                <w:color w:val="auto"/>
              </w:rPr>
            </w:pPr>
          </w:p>
        </w:tc>
        <w:tc>
          <w:tcPr>
            <w:tcW w:w="620" w:type="dxa"/>
            <w:vAlign w:val="bottom"/>
          </w:tcPr>
          <w:p>
            <w:pPr>
              <w:jc w:val="right"/>
              <w:ind w:right="206"/>
              <w:spacing w:after="0"/>
              <w:rPr>
                <w:sz w:val="20"/>
                <w:szCs w:val="20"/>
                <w:color w:val="auto"/>
              </w:rPr>
            </w:pPr>
            <w:r>
              <w:rPr>
                <w:rFonts w:ascii="Arial" w:cs="Arial" w:eastAsia="Arial" w:hAnsi="Arial"/>
                <w:sz w:val="11"/>
                <w:szCs w:val="11"/>
                <w:b w:val="1"/>
                <w:bCs w:val="1"/>
                <w:color w:val="auto"/>
              </w:rPr>
              <w:t>1Q25</w:t>
            </w:r>
          </w:p>
        </w:tc>
        <w:tc>
          <w:tcPr>
            <w:tcW w:w="26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700" w:type="dxa"/>
            <w:vAlign w:val="bottom"/>
            <w:gridSpan w:val="3"/>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820" w:type="dxa"/>
            <w:vAlign w:val="bottom"/>
            <w:gridSpan w:val="6"/>
          </w:tcPr>
          <w:p>
            <w:pPr>
              <w:spacing w:after="0"/>
              <w:rPr>
                <w:sz w:val="20"/>
                <w:szCs w:val="20"/>
                <w:color w:val="auto"/>
              </w:rPr>
            </w:pPr>
            <w:r>
              <w:rPr>
                <w:rFonts w:ascii="Arial" w:cs="Arial" w:eastAsia="Arial" w:hAnsi="Arial"/>
                <w:sz w:val="11"/>
                <w:szCs w:val="11"/>
                <w:b w:val="1"/>
                <w:bCs w:val="1"/>
                <w:color w:val="auto"/>
              </w:rPr>
              <w:t>REVENUE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20" w:type="dxa"/>
            <w:vAlign w:val="bottom"/>
            <w:gridSpan w:val="6"/>
          </w:tcPr>
          <w:p>
            <w:pPr>
              <w:spacing w:after="0"/>
              <w:rPr>
                <w:sz w:val="20"/>
                <w:szCs w:val="20"/>
                <w:color w:val="auto"/>
              </w:rPr>
            </w:pPr>
            <w:r>
              <w:rPr>
                <w:rFonts w:ascii="Arial" w:cs="Arial" w:eastAsia="Arial" w:hAnsi="Arial"/>
                <w:sz w:val="11"/>
                <w:szCs w:val="11"/>
                <w:color w:val="auto"/>
              </w:rPr>
              <w:t>Lending- and deposit-related fees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947</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973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969</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888</w:t>
            </w:r>
          </w:p>
        </w:tc>
        <w:tc>
          <w:tcPr>
            <w:tcW w:w="16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839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62"/>
        </w:trPr>
        <w:tc>
          <w:tcPr>
            <w:tcW w:w="1820" w:type="dxa"/>
            <w:vAlign w:val="bottom"/>
            <w:gridSpan w:val="6"/>
          </w:tcPr>
          <w:p>
            <w:pPr>
              <w:spacing w:after="0"/>
              <w:rPr>
                <w:sz w:val="20"/>
                <w:szCs w:val="20"/>
                <w:color w:val="auto"/>
              </w:rPr>
            </w:pPr>
            <w:r>
              <w:rPr>
                <w:rFonts w:ascii="Arial" w:cs="Arial" w:eastAsia="Arial" w:hAnsi="Arial"/>
                <w:sz w:val="11"/>
                <w:szCs w:val="11"/>
                <w:color w:val="auto"/>
              </w:rPr>
              <w:t>Asset management fees</w:t>
            </w: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1,277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1,110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1,093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1820" w:type="dxa"/>
            <w:vAlign w:val="bottom"/>
            <w:gridSpan w:val="6"/>
          </w:tcPr>
          <w:p>
            <w:pPr>
              <w:spacing w:after="0"/>
              <w:rPr>
                <w:sz w:val="20"/>
                <w:szCs w:val="20"/>
                <w:color w:val="auto"/>
              </w:rPr>
            </w:pPr>
            <w:r>
              <w:rPr>
                <w:rFonts w:ascii="Arial" w:cs="Arial" w:eastAsia="Arial" w:hAnsi="Arial"/>
                <w:sz w:val="11"/>
                <w:szCs w:val="11"/>
                <w:color w:val="auto"/>
              </w:rPr>
              <w:t>Mortgage fees and related income</w:t>
            </w: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344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347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263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1820" w:type="dxa"/>
            <w:vAlign w:val="bottom"/>
            <w:gridSpan w:val="6"/>
          </w:tcPr>
          <w:p>
            <w:pPr>
              <w:spacing w:after="0"/>
              <w:rPr>
                <w:sz w:val="20"/>
                <w:szCs w:val="20"/>
                <w:color w:val="auto"/>
              </w:rPr>
            </w:pPr>
            <w:r>
              <w:rPr>
                <w:rFonts w:ascii="Arial" w:cs="Arial" w:eastAsia="Arial" w:hAnsi="Arial"/>
                <w:sz w:val="11"/>
                <w:szCs w:val="11"/>
                <w:color w:val="auto"/>
              </w:rPr>
              <w:t>Card income</w:t>
            </w: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687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653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57</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75"/>
        </w:trPr>
        <w:tc>
          <w:tcPr>
            <w:tcW w:w="1820" w:type="dxa"/>
            <w:vAlign w:val="bottom"/>
            <w:gridSpan w:val="6"/>
          </w:tcPr>
          <w:p>
            <w:pPr>
              <w:spacing w:after="0"/>
              <w:rPr>
                <w:sz w:val="20"/>
                <w:szCs w:val="20"/>
                <w:color w:val="auto"/>
              </w:rPr>
            </w:pPr>
            <w:r>
              <w:rPr>
                <w:rFonts w:ascii="Arial" w:cs="Arial" w:eastAsia="Arial" w:hAnsi="Arial"/>
                <w:sz w:val="11"/>
                <w:szCs w:val="11"/>
                <w:color w:val="auto"/>
              </w:rPr>
              <w:t>All other income (a)</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1,685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1,585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1,573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1,420</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1,323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48"/>
        </w:trPr>
        <w:tc>
          <w:tcPr>
            <w:tcW w:w="1820" w:type="dxa"/>
            <w:vAlign w:val="bottom"/>
            <w:gridSpan w:val="6"/>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4,830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4,555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4,617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4,452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b w:val="1"/>
                <w:bCs w:val="1"/>
                <w:color w:val="auto"/>
              </w:rPr>
              <w:t>4,171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9"/>
        </w:trPr>
        <w:tc>
          <w:tcPr>
            <w:tcW w:w="1820" w:type="dxa"/>
            <w:vAlign w:val="bottom"/>
            <w:gridSpan w:val="6"/>
          </w:tcPr>
          <w:p>
            <w:pPr>
              <w:spacing w:after="0"/>
              <w:rPr>
                <w:sz w:val="20"/>
                <w:szCs w:val="20"/>
                <w:color w:val="auto"/>
              </w:rPr>
            </w:pPr>
            <w:r>
              <w:rPr>
                <w:rFonts w:ascii="Arial" w:cs="Arial" w:eastAsia="Arial" w:hAnsi="Arial"/>
                <w:sz w:val="11"/>
                <w:szCs w:val="11"/>
                <w:color w:val="auto"/>
              </w:rPr>
              <w:t>Net interest income</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4"/>
              </w:rPr>
              <w:t>14,738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14,841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14,856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4"/>
              </w:rPr>
              <w:t>14,395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14,142</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8"/>
        </w:trPr>
        <w:tc>
          <w:tcPr>
            <w:tcW w:w="182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w w:val="94"/>
              </w:rPr>
              <w:t>19,568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19,396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19,473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w w:val="94"/>
              </w:rPr>
              <w:t>18,847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b w:val="1"/>
                <w:bCs w:val="1"/>
                <w:color w:val="auto"/>
              </w:rPr>
              <w:t>18,313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18"/>
        </w:trPr>
        <w:tc>
          <w:tcPr>
            <w:tcW w:w="182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24"/>
                <w:szCs w:val="2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2,050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4,244</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2,538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2,082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2,629</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(52)</w:t>
            </w:r>
          </w:p>
        </w:tc>
        <w:tc>
          <w:tcPr>
            <w:tcW w:w="280" w:type="dxa"/>
            <w:vAlign w:val="bottom"/>
          </w:tcPr>
          <w:p>
            <w:pPr>
              <w:spacing w:after="0"/>
              <w:rPr>
                <w:sz w:val="24"/>
                <w:szCs w:val="2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330"/>
        </w:trPr>
        <w:tc>
          <w:tcPr>
            <w:tcW w:w="1820" w:type="dxa"/>
            <w:vAlign w:val="bottom"/>
            <w:gridSpan w:val="6"/>
          </w:tcPr>
          <w:p>
            <w:pPr>
              <w:spacing w:after="0"/>
              <w:rPr>
                <w:sz w:val="20"/>
                <w:szCs w:val="20"/>
                <w:color w:val="auto"/>
              </w:rPr>
            </w:pPr>
            <w:r>
              <w:rPr>
                <w:rFonts w:ascii="Arial" w:cs="Arial" w:eastAsia="Arial" w:hAnsi="Arial"/>
                <w:sz w:val="11"/>
                <w:szCs w:val="11"/>
                <w:b w:val="1"/>
                <w:bCs w:val="1"/>
                <w:color w:val="auto"/>
              </w:rPr>
              <w:t>NONINTEREST EXPENSE</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820" w:type="dxa"/>
            <w:vAlign w:val="bottom"/>
            <w:gridSpan w:val="6"/>
          </w:tcPr>
          <w:p>
            <w:pPr>
              <w:spacing w:after="0"/>
              <w:rPr>
                <w:sz w:val="20"/>
                <w:szCs w:val="20"/>
                <w:color w:val="auto"/>
              </w:rPr>
            </w:pPr>
            <w:r>
              <w:rPr>
                <w:rFonts w:ascii="Arial" w:cs="Arial" w:eastAsia="Arial" w:hAnsi="Arial"/>
                <w:sz w:val="11"/>
                <w:szCs w:val="11"/>
                <w:color w:val="auto"/>
              </w:rPr>
              <w:t>Compensation expense (b)</w:t>
            </w: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4,622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4,392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4,357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4,260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4,375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5"/>
        </w:trPr>
        <w:tc>
          <w:tcPr>
            <w:tcW w:w="1820" w:type="dxa"/>
            <w:vAlign w:val="bottom"/>
            <w:gridSpan w:val="6"/>
          </w:tcPr>
          <w:p>
            <w:pPr>
              <w:spacing w:after="0"/>
              <w:rPr>
                <w:sz w:val="20"/>
                <w:szCs w:val="20"/>
                <w:color w:val="auto"/>
              </w:rPr>
            </w:pPr>
            <w:r>
              <w:rPr>
                <w:rFonts w:ascii="Arial" w:cs="Arial" w:eastAsia="Arial" w:hAnsi="Arial"/>
                <w:sz w:val="11"/>
                <w:szCs w:val="11"/>
                <w:color w:val="auto"/>
              </w:rPr>
              <w:t>Noncompensation expense (b)(c)</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6,357</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5,864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5,939</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5,598</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5,482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8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95"/>
        </w:trPr>
        <w:tc>
          <w:tcPr>
            <w:tcW w:w="1820" w:type="dxa"/>
            <w:vAlign w:val="bottom"/>
            <w:gridSpan w:val="6"/>
          </w:tcPr>
          <w:p>
            <w:pPr>
              <w:ind w:left="120"/>
              <w:spacing w:after="0" w:line="95" w:lineRule="exact"/>
              <w:rPr>
                <w:sz w:val="20"/>
                <w:szCs w:val="20"/>
                <w:color w:val="auto"/>
              </w:rPr>
            </w:pPr>
            <w:r>
              <w:rPr>
                <w:rFonts w:ascii="Arial" w:cs="Arial" w:eastAsia="Arial" w:hAnsi="Arial"/>
                <w:sz w:val="10"/>
                <w:szCs w:val="10"/>
                <w:b w:val="1"/>
                <w:bCs w:val="1"/>
                <w:color w:val="auto"/>
              </w:rPr>
              <w:t>TOTAL NONINTEREST</w:t>
            </w:r>
          </w:p>
        </w:tc>
        <w:tc>
          <w:tcPr>
            <w:tcW w:w="100" w:type="dxa"/>
            <w:vAlign w:val="bottom"/>
          </w:tcPr>
          <w:p>
            <w:pPr>
              <w:spacing w:after="0"/>
              <w:rPr>
                <w:sz w:val="8"/>
                <w:szCs w:val="8"/>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4"/>
              </w:rPr>
              <w:t>10,979</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10,256</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10,296</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9,858</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9,857</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7</w:t>
            </w:r>
          </w:p>
        </w:tc>
        <w:tc>
          <w:tcPr>
            <w:tcW w:w="280" w:type="dxa"/>
            <w:vAlign w:val="bottom"/>
          </w:tcPr>
          <w:p>
            <w:pPr>
              <w:spacing w:after="0"/>
              <w:rPr>
                <w:sz w:val="8"/>
                <w:szCs w:val="8"/>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5"/>
        </w:trPr>
        <w:tc>
          <w:tcPr>
            <w:tcW w:w="1820" w:type="dxa"/>
            <w:vAlign w:val="bottom"/>
            <w:gridSpan w:val="6"/>
          </w:tcPr>
          <w:p>
            <w:pPr>
              <w:ind w:left="120"/>
              <w:spacing w:after="0"/>
              <w:rPr>
                <w:sz w:val="20"/>
                <w:szCs w:val="20"/>
                <w:color w:val="auto"/>
              </w:rPr>
            </w:pPr>
            <w:r>
              <w:rPr>
                <w:rFonts w:ascii="Arial" w:cs="Arial" w:eastAsia="Arial" w:hAnsi="Arial"/>
                <w:sz w:val="11"/>
                <w:szCs w:val="11"/>
                <w:b w:val="1"/>
                <w:bCs w:val="1"/>
                <w:color w:val="auto"/>
              </w:rPr>
              <w:t>EXPENSE</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820" w:type="dxa"/>
            <w:vAlign w:val="bottom"/>
            <w:gridSpan w:val="6"/>
          </w:tcPr>
          <w:p>
            <w:pPr>
              <w:spacing w:after="0"/>
              <w:rPr>
                <w:sz w:val="20"/>
                <w:szCs w:val="20"/>
                <w:color w:val="auto"/>
              </w:rPr>
            </w:pPr>
            <w:r>
              <w:rPr>
                <w:rFonts w:ascii="Arial" w:cs="Arial" w:eastAsia="Arial" w:hAnsi="Arial"/>
                <w:sz w:val="11"/>
                <w:szCs w:val="11"/>
                <w:b w:val="1"/>
                <w:bCs w:val="1"/>
                <w:color w:val="auto"/>
              </w:rPr>
              <w:t>Income before income tax</w:t>
            </w:r>
          </w:p>
        </w:tc>
        <w:tc>
          <w:tcPr>
            <w:tcW w:w="100" w:type="dxa"/>
            <w:vAlign w:val="bottom"/>
          </w:tcPr>
          <w:p>
            <w:pPr>
              <w:spacing w:after="0"/>
              <w:rPr>
                <w:sz w:val="22"/>
                <w:szCs w:val="22"/>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6,539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4,896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6,639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6,907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5,827</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34</w:t>
            </w:r>
          </w:p>
        </w:tc>
        <w:tc>
          <w:tcPr>
            <w:tcW w:w="280" w:type="dxa"/>
            <w:vAlign w:val="bottom"/>
          </w:tcPr>
          <w:p>
            <w:pPr>
              <w:spacing w:after="0"/>
              <w:rPr>
                <w:sz w:val="22"/>
                <w:szCs w:val="22"/>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8"/>
        </w:trPr>
        <w:tc>
          <w:tcPr>
            <w:tcW w:w="1820" w:type="dxa"/>
            <w:vAlign w:val="bottom"/>
            <w:gridSpan w:val="6"/>
          </w:tcPr>
          <w:p>
            <w:pPr>
              <w:spacing w:after="0"/>
              <w:rPr>
                <w:sz w:val="20"/>
                <w:szCs w:val="20"/>
                <w:color w:val="auto"/>
              </w:rPr>
            </w:pPr>
            <w:r>
              <w:rPr>
                <w:rFonts w:ascii="Arial" w:cs="Arial" w:eastAsia="Arial" w:hAnsi="Arial"/>
                <w:sz w:val="11"/>
                <w:szCs w:val="11"/>
                <w:b w:val="1"/>
                <w:bCs w:val="1"/>
                <w:color w:val="auto"/>
              </w:rPr>
              <w:t>expense</w:t>
            </w: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820" w:type="dxa"/>
            <w:vAlign w:val="bottom"/>
            <w:gridSpan w:val="6"/>
          </w:tcPr>
          <w:p>
            <w:pPr>
              <w:spacing w:after="0"/>
              <w:rPr>
                <w:sz w:val="20"/>
                <w:szCs w:val="20"/>
                <w:color w:val="auto"/>
              </w:rPr>
            </w:pPr>
            <w:r>
              <w:rPr>
                <w:rFonts w:ascii="Arial" w:cs="Arial" w:eastAsia="Arial" w:hAnsi="Arial"/>
                <w:sz w:val="11"/>
                <w:szCs w:val="11"/>
                <w:color w:val="auto"/>
              </w:rPr>
              <w:t>Income tax expense</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1,563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1,254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1,630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1,738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1,402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25</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9"/>
        </w:trPr>
        <w:tc>
          <w:tcPr>
            <w:tcW w:w="182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4,976</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3,642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5,009</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5,169</w:t>
            </w:r>
          </w:p>
        </w:tc>
        <w:tc>
          <w:tcPr>
            <w:tcW w:w="160" w:type="dxa"/>
            <w:vAlign w:val="bottom"/>
          </w:tcPr>
          <w:p>
            <w:pPr>
              <w:spacing w:after="0"/>
              <w:rPr>
                <w:sz w:val="14"/>
                <w:szCs w:val="14"/>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106"/>
              <w:spacing w:after="0"/>
              <w:rPr>
                <w:sz w:val="20"/>
                <w:szCs w:val="20"/>
                <w:color w:val="auto"/>
              </w:rPr>
            </w:pPr>
            <w:r>
              <w:rPr>
                <w:rFonts w:ascii="Arial" w:cs="Arial" w:eastAsia="Arial" w:hAnsi="Arial"/>
                <w:sz w:val="11"/>
                <w:szCs w:val="11"/>
                <w:b w:val="1"/>
                <w:bCs w:val="1"/>
                <w:color w:val="auto"/>
              </w:rPr>
              <w:t>4,425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37</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70"/>
        </w:trPr>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7"/>
              </w:rPr>
              <w:t>REVENUE BY BUSINESS</w:t>
            </w:r>
          </w:p>
        </w:tc>
        <w:tc>
          <w:tcPr>
            <w:tcW w:w="520" w:type="dxa"/>
            <w:vAlign w:val="bottom"/>
            <w:gridSpan w:val="2"/>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820" w:type="dxa"/>
            <w:vAlign w:val="bottom"/>
            <w:gridSpan w:val="6"/>
          </w:tcPr>
          <w:p>
            <w:pPr>
              <w:spacing w:after="0"/>
              <w:rPr>
                <w:sz w:val="20"/>
                <w:szCs w:val="20"/>
                <w:color w:val="auto"/>
              </w:rPr>
            </w:pPr>
            <w:r>
              <w:rPr>
                <w:rFonts w:ascii="Arial" w:cs="Arial" w:eastAsia="Arial" w:hAnsi="Arial"/>
                <w:sz w:val="11"/>
                <w:szCs w:val="11"/>
                <w:color w:val="auto"/>
              </w:rPr>
              <w:t>Banking &amp; Wealth Management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w w:val="94"/>
              </w:rPr>
              <w:t>10,577</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10,870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11,040</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w w:val="94"/>
              </w:rPr>
              <w:t>10,698</w:t>
            </w:r>
          </w:p>
        </w:tc>
        <w:tc>
          <w:tcPr>
            <w:tcW w:w="160" w:type="dxa"/>
            <w:vAlign w:val="bottom"/>
          </w:tcPr>
          <w:p>
            <w:pPr>
              <w:spacing w:after="0"/>
              <w:rPr>
                <w:sz w:val="14"/>
                <w:szCs w:val="14"/>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10,254</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1820" w:type="dxa"/>
            <w:vAlign w:val="bottom"/>
            <w:gridSpan w:val="6"/>
          </w:tcPr>
          <w:p>
            <w:pPr>
              <w:spacing w:after="0"/>
              <w:rPr>
                <w:sz w:val="20"/>
                <w:szCs w:val="20"/>
                <w:color w:val="auto"/>
              </w:rPr>
            </w:pPr>
            <w:r>
              <w:rPr>
                <w:rFonts w:ascii="Arial" w:cs="Arial" w:eastAsia="Arial" w:hAnsi="Arial"/>
                <w:sz w:val="11"/>
                <w:szCs w:val="11"/>
                <w:color w:val="auto"/>
              </w:rPr>
              <w:t>Home Lending</w:t>
            </w: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1,249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1,260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1,250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1,207</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820" w:type="dxa"/>
            <w:vAlign w:val="bottom"/>
            <w:gridSpan w:val="6"/>
          </w:tcPr>
          <w:p>
            <w:pPr>
              <w:spacing w:after="0"/>
              <w:rPr>
                <w:sz w:val="20"/>
                <w:szCs w:val="20"/>
                <w:color w:val="auto"/>
              </w:rPr>
            </w:pPr>
            <w:r>
              <w:rPr>
                <w:rFonts w:ascii="Arial" w:cs="Arial" w:eastAsia="Arial" w:hAnsi="Arial"/>
                <w:sz w:val="11"/>
                <w:szCs w:val="11"/>
                <w:color w:val="auto"/>
              </w:rPr>
              <w:t>Card Services &amp; Auto</w:t>
            </w: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7,759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7,277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7,173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6,899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6,852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304"/>
        </w:trPr>
        <w:tc>
          <w:tcPr>
            <w:tcW w:w="1820" w:type="dxa"/>
            <w:vAlign w:val="bottom"/>
            <w:gridSpan w:val="6"/>
          </w:tcPr>
          <w:p>
            <w:pPr>
              <w:spacing w:after="0"/>
              <w:rPr>
                <w:sz w:val="20"/>
                <w:szCs w:val="20"/>
                <w:color w:val="auto"/>
              </w:rPr>
            </w:pPr>
            <w:r>
              <w:rPr>
                <w:rFonts w:ascii="Arial" w:cs="Arial" w:eastAsia="Arial" w:hAnsi="Arial"/>
                <w:sz w:val="11"/>
                <w:szCs w:val="11"/>
                <w:b w:val="1"/>
                <w:bCs w:val="1"/>
                <w:color w:val="auto"/>
              </w:rPr>
              <w:t>MORTGAGE FEES AND RELATED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4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INCOME DETAILS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20" w:type="dxa"/>
            <w:vAlign w:val="bottom"/>
            <w:gridSpan w:val="6"/>
          </w:tcPr>
          <w:p>
            <w:pPr>
              <w:spacing w:after="0"/>
              <w:rPr>
                <w:sz w:val="20"/>
                <w:szCs w:val="20"/>
                <w:color w:val="auto"/>
              </w:rPr>
            </w:pPr>
            <w:r>
              <w:rPr>
                <w:rFonts w:ascii="Arial" w:cs="Arial" w:eastAsia="Arial" w:hAnsi="Arial"/>
                <w:sz w:val="11"/>
                <w:szCs w:val="11"/>
                <w:color w:val="auto"/>
              </w:rPr>
              <w:t>Production revenue</w:t>
            </w: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151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110</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75"/>
        </w:trPr>
        <w:tc>
          <w:tcPr>
            <w:tcW w:w="1820" w:type="dxa"/>
            <w:vAlign w:val="bottom"/>
            <w:gridSpan w:val="6"/>
          </w:tcPr>
          <w:p>
            <w:pPr>
              <w:spacing w:after="0"/>
              <w:rPr>
                <w:sz w:val="20"/>
                <w:szCs w:val="20"/>
                <w:color w:val="auto"/>
              </w:rPr>
            </w:pPr>
            <w:r>
              <w:rPr>
                <w:rFonts w:ascii="Arial" w:cs="Arial" w:eastAsia="Arial" w:hAnsi="Arial"/>
                <w:sz w:val="11"/>
                <w:szCs w:val="11"/>
                <w:color w:val="auto"/>
              </w:rPr>
              <w:t>Net mortgage servicing revenue (d)</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199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196</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c>
          <w:tcPr>
            <w:tcW w:w="28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9"/>
        </w:trPr>
        <w:tc>
          <w:tcPr>
            <w:tcW w:w="1820" w:type="dxa"/>
            <w:vAlign w:val="bottom"/>
            <w:gridSpan w:val="6"/>
          </w:tcPr>
          <w:p>
            <w:pPr>
              <w:spacing w:after="0"/>
              <w:rPr>
                <w:sz w:val="20"/>
                <w:szCs w:val="20"/>
                <w:color w:val="auto"/>
              </w:rPr>
            </w:pPr>
            <w:r>
              <w:rPr>
                <w:rFonts w:ascii="Arial" w:cs="Arial" w:eastAsia="Arial" w:hAnsi="Arial"/>
                <w:sz w:val="11"/>
                <w:szCs w:val="11"/>
                <w:b w:val="1"/>
                <w:bCs w:val="1"/>
                <w:color w:val="auto"/>
              </w:rPr>
              <w:t>Mortgage fees and related income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303</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344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372</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347</w:t>
            </w:r>
          </w:p>
        </w:tc>
        <w:tc>
          <w:tcPr>
            <w:tcW w:w="160" w:type="dxa"/>
            <w:vAlign w:val="bottom"/>
          </w:tcPr>
          <w:p>
            <w:pPr>
              <w:spacing w:after="0"/>
              <w:rPr>
                <w:sz w:val="14"/>
                <w:szCs w:val="14"/>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106"/>
              <w:spacing w:after="0"/>
              <w:rPr>
                <w:sz w:val="20"/>
                <w:szCs w:val="20"/>
                <w:color w:val="auto"/>
              </w:rPr>
            </w:pPr>
            <w:r>
              <w:rPr>
                <w:rFonts w:ascii="Arial" w:cs="Arial" w:eastAsia="Arial" w:hAnsi="Arial"/>
                <w:sz w:val="11"/>
                <w:szCs w:val="11"/>
                <w:b w:val="1"/>
                <w:bCs w:val="1"/>
                <w:color w:val="auto"/>
              </w:rPr>
              <w:t>263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7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FINANCIAL RATIOS</w:t>
            </w:r>
          </w:p>
        </w:tc>
        <w:tc>
          <w:tcPr>
            <w:tcW w:w="800" w:type="dxa"/>
            <w:vAlign w:val="bottom"/>
            <w:gridSpan w:val="4"/>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820" w:type="dxa"/>
            <w:vAlign w:val="bottom"/>
            <w:gridSpan w:val="6"/>
          </w:tcPr>
          <w:p>
            <w:pPr>
              <w:spacing w:after="0"/>
              <w:rPr>
                <w:sz w:val="20"/>
                <w:szCs w:val="20"/>
                <w:color w:val="auto"/>
              </w:rPr>
            </w:pPr>
            <w:r>
              <w:rPr>
                <w:rFonts w:ascii="Arial" w:cs="Arial" w:eastAsia="Arial" w:hAnsi="Arial"/>
                <w:sz w:val="11"/>
                <w:szCs w:val="11"/>
                <w:color w:val="auto"/>
              </w:rPr>
              <w:t>ROE</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31 %</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gridSpan w:val="6"/>
          </w:tcPr>
          <w:p>
            <w:pPr>
              <w:spacing w:after="0"/>
              <w:rPr>
                <w:sz w:val="20"/>
                <w:szCs w:val="20"/>
                <w:color w:val="auto"/>
              </w:rPr>
            </w:pPr>
            <w:r>
              <w:rPr>
                <w:rFonts w:ascii="Arial" w:cs="Arial" w:eastAsia="Arial" w:hAnsi="Arial"/>
                <w:sz w:val="11"/>
                <w:szCs w:val="11"/>
                <w:color w:val="auto"/>
              </w:rPr>
              <w:t>Overhead ratio</w:t>
            </w: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1569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right="20" w:hanging="172"/>
        <w:spacing w:after="0"/>
        <w:tabs>
          <w:tab w:leader="none" w:pos="177" w:val="left"/>
        </w:tabs>
        <w:numPr>
          <w:ilvl w:val="0"/>
          <w:numId w:val="22"/>
        </w:numPr>
        <w:rPr>
          <w:rFonts w:ascii="Arial" w:cs="Arial" w:eastAsia="Arial" w:hAnsi="Arial"/>
          <w:sz w:val="11"/>
          <w:szCs w:val="11"/>
          <w:color w:val="auto"/>
        </w:rPr>
      </w:pPr>
      <w:r>
        <w:rPr>
          <w:rFonts w:ascii="Arial" w:cs="Arial" w:eastAsia="Arial" w:hAnsi="Arial"/>
          <w:sz w:val="11"/>
          <w:szCs w:val="11"/>
          <w:color w:val="auto"/>
        </w:rPr>
        <w:t>Primarily includes operating lease income and commissions and other fees. Operating lease income was $1.2 billion, $1.1 billion, $987 million, $896 million and $824 million for the three months ended March 31, 2026, December 31, 2025, September 30, 2025, June 30, 2025 and March 31, 2025, respectively.</w:t>
      </w:r>
    </w:p>
    <w:p>
      <w:pPr>
        <w:jc w:val="both"/>
        <w:ind w:left="180" w:right="60" w:hanging="172"/>
        <w:spacing w:after="0" w:line="222" w:lineRule="auto"/>
        <w:tabs>
          <w:tab w:leader="none" w:pos="177"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 the first quarter of 2026, Risk functions that were previously aligned with the LOBs were centralized into Corporate. As a result, the employees and compensation expense related to those functions are now reflected in Corporate, and a corresponding expense allocation from Corporate is reflected in noncompensation expense of the respective LOBs. These adjustments had no impact on total noninterest expense of the LOBs or Corporate. Prior periods have been revised to conform with the current presentation.</w:t>
      </w:r>
    </w:p>
    <w:p>
      <w:pPr>
        <w:ind w:left="180" w:right="220" w:hanging="172"/>
        <w:spacing w:after="0" w:line="243" w:lineRule="auto"/>
        <w:tabs>
          <w:tab w:leader="none" w:pos="171"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Included depreciation expense on leased assets of $756 million, $670 million, $649 million, $577 million and $499 million for the three months ended March 31, 2026, December 31, 2025, September 30, 2025, June 30, 2025 and March 31, 2025, respectively.</w:t>
      </w:r>
    </w:p>
    <w:p>
      <w:pPr>
        <w:ind w:left="180" w:right="160" w:hanging="172"/>
        <w:spacing w:after="0" w:line="243" w:lineRule="auto"/>
        <w:tabs>
          <w:tab w:leader="none" w:pos="177"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Included MSR risk management results of $(15) million, $7 million, $55 million, $47 million and $9 million for the three months ended March 31, 2026, December 31, 2025, September 30, 2025, June 30, 2025 and March 31, 2025, respectively.</w:t>
      </w:r>
    </w:p>
    <w:p>
      <w:pPr>
        <w:ind w:left="160" w:hanging="152"/>
        <w:spacing w:after="0"/>
        <w:tabs>
          <w:tab w:leader="none" w:pos="1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Refer to footnote (f) on page 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12</w:t>
      </w:r>
    </w:p>
    <w:p>
      <w:pPr>
        <w:sectPr>
          <w:pgSz w:w="11900" w:h="16838" w:orient="portrait"/>
          <w:cols w:equalWidth="0" w:num="1">
            <w:col w:w="11240"/>
          </w:cols>
          <w:pgMar w:left="320" w:top="491"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4091305</wp:posOffset>
            </wp:positionH>
            <wp:positionV relativeFrom="page">
              <wp:posOffset>311785</wp:posOffset>
            </wp:positionV>
            <wp:extent cx="1397000"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employee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6"/>
          </w:tcPr>
          <w:p>
            <w:pPr>
              <w:jc w:val="right"/>
              <w:ind w:right="426"/>
              <w:spacing w:after="0"/>
              <w:rPr>
                <w:sz w:val="20"/>
                <w:szCs w:val="20"/>
                <w:color w:val="auto"/>
              </w:rPr>
            </w:pPr>
            <w:r>
              <w:rPr>
                <w:rFonts w:ascii="Arial" w:cs="Arial" w:eastAsia="Arial" w:hAnsi="Arial"/>
                <w:sz w:val="11"/>
                <w:szCs w:val="11"/>
                <w:b w:val="1"/>
                <w:bCs w:val="1"/>
                <w:color w:val="auto"/>
              </w:rPr>
              <w:t>QUARTERLY TRENDS</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1Q26 Change</w:t>
            </w:r>
          </w:p>
        </w:tc>
      </w:tr>
      <w:tr>
        <w:trPr>
          <w:trHeight w:val="155"/>
        </w:trPr>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1Q26</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4Q25</w:t>
            </w: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3Q25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2Q25</w:t>
            </w:r>
          </w:p>
        </w:tc>
        <w:tc>
          <w:tcPr>
            <w:tcW w:w="100" w:type="dxa"/>
            <w:vAlign w:val="bottom"/>
          </w:tcPr>
          <w:p>
            <w:pPr>
              <w:spacing w:after="0"/>
              <w:rPr>
                <w:sz w:val="13"/>
                <w:szCs w:val="13"/>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rPr>
              <w:t>1Q25</w:t>
            </w:r>
          </w:p>
        </w:tc>
        <w:tc>
          <w:tcPr>
            <w:tcW w:w="26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r>
      <w:tr>
        <w:trPr>
          <w:trHeight w:val="108"/>
        </w:trPr>
        <w:tc>
          <w:tcPr>
            <w:tcW w:w="2520" w:type="dxa"/>
            <w:vAlign w:val="bottom"/>
            <w:gridSpan w:val="4"/>
          </w:tcPr>
          <w:p>
            <w:pPr>
              <w:spacing w:after="0" w:line="108" w:lineRule="exact"/>
              <w:rPr>
                <w:sz w:val="20"/>
                <w:szCs w:val="20"/>
                <w:color w:val="auto"/>
              </w:rPr>
            </w:pPr>
            <w:r>
              <w:rPr>
                <w:rFonts w:ascii="Arial" w:cs="Arial" w:eastAsia="Arial" w:hAnsi="Arial"/>
                <w:sz w:val="11"/>
                <w:szCs w:val="11"/>
                <w:b w:val="1"/>
                <w:bCs w:val="1"/>
                <w:color w:val="auto"/>
              </w:rPr>
              <w:t>SELECTED BALANCE SHEET DATA (period-</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r>
      <w:tr>
        <w:trPr>
          <w:trHeight w:val="88"/>
        </w:trPr>
        <w:tc>
          <w:tcPr>
            <w:tcW w:w="2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end)</w:t>
            </w:r>
          </w:p>
        </w:tc>
        <w:tc>
          <w:tcPr>
            <w:tcW w:w="20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163"/>
        </w:trPr>
        <w:tc>
          <w:tcPr>
            <w:tcW w:w="2520" w:type="dxa"/>
            <w:vAlign w:val="bottom"/>
            <w:gridSpan w:val="4"/>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656,051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664,669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652,275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652,379</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636,105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3 %</w:t>
            </w:r>
          </w:p>
        </w:tc>
      </w:tr>
      <w:tr>
        <w:trPr>
          <w:trHeight w:val="324"/>
        </w:trPr>
        <w:tc>
          <w:tcPr>
            <w:tcW w:w="2520" w:type="dxa"/>
            <w:vAlign w:val="bottom"/>
            <w:gridSpan w:val="4"/>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Banking &amp; Wealth Management</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32,992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33,005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33,259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33,749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33,098</w:t>
            </w:r>
          </w:p>
        </w:tc>
        <w:tc>
          <w:tcPr>
            <w:tcW w:w="2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Home Lending (a)</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238,571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240,724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240,633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241,618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241,427</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Card Services</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239,065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247,753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235,491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233,051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223,517</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75"/>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Auto</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70,958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70,585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71,095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72,182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72,116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w:t>
            </w:r>
          </w:p>
        </w:tc>
      </w:tr>
      <w:tr>
        <w:trPr>
          <w:trHeight w:val="148"/>
        </w:trPr>
        <w:tc>
          <w:tcPr>
            <w:tcW w:w="240" w:type="dxa"/>
            <w:vAlign w:val="bottom"/>
          </w:tcPr>
          <w:p>
            <w:pPr>
              <w:spacing w:after="0"/>
              <w:rPr>
                <w:sz w:val="12"/>
                <w:szCs w:val="12"/>
                <w:color w:val="auto"/>
              </w:rPr>
            </w:pPr>
          </w:p>
        </w:tc>
        <w:tc>
          <w:tcPr>
            <w:tcW w:w="2280" w:type="dxa"/>
            <w:vAlign w:val="bottom"/>
            <w:gridSpan w:val="3"/>
          </w:tcPr>
          <w:p>
            <w:pPr>
              <w:ind w:left="1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581,586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592,067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580,478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580,600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570,158</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w:t>
            </w:r>
          </w:p>
        </w:tc>
      </w:tr>
      <w:tr>
        <w:trPr>
          <w:trHeight w:val="318"/>
        </w:trPr>
        <w:tc>
          <w:tcPr>
            <w:tcW w:w="252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w w:val="89"/>
              </w:rPr>
              <w:t>1,112,078</w:t>
            </w: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1,072,792</w:t>
            </w:r>
          </w:p>
        </w:tc>
        <w:tc>
          <w:tcPr>
            <w:tcW w:w="220" w:type="dxa"/>
            <w:vAlign w:val="bottom"/>
          </w:tcPr>
          <w:p>
            <w:pPr>
              <w:spacing w:after="0"/>
              <w:rPr>
                <w:sz w:val="24"/>
                <w:szCs w:val="24"/>
                <w:color w:val="auto"/>
              </w:rPr>
            </w:pP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1,058,388</w:t>
            </w:r>
          </w:p>
        </w:tc>
        <w:tc>
          <w:tcPr>
            <w:tcW w:w="820" w:type="dxa"/>
            <w:vAlign w:val="bottom"/>
            <w:gridSpan w:val="3"/>
          </w:tcPr>
          <w:p>
            <w:pPr>
              <w:jc w:val="right"/>
              <w:ind w:right="6"/>
              <w:spacing w:after="0"/>
              <w:rPr>
                <w:sz w:val="20"/>
                <w:szCs w:val="20"/>
                <w:color w:val="auto"/>
              </w:rPr>
            </w:pPr>
            <w:r>
              <w:rPr>
                <w:rFonts w:ascii="Arial" w:cs="Arial" w:eastAsia="Arial" w:hAnsi="Arial"/>
                <w:sz w:val="11"/>
                <w:szCs w:val="11"/>
                <w:color w:val="auto"/>
              </w:rPr>
              <w:t>1,063,137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1,080,138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24"/>
                <w:szCs w:val="2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w:t>
            </w: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61,500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56,000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56,000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w:t>
            </w:r>
          </w:p>
        </w:tc>
      </w:tr>
      <w:tr>
        <w:trPr>
          <w:trHeight w:val="303"/>
        </w:trPr>
        <w:tc>
          <w:tcPr>
            <w:tcW w:w="23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SELECTED BALANCE SHEET DATA (average)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3"/>
        </w:trPr>
        <w:tc>
          <w:tcPr>
            <w:tcW w:w="2520" w:type="dxa"/>
            <w:vAlign w:val="bottom"/>
            <w:gridSpan w:val="4"/>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655,977</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654,851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650,277</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642,284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639,664</w:t>
            </w:r>
          </w:p>
        </w:tc>
        <w:tc>
          <w:tcPr>
            <w:tcW w:w="2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w:t>
            </w:r>
          </w:p>
        </w:tc>
      </w:tr>
      <w:tr>
        <w:trPr>
          <w:trHeight w:val="324"/>
        </w:trPr>
        <w:tc>
          <w:tcPr>
            <w:tcW w:w="2520" w:type="dxa"/>
            <w:vAlign w:val="bottom"/>
            <w:gridSpan w:val="4"/>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Banking &amp; Wealth Management</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33,038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32,916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33,351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33,536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33,160</w:t>
            </w:r>
          </w:p>
        </w:tc>
        <w:tc>
          <w:tcPr>
            <w:tcW w:w="2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Home Lending (b)</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240,429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241,701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241,772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242,665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244,282</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w:t>
            </w: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Card Services</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239,153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239,335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234,412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228,446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224,493</w:t>
            </w:r>
          </w:p>
        </w:tc>
        <w:tc>
          <w:tcPr>
            <w:tcW w:w="2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75"/>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Auto</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70,208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70,693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70,895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71,410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72,462</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148"/>
        </w:trPr>
        <w:tc>
          <w:tcPr>
            <w:tcW w:w="240" w:type="dxa"/>
            <w:vAlign w:val="bottom"/>
          </w:tcPr>
          <w:p>
            <w:pPr>
              <w:spacing w:after="0"/>
              <w:rPr>
                <w:sz w:val="12"/>
                <w:szCs w:val="12"/>
                <w:color w:val="auto"/>
              </w:rPr>
            </w:pPr>
          </w:p>
        </w:tc>
        <w:tc>
          <w:tcPr>
            <w:tcW w:w="2280" w:type="dxa"/>
            <w:vAlign w:val="bottom"/>
            <w:gridSpan w:val="3"/>
          </w:tcPr>
          <w:p>
            <w:pPr>
              <w:ind w:left="1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582,828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584,645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580,430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576,057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574,397</w:t>
            </w:r>
          </w:p>
        </w:tc>
        <w:tc>
          <w:tcPr>
            <w:tcW w:w="260" w:type="dxa"/>
            <w:vAlign w:val="bottom"/>
          </w:tcPr>
          <w:p>
            <w:pPr>
              <w:spacing w:after="0"/>
              <w:rPr>
                <w:sz w:val="12"/>
                <w:szCs w:val="12"/>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w:t>
            </w:r>
          </w:p>
        </w:tc>
      </w:tr>
      <w:tr>
        <w:trPr>
          <w:trHeight w:val="318"/>
        </w:trPr>
        <w:tc>
          <w:tcPr>
            <w:tcW w:w="252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1,075,951</w:t>
            </w: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1,056,819</w:t>
            </w:r>
          </w:p>
        </w:tc>
        <w:tc>
          <w:tcPr>
            <w:tcW w:w="220" w:type="dxa"/>
            <w:vAlign w:val="bottom"/>
          </w:tcPr>
          <w:p>
            <w:pPr>
              <w:spacing w:after="0"/>
              <w:rPr>
                <w:sz w:val="24"/>
                <w:szCs w:val="24"/>
                <w:color w:val="auto"/>
              </w:rPr>
            </w:pP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1,058,025</w:t>
            </w:r>
          </w:p>
        </w:tc>
        <w:tc>
          <w:tcPr>
            <w:tcW w:w="820" w:type="dxa"/>
            <w:vAlign w:val="bottom"/>
            <w:gridSpan w:val="3"/>
          </w:tcPr>
          <w:p>
            <w:pPr>
              <w:jc w:val="right"/>
              <w:ind w:right="6"/>
              <w:spacing w:after="0"/>
              <w:rPr>
                <w:sz w:val="20"/>
                <w:szCs w:val="20"/>
                <w:color w:val="auto"/>
              </w:rPr>
            </w:pPr>
            <w:r>
              <w:rPr>
                <w:rFonts w:ascii="Arial" w:cs="Arial" w:eastAsia="Arial" w:hAnsi="Arial"/>
                <w:sz w:val="11"/>
                <w:szCs w:val="11"/>
                <w:color w:val="auto"/>
              </w:rPr>
              <w:t>1,060,363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1,053,677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24"/>
                <w:szCs w:val="2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w:t>
            </w: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61,500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56,000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56,000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w:t>
            </w:r>
          </w:p>
        </w:tc>
      </w:tr>
      <w:tr>
        <w:trPr>
          <w:trHeight w:val="330"/>
        </w:trPr>
        <w:tc>
          <w:tcPr>
            <w:tcW w:w="2520" w:type="dxa"/>
            <w:vAlign w:val="bottom"/>
            <w:gridSpan w:val="4"/>
          </w:tcPr>
          <w:p>
            <w:pPr>
              <w:spacing w:after="0"/>
              <w:rPr>
                <w:sz w:val="20"/>
                <w:szCs w:val="20"/>
                <w:color w:val="auto"/>
              </w:rPr>
            </w:pPr>
            <w:r>
              <w:rPr>
                <w:rFonts w:ascii="Arial" w:cs="Arial" w:eastAsia="Arial" w:hAnsi="Arial"/>
                <w:sz w:val="11"/>
                <w:szCs w:val="11"/>
                <w:b w:val="1"/>
                <w:bCs w:val="1"/>
                <w:color w:val="auto"/>
              </w:rPr>
              <w:t>Employees (c)</w:t>
            </w: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143,869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142,586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142,600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143,198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143,778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24"/>
                <w:szCs w:val="2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602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80" w:right="220" w:hanging="172"/>
        <w:spacing w:after="0" w:line="249" w:lineRule="auto"/>
        <w:tabs>
          <w:tab w:leader="none" w:pos="177" w:val="left"/>
        </w:tabs>
        <w:numPr>
          <w:ilvl w:val="0"/>
          <w:numId w:val="23"/>
        </w:numPr>
        <w:rPr>
          <w:rFonts w:ascii="Arial" w:cs="Arial" w:eastAsia="Arial" w:hAnsi="Arial"/>
          <w:sz w:val="11"/>
          <w:szCs w:val="11"/>
          <w:color w:val="auto"/>
        </w:rPr>
      </w:pPr>
      <w:r>
        <w:rPr>
          <w:rFonts w:ascii="Arial" w:cs="Arial" w:eastAsia="Arial" w:hAnsi="Arial"/>
          <w:sz w:val="11"/>
          <w:szCs w:val="11"/>
          <w:color w:val="auto"/>
        </w:rPr>
        <w:t>At March 31, 2026, December 31, 2025, September 30, 2025, June 30, 2025 and March 31, 2025, Home Lending loans held-for-sale and loans at fair value were $11.3 billion, $11.0 billion, $9.4 billion, $8.9 billion and $6.4 billion, respectively.</w:t>
      </w:r>
    </w:p>
    <w:p>
      <w:pPr>
        <w:ind w:left="180" w:right="40" w:hanging="172"/>
        <w:spacing w:after="0" w:line="243" w:lineRule="auto"/>
        <w:tabs>
          <w:tab w:leader="none" w:pos="177" w:val="left"/>
        </w:tabs>
        <w:numPr>
          <w:ilvl w:val="0"/>
          <w:numId w:val="23"/>
        </w:numPr>
        <w:rPr>
          <w:rFonts w:ascii="Arial" w:cs="Arial" w:eastAsia="Arial" w:hAnsi="Arial"/>
          <w:sz w:val="11"/>
          <w:szCs w:val="11"/>
          <w:color w:val="auto"/>
        </w:rPr>
      </w:pPr>
      <w:r>
        <w:rPr>
          <w:rFonts w:ascii="Arial" w:cs="Arial" w:eastAsia="Arial" w:hAnsi="Arial"/>
          <w:sz w:val="11"/>
          <w:szCs w:val="11"/>
          <w:color w:val="auto"/>
        </w:rPr>
        <w:t>Average Home Lending loans held-for sale and loans at fair value were $11.8 billion, $11.2 billion, $10.1 billion, $8.9 billion and $7.5 billion for the three months ended March 31, 2026, December 31, 2025, September 30, 2025, June 30, 2025 and March 31, 2025, respectively.</w:t>
      </w:r>
    </w:p>
    <w:p>
      <w:pPr>
        <w:ind w:left="160" w:hanging="152"/>
        <w:spacing w:after="0"/>
        <w:tabs>
          <w:tab w:leader="none" w:pos="1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Refer to footnote (b) on page 12 for further information on the centralization of Risk functions.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13</w:t>
      </w:r>
    </w:p>
    <w:p>
      <w:pPr>
        <w:sectPr>
          <w:pgSz w:w="11900" w:h="16838" w:orient="portrait"/>
          <w:cols w:equalWidth="0" w:num="1">
            <w:col w:w="11240"/>
          </w:cols>
          <w:pgMar w:left="320" w:top="491"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4203065</wp:posOffset>
            </wp:positionH>
            <wp:positionV relativeFrom="page">
              <wp:posOffset>371475</wp:posOffset>
            </wp:positionV>
            <wp:extent cx="139700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 BANKING</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366"/>
              <w:spacing w:after="0"/>
              <w:rPr>
                <w:sz w:val="20"/>
                <w:szCs w:val="20"/>
                <w:color w:val="auto"/>
              </w:rPr>
            </w:pPr>
            <w:r>
              <w:rPr>
                <w:rFonts w:ascii="Arial" w:cs="Arial" w:eastAsia="Arial" w:hAnsi="Arial"/>
                <w:sz w:val="11"/>
                <w:szCs w:val="11"/>
                <w:b w:val="1"/>
                <w:bCs w:val="1"/>
                <w:color w:val="auto"/>
              </w:rPr>
              <w:t>QUARTERLY TRENDS</w:t>
            </w: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55"/>
        </w:trPr>
        <w:tc>
          <w:tcPr>
            <w:tcW w:w="2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1"/>
                <w:szCs w:val="11"/>
                <w:b w:val="1"/>
                <w:bCs w:val="1"/>
                <w:color w:val="auto"/>
              </w:rPr>
              <w:t>1Q26 Change</w:t>
            </w:r>
          </w:p>
        </w:tc>
      </w:tr>
      <w:tr>
        <w:trPr>
          <w:trHeight w:val="156"/>
        </w:trPr>
        <w:tc>
          <w:tcPr>
            <w:tcW w:w="2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rPr>
              <w:t>1Q26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4Q25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3Q25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2Q25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1Q25</w:t>
            </w:r>
          </w:p>
        </w:tc>
        <w:tc>
          <w:tcPr>
            <w:tcW w:w="48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4Q25</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1Q25</w:t>
            </w:r>
          </w:p>
        </w:tc>
      </w:tr>
      <w:tr>
        <w:trPr>
          <w:trHeight w:val="108"/>
        </w:trPr>
        <w:tc>
          <w:tcPr>
            <w:tcW w:w="21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6"/>
              </w:rPr>
              <w:t>CREDIT DATA AND QUALITY STATISTICS</w:t>
            </w:r>
          </w:p>
        </w:tc>
        <w:tc>
          <w:tcPr>
            <w:tcW w:w="5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r>
      <w:tr>
        <w:trPr>
          <w:trHeight w:val="163"/>
        </w:trPr>
        <w:tc>
          <w:tcPr>
            <w:tcW w:w="2680" w:type="dxa"/>
            <w:vAlign w:val="bottom"/>
            <w:gridSpan w:val="2"/>
          </w:tcPr>
          <w:p>
            <w:pPr>
              <w:spacing w:after="0"/>
              <w:rPr>
                <w:sz w:val="20"/>
                <w:szCs w:val="20"/>
                <w:color w:val="auto"/>
              </w:rPr>
            </w:pPr>
            <w:r>
              <w:rPr>
                <w:rFonts w:ascii="Arial" w:cs="Arial" w:eastAsia="Arial" w:hAnsi="Arial"/>
                <w:sz w:val="11"/>
                <w:szCs w:val="11"/>
                <w:color w:val="auto"/>
              </w:rPr>
              <w:t>Nonaccrual loans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3,493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3,484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3,596</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3,891</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3,266</w:t>
            </w:r>
          </w:p>
        </w:tc>
        <w:tc>
          <w:tcPr>
            <w:tcW w:w="480" w:type="dxa"/>
            <w:vAlign w:val="bottom"/>
          </w:tcPr>
          <w:p>
            <w:pPr>
              <w:spacing w:after="0"/>
              <w:rPr>
                <w:sz w:val="14"/>
                <w:szCs w:val="14"/>
                <w:color w:val="auto"/>
              </w:rPr>
            </w:pPr>
          </w:p>
        </w:tc>
        <w:tc>
          <w:tcPr>
            <w:tcW w:w="840" w:type="dxa"/>
            <w:vAlign w:val="bottom"/>
            <w:gridSpan w:val="2"/>
          </w:tcPr>
          <w:p>
            <w:pPr>
              <w:ind w:left="340"/>
              <w:spacing w:after="0"/>
              <w:rPr>
                <w:sz w:val="20"/>
                <w:szCs w:val="20"/>
                <w:color w:val="auto"/>
              </w:rPr>
            </w:pPr>
            <w:r>
              <w:rPr>
                <w:rFonts w:ascii="Arial" w:cs="Arial" w:eastAsia="Arial" w:hAnsi="Arial"/>
                <w:sz w:val="11"/>
                <w:szCs w:val="11"/>
                <w:color w:val="auto"/>
              </w:rPr>
              <w:t>— %</w:t>
            </w:r>
          </w:p>
        </w:tc>
        <w:tc>
          <w:tcPr>
            <w:tcW w:w="600" w:type="dxa"/>
            <w:vAlign w:val="bottom"/>
          </w:tcPr>
          <w:p>
            <w:pPr>
              <w:jc w:val="right"/>
              <w:spacing w:after="0"/>
              <w:rPr>
                <w:sz w:val="20"/>
                <w:szCs w:val="20"/>
                <w:color w:val="auto"/>
              </w:rPr>
            </w:pPr>
            <w:r>
              <w:rPr>
                <w:rFonts w:ascii="Arial" w:cs="Arial" w:eastAsia="Arial" w:hAnsi="Arial"/>
                <w:sz w:val="11"/>
                <w:szCs w:val="11"/>
                <w:color w:val="auto"/>
              </w:rPr>
              <w:t>7 %</w:t>
            </w:r>
          </w:p>
        </w:tc>
      </w:tr>
      <w:tr>
        <w:trPr>
          <w:trHeight w:val="216"/>
        </w:trPr>
        <w:tc>
          <w:tcPr>
            <w:tcW w:w="2680" w:type="dxa"/>
            <w:vAlign w:val="bottom"/>
            <w:gridSpan w:val="2"/>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97</w:t>
            </w:r>
          </w:p>
        </w:tc>
        <w:tc>
          <w:tcPr>
            <w:tcW w:w="108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w:t>
            </w: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w:t>
            </w:r>
          </w:p>
        </w:tc>
        <w:tc>
          <w:tcPr>
            <w:tcW w:w="1080" w:type="dxa"/>
            <w:vAlign w:val="bottom"/>
            <w:gridSpan w:val="2"/>
          </w:tcPr>
          <w:p>
            <w:pPr>
              <w:jc w:val="right"/>
              <w:ind w:right="66"/>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42</w:t>
            </w: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1,897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1,860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1,938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1,983</w:t>
            </w:r>
          </w:p>
        </w:tc>
        <w:tc>
          <w:tcPr>
            <w:tcW w:w="108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w:t>
            </w:r>
          </w:p>
        </w:tc>
      </w:tr>
      <w:tr>
        <w:trPr>
          <w:trHeight w:val="175"/>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w:t>
            </w:r>
          </w:p>
        </w:tc>
        <w:tc>
          <w:tcPr>
            <w:tcW w:w="108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5"/>
                <w:szCs w:val="15"/>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(19)</w:t>
            </w:r>
          </w:p>
        </w:tc>
      </w:tr>
      <w:tr>
        <w:trPr>
          <w:trHeight w:val="148"/>
        </w:trPr>
        <w:tc>
          <w:tcPr>
            <w:tcW w:w="2680" w:type="dxa"/>
            <w:vAlign w:val="bottom"/>
            <w:gridSpan w:val="2"/>
          </w:tcPr>
          <w:p>
            <w:pPr>
              <w:ind w:left="340"/>
              <w:spacing w:after="0"/>
              <w:rPr>
                <w:sz w:val="20"/>
                <w:szCs w:val="20"/>
                <w:color w:val="auto"/>
              </w:rPr>
            </w:pPr>
            <w:r>
              <w:rPr>
                <w:rFonts w:ascii="Arial" w:cs="Arial" w:eastAsia="Arial" w:hAnsi="Arial"/>
                <w:sz w:val="11"/>
                <w:szCs w:val="11"/>
                <w:b w:val="1"/>
                <w:bCs w:val="1"/>
                <w:color w:val="auto"/>
              </w:rPr>
              <w:t>Total net charge-offs/(recoveries)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2,195</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2,044</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1,963</w:t>
            </w: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2,086</w:t>
            </w:r>
          </w:p>
        </w:tc>
        <w:tc>
          <w:tcPr>
            <w:tcW w:w="2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2,154</w:t>
            </w:r>
          </w:p>
        </w:tc>
        <w:tc>
          <w:tcPr>
            <w:tcW w:w="108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r>
      <w:tr>
        <w:trPr>
          <w:trHeight w:val="156"/>
        </w:trPr>
        <w:tc>
          <w:tcPr>
            <w:tcW w:w="2680" w:type="dxa"/>
            <w:vAlign w:val="bottom"/>
            <w:gridSpan w:val="2"/>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0.87</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1.01</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1.22</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1.19</w:t>
            </w:r>
          </w:p>
        </w:tc>
        <w:tc>
          <w:tcPr>
            <w:tcW w:w="4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(0.04)</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3.58</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0.46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0.38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0.56</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680" w:type="dxa"/>
            <w:vAlign w:val="bottom"/>
            <w:gridSpan w:val="2"/>
          </w:tcPr>
          <w:p>
            <w:pPr>
              <w:ind w:left="340"/>
              <w:spacing w:after="0"/>
              <w:rPr>
                <w:sz w:val="20"/>
                <w:szCs w:val="20"/>
                <w:color w:val="auto"/>
              </w:rPr>
            </w:pPr>
            <w:r>
              <w:rPr>
                <w:rFonts w:ascii="Arial" w:cs="Arial" w:eastAsia="Arial" w:hAnsi="Arial"/>
                <w:sz w:val="11"/>
                <w:szCs w:val="11"/>
                <w:b w:val="1"/>
                <w:bCs w:val="1"/>
                <w:color w:val="auto"/>
              </w:rPr>
              <w:t>Total net charge-off/(recovery) rate</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1.56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1.41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1.37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1.48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1.54</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0"/>
        </w:trPr>
        <w:tc>
          <w:tcPr>
            <w:tcW w:w="2680" w:type="dxa"/>
            <w:vAlign w:val="bottom"/>
            <w:gridSpan w:val="2"/>
          </w:tcPr>
          <w:p>
            <w:pPr>
              <w:spacing w:after="0"/>
              <w:rPr>
                <w:sz w:val="20"/>
                <w:szCs w:val="20"/>
                <w:color w:val="auto"/>
              </w:rPr>
            </w:pPr>
            <w:r>
              <w:rPr>
                <w:rFonts w:ascii="Arial" w:cs="Arial" w:eastAsia="Arial" w:hAnsi="Arial"/>
                <w:sz w:val="11"/>
                <w:szCs w:val="11"/>
                <w:color w:val="auto"/>
              </w:rPr>
              <w:t>30+ day delinquency rate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Home Lending (b)</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0.88</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0.86</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0.89</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0.93</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1.04</w:t>
            </w:r>
          </w:p>
        </w:tc>
        <w:tc>
          <w:tcPr>
            <w:tcW w:w="4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2.21</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1.33</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1.20</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1"/>
                <w:szCs w:val="11"/>
                <w:color w:val="auto"/>
              </w:rPr>
              <w:t>90+ day delinquency rate - Card Services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1.16</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62"/>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680" w:type="dxa"/>
            <w:vAlign w:val="bottom"/>
            <w:gridSpan w:val="2"/>
          </w:tcPr>
          <w:p>
            <w:pPr>
              <w:ind w:left="20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765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765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765</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790</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794</w:t>
            </w:r>
          </w:p>
        </w:tc>
        <w:tc>
          <w:tcPr>
            <w:tcW w:w="4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r>
      <w:tr>
        <w:trPr>
          <w:trHeight w:val="162"/>
        </w:trPr>
        <w:tc>
          <w:tcPr>
            <w:tcW w:w="2680" w:type="dxa"/>
            <w:vAlign w:val="bottom"/>
            <w:gridSpan w:val="2"/>
          </w:tcPr>
          <w:p>
            <w:pPr>
              <w:ind w:left="20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647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547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557</w:t>
            </w:r>
          </w:p>
        </w:tc>
        <w:tc>
          <w:tcPr>
            <w:tcW w:w="1080" w:type="dxa"/>
            <w:vAlign w:val="bottom"/>
            <w:gridSpan w:val="2"/>
          </w:tcPr>
          <w:p>
            <w:pPr>
              <w:jc w:val="right"/>
              <w:ind w:right="6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(9)</w:t>
            </w:r>
          </w:p>
        </w:tc>
      </w:tr>
      <w:tr>
        <w:trPr>
          <w:trHeight w:val="162"/>
        </w:trPr>
        <w:tc>
          <w:tcPr>
            <w:tcW w:w="2680" w:type="dxa"/>
            <w:vAlign w:val="bottom"/>
            <w:gridSpan w:val="2"/>
          </w:tcPr>
          <w:p>
            <w:pPr>
              <w:ind w:left="20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15,563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15,558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15,558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15,008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15,008</w:t>
            </w:r>
          </w:p>
        </w:tc>
        <w:tc>
          <w:tcPr>
            <w:tcW w:w="4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w:t>
            </w:r>
          </w:p>
        </w:tc>
      </w:tr>
      <w:tr>
        <w:trPr>
          <w:trHeight w:val="175"/>
        </w:trPr>
        <w:tc>
          <w:tcPr>
            <w:tcW w:w="2680" w:type="dxa"/>
            <w:vAlign w:val="bottom"/>
            <w:gridSpan w:val="2"/>
          </w:tcPr>
          <w:p>
            <w:pPr>
              <w:ind w:left="20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587</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637</w:t>
            </w:r>
          </w:p>
        </w:tc>
        <w:tc>
          <w:tcPr>
            <w:tcW w:w="48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(8)</w:t>
            </w:r>
          </w:p>
        </w:tc>
      </w:tr>
      <w:tr>
        <w:trPr>
          <w:trHeight w:val="148"/>
        </w:trPr>
        <w:tc>
          <w:tcPr>
            <w:tcW w:w="2680" w:type="dxa"/>
            <w:vAlign w:val="bottom"/>
            <w:gridSpan w:val="2"/>
          </w:tcPr>
          <w:p>
            <w:pPr>
              <w:ind w:left="340"/>
              <w:spacing w:after="0"/>
              <w:rPr>
                <w:sz w:val="20"/>
                <w:szCs w:val="20"/>
                <w:color w:val="auto"/>
              </w:rPr>
            </w:pPr>
            <w:r>
              <w:rPr>
                <w:rFonts w:ascii="Arial" w:cs="Arial" w:eastAsia="Arial" w:hAnsi="Arial"/>
                <w:sz w:val="11"/>
                <w:szCs w:val="11"/>
                <w:b w:val="1"/>
                <w:bCs w:val="1"/>
                <w:color w:val="auto"/>
              </w:rPr>
              <w:t>Total allowance for loan losses</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17,422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17,557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17,557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16,982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16,996</w:t>
            </w:r>
          </w:p>
        </w:tc>
        <w:tc>
          <w:tcPr>
            <w:tcW w:w="10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w:t>
            </w:r>
          </w:p>
        </w:tc>
      </w:tr>
      <w:tr>
        <w:trPr>
          <w:trHeight w:val="169"/>
        </w:trPr>
        <w:tc>
          <w:tcPr>
            <w:tcW w:w="2680" w:type="dxa"/>
            <w:vAlign w:val="bottom"/>
            <w:gridSpan w:val="2"/>
          </w:tcPr>
          <w:p>
            <w:pPr>
              <w:ind w:left="120"/>
              <w:spacing w:after="0"/>
              <w:rPr>
                <w:sz w:val="20"/>
                <w:szCs w:val="20"/>
                <w:color w:val="auto"/>
              </w:rPr>
            </w:pPr>
            <w:r>
              <w:rPr>
                <w:rFonts w:ascii="Arial" w:cs="Arial" w:eastAsia="Arial" w:hAnsi="Arial"/>
                <w:sz w:val="11"/>
                <w:szCs w:val="11"/>
                <w:color w:val="auto"/>
              </w:rPr>
              <w:t>Allowance for lending-related commitments (c)</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2,290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w:t>
            </w:r>
          </w:p>
        </w:tc>
        <w:tc>
          <w:tcPr>
            <w:tcW w:w="4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9"/>
        </w:trPr>
        <w:tc>
          <w:tcPr>
            <w:tcW w:w="2680" w:type="dxa"/>
            <w:vAlign w:val="bottom"/>
            <w:gridSpan w:val="2"/>
          </w:tcPr>
          <w:p>
            <w:pPr>
              <w:ind w:left="34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19,702</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19,847</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17,647</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17,072</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17,077</w:t>
            </w:r>
          </w:p>
        </w:tc>
        <w:tc>
          <w:tcPr>
            <w:tcW w:w="10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714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72" w:lineRule="exact"/>
        <w:rPr>
          <w:sz w:val="20"/>
          <w:szCs w:val="20"/>
          <w:color w:val="auto"/>
        </w:rPr>
      </w:pPr>
    </w:p>
    <w:p>
      <w:pPr>
        <w:ind w:left="180" w:right="120" w:hanging="172"/>
        <w:spacing w:after="0" w:line="253" w:lineRule="auto"/>
        <w:tabs>
          <w:tab w:leader="none" w:pos="177" w:val="left"/>
        </w:tabs>
        <w:numPr>
          <w:ilvl w:val="0"/>
          <w:numId w:val="24"/>
        </w:numPr>
        <w:rPr>
          <w:rFonts w:ascii="Arial" w:cs="Arial" w:eastAsia="Arial" w:hAnsi="Arial"/>
          <w:sz w:val="11"/>
          <w:szCs w:val="11"/>
          <w:color w:val="auto"/>
        </w:rPr>
      </w:pPr>
      <w:r>
        <w:rPr>
          <w:rFonts w:ascii="Arial" w:cs="Arial" w:eastAsia="Arial" w:hAnsi="Arial"/>
          <w:sz w:val="11"/>
          <w:szCs w:val="11"/>
          <w:color w:val="auto"/>
        </w:rPr>
        <w:t>Excludes mortgage loans past due and insured by U.S. government agencies, which are primarily 90 or more days past due. These loans have been excluded based upon the government guarantee. At March 31, 2026, December 31, 2025, September 30, 2025, June 30, 2025 and March 31, 2025, mortgage loans 90 or more days past due and insured by U.S. government agencies were $68 million, $70 million, $65 million, $68 million and $81 million, respectively. In addition, the Firm’s policy is generally to exempt credit card loans from being placed on nonaccrual status as permitted by regulatory guidance.</w:t>
      </w:r>
    </w:p>
    <w:p>
      <w:pPr>
        <w:spacing w:after="0" w:line="1" w:lineRule="exact"/>
        <w:rPr>
          <w:rFonts w:ascii="Arial" w:cs="Arial" w:eastAsia="Arial" w:hAnsi="Arial"/>
          <w:sz w:val="11"/>
          <w:szCs w:val="11"/>
          <w:color w:val="auto"/>
        </w:rPr>
      </w:pPr>
    </w:p>
    <w:p>
      <w:pPr>
        <w:ind w:left="180" w:right="300" w:hanging="172"/>
        <w:spacing w:after="0" w:line="243" w:lineRule="auto"/>
        <w:tabs>
          <w:tab w:leader="none" w:pos="177" w:val="left"/>
        </w:tabs>
        <w:numPr>
          <w:ilvl w:val="0"/>
          <w:numId w:val="24"/>
        </w:numPr>
        <w:rPr>
          <w:rFonts w:ascii="Arial" w:cs="Arial" w:eastAsia="Arial" w:hAnsi="Arial"/>
          <w:sz w:val="11"/>
          <w:szCs w:val="11"/>
          <w:color w:val="auto"/>
        </w:rPr>
      </w:pPr>
      <w:r>
        <w:rPr>
          <w:rFonts w:ascii="Arial" w:cs="Arial" w:eastAsia="Arial" w:hAnsi="Arial"/>
          <w:sz w:val="11"/>
          <w:szCs w:val="11"/>
          <w:color w:val="auto"/>
        </w:rPr>
        <w:t>At March 31, 2026, December 31, 2025, September 30, 2025, June 30, 2025 and March 31, 2025, excluded mortgage loans 30 or more days past due and insured by U.S. government agencies of $92 million, $102 million, $95 million, $99 million and $114 million, respectively. These amounts have been excluded based upon the government guarantee.</w:t>
      </w:r>
    </w:p>
    <w:p>
      <w:pPr>
        <w:ind w:left="160" w:hanging="152"/>
        <w:spacing w:after="0"/>
        <w:tabs>
          <w:tab w:leader="none" w:pos="1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As of December 31, 2025, includes the impact of the Apple Card transaction. Refer to footnote (f) on page 2 for additional information.</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Prior-period rate has been revised to conform with the presentation in the Firm’s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14</w:t>
      </w:r>
    </w:p>
    <w:p>
      <w:pPr>
        <w:sectPr>
          <w:pgSz w:w="11900" w:h="16838" w:orient="portrait"/>
          <w:cols w:equalWidth="0" w:num="1">
            <w:col w:w="11240"/>
          </w:cols>
          <w:pgMar w:left="320" w:top="585"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4091305</wp:posOffset>
            </wp:positionH>
            <wp:positionV relativeFrom="page">
              <wp:posOffset>311785</wp:posOffset>
            </wp:positionV>
            <wp:extent cx="139700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 and where</w:t>
      </w:r>
    </w:p>
    <w:p>
      <w:pPr>
        <w:ind w:left="20"/>
        <w:spacing w:after="0"/>
        <w:rPr>
          <w:sz w:val="20"/>
          <w:szCs w:val="20"/>
          <w:color w:val="auto"/>
        </w:rPr>
      </w:pPr>
      <w:r>
        <w:rPr>
          <w:rFonts w:ascii="Arial" w:cs="Arial" w:eastAsia="Arial" w:hAnsi="Arial"/>
          <w:sz w:val="11"/>
          <w:szCs w:val="11"/>
          <w:b w:val="1"/>
          <w:bCs w:val="1"/>
          <w:color w:val="auto"/>
        </w:rPr>
        <w:t>otherwise noted)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1"/>
                <w:szCs w:val="11"/>
                <w:b w:val="1"/>
                <w:bCs w:val="1"/>
                <w:color w:val="auto"/>
                <w:w w:val="95"/>
              </w:rPr>
              <w:t>QUARTERLY TRENDS</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1"/>
                <w:szCs w:val="11"/>
                <w:b w:val="1"/>
                <w:bCs w:val="1"/>
                <w:color w:val="auto"/>
              </w:rPr>
              <w:t>1Q26 Change</w:t>
            </w:r>
          </w:p>
        </w:tc>
      </w:tr>
      <w:tr>
        <w:trPr>
          <w:trHeight w:val="155"/>
        </w:trPr>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1Q26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4Q25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3Q25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2Q25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1Q25</w:t>
            </w:r>
          </w:p>
        </w:tc>
        <w:tc>
          <w:tcPr>
            <w:tcW w:w="240" w:type="dxa"/>
            <w:vAlign w:val="bottom"/>
          </w:tcPr>
          <w:p>
            <w:pPr>
              <w:spacing w:after="0"/>
              <w:rPr>
                <w:sz w:val="13"/>
                <w:szCs w:val="13"/>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4Q25</w:t>
            </w: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1Q25</w:t>
            </w:r>
          </w:p>
        </w:tc>
      </w:tr>
      <w:tr>
        <w:trPr>
          <w:trHeight w:val="108"/>
        </w:trPr>
        <w:tc>
          <w:tcPr>
            <w:tcW w:w="108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7"/>
              </w:rPr>
              <w:t>BUSINESS METRICS</w:t>
            </w:r>
          </w:p>
        </w:tc>
        <w:tc>
          <w:tcPr>
            <w:tcW w:w="15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r>
      <w:tr>
        <w:trPr>
          <w:trHeight w:val="168"/>
        </w:trPr>
        <w:tc>
          <w:tcPr>
            <w:tcW w:w="260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56"/>
        </w:trPr>
        <w:tc>
          <w:tcPr>
            <w:tcW w:w="2600" w:type="dxa"/>
            <w:vAlign w:val="bottom"/>
            <w:gridSpan w:val="2"/>
          </w:tcPr>
          <w:p>
            <w:pPr>
              <w:ind w:left="120"/>
              <w:spacing w:after="0"/>
              <w:rPr>
                <w:sz w:val="20"/>
                <w:szCs w:val="20"/>
                <w:color w:val="auto"/>
              </w:rPr>
            </w:pPr>
            <w:r>
              <w:rPr>
                <w:rFonts w:ascii="Arial" w:cs="Arial" w:eastAsia="Arial" w:hAnsi="Arial"/>
                <w:sz w:val="11"/>
                <w:szCs w:val="11"/>
                <w:color w:val="auto"/>
              </w:rPr>
              <w:t>Branches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5,095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5,083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5,018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4,994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4,972</w:t>
            </w:r>
          </w:p>
        </w:tc>
        <w:tc>
          <w:tcPr>
            <w:tcW w:w="240" w:type="dxa"/>
            <w:vAlign w:val="bottom"/>
          </w:tcPr>
          <w:p>
            <w:pPr>
              <w:spacing w:after="0"/>
              <w:rPr>
                <w:sz w:val="13"/>
                <w:szCs w:val="13"/>
                <w:color w:val="auto"/>
              </w:rPr>
            </w:pPr>
          </w:p>
        </w:tc>
        <w:tc>
          <w:tcPr>
            <w:tcW w:w="840" w:type="dxa"/>
            <w:vAlign w:val="bottom"/>
            <w:gridSpan w:val="2"/>
          </w:tcPr>
          <w:p>
            <w:pPr>
              <w:ind w:left="340"/>
              <w:spacing w:after="0"/>
              <w:rPr>
                <w:sz w:val="20"/>
                <w:szCs w:val="20"/>
                <w:color w:val="auto"/>
              </w:rPr>
            </w:pPr>
            <w:r>
              <w:rPr>
                <w:rFonts w:ascii="Arial" w:cs="Arial" w:eastAsia="Arial" w:hAnsi="Arial"/>
                <w:sz w:val="11"/>
                <w:szCs w:val="11"/>
                <w:color w:val="auto"/>
              </w:rPr>
              <w:t>— %</w:t>
            </w:r>
          </w:p>
        </w:tc>
        <w:tc>
          <w:tcPr>
            <w:tcW w:w="620" w:type="dxa"/>
            <w:vAlign w:val="bottom"/>
          </w:tcPr>
          <w:p>
            <w:pPr>
              <w:jc w:val="right"/>
              <w:spacing w:after="0"/>
              <w:rPr>
                <w:sz w:val="20"/>
                <w:szCs w:val="20"/>
                <w:color w:val="auto"/>
              </w:rPr>
            </w:pPr>
            <w:r>
              <w:rPr>
                <w:rFonts w:ascii="Arial" w:cs="Arial" w:eastAsia="Arial" w:hAnsi="Arial"/>
                <w:sz w:val="11"/>
                <w:szCs w:val="11"/>
                <w:color w:val="auto"/>
              </w:rPr>
              <w:t>2 %</w:t>
            </w:r>
          </w:p>
        </w:tc>
      </w:tr>
      <w:tr>
        <w:trPr>
          <w:trHeight w:val="162"/>
        </w:trPr>
        <w:tc>
          <w:tcPr>
            <w:tcW w:w="2600" w:type="dxa"/>
            <w:vAlign w:val="bottom"/>
            <w:gridSpan w:val="2"/>
          </w:tcPr>
          <w:p>
            <w:pPr>
              <w:ind w:left="120"/>
              <w:spacing w:after="0"/>
              <w:rPr>
                <w:sz w:val="20"/>
                <w:szCs w:val="20"/>
                <w:color w:val="auto"/>
              </w:rPr>
            </w:pPr>
            <w:r>
              <w:rPr>
                <w:rFonts w:ascii="Arial" w:cs="Arial" w:eastAsia="Arial" w:hAnsi="Arial"/>
                <w:sz w:val="11"/>
                <w:szCs w:val="11"/>
                <w:color w:val="auto"/>
              </w:rPr>
              <w:t>Active digital customers (in thousands) (a)</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76,246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74,646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74,041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73,014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72,480</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5</w:t>
            </w:r>
          </w:p>
        </w:tc>
      </w:tr>
      <w:tr>
        <w:trPr>
          <w:trHeight w:val="162"/>
        </w:trPr>
        <w:tc>
          <w:tcPr>
            <w:tcW w:w="2600" w:type="dxa"/>
            <w:vAlign w:val="bottom"/>
            <w:gridSpan w:val="2"/>
          </w:tcPr>
          <w:p>
            <w:pPr>
              <w:ind w:left="120"/>
              <w:spacing w:after="0"/>
              <w:rPr>
                <w:sz w:val="20"/>
                <w:szCs w:val="20"/>
                <w:color w:val="auto"/>
              </w:rPr>
            </w:pPr>
            <w:r>
              <w:rPr>
                <w:rFonts w:ascii="Arial" w:cs="Arial" w:eastAsia="Arial" w:hAnsi="Arial"/>
                <w:sz w:val="11"/>
                <w:szCs w:val="11"/>
                <w:color w:val="auto"/>
              </w:rPr>
              <w:t>Active mobile customers (in thousands) (b)</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62,960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61,736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60,924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59,898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59,036</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324"/>
        </w:trPr>
        <w:tc>
          <w:tcPr>
            <w:tcW w:w="2600" w:type="dxa"/>
            <w:vAlign w:val="bottom"/>
            <w:gridSpan w:val="2"/>
          </w:tcPr>
          <w:p>
            <w:pPr>
              <w:spacing w:after="0"/>
              <w:rPr>
                <w:sz w:val="20"/>
                <w:szCs w:val="20"/>
                <w:color w:val="auto"/>
              </w:rPr>
            </w:pPr>
            <w:r>
              <w:rPr>
                <w:rFonts w:ascii="Arial" w:cs="Arial" w:eastAsia="Arial" w:hAnsi="Arial"/>
                <w:sz w:val="11"/>
                <w:szCs w:val="11"/>
                <w:color w:val="auto"/>
              </w:rPr>
              <w:t>Debit and credit card sales volume (in billions)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487.6</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512.5</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492.3</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487.2</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448.7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24"/>
                <w:szCs w:val="2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9</w:t>
            </w: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Total payments transaction volume (in trillions) (c)</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13</w:t>
            </w:r>
          </w:p>
        </w:tc>
      </w:tr>
      <w:tr>
        <w:trPr>
          <w:trHeight w:val="330"/>
        </w:trPr>
        <w:tc>
          <w:tcPr>
            <w:tcW w:w="2600" w:type="dxa"/>
            <w:vAlign w:val="bottom"/>
            <w:gridSpan w:val="2"/>
          </w:tcPr>
          <w:p>
            <w:pPr>
              <w:spacing w:after="0"/>
              <w:rPr>
                <w:sz w:val="20"/>
                <w:szCs w:val="20"/>
                <w:color w:val="auto"/>
              </w:rPr>
            </w:pPr>
            <w:r>
              <w:rPr>
                <w:rFonts w:ascii="Arial" w:cs="Arial" w:eastAsia="Arial" w:hAnsi="Arial"/>
                <w:sz w:val="11"/>
                <w:szCs w:val="11"/>
                <w:b w:val="1"/>
                <w:bCs w:val="1"/>
                <w:color w:val="auto"/>
              </w:rPr>
              <w:t>Banking &amp; Wealth Management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6"/>
        </w:trPr>
        <w:tc>
          <w:tcPr>
            <w:tcW w:w="2600" w:type="dxa"/>
            <w:vAlign w:val="bottom"/>
            <w:gridSpan w:val="2"/>
          </w:tcPr>
          <w:p>
            <w:pPr>
              <w:spacing w:after="0"/>
              <w:rPr>
                <w:sz w:val="20"/>
                <w:szCs w:val="20"/>
                <w:color w:val="auto"/>
              </w:rPr>
            </w:pPr>
            <w:r>
              <w:rPr>
                <w:rFonts w:ascii="Arial" w:cs="Arial" w:eastAsia="Arial" w:hAnsi="Arial"/>
                <w:sz w:val="11"/>
                <w:szCs w:val="11"/>
                <w:color w:val="auto"/>
              </w:rPr>
              <w:t>Average deposits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1,059,463</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1,039,621</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1,040,402</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1,044,158</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1,038,964</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2</w:t>
            </w: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Deposit margin</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2.63</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2.72</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2.79</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2.76</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2.69</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Business Banking average loans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18,578</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18,747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18,922</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19,217</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19,474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w:t>
            </w: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Business Banking origination volume</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824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815</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(10)</w:t>
            </w: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Client investment assets (d)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1,272,180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1,269,883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1,232,390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1,155,017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1,079,833</w:t>
            </w:r>
          </w:p>
        </w:tc>
        <w:tc>
          <w:tcPr>
            <w:tcW w:w="24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w:t>
            </w: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Number of client advisors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6,243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6,049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6,025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5,860</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330"/>
        </w:trPr>
        <w:tc>
          <w:tcPr>
            <w:tcW w:w="2600" w:type="dxa"/>
            <w:vAlign w:val="bottom"/>
            <w:gridSpan w:val="2"/>
          </w:tcPr>
          <w:p>
            <w:pPr>
              <w:spacing w:after="0"/>
              <w:rPr>
                <w:sz w:val="20"/>
                <w:szCs w:val="20"/>
                <w:color w:val="auto"/>
              </w:rPr>
            </w:pPr>
            <w:r>
              <w:rPr>
                <w:rFonts w:ascii="Arial" w:cs="Arial" w:eastAsia="Arial" w:hAnsi="Arial"/>
                <w:sz w:val="11"/>
                <w:szCs w:val="11"/>
                <w:b w:val="1"/>
                <w:bCs w:val="1"/>
                <w:color w:val="auto"/>
              </w:rPr>
              <w:t>Home Lending (in billions)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6"/>
        </w:trPr>
        <w:tc>
          <w:tcPr>
            <w:tcW w:w="2600" w:type="dxa"/>
            <w:vAlign w:val="bottom"/>
            <w:gridSpan w:val="2"/>
          </w:tcPr>
          <w:p>
            <w:pPr>
              <w:spacing w:after="0"/>
              <w:rPr>
                <w:sz w:val="20"/>
                <w:szCs w:val="20"/>
                <w:color w:val="auto"/>
              </w:rPr>
            </w:pPr>
            <w:r>
              <w:rPr>
                <w:rFonts w:ascii="Arial" w:cs="Arial" w:eastAsia="Arial" w:hAnsi="Arial"/>
                <w:sz w:val="11"/>
                <w:szCs w:val="11"/>
                <w:color w:val="auto"/>
              </w:rPr>
              <w:t>Mortgage origination volume by channel</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2"/>
        </w:trPr>
        <w:tc>
          <w:tcPr>
            <w:tcW w:w="2600" w:type="dxa"/>
            <w:vAlign w:val="bottom"/>
            <w:gridSpan w:val="2"/>
          </w:tcPr>
          <w:p>
            <w:pPr>
              <w:ind w:left="120"/>
              <w:spacing w:after="0"/>
              <w:rPr>
                <w:sz w:val="20"/>
                <w:szCs w:val="20"/>
                <w:color w:val="auto"/>
              </w:rPr>
            </w:pPr>
            <w:r>
              <w:rPr>
                <w:rFonts w:ascii="Arial" w:cs="Arial" w:eastAsia="Arial" w:hAnsi="Arial"/>
                <w:sz w:val="11"/>
                <w:szCs w:val="11"/>
                <w:color w:val="auto"/>
              </w:rPr>
              <w:t>Retail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8.7</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10.4</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8.4</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8.7</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58</w:t>
            </w:r>
          </w:p>
        </w:tc>
      </w:tr>
      <w:tr>
        <w:trPr>
          <w:trHeight w:val="175"/>
        </w:trPr>
        <w:tc>
          <w:tcPr>
            <w:tcW w:w="2600" w:type="dxa"/>
            <w:vAlign w:val="bottom"/>
            <w:gridSpan w:val="2"/>
          </w:tcPr>
          <w:p>
            <w:pPr>
              <w:ind w:left="120"/>
              <w:spacing w:after="0"/>
              <w:rPr>
                <w:sz w:val="20"/>
                <w:szCs w:val="20"/>
                <w:color w:val="auto"/>
              </w:rPr>
            </w:pPr>
            <w:r>
              <w:rPr>
                <w:rFonts w:ascii="Arial" w:cs="Arial" w:eastAsia="Arial" w:hAnsi="Arial"/>
                <w:sz w:val="11"/>
                <w:szCs w:val="11"/>
                <w:color w:val="auto"/>
              </w:rPr>
              <w:t>Correspondent</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4.8</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5"/>
                <w:szCs w:val="15"/>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28</w:t>
            </w:r>
          </w:p>
        </w:tc>
      </w:tr>
      <w:tr>
        <w:trPr>
          <w:trHeight w:val="148"/>
        </w:trPr>
        <w:tc>
          <w:tcPr>
            <w:tcW w:w="260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mortgage origination volume (e)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13.7</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16.0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13.9</w:t>
            </w:r>
          </w:p>
        </w:tc>
        <w:tc>
          <w:tcPr>
            <w:tcW w:w="34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13.5</w:t>
            </w: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9.4</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46</w:t>
            </w:r>
          </w:p>
        </w:tc>
      </w:tr>
      <w:tr>
        <w:trPr>
          <w:trHeight w:val="156"/>
        </w:trPr>
        <w:tc>
          <w:tcPr>
            <w:tcW w:w="2600" w:type="dxa"/>
            <w:vAlign w:val="bottom"/>
            <w:gridSpan w:val="2"/>
          </w:tcPr>
          <w:p>
            <w:pPr>
              <w:spacing w:after="0"/>
              <w:rPr>
                <w:sz w:val="20"/>
                <w:szCs w:val="20"/>
                <w:color w:val="auto"/>
              </w:rPr>
            </w:pPr>
            <w:r>
              <w:rPr>
                <w:rFonts w:ascii="Arial" w:cs="Arial" w:eastAsia="Arial" w:hAnsi="Arial"/>
                <w:sz w:val="11"/>
                <w:szCs w:val="11"/>
                <w:color w:val="auto"/>
              </w:rPr>
              <w:t>Third-party mortgage loans serviced (period-end)</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656.4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661.9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663.6</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653.3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661.6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MSR carrying value (period-end)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w:t>
            </w:r>
          </w:p>
        </w:tc>
        <w:tc>
          <w:tcPr>
            <w:tcW w:w="24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330"/>
        </w:trPr>
        <w:tc>
          <w:tcPr>
            <w:tcW w:w="2600" w:type="dxa"/>
            <w:vAlign w:val="bottom"/>
            <w:gridSpan w:val="2"/>
          </w:tcPr>
          <w:p>
            <w:pPr>
              <w:spacing w:after="0"/>
              <w:rPr>
                <w:sz w:val="20"/>
                <w:szCs w:val="20"/>
                <w:color w:val="auto"/>
              </w:rPr>
            </w:pPr>
            <w:r>
              <w:rPr>
                <w:rFonts w:ascii="Arial" w:cs="Arial" w:eastAsia="Arial" w:hAnsi="Arial"/>
                <w:sz w:val="11"/>
                <w:szCs w:val="11"/>
                <w:b w:val="1"/>
                <w:bCs w:val="1"/>
                <w:color w:val="auto"/>
              </w:rPr>
              <w:t>Card Services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6"/>
        </w:trPr>
        <w:tc>
          <w:tcPr>
            <w:tcW w:w="2600" w:type="dxa"/>
            <w:vAlign w:val="bottom"/>
            <w:gridSpan w:val="2"/>
          </w:tcPr>
          <w:p>
            <w:pPr>
              <w:spacing w:after="0"/>
              <w:rPr>
                <w:sz w:val="20"/>
                <w:szCs w:val="20"/>
                <w:color w:val="auto"/>
              </w:rPr>
            </w:pPr>
            <w:r>
              <w:rPr>
                <w:rFonts w:ascii="Arial" w:cs="Arial" w:eastAsia="Arial" w:hAnsi="Arial"/>
                <w:sz w:val="11"/>
                <w:szCs w:val="11"/>
                <w:color w:val="auto"/>
                <w:w w:val="99"/>
              </w:rPr>
              <w:t>Sales volume, excluding commercial card (in billions)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337.6</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359.7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344.4</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340.0</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310.6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3"/>
                <w:szCs w:val="13"/>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9</w:t>
            </w: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Net revenue rate</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10.78</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9.86</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10.03</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10.06</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10.38</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Net yield on average loans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10.85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10.40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10.28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10.31</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0"/>
        </w:trPr>
        <w:tc>
          <w:tcPr>
            <w:tcW w:w="2600" w:type="dxa"/>
            <w:vAlign w:val="bottom"/>
            <w:gridSpan w:val="2"/>
          </w:tcPr>
          <w:p>
            <w:pPr>
              <w:spacing w:after="0"/>
              <w:rPr>
                <w:sz w:val="20"/>
                <w:szCs w:val="20"/>
                <w:color w:val="auto"/>
              </w:rPr>
            </w:pPr>
            <w:r>
              <w:rPr>
                <w:rFonts w:ascii="Arial" w:cs="Arial" w:eastAsia="Arial" w:hAnsi="Arial"/>
                <w:sz w:val="11"/>
                <w:szCs w:val="11"/>
                <w:b w:val="1"/>
                <w:bCs w:val="1"/>
                <w:color w:val="auto"/>
              </w:rPr>
              <w:t>Auto</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6"/>
        </w:trPr>
        <w:tc>
          <w:tcPr>
            <w:tcW w:w="2600" w:type="dxa"/>
            <w:vAlign w:val="bottom"/>
            <w:gridSpan w:val="2"/>
          </w:tcPr>
          <w:p>
            <w:pPr>
              <w:spacing w:after="0"/>
              <w:rPr>
                <w:sz w:val="20"/>
                <w:szCs w:val="20"/>
                <w:color w:val="auto"/>
              </w:rPr>
            </w:pPr>
            <w:r>
              <w:rPr>
                <w:rFonts w:ascii="Arial" w:cs="Arial" w:eastAsia="Arial" w:hAnsi="Arial"/>
                <w:sz w:val="11"/>
                <w:szCs w:val="11"/>
                <w:color w:val="auto"/>
              </w:rPr>
              <w:t>Loan and lease origination volume (in billions)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12.0</w:t>
            </w:r>
          </w:p>
        </w:tc>
        <w:tc>
          <w:tcPr>
            <w:tcW w:w="3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11.3</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162"/>
        </w:trPr>
        <w:tc>
          <w:tcPr>
            <w:tcW w:w="2600" w:type="dxa"/>
            <w:vAlign w:val="bottom"/>
            <w:gridSpan w:val="2"/>
          </w:tcPr>
          <w:p>
            <w:pPr>
              <w:spacing w:after="0"/>
              <w:rPr>
                <w:sz w:val="20"/>
                <w:szCs w:val="20"/>
                <w:color w:val="auto"/>
              </w:rPr>
            </w:pPr>
            <w:r>
              <w:rPr>
                <w:rFonts w:ascii="Arial" w:cs="Arial" w:eastAsia="Arial" w:hAnsi="Arial"/>
                <w:sz w:val="11"/>
                <w:szCs w:val="11"/>
                <w:color w:val="auto"/>
              </w:rPr>
              <w:t>Average auto operating lease assets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20,398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18,893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16,986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15,218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13,641</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654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Users of all web and/or mobile platforms who have logged in within the past 90 days.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Users of all mobile platforms who have logged in within the past 90 days.</w:t>
      </w:r>
    </w:p>
    <w:p>
      <w:pPr>
        <w:spacing w:after="0" w:line="5"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Total payments transaction volume includes debit and credit card sales volume and gross outflows of ACH, ATM, teller, wires, BillPay, PayChase, Zelle, person-to-person and checks.</w:t>
      </w:r>
    </w:p>
    <w:p>
      <w:pPr>
        <w:ind w:left="160" w:hanging="152"/>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Includes assets invested in managed accounts and J.P. Morgan mutual funds where AWM is the investment manager. Refer to AWM segment results on pages 20-22 for additional information.</w:t>
      </w:r>
    </w:p>
    <w:p>
      <w:pPr>
        <w:spacing w:after="0" w:line="5" w:lineRule="exact"/>
        <w:rPr>
          <w:rFonts w:ascii="Arial" w:cs="Arial" w:eastAsia="Arial" w:hAnsi="Arial"/>
          <w:sz w:val="11"/>
          <w:szCs w:val="11"/>
          <w:color w:val="auto"/>
        </w:rPr>
      </w:pPr>
    </w:p>
    <w:p>
      <w:pPr>
        <w:ind w:left="180" w:right="80" w:hanging="172"/>
        <w:spacing w:after="0" w:line="272" w:lineRule="auto"/>
        <w:tabs>
          <w:tab w:leader="none" w:pos="177"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Firmwide mortgage origination volume was $16.6 billion, $19.0 billion, $16.9 billion, $16.3 billion and $11.2 billion for the three months ended March 31, 2026, December 31, 2025, September 30, 2025, June 30, 2025 and March 31, 2025, respectively.</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15</w:t>
      </w:r>
    </w:p>
    <w:p>
      <w:pPr>
        <w:sectPr>
          <w:pgSz w:w="11900" w:h="16838" w:orient="portrait"/>
          <w:cols w:equalWidth="0" w:num="1">
            <w:col w:w="11240"/>
          </w:cols>
          <w:pgMar w:left="320" w:top="491"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4117340</wp:posOffset>
            </wp:positionH>
            <wp:positionV relativeFrom="page">
              <wp:posOffset>311785</wp:posOffset>
            </wp:positionV>
            <wp:extent cx="139700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QUARTERLY TRENDS</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1Q26</w:t>
            </w:r>
          </w:p>
        </w:tc>
        <w:tc>
          <w:tcPr>
            <w:tcW w:w="1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4Q25</w:t>
            </w: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3Q25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2Q25</w:t>
            </w:r>
          </w:p>
        </w:tc>
        <w:tc>
          <w:tcPr>
            <w:tcW w:w="220" w:type="dxa"/>
            <w:vAlign w:val="bottom"/>
          </w:tcPr>
          <w:p>
            <w:pPr>
              <w:spacing w:after="0"/>
              <w:rPr>
                <w:sz w:val="13"/>
                <w:szCs w:val="13"/>
                <w:color w:val="auto"/>
              </w:rPr>
            </w:pPr>
          </w:p>
        </w:tc>
        <w:tc>
          <w:tcPr>
            <w:tcW w:w="560" w:type="dxa"/>
            <w:vAlign w:val="bottom"/>
          </w:tcPr>
          <w:p>
            <w:pPr>
              <w:jc w:val="right"/>
              <w:ind w:right="206"/>
              <w:spacing w:after="0"/>
              <w:rPr>
                <w:sz w:val="20"/>
                <w:szCs w:val="20"/>
                <w:color w:val="auto"/>
              </w:rPr>
            </w:pPr>
            <w:r>
              <w:rPr>
                <w:rFonts w:ascii="Arial" w:cs="Arial" w:eastAsia="Arial" w:hAnsi="Arial"/>
                <w:sz w:val="11"/>
                <w:szCs w:val="11"/>
                <w:b w:val="1"/>
                <w:bCs w:val="1"/>
                <w:color w:val="auto"/>
              </w:rPr>
              <w:t>1Q25</w:t>
            </w:r>
          </w:p>
        </w:tc>
        <w:tc>
          <w:tcPr>
            <w:tcW w:w="26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1200" w:type="dxa"/>
            <w:vAlign w:val="bottom"/>
            <w:gridSpan w:val="2"/>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320" w:type="dxa"/>
            <w:vAlign w:val="bottom"/>
            <w:gridSpan w:val="4"/>
          </w:tcPr>
          <w:p>
            <w:pPr>
              <w:spacing w:after="0"/>
              <w:rPr>
                <w:sz w:val="20"/>
                <w:szCs w:val="20"/>
                <w:color w:val="auto"/>
              </w:rPr>
            </w:pPr>
            <w:r>
              <w:rPr>
                <w:rFonts w:ascii="Arial" w:cs="Arial" w:eastAsia="Arial" w:hAnsi="Arial"/>
                <w:sz w:val="11"/>
                <w:szCs w:val="11"/>
                <w:b w:val="1"/>
                <w:bCs w:val="1"/>
                <w:color w:val="auto"/>
              </w:rPr>
              <w:t>REVENUE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20" w:type="dxa"/>
            <w:vAlign w:val="bottom"/>
            <w:gridSpan w:val="4"/>
          </w:tcPr>
          <w:p>
            <w:pPr>
              <w:spacing w:after="0"/>
              <w:rPr>
                <w:sz w:val="20"/>
                <w:szCs w:val="20"/>
                <w:color w:val="auto"/>
              </w:rPr>
            </w:pPr>
            <w:r>
              <w:rPr>
                <w:rFonts w:ascii="Arial" w:cs="Arial" w:eastAsia="Arial" w:hAnsi="Arial"/>
                <w:sz w:val="11"/>
                <w:szCs w:val="11"/>
                <w:color w:val="auto"/>
              </w:rPr>
              <w:t>Investment banking fees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2,883</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2,347</w:t>
            </w:r>
          </w:p>
        </w:tc>
        <w:tc>
          <w:tcPr>
            <w:tcW w:w="1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2,627</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2,513</w:t>
            </w:r>
          </w:p>
        </w:tc>
        <w:tc>
          <w:tcPr>
            <w:tcW w:w="1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2,248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23 %</w:t>
            </w:r>
          </w:p>
        </w:tc>
        <w:tc>
          <w:tcPr>
            <w:tcW w:w="2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Principal transactions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7,897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5,419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7,090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7,109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7,608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46</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1,394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1,315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1,296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1,230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Commissions and other fees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1,714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1,562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1,493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1,493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1,437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Card income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585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627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645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551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6"/>
        </w:trPr>
        <w:tc>
          <w:tcPr>
            <w:tcW w:w="232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1,063</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660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736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748</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28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8"/>
        </w:trPr>
        <w:tc>
          <w:tcPr>
            <w:tcW w:w="232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15,390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12,354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13,798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13,792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13,822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25</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0"/>
        </w:trPr>
        <w:tc>
          <w:tcPr>
            <w:tcW w:w="232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7,989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7,021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6,080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5,743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5,844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48"/>
        </w:trPr>
        <w:tc>
          <w:tcPr>
            <w:tcW w:w="23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23,379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19,375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19,878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19,535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19,666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21</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51"/>
        </w:trPr>
        <w:tc>
          <w:tcPr>
            <w:tcW w:w="232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1"/>
                <w:szCs w:val="2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482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405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809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696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705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19</w:t>
            </w:r>
          </w:p>
        </w:tc>
        <w:tc>
          <w:tcPr>
            <w:tcW w:w="28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63"/>
        </w:trPr>
        <w:tc>
          <w:tcPr>
            <w:tcW w:w="232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320" w:type="dxa"/>
            <w:vAlign w:val="bottom"/>
            <w:gridSpan w:val="4"/>
          </w:tcPr>
          <w:p>
            <w:pPr>
              <w:spacing w:after="0"/>
              <w:rPr>
                <w:sz w:val="20"/>
                <w:szCs w:val="20"/>
                <w:color w:val="auto"/>
              </w:rPr>
            </w:pPr>
            <w:r>
              <w:rPr>
                <w:rFonts w:ascii="Arial" w:cs="Arial" w:eastAsia="Arial" w:hAnsi="Arial"/>
                <w:sz w:val="11"/>
                <w:szCs w:val="11"/>
                <w:color w:val="auto"/>
              </w:rPr>
              <w:t>Compensation expense (b)</w:t>
            </w: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5,740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3,940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4,662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4,815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5,127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46</w:t>
            </w:r>
          </w:p>
        </w:tc>
        <w:tc>
          <w:tcPr>
            <w:tcW w:w="2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6"/>
        </w:trPr>
        <w:tc>
          <w:tcPr>
            <w:tcW w:w="2320" w:type="dxa"/>
            <w:vAlign w:val="bottom"/>
            <w:gridSpan w:val="4"/>
          </w:tcPr>
          <w:p>
            <w:pPr>
              <w:spacing w:after="0"/>
              <w:rPr>
                <w:sz w:val="20"/>
                <w:szCs w:val="20"/>
                <w:color w:val="auto"/>
              </w:rPr>
            </w:pPr>
            <w:r>
              <w:rPr>
                <w:rFonts w:ascii="Arial" w:cs="Arial" w:eastAsia="Arial" w:hAnsi="Arial"/>
                <w:sz w:val="11"/>
                <w:szCs w:val="11"/>
                <w:color w:val="auto"/>
              </w:rPr>
              <w:t>Noncompensation expense (b)</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5,396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5,071</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5,060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4,826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4,715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5"/>
        </w:trPr>
        <w:tc>
          <w:tcPr>
            <w:tcW w:w="23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11,136</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9,011</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9,722</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9,641</w:t>
            </w: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9,842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2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29"/>
        </w:trPr>
        <w:tc>
          <w:tcPr>
            <w:tcW w:w="232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19"/>
                <w:szCs w:val="19"/>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11,761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9,959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9,347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9,198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9,119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18</w:t>
            </w:r>
          </w:p>
        </w:tc>
        <w:tc>
          <w:tcPr>
            <w:tcW w:w="280" w:type="dxa"/>
            <w:vAlign w:val="bottom"/>
          </w:tcPr>
          <w:p>
            <w:pPr>
              <w:spacing w:after="0"/>
              <w:rPr>
                <w:sz w:val="19"/>
                <w:szCs w:val="19"/>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69"/>
        </w:trPr>
        <w:tc>
          <w:tcPr>
            <w:tcW w:w="232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2,717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2,691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2,446</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2,548</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2,177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9"/>
        </w:trPr>
        <w:tc>
          <w:tcPr>
            <w:tcW w:w="2320" w:type="dxa"/>
            <w:vAlign w:val="bottom"/>
            <w:gridSpan w:val="4"/>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9,044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7,268</w:t>
            </w:r>
          </w:p>
        </w:tc>
        <w:tc>
          <w:tcPr>
            <w:tcW w:w="1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6,901</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6,650</w:t>
            </w:r>
          </w:p>
        </w:tc>
        <w:tc>
          <w:tcPr>
            <w:tcW w:w="180" w:type="dxa"/>
            <w:vAlign w:val="bottom"/>
          </w:tcPr>
          <w:p>
            <w:pPr>
              <w:spacing w:after="0"/>
              <w:rPr>
                <w:sz w:val="14"/>
                <w:szCs w:val="14"/>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6,942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203"/>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300" w:type="dxa"/>
            <w:vAlign w:val="bottom"/>
            <w:gridSpan w:val="3"/>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320" w:type="dxa"/>
            <w:vAlign w:val="bottom"/>
            <w:gridSpan w:val="4"/>
          </w:tcPr>
          <w:p>
            <w:pPr>
              <w:spacing w:after="0"/>
              <w:rPr>
                <w:sz w:val="20"/>
                <w:szCs w:val="20"/>
                <w:color w:val="auto"/>
              </w:rPr>
            </w:pPr>
            <w:r>
              <w:rPr>
                <w:rFonts w:ascii="Arial" w:cs="Arial" w:eastAsia="Arial" w:hAnsi="Arial"/>
                <w:sz w:val="11"/>
                <w:szCs w:val="11"/>
                <w:color w:val="auto"/>
              </w:rPr>
              <w:t>ROE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17 %</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18 %</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320" w:type="dxa"/>
            <w:vAlign w:val="bottom"/>
            <w:gridSpan w:val="4"/>
          </w:tcPr>
          <w:p>
            <w:pPr>
              <w:spacing w:after="0"/>
              <w:rPr>
                <w:sz w:val="20"/>
                <w:szCs w:val="20"/>
                <w:color w:val="auto"/>
              </w:rPr>
            </w:pPr>
            <w:r>
              <w:rPr>
                <w:rFonts w:ascii="Arial" w:cs="Arial" w:eastAsia="Arial" w:hAnsi="Arial"/>
                <w:sz w:val="11"/>
                <w:szCs w:val="11"/>
                <w:color w:val="auto"/>
              </w:rPr>
              <w:t>Compensation expense as percentage of total</w:t>
            </w:r>
          </w:p>
        </w:tc>
        <w:tc>
          <w:tcPr>
            <w:tcW w:w="140" w:type="dxa"/>
            <w:vAlign w:val="bottom"/>
          </w:tcPr>
          <w:p>
            <w:pPr>
              <w:spacing w:after="0"/>
              <w:rPr>
                <w:sz w:val="11"/>
                <w:szCs w:val="11"/>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26</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20" w:type="dxa"/>
            <w:vAlign w:val="bottom"/>
            <w:gridSpan w:val="4"/>
          </w:tcPr>
          <w:p>
            <w:pPr>
              <w:spacing w:after="0"/>
              <w:rPr>
                <w:sz w:val="20"/>
                <w:szCs w:val="20"/>
                <w:color w:val="auto"/>
              </w:rPr>
            </w:pPr>
            <w:r>
              <w:rPr>
                <w:rFonts w:ascii="Arial" w:cs="Arial" w:eastAsia="Arial" w:hAnsi="Arial"/>
                <w:sz w:val="11"/>
                <w:szCs w:val="11"/>
                <w:color w:val="auto"/>
              </w:rPr>
              <w:t>net revenue (b)</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REVENUE BY BUSINESS</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320" w:type="dxa"/>
            <w:vAlign w:val="bottom"/>
            <w:gridSpan w:val="4"/>
          </w:tcPr>
          <w:p>
            <w:pPr>
              <w:spacing w:after="0"/>
              <w:rPr>
                <w:sz w:val="20"/>
                <w:szCs w:val="20"/>
                <w:color w:val="auto"/>
              </w:rPr>
            </w:pPr>
            <w:r>
              <w:rPr>
                <w:rFonts w:ascii="Arial" w:cs="Arial" w:eastAsia="Arial" w:hAnsi="Arial"/>
                <w:sz w:val="11"/>
                <w:szCs w:val="11"/>
                <w:color w:val="auto"/>
              </w:rPr>
              <w:t>Investment Banking</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3,136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2,552</w:t>
            </w:r>
          </w:p>
        </w:tc>
        <w:tc>
          <w:tcPr>
            <w:tcW w:w="1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2,694</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2,684</w:t>
            </w:r>
          </w:p>
        </w:tc>
        <w:tc>
          <w:tcPr>
            <w:tcW w:w="180" w:type="dxa"/>
            <w:vAlign w:val="bottom"/>
          </w:tcPr>
          <w:p>
            <w:pPr>
              <w:spacing w:after="0"/>
              <w:rPr>
                <w:sz w:val="14"/>
                <w:szCs w:val="14"/>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2,268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Payments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5,123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5,114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4,917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4,735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4,565</w:t>
            </w:r>
          </w:p>
        </w:tc>
        <w:tc>
          <w:tcPr>
            <w:tcW w:w="2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Lending</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2,166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1,985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1,872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1,829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1,915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5"/>
        </w:trPr>
        <w:tc>
          <w:tcPr>
            <w:tcW w:w="2320" w:type="dxa"/>
            <w:vAlign w:val="bottom"/>
            <w:gridSpan w:val="4"/>
          </w:tcPr>
          <w:p>
            <w:pPr>
              <w:spacing w:after="0"/>
              <w:rPr>
                <w:sz w:val="20"/>
                <w:szCs w:val="20"/>
                <w:color w:val="auto"/>
              </w:rPr>
            </w:pPr>
            <w:r>
              <w:rPr>
                <w:rFonts w:ascii="Arial" w:cs="Arial" w:eastAsia="Arial" w:hAnsi="Arial"/>
                <w:sz w:val="11"/>
                <w:szCs w:val="11"/>
                <w:color w:val="auto"/>
              </w:rPr>
              <w:t>Other</w:t>
            </w:r>
          </w:p>
        </w:tc>
        <w:tc>
          <w:tcPr>
            <w:tcW w:w="14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26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8"/>
        </w:trPr>
        <w:tc>
          <w:tcPr>
            <w:tcW w:w="23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Banking &amp; Payments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10,425</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9,651</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9,483</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9,248</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8,754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6"/>
        </w:trPr>
        <w:tc>
          <w:tcPr>
            <w:tcW w:w="2320" w:type="dxa"/>
            <w:vAlign w:val="bottom"/>
            <w:gridSpan w:val="4"/>
          </w:tcPr>
          <w:p>
            <w:pPr>
              <w:spacing w:after="0"/>
              <w:rPr>
                <w:sz w:val="20"/>
                <w:szCs w:val="20"/>
                <w:color w:val="auto"/>
              </w:rPr>
            </w:pPr>
            <w:r>
              <w:rPr>
                <w:rFonts w:ascii="Arial" w:cs="Arial" w:eastAsia="Arial" w:hAnsi="Arial"/>
                <w:sz w:val="11"/>
                <w:szCs w:val="11"/>
                <w:color w:val="auto"/>
              </w:rPr>
              <w:t>Fixed Income Markets</w:t>
            </w: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7,078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5,380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5,613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5,690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5,849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32</w:t>
            </w:r>
          </w:p>
        </w:tc>
        <w:tc>
          <w:tcPr>
            <w:tcW w:w="2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Equity Markets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4,481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2,859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3,331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3,246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3,814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57</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Securities Services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1,499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1,489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1,423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1,418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1,269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75"/>
        </w:trPr>
        <w:tc>
          <w:tcPr>
            <w:tcW w:w="2320" w:type="dxa"/>
            <w:vAlign w:val="bottom"/>
            <w:gridSpan w:val="4"/>
          </w:tcPr>
          <w:p>
            <w:pPr>
              <w:spacing w:after="0"/>
              <w:rPr>
                <w:sz w:val="20"/>
                <w:szCs w:val="20"/>
                <w:color w:val="auto"/>
              </w:rPr>
            </w:pPr>
            <w:r>
              <w:rPr>
                <w:rFonts w:ascii="Arial" w:cs="Arial" w:eastAsia="Arial" w:hAnsi="Arial"/>
                <w:sz w:val="11"/>
                <w:szCs w:val="11"/>
                <w:color w:val="auto"/>
              </w:rPr>
              <w:t>Credit Adjustments &amp; Other (c)</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(104)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w:t>
            </w:r>
          </w:p>
        </w:tc>
        <w:tc>
          <w:tcPr>
            <w:tcW w:w="260" w:type="dxa"/>
            <w:vAlign w:val="bottom"/>
          </w:tcPr>
          <w:p>
            <w:pPr>
              <w:spacing w:after="0"/>
              <w:rPr>
                <w:sz w:val="15"/>
                <w:szCs w:val="15"/>
                <w:color w:val="auto"/>
              </w:rPr>
            </w:pPr>
          </w:p>
        </w:tc>
        <w:tc>
          <w:tcPr>
            <w:tcW w:w="940" w:type="dxa"/>
            <w:vAlign w:val="bottom"/>
            <w:gridSpan w:val="2"/>
          </w:tcPr>
          <w:p>
            <w:pPr>
              <w:ind w:left="480"/>
              <w:spacing w:after="0"/>
              <w:rPr>
                <w:sz w:val="20"/>
                <w:szCs w:val="20"/>
                <w:color w:val="auto"/>
              </w:rPr>
            </w:pPr>
            <w:r>
              <w:rPr>
                <w:rFonts w:ascii="Arial" w:cs="Arial" w:eastAsia="Arial" w:hAnsi="Arial"/>
                <w:sz w:val="11"/>
                <w:szCs w:val="11"/>
                <w:color w:val="auto"/>
              </w:rPr>
              <w:t>NM</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(420)</w:t>
            </w:r>
          </w:p>
        </w:tc>
        <w:tc>
          <w:tcPr>
            <w:tcW w:w="0" w:type="dxa"/>
            <w:vAlign w:val="bottom"/>
          </w:tcPr>
          <w:p>
            <w:pPr>
              <w:spacing w:after="0"/>
              <w:rPr>
                <w:sz w:val="1"/>
                <w:szCs w:val="1"/>
                <w:color w:val="auto"/>
              </w:rPr>
            </w:pPr>
          </w:p>
        </w:tc>
      </w:tr>
      <w:tr>
        <w:trPr>
          <w:trHeight w:val="155"/>
        </w:trPr>
        <w:tc>
          <w:tcPr>
            <w:tcW w:w="23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Markets &amp; Securities Services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12,954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9,724</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10,395</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10,287</w:t>
            </w: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10,912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33</w:t>
            </w:r>
          </w:p>
        </w:tc>
        <w:tc>
          <w:tcPr>
            <w:tcW w:w="2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9"/>
        </w:trPr>
        <w:tc>
          <w:tcPr>
            <w:tcW w:w="23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23,379</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19,375</w:t>
            </w:r>
          </w:p>
        </w:tc>
        <w:tc>
          <w:tcPr>
            <w:tcW w:w="1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19,878</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19,535</w:t>
            </w:r>
          </w:p>
        </w:tc>
        <w:tc>
          <w:tcPr>
            <w:tcW w:w="180" w:type="dxa"/>
            <w:vAlign w:val="bottom"/>
          </w:tcPr>
          <w:p>
            <w:pPr>
              <w:spacing w:after="0"/>
              <w:rPr>
                <w:sz w:val="14"/>
                <w:szCs w:val="14"/>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19,666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21</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89"/>
        </w:trPr>
        <w:tc>
          <w:tcPr>
            <w:tcW w:w="2320" w:type="dxa"/>
            <w:vAlign w:val="bottom"/>
            <w:gridSpan w:val="4"/>
          </w:tcPr>
          <w:p>
            <w:pPr>
              <w:spacing w:after="0"/>
              <w:rPr>
                <w:sz w:val="20"/>
                <w:szCs w:val="20"/>
                <w:color w:val="auto"/>
              </w:rPr>
            </w:pPr>
            <w:r>
              <w:rPr>
                <w:rFonts w:ascii="Arial" w:cs="Arial" w:eastAsia="Arial" w:hAnsi="Arial"/>
                <w:sz w:val="11"/>
                <w:szCs w:val="11"/>
                <w:b w:val="1"/>
                <w:bCs w:val="1"/>
                <w:color w:val="auto"/>
              </w:rPr>
              <w:t>Banking &amp; Payments revenue by client</w:t>
            </w: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20" w:type="dxa"/>
            <w:vAlign w:val="bottom"/>
            <w:gridSpan w:val="4"/>
          </w:tcPr>
          <w:p>
            <w:pPr>
              <w:spacing w:after="0"/>
              <w:rPr>
                <w:sz w:val="20"/>
                <w:szCs w:val="20"/>
                <w:color w:val="auto"/>
              </w:rPr>
            </w:pPr>
            <w:r>
              <w:rPr>
                <w:rFonts w:ascii="Arial" w:cs="Arial" w:eastAsia="Arial" w:hAnsi="Arial"/>
                <w:sz w:val="11"/>
                <w:szCs w:val="11"/>
                <w:b w:val="1"/>
                <w:bCs w:val="1"/>
                <w:color w:val="auto"/>
              </w:rPr>
              <w:t>coverage segment (d)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20" w:type="dxa"/>
            <w:vAlign w:val="bottom"/>
            <w:gridSpan w:val="4"/>
          </w:tcPr>
          <w:p>
            <w:pPr>
              <w:spacing w:after="0" w:line="122" w:lineRule="exact"/>
              <w:rPr>
                <w:sz w:val="20"/>
                <w:szCs w:val="20"/>
                <w:color w:val="auto"/>
              </w:rPr>
            </w:pPr>
            <w:r>
              <w:rPr>
                <w:rFonts w:ascii="Arial" w:cs="Arial" w:eastAsia="Arial" w:hAnsi="Arial"/>
                <w:sz w:val="11"/>
                <w:szCs w:val="11"/>
                <w:color w:val="auto"/>
              </w:rPr>
              <w:t>Global Corporate Banking &amp; Global Investment</w:t>
            </w: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7,265</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6,493</w:t>
            </w:r>
          </w:p>
        </w:tc>
        <w:tc>
          <w:tcPr>
            <w:tcW w:w="180" w:type="dxa"/>
            <w:vAlign w:val="bottom"/>
          </w:tcPr>
          <w:p>
            <w:pPr>
              <w:spacing w:after="0"/>
              <w:rPr>
                <w:sz w:val="10"/>
                <w:szCs w:val="10"/>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6,544</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6,319</w:t>
            </w:r>
          </w:p>
        </w:tc>
        <w:tc>
          <w:tcPr>
            <w:tcW w:w="180" w:type="dxa"/>
            <w:vAlign w:val="bottom"/>
          </w:tcPr>
          <w:p>
            <w:pPr>
              <w:spacing w:after="0"/>
              <w:rPr>
                <w:sz w:val="10"/>
                <w:szCs w:val="10"/>
                <w:color w:val="auto"/>
              </w:rPr>
            </w:pP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5,929</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12 %</w:t>
            </w:r>
          </w:p>
        </w:tc>
        <w:tc>
          <w:tcPr>
            <w:tcW w:w="2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2"/>
        </w:trPr>
        <w:tc>
          <w:tcPr>
            <w:tcW w:w="2320" w:type="dxa"/>
            <w:vAlign w:val="bottom"/>
            <w:gridSpan w:val="4"/>
          </w:tcPr>
          <w:p>
            <w:pPr>
              <w:spacing w:after="0"/>
              <w:rPr>
                <w:sz w:val="20"/>
                <w:szCs w:val="20"/>
                <w:color w:val="auto"/>
              </w:rPr>
            </w:pPr>
            <w:r>
              <w:rPr>
                <w:rFonts w:ascii="Arial" w:cs="Arial" w:eastAsia="Arial" w:hAnsi="Arial"/>
                <w:sz w:val="11"/>
                <w:szCs w:val="11"/>
                <w:color w:val="auto"/>
              </w:rPr>
              <w:t>Banking (e)</w:t>
            </w: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1"/>
                <w:szCs w:val="11"/>
                <w:color w:val="auto"/>
              </w:rPr>
              <w:t>Commercial Banking</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3,160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3,158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2,939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2,929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2,825</w:t>
            </w:r>
          </w:p>
        </w:tc>
        <w:tc>
          <w:tcPr>
            <w:tcW w:w="2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320" w:type="dxa"/>
            <w:vAlign w:val="bottom"/>
            <w:gridSpan w:val="4"/>
          </w:tcPr>
          <w:p>
            <w:pPr>
              <w:ind w:left="120"/>
              <w:spacing w:after="0"/>
              <w:rPr>
                <w:sz w:val="20"/>
                <w:szCs w:val="20"/>
                <w:color w:val="auto"/>
              </w:rPr>
            </w:pPr>
            <w:r>
              <w:rPr>
                <w:rFonts w:ascii="Arial" w:cs="Arial" w:eastAsia="Arial" w:hAnsi="Arial"/>
                <w:sz w:val="11"/>
                <w:szCs w:val="11"/>
                <w:color w:val="auto"/>
              </w:rPr>
              <w:t>Commercial &amp; Specialized Industries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2,280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2,245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2,038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2,067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1,956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75"/>
        </w:trPr>
        <w:tc>
          <w:tcPr>
            <w:tcW w:w="2320" w:type="dxa"/>
            <w:vAlign w:val="bottom"/>
            <w:gridSpan w:val="4"/>
          </w:tcPr>
          <w:p>
            <w:pPr>
              <w:ind w:left="120"/>
              <w:spacing w:after="0"/>
              <w:rPr>
                <w:sz w:val="20"/>
                <w:szCs w:val="20"/>
                <w:color w:val="auto"/>
              </w:rPr>
            </w:pPr>
            <w:r>
              <w:rPr>
                <w:rFonts w:ascii="Arial" w:cs="Arial" w:eastAsia="Arial" w:hAnsi="Arial"/>
                <w:sz w:val="11"/>
                <w:szCs w:val="11"/>
                <w:color w:val="auto"/>
              </w:rPr>
              <w:t>Commercial Real Estate Banking</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880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913</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901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862</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869</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8"/>
        </w:trPr>
        <w:tc>
          <w:tcPr>
            <w:tcW w:w="23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Banking &amp; Payments revenue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10,425</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9,651</w:t>
            </w:r>
          </w:p>
        </w:tc>
        <w:tc>
          <w:tcPr>
            <w:tcW w:w="1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9,483</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9,248</w:t>
            </w:r>
          </w:p>
        </w:tc>
        <w:tc>
          <w:tcPr>
            <w:tcW w:w="1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8,754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82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51" w:lineRule="exact"/>
        <w:rPr>
          <w:sz w:val="20"/>
          <w:szCs w:val="20"/>
          <w:color w:val="auto"/>
        </w:rPr>
      </w:pPr>
    </w:p>
    <w:p>
      <w:pPr>
        <w:ind w:left="180" w:right="60" w:hanging="172"/>
        <w:spacing w:after="0" w:line="245" w:lineRule="auto"/>
        <w:tabs>
          <w:tab w:leader="none" w:pos="177"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Included taxable-equivalent adjustments primarily from income tax credits from investments in alternative energy, affordable housing and new markets, income from tax-exempt securities and loans, and the related amortization and other tax benefits of the investments in alternative energy and affordable housing of $646 million, $920 million, $644 million, $722 million and $658 million for the three months ended March 31, 2026, December 31, 2025, September 30, 2025, June 30, 2025 and March 31, 2025, respectively.</w:t>
      </w:r>
    </w:p>
    <w:p>
      <w:pPr>
        <w:jc w:val="both"/>
        <w:ind w:left="180" w:right="60" w:hanging="172"/>
        <w:spacing w:after="0" w:line="247" w:lineRule="auto"/>
        <w:tabs>
          <w:tab w:leader="none" w:pos="177"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 the first quarter of 2026, Risk functions that were previously aligned with the LOBs were centralized into Corporate. As a result, the employees and compensation expense related to those functions are now reflected in Corporate, and a corresponding expense allocation from Corporate is reflected in noncompensation expense of the respective LOBs. These adjustments had no impact on total noninterest expense of the LOBs or Corporate. Prior periods have been revised to conform with the current presentation.</w:t>
      </w:r>
    </w:p>
    <w:p>
      <w:pPr>
        <w:ind w:left="180" w:right="40" w:hanging="172"/>
        <w:spacing w:after="0" w:line="243" w:lineRule="auto"/>
        <w:tabs>
          <w:tab w:leader="none" w:pos="171" w:val="left"/>
        </w:tabs>
        <w:numPr>
          <w:ilvl w:val="0"/>
          <w:numId w:val="26"/>
        </w:numPr>
        <w:rPr>
          <w:rFonts w:ascii="Arial" w:cs="Arial" w:eastAsia="Arial" w:hAnsi="Arial"/>
          <w:sz w:val="11"/>
          <w:szCs w:val="11"/>
          <w:color w:val="auto"/>
        </w:rPr>
      </w:pPr>
      <w:r>
        <w:rPr>
          <w:rFonts w:ascii="Arial" w:cs="Arial" w:eastAsia="Arial" w:hAnsi="Arial"/>
          <w:sz w:val="11"/>
          <w:szCs w:val="11"/>
          <w:color w:val="auto"/>
        </w:rPr>
        <w:t>Consists primarily of centrally managed credit valuation adjustments (“CVA”), funding valuation adjustments (“FVA”) on derivatives, other valuation adjustments, and certain components of fair value option elected liabilities, which are primarily reported in principal transactions revenue. Results are presented net of associated hedging activities and net of CVA and FVA amounts allocated to Fixed Income Markets and Equity Markets.</w:t>
      </w:r>
    </w:p>
    <w:p>
      <w:pPr>
        <w:ind w:left="160" w:hanging="152"/>
        <w:spacing w:after="0"/>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Refer to page 70 of the Firm’s 2025 Form 10-K for a description of each of the client coverage segments.</w:t>
      </w:r>
    </w:p>
    <w:p>
      <w:pPr>
        <w:spacing w:after="0" w:line="5" w:lineRule="exact"/>
        <w:rPr>
          <w:rFonts w:ascii="Arial" w:cs="Arial" w:eastAsia="Arial" w:hAnsi="Arial"/>
          <w:sz w:val="11"/>
          <w:szCs w:val="11"/>
          <w:color w:val="auto"/>
        </w:rPr>
      </w:pPr>
    </w:p>
    <w:p>
      <w:pPr>
        <w:ind w:left="180" w:right="200" w:hanging="172"/>
        <w:spacing w:after="0" w:line="272" w:lineRule="auto"/>
        <w:tabs>
          <w:tab w:leader="none" w:pos="177"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 the second quarter of 2025, amounts were reclassified from Other to Global Corporate Banking &amp; Global Investment Banking reflecting the subsequent alignment of certain business activities after the Firm’s Business Segment reorganization in the second quarter of 2024. Prior-period amounts have been revised to conform with the current presentation.</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16</w:t>
      </w:r>
    </w:p>
    <w:p>
      <w:pPr>
        <w:sectPr>
          <w:pgSz w:w="11900" w:h="16838" w:orient="portrait"/>
          <w:cols w:equalWidth="0" w:num="1">
            <w:col w:w="11240"/>
          </w:cols>
          <w:pgMar w:left="320" w:top="491"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4108450</wp:posOffset>
            </wp:positionH>
            <wp:positionV relativeFrom="page">
              <wp:posOffset>311785</wp:posOffset>
            </wp:positionV>
            <wp:extent cx="139700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ind w:right="426"/>
              <w:spacing w:after="0"/>
              <w:rPr>
                <w:sz w:val="20"/>
                <w:szCs w:val="20"/>
                <w:color w:val="auto"/>
              </w:rPr>
            </w:pPr>
            <w:r>
              <w:rPr>
                <w:rFonts w:ascii="Arial" w:cs="Arial" w:eastAsia="Arial" w:hAnsi="Arial"/>
                <w:sz w:val="11"/>
                <w:szCs w:val="11"/>
                <w:b w:val="1"/>
                <w:bCs w:val="1"/>
                <w:color w:val="auto"/>
              </w:rPr>
              <w:t>QUARTERLY TRENDS</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1Q26</w:t>
            </w:r>
          </w:p>
        </w:tc>
        <w:tc>
          <w:tcPr>
            <w:tcW w:w="8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4Q25</w:t>
            </w: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3Q25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2Q25</w:t>
            </w:r>
          </w:p>
        </w:tc>
        <w:tc>
          <w:tcPr>
            <w:tcW w:w="12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28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108"/>
        </w:trPr>
        <w:tc>
          <w:tcPr>
            <w:tcW w:w="2520" w:type="dxa"/>
            <w:vAlign w:val="bottom"/>
            <w:gridSpan w:val="4"/>
          </w:tcPr>
          <w:p>
            <w:pPr>
              <w:spacing w:after="0" w:line="108" w:lineRule="exact"/>
              <w:rPr>
                <w:sz w:val="20"/>
                <w:szCs w:val="20"/>
                <w:color w:val="auto"/>
              </w:rPr>
            </w:pPr>
            <w:r>
              <w:rPr>
                <w:rFonts w:ascii="Arial" w:cs="Arial" w:eastAsia="Arial" w:hAnsi="Arial"/>
                <w:sz w:val="11"/>
                <w:szCs w:val="11"/>
                <w:b w:val="1"/>
                <w:bCs w:val="1"/>
                <w:color w:val="auto"/>
              </w:rPr>
              <w:t>SELECTED BALANCE SHEET DATA (period-</w:t>
            </w: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end)</w:t>
            </w:r>
          </w:p>
        </w:tc>
        <w:tc>
          <w:tcPr>
            <w:tcW w:w="20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520" w:type="dxa"/>
            <w:vAlign w:val="bottom"/>
            <w:gridSpan w:val="4"/>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2,626,846</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2,142,534</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2,328,000</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2,260,825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2,174,123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23 %</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576,917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558,528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538,016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526,174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497,657</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5"/>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Loans held-for-sale and loans at fair value (a)</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67,022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73,508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56,057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57,659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48,201</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6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48"/>
        </w:trPr>
        <w:tc>
          <w:tcPr>
            <w:tcW w:w="25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643,939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632,036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594,073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583,833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545,858</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10"/>
        </w:trPr>
        <w:tc>
          <w:tcPr>
            <w:tcW w:w="2520" w:type="dxa"/>
            <w:vAlign w:val="bottom"/>
            <w:gridSpan w:val="4"/>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166,500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149,500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149,500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149,500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149,500</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260" w:type="dxa"/>
            <w:vAlign w:val="bottom"/>
          </w:tcPr>
          <w:p>
            <w:pPr>
              <w:spacing w:after="0"/>
              <w:rPr>
                <w:sz w:val="18"/>
                <w:szCs w:val="18"/>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82"/>
        </w:trPr>
        <w:tc>
          <w:tcPr>
            <w:tcW w:w="2520" w:type="dxa"/>
            <w:vAlign w:val="bottom"/>
            <w:gridSpan w:val="4"/>
          </w:tcPr>
          <w:p>
            <w:pPr>
              <w:spacing w:after="0"/>
              <w:rPr>
                <w:sz w:val="20"/>
                <w:szCs w:val="20"/>
                <w:color w:val="auto"/>
              </w:rPr>
            </w:pPr>
            <w:r>
              <w:rPr>
                <w:rFonts w:ascii="Arial" w:cs="Arial" w:eastAsia="Arial" w:hAnsi="Arial"/>
                <w:sz w:val="11"/>
                <w:szCs w:val="11"/>
                <w:b w:val="1"/>
                <w:bCs w:val="1"/>
                <w:color w:val="auto"/>
              </w:rPr>
              <w:t>Banking &amp; Payments loans by client coverage</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20" w:type="dxa"/>
            <w:vAlign w:val="bottom"/>
            <w:gridSpan w:val="4"/>
          </w:tcPr>
          <w:p>
            <w:pPr>
              <w:spacing w:after="0"/>
              <w:rPr>
                <w:sz w:val="20"/>
                <w:szCs w:val="20"/>
                <w:color w:val="auto"/>
              </w:rPr>
            </w:pPr>
            <w:r>
              <w:rPr>
                <w:rFonts w:ascii="Arial" w:cs="Arial" w:eastAsia="Arial" w:hAnsi="Arial"/>
                <w:sz w:val="11"/>
                <w:szCs w:val="11"/>
                <w:b w:val="1"/>
                <w:bCs w:val="1"/>
                <w:color w:val="auto"/>
              </w:rPr>
              <w:t>segment (period-end) (b)</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20" w:type="dxa"/>
            <w:vAlign w:val="bottom"/>
            <w:gridSpan w:val="4"/>
          </w:tcPr>
          <w:p>
            <w:pPr>
              <w:spacing w:after="0" w:line="122" w:lineRule="exact"/>
              <w:rPr>
                <w:sz w:val="20"/>
                <w:szCs w:val="20"/>
                <w:color w:val="auto"/>
              </w:rPr>
            </w:pPr>
            <w:r>
              <w:rPr>
                <w:rFonts w:ascii="Arial" w:cs="Arial" w:eastAsia="Arial" w:hAnsi="Arial"/>
                <w:sz w:val="11"/>
                <w:szCs w:val="11"/>
                <w:color w:val="auto"/>
              </w:rPr>
              <w:t>Global Corporate Banking &amp; Global Investment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158,989</w:t>
            </w:r>
          </w:p>
        </w:tc>
        <w:tc>
          <w:tcPr>
            <w:tcW w:w="2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146,079</w:t>
            </w:r>
          </w:p>
        </w:tc>
        <w:tc>
          <w:tcPr>
            <w:tcW w:w="2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132,560</w:t>
            </w:r>
          </w:p>
        </w:tc>
        <w:tc>
          <w:tcPr>
            <w:tcW w:w="28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133,017</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121,776</w:t>
            </w:r>
          </w:p>
        </w:tc>
        <w:tc>
          <w:tcPr>
            <w:tcW w:w="94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9</w:t>
            </w:r>
          </w:p>
        </w:tc>
        <w:tc>
          <w:tcPr>
            <w:tcW w:w="260" w:type="dxa"/>
            <w:vAlign w:val="bottom"/>
          </w:tcPr>
          <w:p>
            <w:pPr>
              <w:spacing w:after="0"/>
              <w:rPr>
                <w:sz w:val="10"/>
                <w:szCs w:val="10"/>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2"/>
        </w:trPr>
        <w:tc>
          <w:tcPr>
            <w:tcW w:w="2520" w:type="dxa"/>
            <w:vAlign w:val="bottom"/>
            <w:gridSpan w:val="4"/>
          </w:tcPr>
          <w:p>
            <w:pPr>
              <w:spacing w:after="0"/>
              <w:rPr>
                <w:sz w:val="20"/>
                <w:szCs w:val="20"/>
                <w:color w:val="auto"/>
              </w:rPr>
            </w:pPr>
            <w:r>
              <w:rPr>
                <w:rFonts w:ascii="Arial" w:cs="Arial" w:eastAsia="Arial" w:hAnsi="Arial"/>
                <w:sz w:val="11"/>
                <w:szCs w:val="11"/>
                <w:color w:val="auto"/>
              </w:rPr>
              <w:t>Banking (c)</w:t>
            </w: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Commercial Banking</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224,253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222,139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222,464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222,044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219,220</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Commercial &amp; Specialized Industries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77,425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75,865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76,010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75,859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74,334</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6"/>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Commercial Real Estate Banking</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146,828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146,274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146,454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146,185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144,886</w:t>
            </w:r>
          </w:p>
        </w:tc>
        <w:tc>
          <w:tcPr>
            <w:tcW w:w="28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8"/>
        </w:trPr>
        <w:tc>
          <w:tcPr>
            <w:tcW w:w="25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Banking &amp; Payments loans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383,242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368,218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355,024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355,061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340,996</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90"/>
        </w:trPr>
        <w:tc>
          <w:tcPr>
            <w:tcW w:w="23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SELECTED BALANCE SHEET DATA (average)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520" w:type="dxa"/>
            <w:vAlign w:val="bottom"/>
            <w:gridSpan w:val="4"/>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2,497,393</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2,260,671</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2,266,445</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2,205,619</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2,045,105</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Trading assets - debt and equity instruments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874,262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815,438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796,017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758,113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685,039</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Trading assets - derivative receivables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67,591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56,598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61,132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56,815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58,987</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558,751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546,219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528,135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511,562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482,304</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6"/>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Loans held-for-sale and loans at fair value (a)</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73,588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66,415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55,545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50,287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46,422</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26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48"/>
        </w:trPr>
        <w:tc>
          <w:tcPr>
            <w:tcW w:w="25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632,339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612,634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583,680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561,849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528,726</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10"/>
        </w:trPr>
        <w:tc>
          <w:tcPr>
            <w:tcW w:w="252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1,234,295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1,226,155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1,194,410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1,170,063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1,106,158</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8"/>
                <w:szCs w:val="18"/>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166,500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149,500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149,500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149,500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149,500</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82"/>
        </w:trPr>
        <w:tc>
          <w:tcPr>
            <w:tcW w:w="2520" w:type="dxa"/>
            <w:vAlign w:val="bottom"/>
            <w:gridSpan w:val="4"/>
          </w:tcPr>
          <w:p>
            <w:pPr>
              <w:spacing w:after="0"/>
              <w:rPr>
                <w:sz w:val="20"/>
                <w:szCs w:val="20"/>
                <w:color w:val="auto"/>
              </w:rPr>
            </w:pPr>
            <w:r>
              <w:rPr>
                <w:rFonts w:ascii="Arial" w:cs="Arial" w:eastAsia="Arial" w:hAnsi="Arial"/>
                <w:sz w:val="11"/>
                <w:szCs w:val="11"/>
                <w:b w:val="1"/>
                <w:bCs w:val="1"/>
                <w:color w:val="auto"/>
              </w:rPr>
              <w:t>Banking &amp; Payments loans by client coverage</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20" w:type="dxa"/>
            <w:vAlign w:val="bottom"/>
            <w:gridSpan w:val="4"/>
          </w:tcPr>
          <w:p>
            <w:pPr>
              <w:spacing w:after="0"/>
              <w:rPr>
                <w:sz w:val="20"/>
                <w:szCs w:val="20"/>
                <w:color w:val="auto"/>
              </w:rPr>
            </w:pPr>
            <w:r>
              <w:rPr>
                <w:rFonts w:ascii="Arial" w:cs="Arial" w:eastAsia="Arial" w:hAnsi="Arial"/>
                <w:sz w:val="11"/>
                <w:szCs w:val="11"/>
                <w:b w:val="1"/>
                <w:bCs w:val="1"/>
                <w:color w:val="auto"/>
              </w:rPr>
              <w:t>segment (average) (b)</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20" w:type="dxa"/>
            <w:vAlign w:val="bottom"/>
            <w:gridSpan w:val="4"/>
          </w:tcPr>
          <w:p>
            <w:pPr>
              <w:spacing w:after="0" w:line="122" w:lineRule="exact"/>
              <w:rPr>
                <w:sz w:val="20"/>
                <w:szCs w:val="20"/>
                <w:color w:val="auto"/>
              </w:rPr>
            </w:pPr>
            <w:r>
              <w:rPr>
                <w:rFonts w:ascii="Arial" w:cs="Arial" w:eastAsia="Arial" w:hAnsi="Arial"/>
                <w:sz w:val="11"/>
                <w:szCs w:val="11"/>
                <w:color w:val="auto"/>
              </w:rPr>
              <w:t>Global Corporate Banking &amp; Global Investment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151,120</w:t>
            </w:r>
          </w:p>
        </w:tc>
        <w:tc>
          <w:tcPr>
            <w:tcW w:w="2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138,491</w:t>
            </w:r>
          </w:p>
        </w:tc>
        <w:tc>
          <w:tcPr>
            <w:tcW w:w="2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132,101</w:t>
            </w:r>
          </w:p>
        </w:tc>
        <w:tc>
          <w:tcPr>
            <w:tcW w:w="28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125,554</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121,387</w:t>
            </w:r>
          </w:p>
        </w:tc>
        <w:tc>
          <w:tcPr>
            <w:tcW w:w="94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9</w:t>
            </w:r>
          </w:p>
        </w:tc>
        <w:tc>
          <w:tcPr>
            <w:tcW w:w="260" w:type="dxa"/>
            <w:vAlign w:val="bottom"/>
          </w:tcPr>
          <w:p>
            <w:pPr>
              <w:spacing w:after="0"/>
              <w:rPr>
                <w:sz w:val="10"/>
                <w:szCs w:val="10"/>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2"/>
        </w:trPr>
        <w:tc>
          <w:tcPr>
            <w:tcW w:w="2520" w:type="dxa"/>
            <w:vAlign w:val="bottom"/>
            <w:gridSpan w:val="4"/>
          </w:tcPr>
          <w:p>
            <w:pPr>
              <w:spacing w:after="0"/>
              <w:rPr>
                <w:sz w:val="20"/>
                <w:szCs w:val="20"/>
                <w:color w:val="auto"/>
              </w:rPr>
            </w:pPr>
            <w:r>
              <w:rPr>
                <w:rFonts w:ascii="Arial" w:cs="Arial" w:eastAsia="Arial" w:hAnsi="Arial"/>
                <w:sz w:val="11"/>
                <w:szCs w:val="11"/>
                <w:color w:val="auto"/>
              </w:rPr>
              <w:t>Banking (c)</w:t>
            </w: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20" w:type="dxa"/>
            <w:vAlign w:val="bottom"/>
            <w:gridSpan w:val="4"/>
          </w:tcPr>
          <w:p>
            <w:pPr>
              <w:spacing w:after="0"/>
              <w:rPr>
                <w:sz w:val="20"/>
                <w:szCs w:val="20"/>
                <w:color w:val="auto"/>
              </w:rPr>
            </w:pPr>
            <w:r>
              <w:rPr>
                <w:rFonts w:ascii="Arial" w:cs="Arial" w:eastAsia="Arial" w:hAnsi="Arial"/>
                <w:sz w:val="11"/>
                <w:szCs w:val="11"/>
                <w:color w:val="auto"/>
              </w:rPr>
              <w:t>Commercial Banking</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222,897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222,216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221,534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219,886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218,560</w:t>
            </w: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Commercial &amp; Specialized Industries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76,610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75,620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75,270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74,384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73,629</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5"/>
        </w:trPr>
        <w:tc>
          <w:tcPr>
            <w:tcW w:w="2520" w:type="dxa"/>
            <w:vAlign w:val="bottom"/>
            <w:gridSpan w:val="4"/>
          </w:tcPr>
          <w:p>
            <w:pPr>
              <w:ind w:left="120"/>
              <w:spacing w:after="0"/>
              <w:rPr>
                <w:sz w:val="20"/>
                <w:szCs w:val="20"/>
                <w:color w:val="auto"/>
              </w:rPr>
            </w:pPr>
            <w:r>
              <w:rPr>
                <w:rFonts w:ascii="Arial" w:cs="Arial" w:eastAsia="Arial" w:hAnsi="Arial"/>
                <w:sz w:val="11"/>
                <w:szCs w:val="11"/>
                <w:color w:val="auto"/>
              </w:rPr>
              <w:t>Commercial Real Estate Banking</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146,287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146,596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146,264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145,502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144,931</w:t>
            </w:r>
          </w:p>
        </w:tc>
        <w:tc>
          <w:tcPr>
            <w:tcW w:w="28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8"/>
        </w:trPr>
        <w:tc>
          <w:tcPr>
            <w:tcW w:w="25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Banking &amp; Payments loans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374,017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360,707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353,635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345,440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339,947</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2520" w:type="dxa"/>
            <w:vAlign w:val="bottom"/>
            <w:gridSpan w:val="4"/>
          </w:tcPr>
          <w:p>
            <w:pPr>
              <w:spacing w:after="0"/>
              <w:rPr>
                <w:sz w:val="20"/>
                <w:szCs w:val="20"/>
                <w:color w:val="auto"/>
              </w:rPr>
            </w:pPr>
            <w:r>
              <w:rPr>
                <w:rFonts w:ascii="Arial" w:cs="Arial" w:eastAsia="Arial" w:hAnsi="Arial"/>
                <w:sz w:val="11"/>
                <w:szCs w:val="11"/>
                <w:b w:val="1"/>
                <w:bCs w:val="1"/>
                <w:color w:val="auto"/>
              </w:rPr>
              <w:t>Employees (d)</w:t>
            </w: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91,493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91,355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90,895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89,882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89,415</w:t>
            </w:r>
          </w:p>
        </w:tc>
        <w:tc>
          <w:tcPr>
            <w:tcW w:w="2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602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96"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Loans held-for-sale and loans at fair value primarily reflect lending-related positions originated and purchased in Markets, including loans held for securitization.</w:t>
      </w:r>
    </w:p>
    <w:p>
      <w:pPr>
        <w:ind w:left="160" w:hanging="152"/>
        <w:spacing w:after="0" w:line="230" w:lineRule="auto"/>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Refer to page 70 of the Firm’s 2025 Form 10-K for a description of each of the client coverage segments.</w:t>
      </w:r>
    </w:p>
    <w:p>
      <w:pPr>
        <w:ind w:left="180" w:right="200" w:hanging="172"/>
        <w:spacing w:after="0" w:line="230" w:lineRule="auto"/>
        <w:tabs>
          <w:tab w:leader="none" w:pos="171"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 the second quarter of 2025, amounts were reclassified from Other to Global Corporate Banking &amp; Global Investment Banking reflecting the subsequent alignment of certain business activities after the Firm’s Business Segment reorganization in the second quarter of 2024. Prior-period amounts have been revised to conform with the current presentation.</w:t>
      </w:r>
    </w:p>
    <w:p>
      <w:pPr>
        <w:ind w:left="160" w:hanging="152"/>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Refer to footnote (b) on page 16 for further information on the centralization of Risk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17</w:t>
      </w:r>
    </w:p>
    <w:p>
      <w:pPr>
        <w:sectPr>
          <w:pgSz w:w="11900" w:h="16838" w:orient="portrait"/>
          <w:cols w:equalWidth="0" w:num="1">
            <w:col w:w="11240"/>
          </w:cols>
          <w:pgMar w:left="320" w:top="491"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4117340</wp:posOffset>
            </wp:positionH>
            <wp:positionV relativeFrom="page">
              <wp:posOffset>311785</wp:posOffset>
            </wp:positionV>
            <wp:extent cx="139700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QUARTERLY TRENDS</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1Q26</w:t>
            </w: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4Q25</w:t>
            </w:r>
          </w:p>
        </w:tc>
        <w:tc>
          <w:tcPr>
            <w:tcW w:w="12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3Q25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2Q25</w:t>
            </w:r>
          </w:p>
        </w:tc>
        <w:tc>
          <w:tcPr>
            <w:tcW w:w="240" w:type="dxa"/>
            <w:vAlign w:val="bottom"/>
          </w:tcPr>
          <w:p>
            <w:pPr>
              <w:spacing w:after="0"/>
              <w:rPr>
                <w:sz w:val="13"/>
                <w:szCs w:val="13"/>
                <w:color w:val="auto"/>
              </w:rPr>
            </w:pPr>
          </w:p>
        </w:tc>
        <w:tc>
          <w:tcPr>
            <w:tcW w:w="540" w:type="dxa"/>
            <w:vAlign w:val="bottom"/>
          </w:tcPr>
          <w:p>
            <w:pPr>
              <w:jc w:val="right"/>
              <w:ind w:right="206"/>
              <w:spacing w:after="0"/>
              <w:rPr>
                <w:sz w:val="20"/>
                <w:szCs w:val="20"/>
                <w:color w:val="auto"/>
              </w:rPr>
            </w:pPr>
            <w:r>
              <w:rPr>
                <w:rFonts w:ascii="Arial" w:cs="Arial" w:eastAsia="Arial" w:hAnsi="Arial"/>
                <w:sz w:val="11"/>
                <w:szCs w:val="11"/>
                <w:b w:val="1"/>
                <w:bCs w:val="1"/>
                <w:color w:val="auto"/>
                <w:w w:val="96"/>
              </w:rPr>
              <w:t>1Q25</w:t>
            </w:r>
          </w:p>
        </w:tc>
        <w:tc>
          <w:tcPr>
            <w:tcW w:w="26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CREDIT DATA AND QUALITY STATISTICS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80" w:type="dxa"/>
            <w:vAlign w:val="bottom"/>
            <w:gridSpan w:val="2"/>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120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440</w:t>
            </w:r>
          </w:p>
        </w:tc>
        <w:tc>
          <w:tcPr>
            <w:tcW w:w="2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567</w:t>
            </w:r>
          </w:p>
        </w:tc>
        <w:tc>
          <w:tcPr>
            <w:tcW w:w="3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325</w:t>
            </w:r>
          </w:p>
        </w:tc>
        <w:tc>
          <w:tcPr>
            <w:tcW w:w="180" w:type="dxa"/>
            <w:vAlign w:val="bottom"/>
          </w:tcPr>
          <w:p>
            <w:pPr>
              <w:spacing w:after="0"/>
              <w:rPr>
                <w:sz w:val="14"/>
                <w:szCs w:val="14"/>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1"/>
                <w:szCs w:val="11"/>
                <w:color w:val="auto"/>
              </w:rPr>
              <w:t>Nonperforming assets: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Nonaccrual loans retained (a)</w:t>
            </w: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3,855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3,641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4,033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3,678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3,413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8"/>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Nonaccrual loans held-for-sale and loans at</w:t>
            </w:r>
          </w:p>
        </w:tc>
        <w:tc>
          <w:tcPr>
            <w:tcW w:w="120" w:type="dxa"/>
            <w:vAlign w:val="bottom"/>
          </w:tcPr>
          <w:p>
            <w:pPr>
              <w:spacing w:after="0"/>
              <w:rPr>
                <w:sz w:val="11"/>
                <w:szCs w:val="11"/>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1,192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1,518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1,338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1,207</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1,255</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(21)</w:t>
            </w:r>
          </w:p>
        </w:tc>
        <w:tc>
          <w:tcPr>
            <w:tcW w:w="280" w:type="dxa"/>
            <w:vAlign w:val="bottom"/>
          </w:tcPr>
          <w:p>
            <w:pPr>
              <w:spacing w:after="0"/>
              <w:rPr>
                <w:sz w:val="11"/>
                <w:szCs w:val="11"/>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5"/>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fair value (b)</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nonaccrual loans</w:t>
            </w:r>
          </w:p>
        </w:tc>
        <w:tc>
          <w:tcPr>
            <w:tcW w:w="12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5,047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5,159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5,371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4,885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4,668</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0"/>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Derivative receivables</w:t>
            </w:r>
          </w:p>
        </w:tc>
        <w:tc>
          <w:tcPr>
            <w:tcW w:w="120" w:type="dxa"/>
            <w:vAlign w:val="bottom"/>
          </w:tcPr>
          <w:p>
            <w:pPr>
              <w:spacing w:after="0"/>
              <w:rPr>
                <w:sz w:val="18"/>
                <w:szCs w:val="18"/>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169</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(15)</w:t>
            </w:r>
          </w:p>
        </w:tc>
        <w:tc>
          <w:tcPr>
            <w:tcW w:w="2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5"/>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Assets acquired in loan satisfactions</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176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197</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208</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211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8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8"/>
        </w:trPr>
        <w:tc>
          <w:tcPr>
            <w:tcW w:w="238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nonperforming assets</w:t>
            </w:r>
          </w:p>
        </w:tc>
        <w:tc>
          <w:tcPr>
            <w:tcW w:w="12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5,397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5,555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5,792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5,442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5,048</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0"/>
        </w:trPr>
        <w:tc>
          <w:tcPr>
            <w:tcW w:w="2380" w:type="dxa"/>
            <w:vAlign w:val="bottom"/>
            <w:gridSpan w:val="2"/>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7,947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7,632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7,609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7,408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7,680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6"/>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Allowance for lending-related commitments</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2,777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2,738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2,798</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2,757</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2,113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8"/>
        </w:trPr>
        <w:tc>
          <w:tcPr>
            <w:tcW w:w="238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10,724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10,370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10,407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10,165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9,793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0"/>
        </w:trPr>
        <w:tc>
          <w:tcPr>
            <w:tcW w:w="2380" w:type="dxa"/>
            <w:vAlign w:val="bottom"/>
            <w:gridSpan w:val="2"/>
          </w:tcPr>
          <w:p>
            <w:pPr>
              <w:spacing w:after="0"/>
              <w:rPr>
                <w:sz w:val="20"/>
                <w:szCs w:val="20"/>
                <w:color w:val="auto"/>
              </w:rPr>
            </w:pPr>
            <w:r>
              <w:rPr>
                <w:rFonts w:ascii="Arial" w:cs="Arial" w:eastAsia="Arial" w:hAnsi="Arial"/>
                <w:sz w:val="11"/>
                <w:szCs w:val="11"/>
                <w:color w:val="auto"/>
              </w:rPr>
              <w:t>Net charge-off/(recovery) rate (c)</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0.09 %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0.32 %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0.43 %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0.25 %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0.15 %</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spacing w:after="0"/>
              <w:rPr>
                <w:sz w:val="20"/>
                <w:szCs w:val="20"/>
                <w:color w:val="auto"/>
              </w:rPr>
            </w:pPr>
            <w:r>
              <w:rPr>
                <w:rFonts w:ascii="Arial" w:cs="Arial" w:eastAsia="Arial" w:hAnsi="Arial"/>
                <w:sz w:val="11"/>
                <w:szCs w:val="11"/>
                <w:color w:val="auto"/>
              </w:rPr>
              <w:t>Allowance for loan losses to period-end loans</w:t>
            </w:r>
          </w:p>
        </w:tc>
        <w:tc>
          <w:tcPr>
            <w:tcW w:w="120" w:type="dxa"/>
            <w:vAlign w:val="bottom"/>
          </w:tcPr>
          <w:p>
            <w:pPr>
              <w:spacing w:after="0"/>
              <w:rPr>
                <w:sz w:val="15"/>
                <w:szCs w:val="15"/>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1.38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1.37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1.41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1.41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1.54</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gridSpan w:val="2"/>
          </w:tcPr>
          <w:p>
            <w:pPr>
              <w:spacing w:after="0"/>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spacing w:after="0"/>
              <w:rPr>
                <w:sz w:val="20"/>
                <w:szCs w:val="20"/>
                <w:color w:val="auto"/>
              </w:rPr>
            </w:pPr>
            <w:r>
              <w:rPr>
                <w:rFonts w:ascii="Arial" w:cs="Arial" w:eastAsia="Arial" w:hAnsi="Arial"/>
                <w:sz w:val="11"/>
                <w:szCs w:val="11"/>
                <w:color w:val="auto"/>
              </w:rPr>
              <w:t>Allowance for loan losses to nonaccrual loans</w:t>
            </w:r>
          </w:p>
        </w:tc>
        <w:tc>
          <w:tcPr>
            <w:tcW w:w="120" w:type="dxa"/>
            <w:vAlign w:val="bottom"/>
          </w:tcPr>
          <w:p>
            <w:pPr>
              <w:spacing w:after="0"/>
              <w:rPr>
                <w:sz w:val="15"/>
                <w:szCs w:val="15"/>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206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210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189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201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225</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gridSpan w:val="2"/>
          </w:tcPr>
          <w:p>
            <w:pPr>
              <w:spacing w:after="0"/>
              <w:rPr>
                <w:sz w:val="20"/>
                <w:szCs w:val="20"/>
                <w:color w:val="auto"/>
              </w:rPr>
            </w:pPr>
            <w:r>
              <w:rPr>
                <w:rFonts w:ascii="Arial" w:cs="Arial" w:eastAsia="Arial" w:hAnsi="Arial"/>
                <w:sz w:val="11"/>
                <w:szCs w:val="11"/>
                <w:color w:val="auto"/>
              </w:rPr>
              <w:t>retained (a)</w:t>
            </w: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Arial" w:cs="Arial" w:eastAsia="Arial" w:hAnsi="Arial"/>
                <w:sz w:val="11"/>
                <w:szCs w:val="11"/>
                <w:color w:val="auto"/>
              </w:rPr>
              <w:t>Nonaccrual loans to total period-end loans</w:t>
            </w: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0.78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0.82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0.90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0.84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0.86</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5170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43" w:lineRule="exact"/>
        <w:rPr>
          <w:sz w:val="20"/>
          <w:szCs w:val="20"/>
          <w:color w:val="auto"/>
        </w:rPr>
      </w:pPr>
    </w:p>
    <w:p>
      <w:pPr>
        <w:ind w:left="180" w:right="160" w:hanging="172"/>
        <w:spacing w:after="0" w:line="249" w:lineRule="auto"/>
        <w:tabs>
          <w:tab w:leader="none" w:pos="177" w:val="left"/>
        </w:tabs>
        <w:numPr>
          <w:ilvl w:val="0"/>
          <w:numId w:val="28"/>
        </w:numPr>
        <w:rPr>
          <w:rFonts w:ascii="Arial" w:cs="Arial" w:eastAsia="Arial" w:hAnsi="Arial"/>
          <w:sz w:val="11"/>
          <w:szCs w:val="11"/>
          <w:color w:val="auto"/>
        </w:rPr>
      </w:pPr>
      <w:r>
        <w:rPr>
          <w:rFonts w:ascii="Arial" w:cs="Arial" w:eastAsia="Arial" w:hAnsi="Arial"/>
          <w:sz w:val="11"/>
          <w:szCs w:val="11"/>
          <w:color w:val="auto"/>
        </w:rPr>
        <w:t>Allowance for loan losses of $740 million, $597 million, $724 million, $655 million and $566 million were held against these nonaccrual loans at March 31, 2026, December 31, 2025, September 30, 2025, June 30, 2025 and March 31, 2025, respectively.</w:t>
      </w:r>
    </w:p>
    <w:p>
      <w:pPr>
        <w:ind w:left="180" w:right="120" w:hanging="172"/>
        <w:spacing w:after="0" w:line="247" w:lineRule="auto"/>
        <w:tabs>
          <w:tab w:leader="none" w:pos="177" w:val="left"/>
        </w:tabs>
        <w:numPr>
          <w:ilvl w:val="0"/>
          <w:numId w:val="28"/>
        </w:numPr>
        <w:rPr>
          <w:rFonts w:ascii="Arial" w:cs="Arial" w:eastAsia="Arial" w:hAnsi="Arial"/>
          <w:sz w:val="11"/>
          <w:szCs w:val="11"/>
          <w:color w:val="auto"/>
        </w:rPr>
      </w:pPr>
      <w:r>
        <w:rPr>
          <w:rFonts w:ascii="Arial" w:cs="Arial" w:eastAsia="Arial" w:hAnsi="Arial"/>
          <w:sz w:val="11"/>
          <w:szCs w:val="11"/>
          <w:color w:val="auto"/>
        </w:rPr>
        <w:t>Excludes mortgage loans past due and insured by U.S. government agencies, which are primarily 90 or more days past due. These loans have been excluded based upon the government guarantee. At March 31, 2026, December 31, 2025, September 30, 2025, June 30, 2025 and March 31, 2025, mortgage loans 90 or more days past due and insured by U.S. government agencies were $183 million, $128 million, $93 million, $45 million and $36 million, respectively.</w:t>
      </w:r>
    </w:p>
    <w:p>
      <w:pPr>
        <w:ind w:left="160" w:hanging="152"/>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Loans held-for-sale and loans at fair value were excluded when calculating the net charge-off/(recovery)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18</w:t>
      </w:r>
    </w:p>
    <w:p>
      <w:pPr>
        <w:sectPr>
          <w:pgSz w:w="11900" w:h="16838" w:orient="portrait"/>
          <w:cols w:equalWidth="0" w:num="1">
            <w:col w:w="11240"/>
          </w:cols>
          <w:pgMar w:left="320" w:top="491"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3954145</wp:posOffset>
            </wp:positionH>
            <wp:positionV relativeFrom="page">
              <wp:posOffset>311785</wp:posOffset>
            </wp:positionV>
            <wp:extent cx="1397000"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where otherwise noted)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jc w:val="right"/>
              <w:ind w:right="366"/>
              <w:spacing w:after="0"/>
              <w:rPr>
                <w:sz w:val="20"/>
                <w:szCs w:val="20"/>
                <w:color w:val="auto"/>
              </w:rPr>
            </w:pPr>
            <w:r>
              <w:rPr>
                <w:rFonts w:ascii="Arial" w:cs="Arial" w:eastAsia="Arial" w:hAnsi="Arial"/>
                <w:sz w:val="11"/>
                <w:szCs w:val="11"/>
                <w:b w:val="1"/>
                <w:bCs w:val="1"/>
                <w:color w:val="auto"/>
              </w:rPr>
              <w:t>QUARTERLY TRENDS</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1Q26</w:t>
            </w:r>
          </w:p>
        </w:tc>
        <w:tc>
          <w:tcPr>
            <w:tcW w:w="1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4Q25</w:t>
            </w: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3Q25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2Q25</w:t>
            </w:r>
          </w:p>
        </w:tc>
        <w:tc>
          <w:tcPr>
            <w:tcW w:w="12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26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108"/>
        </w:trPr>
        <w:tc>
          <w:tcPr>
            <w:tcW w:w="108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7"/>
              </w:rPr>
              <w:t>BUSINESS METRICS</w:t>
            </w:r>
          </w:p>
        </w:tc>
        <w:tc>
          <w:tcPr>
            <w:tcW w:w="132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400" w:type="dxa"/>
            <w:vAlign w:val="bottom"/>
            <w:gridSpan w:val="4"/>
          </w:tcPr>
          <w:p>
            <w:pPr>
              <w:spacing w:after="0"/>
              <w:rPr>
                <w:sz w:val="20"/>
                <w:szCs w:val="20"/>
                <w:color w:val="auto"/>
              </w:rPr>
            </w:pPr>
            <w:r>
              <w:rPr>
                <w:rFonts w:ascii="Arial" w:cs="Arial" w:eastAsia="Arial" w:hAnsi="Arial"/>
                <w:sz w:val="11"/>
                <w:szCs w:val="11"/>
                <w:color w:val="auto"/>
              </w:rPr>
              <w:t>Advisory</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1,266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1,033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926</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844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694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23 %</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82 %</w:t>
            </w:r>
          </w:p>
        </w:tc>
        <w:tc>
          <w:tcPr>
            <w:tcW w:w="0" w:type="dxa"/>
            <w:vAlign w:val="bottom"/>
          </w:tcPr>
          <w:p>
            <w:pPr>
              <w:spacing w:after="0"/>
              <w:rPr>
                <w:sz w:val="1"/>
                <w:szCs w:val="1"/>
                <w:color w:val="auto"/>
              </w:rPr>
            </w:pPr>
          </w:p>
        </w:tc>
      </w:tr>
      <w:tr>
        <w:trPr>
          <w:trHeight w:val="162"/>
        </w:trPr>
        <w:tc>
          <w:tcPr>
            <w:tcW w:w="2400" w:type="dxa"/>
            <w:vAlign w:val="bottom"/>
            <w:gridSpan w:val="4"/>
          </w:tcPr>
          <w:p>
            <w:pPr>
              <w:spacing w:after="0"/>
              <w:rPr>
                <w:sz w:val="20"/>
                <w:szCs w:val="20"/>
                <w:color w:val="auto"/>
              </w:rPr>
            </w:pPr>
            <w:r>
              <w:rPr>
                <w:rFonts w:ascii="Arial" w:cs="Arial" w:eastAsia="Arial" w:hAnsi="Arial"/>
                <w:sz w:val="11"/>
                <w:szCs w:val="11"/>
                <w:color w:val="auto"/>
              </w:rPr>
              <w:t>Equity underwriting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472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527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465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324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13</w:t>
            </w:r>
          </w:p>
        </w:tc>
        <w:tc>
          <w:tcPr>
            <w:tcW w:w="28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75"/>
        </w:trPr>
        <w:tc>
          <w:tcPr>
            <w:tcW w:w="2400" w:type="dxa"/>
            <w:vAlign w:val="bottom"/>
            <w:gridSpan w:val="4"/>
          </w:tcPr>
          <w:p>
            <w:pPr>
              <w:spacing w:after="0"/>
              <w:rPr>
                <w:sz w:val="20"/>
                <w:szCs w:val="20"/>
                <w:color w:val="auto"/>
              </w:rPr>
            </w:pPr>
            <w:r>
              <w:rPr>
                <w:rFonts w:ascii="Arial" w:cs="Arial" w:eastAsia="Arial" w:hAnsi="Arial"/>
                <w:sz w:val="11"/>
                <w:szCs w:val="11"/>
                <w:color w:val="auto"/>
              </w:rPr>
              <w:t>Debt underwriting</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1,145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1,174</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1,230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28</w:t>
            </w:r>
          </w:p>
        </w:tc>
        <w:tc>
          <w:tcPr>
            <w:tcW w:w="28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8"/>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investment banking fees</w:t>
            </w:r>
          </w:p>
        </w:tc>
        <w:tc>
          <w:tcPr>
            <w:tcW w:w="120" w:type="dxa"/>
            <w:vAlign w:val="bottom"/>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2,883</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2,347</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2,627</w:t>
            </w: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2,513</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2,248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28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84"/>
        </w:trPr>
        <w:tc>
          <w:tcPr>
            <w:tcW w:w="2400" w:type="dxa"/>
            <w:vAlign w:val="bottom"/>
            <w:gridSpan w:val="4"/>
          </w:tcPr>
          <w:p>
            <w:pPr>
              <w:spacing w:after="0"/>
              <w:rPr>
                <w:sz w:val="20"/>
                <w:szCs w:val="20"/>
                <w:color w:val="auto"/>
              </w:rPr>
            </w:pPr>
            <w:r>
              <w:rPr>
                <w:rFonts w:ascii="Arial" w:cs="Arial" w:eastAsia="Arial" w:hAnsi="Arial"/>
                <w:sz w:val="11"/>
                <w:szCs w:val="11"/>
                <w:color w:val="auto"/>
              </w:rPr>
              <w:t>Client deposits and other third-party liabilities</w:t>
            </w:r>
          </w:p>
        </w:tc>
        <w:tc>
          <w:tcPr>
            <w:tcW w:w="5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1,167,128</w:t>
            </w:r>
          </w:p>
        </w:tc>
        <w:tc>
          <w:tcPr>
            <w:tcW w:w="200" w:type="dxa"/>
            <w:vAlign w:val="bottom"/>
          </w:tcPr>
          <w:p>
            <w:pPr>
              <w:spacing w:after="0"/>
              <w:rPr>
                <w:sz w:val="24"/>
                <w:szCs w:val="24"/>
                <w:color w:val="auto"/>
              </w:rPr>
            </w:pPr>
          </w:p>
        </w:tc>
        <w:tc>
          <w:tcPr>
            <w:tcW w:w="60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1,153,559</w:t>
            </w:r>
          </w:p>
        </w:tc>
        <w:tc>
          <w:tcPr>
            <w:tcW w:w="200" w:type="dxa"/>
            <w:vAlign w:val="bottom"/>
          </w:tcPr>
          <w:p>
            <w:pPr>
              <w:spacing w:after="0"/>
              <w:rPr>
                <w:sz w:val="24"/>
                <w:szCs w:val="24"/>
                <w:color w:val="auto"/>
              </w:rPr>
            </w:pPr>
          </w:p>
        </w:tc>
        <w:tc>
          <w:tcPr>
            <w:tcW w:w="5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1,111,143</w:t>
            </w:r>
          </w:p>
        </w:tc>
        <w:tc>
          <w:tcPr>
            <w:tcW w:w="800" w:type="dxa"/>
            <w:vAlign w:val="bottom"/>
            <w:gridSpan w:val="3"/>
            <w:vMerge w:val="restart"/>
          </w:tcPr>
          <w:p>
            <w:pPr>
              <w:jc w:val="right"/>
              <w:ind w:right="6"/>
              <w:spacing w:after="0"/>
              <w:rPr>
                <w:sz w:val="20"/>
                <w:szCs w:val="20"/>
                <w:color w:val="auto"/>
              </w:rPr>
            </w:pPr>
            <w:r>
              <w:rPr>
                <w:rFonts w:ascii="Arial" w:cs="Arial" w:eastAsia="Arial" w:hAnsi="Arial"/>
                <w:sz w:val="11"/>
                <w:szCs w:val="11"/>
                <w:color w:val="auto"/>
              </w:rPr>
              <w:t>1,089,781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1,034,382</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24"/>
                <w:szCs w:val="24"/>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2"/>
        </w:trPr>
        <w:tc>
          <w:tcPr>
            <w:tcW w:w="2400" w:type="dxa"/>
            <w:vAlign w:val="bottom"/>
            <w:gridSpan w:val="4"/>
          </w:tcPr>
          <w:p>
            <w:pPr>
              <w:spacing w:after="0"/>
              <w:rPr>
                <w:sz w:val="20"/>
                <w:szCs w:val="20"/>
                <w:color w:val="auto"/>
              </w:rPr>
            </w:pPr>
            <w:r>
              <w:rPr>
                <w:rFonts w:ascii="Arial" w:cs="Arial" w:eastAsia="Arial" w:hAnsi="Arial"/>
                <w:sz w:val="11"/>
                <w:szCs w:val="11"/>
                <w:color w:val="auto"/>
              </w:rPr>
              <w:t>(average) (a)</w:t>
            </w: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400" w:type="dxa"/>
            <w:vAlign w:val="bottom"/>
            <w:gridSpan w:val="4"/>
          </w:tcPr>
          <w:p>
            <w:pPr>
              <w:spacing w:after="0"/>
              <w:rPr>
                <w:sz w:val="20"/>
                <w:szCs w:val="20"/>
                <w:color w:val="auto"/>
              </w:rPr>
            </w:pPr>
            <w:r>
              <w:rPr>
                <w:rFonts w:ascii="Arial" w:cs="Arial" w:eastAsia="Arial" w:hAnsi="Arial"/>
                <w:sz w:val="11"/>
                <w:szCs w:val="11"/>
                <w:color w:val="auto"/>
              </w:rPr>
              <w:t>Assets under custody (“AUC”) (period-end) (in</w:t>
            </w:r>
          </w:p>
        </w:tc>
        <w:tc>
          <w:tcPr>
            <w:tcW w:w="120" w:type="dxa"/>
            <w:vAlign w:val="bottom"/>
            <w:vMerge w:val="restart"/>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40,905</w:t>
            </w:r>
          </w:p>
        </w:tc>
        <w:tc>
          <w:tcPr>
            <w:tcW w:w="2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41,172</w:t>
            </w:r>
          </w:p>
        </w:tc>
        <w:tc>
          <w:tcPr>
            <w:tcW w:w="2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40,128</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38,028</w:t>
            </w:r>
          </w:p>
        </w:tc>
        <w:tc>
          <w:tcPr>
            <w:tcW w:w="2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35,678</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24"/>
                <w:szCs w:val="24"/>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2"/>
        </w:trPr>
        <w:tc>
          <w:tcPr>
            <w:tcW w:w="2400" w:type="dxa"/>
            <w:vAlign w:val="bottom"/>
            <w:gridSpan w:val="4"/>
          </w:tcPr>
          <w:p>
            <w:pPr>
              <w:spacing w:after="0"/>
              <w:rPr>
                <w:sz w:val="20"/>
                <w:szCs w:val="20"/>
                <w:color w:val="auto"/>
              </w:rPr>
            </w:pPr>
            <w:r>
              <w:rPr>
                <w:rFonts w:ascii="Arial" w:cs="Arial" w:eastAsia="Arial" w:hAnsi="Arial"/>
                <w:sz w:val="11"/>
                <w:szCs w:val="11"/>
                <w:color w:val="auto"/>
              </w:rPr>
              <w:t>billions)</w:t>
            </w: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400" w:type="dxa"/>
            <w:vAlign w:val="bottom"/>
            <w:gridSpan w:val="4"/>
          </w:tcPr>
          <w:p>
            <w:pPr>
              <w:spacing w:after="0"/>
              <w:rPr>
                <w:sz w:val="20"/>
                <w:szCs w:val="20"/>
                <w:color w:val="auto"/>
              </w:rPr>
            </w:pPr>
            <w:r>
              <w:rPr>
                <w:rFonts w:ascii="Arial" w:cs="Arial" w:eastAsia="Arial" w:hAnsi="Arial"/>
                <w:sz w:val="11"/>
                <w:szCs w:val="11"/>
                <w:b w:val="1"/>
                <w:bCs w:val="1"/>
                <w:color w:val="auto"/>
              </w:rPr>
              <w:t>95% Confidence Level - Total CIB VaR</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6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(average) (b)</w:t>
            </w:r>
          </w:p>
        </w:tc>
        <w:tc>
          <w:tcPr>
            <w:tcW w:w="1280" w:type="dxa"/>
            <w:vAlign w:val="bottom"/>
            <w:tcBorders>
              <w:top w:val="single" w:sz="8" w:color="auto"/>
            </w:tcBorders>
            <w:gridSpan w:val="2"/>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400" w:type="dxa"/>
            <w:vAlign w:val="bottom"/>
            <w:gridSpan w:val="4"/>
          </w:tcPr>
          <w:p>
            <w:pPr>
              <w:spacing w:after="0"/>
              <w:rPr>
                <w:sz w:val="20"/>
                <w:szCs w:val="20"/>
                <w:color w:val="auto"/>
              </w:rPr>
            </w:pPr>
            <w:r>
              <w:rPr>
                <w:rFonts w:ascii="Arial" w:cs="Arial" w:eastAsia="Arial" w:hAnsi="Arial"/>
                <w:sz w:val="11"/>
                <w:szCs w:val="11"/>
                <w:b w:val="1"/>
                <w:bCs w:val="1"/>
                <w:color w:val="auto"/>
              </w:rPr>
              <w:t>CIB trading VaR by risk type: (c)</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gridSpan w:val="4"/>
          </w:tcPr>
          <w:p>
            <w:pPr>
              <w:spacing w:after="0"/>
              <w:rPr>
                <w:sz w:val="20"/>
                <w:szCs w:val="20"/>
                <w:color w:val="auto"/>
              </w:rPr>
            </w:pPr>
            <w:r>
              <w:rPr>
                <w:rFonts w:ascii="Arial" w:cs="Arial" w:eastAsia="Arial" w:hAnsi="Arial"/>
                <w:sz w:val="11"/>
                <w:szCs w:val="11"/>
                <w:color w:val="auto"/>
              </w:rPr>
              <w:t>Fixed income</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28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400" w:type="dxa"/>
            <w:vAlign w:val="bottom"/>
            <w:gridSpan w:val="4"/>
          </w:tcPr>
          <w:p>
            <w:pPr>
              <w:spacing w:after="0"/>
              <w:rPr>
                <w:sz w:val="20"/>
                <w:szCs w:val="20"/>
                <w:color w:val="auto"/>
              </w:rPr>
            </w:pPr>
            <w:r>
              <w:rPr>
                <w:rFonts w:ascii="Arial" w:cs="Arial" w:eastAsia="Arial" w:hAnsi="Arial"/>
                <w:sz w:val="11"/>
                <w:szCs w:val="11"/>
                <w:color w:val="auto"/>
              </w:rPr>
              <w:t>Foreign exchange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44</w:t>
            </w:r>
          </w:p>
        </w:tc>
        <w:tc>
          <w:tcPr>
            <w:tcW w:w="28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2"/>
        </w:trPr>
        <w:tc>
          <w:tcPr>
            <w:tcW w:w="2400" w:type="dxa"/>
            <w:vAlign w:val="bottom"/>
            <w:gridSpan w:val="4"/>
          </w:tcPr>
          <w:p>
            <w:pPr>
              <w:spacing w:after="0"/>
              <w:rPr>
                <w:sz w:val="20"/>
                <w:szCs w:val="20"/>
                <w:color w:val="auto"/>
              </w:rPr>
            </w:pPr>
            <w:r>
              <w:rPr>
                <w:rFonts w:ascii="Arial" w:cs="Arial" w:eastAsia="Arial" w:hAnsi="Arial"/>
                <w:sz w:val="11"/>
                <w:szCs w:val="11"/>
                <w:color w:val="auto"/>
              </w:rPr>
              <w:t>Equities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(15)</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62"/>
        </w:trPr>
        <w:tc>
          <w:tcPr>
            <w:tcW w:w="2400" w:type="dxa"/>
            <w:vAlign w:val="bottom"/>
            <w:gridSpan w:val="4"/>
          </w:tcPr>
          <w:p>
            <w:pPr>
              <w:spacing w:after="0"/>
              <w:rPr>
                <w:sz w:val="20"/>
                <w:szCs w:val="20"/>
                <w:color w:val="auto"/>
              </w:rPr>
            </w:pPr>
            <w:r>
              <w:rPr>
                <w:rFonts w:ascii="Arial" w:cs="Arial" w:eastAsia="Arial" w:hAnsi="Arial"/>
                <w:sz w:val="11"/>
                <w:szCs w:val="11"/>
                <w:color w:val="auto"/>
              </w:rPr>
              <w:t>Commodities and other</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(39)</w:t>
            </w:r>
          </w:p>
        </w:tc>
        <w:tc>
          <w:tcPr>
            <w:tcW w:w="2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75"/>
        </w:trPr>
        <w:tc>
          <w:tcPr>
            <w:tcW w:w="2400" w:type="dxa"/>
            <w:vAlign w:val="bottom"/>
            <w:gridSpan w:val="4"/>
          </w:tcPr>
          <w:p>
            <w:pPr>
              <w:spacing w:after="0"/>
              <w:rPr>
                <w:sz w:val="20"/>
                <w:szCs w:val="20"/>
                <w:color w:val="auto"/>
              </w:rPr>
            </w:pPr>
            <w:r>
              <w:rPr>
                <w:rFonts w:ascii="Arial" w:cs="Arial" w:eastAsia="Arial" w:hAnsi="Arial"/>
                <w:sz w:val="11"/>
                <w:szCs w:val="11"/>
                <w:color w:val="auto"/>
              </w:rPr>
              <w:t>Diversification benefit to CIB trading VaR (d)</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8"/>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CIB trading VaR (c)</w:t>
            </w: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45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56"/>
        </w:trPr>
        <w:tc>
          <w:tcPr>
            <w:tcW w:w="2400" w:type="dxa"/>
            <w:vAlign w:val="bottom"/>
            <w:gridSpan w:val="4"/>
          </w:tcPr>
          <w:p>
            <w:pPr>
              <w:spacing w:after="0"/>
              <w:rPr>
                <w:sz w:val="20"/>
                <w:szCs w:val="20"/>
                <w:color w:val="auto"/>
              </w:rPr>
            </w:pPr>
            <w:r>
              <w:rPr>
                <w:rFonts w:ascii="Arial" w:cs="Arial" w:eastAsia="Arial" w:hAnsi="Arial"/>
                <w:sz w:val="11"/>
                <w:szCs w:val="11"/>
                <w:color w:val="auto"/>
              </w:rPr>
              <w:t>Credit Portfolio VaR (e)</w:t>
            </w: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400" w:type="dxa"/>
            <w:vAlign w:val="bottom"/>
            <w:gridSpan w:val="4"/>
          </w:tcPr>
          <w:p>
            <w:pPr>
              <w:spacing w:after="0"/>
              <w:rPr>
                <w:sz w:val="20"/>
                <w:szCs w:val="20"/>
                <w:color w:val="auto"/>
              </w:rPr>
            </w:pPr>
            <w:r>
              <w:rPr>
                <w:rFonts w:ascii="Arial" w:cs="Arial" w:eastAsia="Arial" w:hAnsi="Arial"/>
                <w:sz w:val="11"/>
                <w:szCs w:val="11"/>
                <w:color w:val="auto"/>
              </w:rPr>
              <w:t>Diversification benefit to CIB VaR (d)</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5"/>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CIB VaR</w:t>
            </w: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35</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259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85"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Client deposits and other third-party liabilities pertain to the Payments and Securities Services businesses.</w:t>
      </w:r>
    </w:p>
    <w:p>
      <w:pPr>
        <w:spacing w:after="0" w:line="5" w:lineRule="exact"/>
        <w:rPr>
          <w:rFonts w:ascii="Arial" w:cs="Arial" w:eastAsia="Arial" w:hAnsi="Arial"/>
          <w:sz w:val="11"/>
          <w:szCs w:val="11"/>
          <w:color w:val="auto"/>
        </w:rPr>
      </w:pPr>
    </w:p>
    <w:p>
      <w:pPr>
        <w:ind w:left="180" w:right="120" w:hanging="172"/>
        <w:spacing w:after="0" w:line="245" w:lineRule="auto"/>
        <w:tabs>
          <w:tab w:leader="none" w:pos="177" w:val="left"/>
        </w:tabs>
        <w:numPr>
          <w:ilvl w:val="0"/>
          <w:numId w:val="29"/>
        </w:numPr>
        <w:rPr>
          <w:rFonts w:ascii="Arial" w:cs="Arial" w:eastAsia="Arial" w:hAnsi="Arial"/>
          <w:sz w:val="11"/>
          <w:szCs w:val="11"/>
          <w:color w:val="auto"/>
        </w:rPr>
      </w:pPr>
      <w:r>
        <w:rPr>
          <w:rFonts w:ascii="Arial" w:cs="Arial" w:eastAsia="Arial" w:hAnsi="Arial"/>
          <w:sz w:val="11"/>
          <w:szCs w:val="11"/>
          <w:color w:val="auto"/>
        </w:rPr>
        <w:t>Effective April 1, 2025, the Firm refined the historical proxy time series inputs to one of its VaR models to more appropriately reflect the risk exposure from certain securitization warehousing loan positions. With this refined time series, the average VaR for each of the following reported components would have been lower by the following amounts: CIB trading VaR by fixed income risk type of $(7) million, CIB trading VaR of $(6) million and CIB VaR of $(5) million for the three months ended March 31, 2025.</w:t>
      </w:r>
    </w:p>
    <w:p>
      <w:pPr>
        <w:ind w:left="180" w:right="180" w:hanging="172"/>
        <w:spacing w:after="0" w:line="246" w:lineRule="auto"/>
        <w:tabs>
          <w:tab w:leader="none" w:pos="171" w:val="left"/>
        </w:tabs>
        <w:numPr>
          <w:ilvl w:val="0"/>
          <w:numId w:val="29"/>
        </w:numPr>
        <w:rPr>
          <w:rFonts w:ascii="Arial" w:cs="Arial" w:eastAsia="Arial" w:hAnsi="Arial"/>
          <w:sz w:val="11"/>
          <w:szCs w:val="11"/>
          <w:color w:val="auto"/>
        </w:rPr>
      </w:pPr>
      <w:r>
        <w:rPr>
          <w:rFonts w:ascii="Arial" w:cs="Arial" w:eastAsia="Arial" w:hAnsi="Arial"/>
          <w:sz w:val="11"/>
          <w:szCs w:val="11"/>
          <w:color w:val="auto"/>
        </w:rPr>
        <w:t>CIB trading VaR includes substantially all market-making and client-driven activities, as well as certain risk management activities in CIB, including credit spread sensitivity to CVA. Refer to VaR measurement on pages 135–138 of the Firm’s 2025 Form 10-K for further information.</w:t>
      </w:r>
    </w:p>
    <w:p>
      <w:pPr>
        <w:ind w:left="160" w:hanging="152"/>
        <w:spacing w:after="0"/>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Diversification benefit represents the difference between the portfolio VaR and the sum of its individual components. This reflects the non-additive nature of VaR due to imperfect correlation across CIB risks.</w:t>
      </w:r>
    </w:p>
    <w:p>
      <w:pPr>
        <w:spacing w:after="0" w:line="5" w:lineRule="exact"/>
        <w:rPr>
          <w:rFonts w:ascii="Arial" w:cs="Arial" w:eastAsia="Arial" w:hAnsi="Arial"/>
          <w:sz w:val="11"/>
          <w:szCs w:val="11"/>
          <w:color w:val="auto"/>
        </w:rPr>
      </w:pPr>
    </w:p>
    <w:p>
      <w:pPr>
        <w:ind w:left="180" w:right="180" w:hanging="172"/>
        <w:spacing w:after="0" w:line="246" w:lineRule="auto"/>
        <w:tabs>
          <w:tab w:leader="none" w:pos="177" w:val="left"/>
        </w:tabs>
        <w:numPr>
          <w:ilvl w:val="0"/>
          <w:numId w:val="29"/>
        </w:numPr>
        <w:rPr>
          <w:rFonts w:ascii="Arial" w:cs="Arial" w:eastAsia="Arial" w:hAnsi="Arial"/>
          <w:sz w:val="11"/>
          <w:szCs w:val="11"/>
          <w:color w:val="auto"/>
        </w:rPr>
      </w:pPr>
      <w:r>
        <w:rPr>
          <w:rFonts w:ascii="Arial" w:cs="Arial" w:eastAsia="Arial" w:hAnsi="Arial"/>
          <w:sz w:val="11"/>
          <w:szCs w:val="11"/>
          <w:color w:val="auto"/>
        </w:rPr>
        <w:t>Credit Portfolio VaR includes the derivative CVA, hedges of the CVA and credit protection purchased against certain retained loans and lending-related commitments, which are reported in principal transactions revenue. This VaR does not include the retained loan portfolio, which is not reported at fair value.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19</w:t>
      </w:r>
    </w:p>
    <w:p>
      <w:pPr>
        <w:sectPr>
          <w:pgSz w:w="11900" w:h="16838" w:orient="portrait"/>
          <w:cols w:equalWidth="0" w:num="1">
            <w:col w:w="11240"/>
          </w:cols>
          <w:pgMar w:left="320" w:top="491"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4065905</wp:posOffset>
            </wp:positionH>
            <wp:positionV relativeFrom="page">
              <wp:posOffset>311785</wp:posOffset>
            </wp:positionV>
            <wp:extent cx="139700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rPr>
              <w:t>QUARTERLY TRENDS</w:t>
            </w:r>
          </w:p>
        </w:tc>
        <w:tc>
          <w:tcPr>
            <w:tcW w:w="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1"/>
                <w:szCs w:val="11"/>
                <w:b w:val="1"/>
                <w:bCs w:val="1"/>
                <w:color w:val="auto"/>
              </w:rPr>
              <w:t>1Q26 Change</w:t>
            </w: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1Q26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3Q25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2Q25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146"/>
              <w:spacing w:after="0"/>
              <w:rPr>
                <w:sz w:val="20"/>
                <w:szCs w:val="20"/>
                <w:color w:val="auto"/>
              </w:rPr>
            </w:pPr>
            <w:r>
              <w:rPr>
                <w:rFonts w:ascii="Arial" w:cs="Arial" w:eastAsia="Arial" w:hAnsi="Arial"/>
                <w:sz w:val="11"/>
                <w:szCs w:val="11"/>
                <w:b w:val="1"/>
                <w:bCs w:val="1"/>
                <w:color w:val="auto"/>
                <w:w w:val="89"/>
              </w:rPr>
              <w:t>1Q25</w:t>
            </w:r>
          </w:p>
        </w:tc>
        <w:tc>
          <w:tcPr>
            <w:tcW w:w="300" w:type="dxa"/>
            <w:vAlign w:val="bottom"/>
          </w:tcPr>
          <w:p>
            <w:pPr>
              <w:spacing w:after="0"/>
              <w:rPr>
                <w:sz w:val="13"/>
                <w:szCs w:val="13"/>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4Q25</w:t>
            </w:r>
          </w:p>
        </w:tc>
        <w:tc>
          <w:tcPr>
            <w:tcW w:w="640" w:type="dxa"/>
            <w:vAlign w:val="bottom"/>
          </w:tcPr>
          <w:p>
            <w:pPr>
              <w:jc w:val="right"/>
              <w:ind w:right="126"/>
              <w:spacing w:after="0"/>
              <w:rPr>
                <w:sz w:val="20"/>
                <w:szCs w:val="20"/>
                <w:color w:val="auto"/>
              </w:rPr>
            </w:pPr>
            <w:r>
              <w:rPr>
                <w:rFonts w:ascii="Arial" w:cs="Arial" w:eastAsia="Arial" w:hAnsi="Arial"/>
                <w:sz w:val="11"/>
                <w:szCs w:val="11"/>
                <w:b w:val="1"/>
                <w:bCs w:val="1"/>
                <w:color w:val="auto"/>
              </w:rPr>
              <w:t>1Q25</w:t>
            </w:r>
          </w:p>
        </w:tc>
      </w:tr>
      <w:tr>
        <w:trPr>
          <w:trHeight w:val="108"/>
        </w:trPr>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144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r>
      <w:tr>
        <w:trPr>
          <w:trHeight w:val="168"/>
        </w:trPr>
        <w:tc>
          <w:tcPr>
            <w:tcW w:w="2560" w:type="dxa"/>
            <w:vAlign w:val="bottom"/>
            <w:gridSpan w:val="4"/>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6"/>
        </w:trPr>
        <w:tc>
          <w:tcPr>
            <w:tcW w:w="2560" w:type="dxa"/>
            <w:vAlign w:val="bottom"/>
            <w:gridSpan w:val="4"/>
          </w:tcPr>
          <w:p>
            <w:pPr>
              <w:spacing w:after="0"/>
              <w:rPr>
                <w:sz w:val="20"/>
                <w:szCs w:val="20"/>
                <w:color w:val="auto"/>
              </w:rPr>
            </w:pPr>
            <w:r>
              <w:rPr>
                <w:rFonts w:ascii="Arial" w:cs="Arial" w:eastAsia="Arial" w:hAnsi="Arial"/>
                <w:sz w:val="11"/>
                <w:szCs w:val="11"/>
                <w:color w:val="auto"/>
              </w:rPr>
              <w:t>Asset management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4,125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4,372</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3,885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3,642</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3,595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w:t>
            </w: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15 %</w:t>
            </w:r>
          </w:p>
        </w:tc>
      </w:tr>
      <w:tr>
        <w:trPr>
          <w:trHeight w:val="162"/>
        </w:trPr>
        <w:tc>
          <w:tcPr>
            <w:tcW w:w="2560" w:type="dxa"/>
            <w:vAlign w:val="bottom"/>
            <w:gridSpan w:val="4"/>
          </w:tcPr>
          <w:p>
            <w:pPr>
              <w:spacing w:after="0"/>
              <w:rPr>
                <w:sz w:val="20"/>
                <w:szCs w:val="20"/>
                <w:color w:val="auto"/>
              </w:rPr>
            </w:pPr>
            <w:r>
              <w:rPr>
                <w:rFonts w:ascii="Arial" w:cs="Arial" w:eastAsia="Arial" w:hAnsi="Arial"/>
                <w:sz w:val="11"/>
                <w:szCs w:val="11"/>
                <w:color w:val="auto"/>
              </w:rPr>
              <w:t>Commissions and other fees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26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35</w:t>
            </w:r>
          </w:p>
        </w:tc>
      </w:tr>
      <w:tr>
        <w:trPr>
          <w:trHeight w:val="176"/>
        </w:trPr>
        <w:tc>
          <w:tcPr>
            <w:tcW w:w="256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117</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60" w:type="dxa"/>
            <w:vAlign w:val="bottom"/>
          </w:tcPr>
          <w:p>
            <w:pPr>
              <w:spacing w:after="0"/>
              <w:rPr>
                <w:sz w:val="15"/>
                <w:szCs w:val="15"/>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w:t>
            </w:r>
          </w:p>
        </w:tc>
      </w:tr>
      <w:tr>
        <w:trPr>
          <w:trHeight w:val="148"/>
        </w:trPr>
        <w:tc>
          <w:tcPr>
            <w:tcW w:w="256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4,648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4,838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4,337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4,073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3,993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w:t>
            </w:r>
          </w:p>
        </w:tc>
      </w:tr>
      <w:tr>
        <w:trPr>
          <w:trHeight w:val="170"/>
        </w:trPr>
        <w:tc>
          <w:tcPr>
            <w:tcW w:w="256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1,726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1,678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1,729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1,687</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1,738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48"/>
        </w:trPr>
        <w:tc>
          <w:tcPr>
            <w:tcW w:w="256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6,374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6,516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6,066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5,760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5,731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318"/>
        </w:trPr>
        <w:tc>
          <w:tcPr>
            <w:tcW w:w="256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w:t>
            </w:r>
          </w:p>
        </w:tc>
        <w:tc>
          <w:tcPr>
            <w:tcW w:w="300" w:type="dxa"/>
            <w:vAlign w:val="bottom"/>
          </w:tcPr>
          <w:p>
            <w:pPr>
              <w:spacing w:after="0"/>
              <w:rPr>
                <w:sz w:val="24"/>
                <w:szCs w:val="24"/>
                <w:color w:val="auto"/>
              </w:rPr>
            </w:pPr>
          </w:p>
        </w:tc>
        <w:tc>
          <w:tcPr>
            <w:tcW w:w="880" w:type="dxa"/>
            <w:vAlign w:val="bottom"/>
            <w:gridSpan w:val="2"/>
          </w:tcPr>
          <w:p>
            <w:pPr>
              <w:ind w:left="440"/>
              <w:spacing w:after="0"/>
              <w:rPr>
                <w:sz w:val="20"/>
                <w:szCs w:val="20"/>
                <w:color w:val="auto"/>
              </w:rPr>
            </w:pPr>
            <w:r>
              <w:rPr>
                <w:rFonts w:ascii="Arial" w:cs="Arial" w:eastAsia="Arial" w:hAnsi="Arial"/>
                <w:sz w:val="11"/>
                <w:szCs w:val="11"/>
                <w:color w:val="auto"/>
              </w:rPr>
              <w:t>NM</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(140)</w:t>
            </w:r>
          </w:p>
        </w:tc>
      </w:tr>
      <w:tr>
        <w:trPr>
          <w:trHeight w:val="330"/>
        </w:trPr>
        <w:tc>
          <w:tcPr>
            <w:tcW w:w="256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6"/>
        </w:trPr>
        <w:tc>
          <w:tcPr>
            <w:tcW w:w="2560" w:type="dxa"/>
            <w:vAlign w:val="bottom"/>
            <w:gridSpan w:val="4"/>
          </w:tcPr>
          <w:p>
            <w:pPr>
              <w:spacing w:after="0"/>
              <w:rPr>
                <w:sz w:val="20"/>
                <w:szCs w:val="20"/>
                <w:color w:val="auto"/>
              </w:rPr>
            </w:pPr>
            <w:r>
              <w:rPr>
                <w:rFonts w:ascii="Arial" w:cs="Arial" w:eastAsia="Arial" w:hAnsi="Arial"/>
                <w:sz w:val="11"/>
                <w:szCs w:val="11"/>
                <w:color w:val="auto"/>
              </w:rPr>
              <w:t>Compensation expense (a)</w:t>
            </w: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2,339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2,256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2,083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2,067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3"/>
                <w:szCs w:val="1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w:t>
            </w:r>
          </w:p>
        </w:tc>
      </w:tr>
      <w:tr>
        <w:trPr>
          <w:trHeight w:val="176"/>
        </w:trPr>
        <w:tc>
          <w:tcPr>
            <w:tcW w:w="2560" w:type="dxa"/>
            <w:vAlign w:val="bottom"/>
            <w:gridSpan w:val="4"/>
          </w:tcPr>
          <w:p>
            <w:pPr>
              <w:spacing w:after="0"/>
              <w:rPr>
                <w:sz w:val="20"/>
                <w:szCs w:val="20"/>
                <w:color w:val="auto"/>
              </w:rPr>
            </w:pPr>
            <w:r>
              <w:rPr>
                <w:rFonts w:ascii="Arial" w:cs="Arial" w:eastAsia="Arial" w:hAnsi="Arial"/>
                <w:sz w:val="11"/>
                <w:szCs w:val="11"/>
                <w:color w:val="auto"/>
              </w:rPr>
              <w:t>Noncompensation expense (a)</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1,828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1,693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1,650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1,646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5"/>
                <w:szCs w:val="15"/>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155"/>
        </w:trPr>
        <w:tc>
          <w:tcPr>
            <w:tcW w:w="256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4,167</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4,068</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3,818</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3,733</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3,713</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3"/>
                <w:szCs w:val="1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297"/>
        </w:trPr>
        <w:tc>
          <w:tcPr>
            <w:tcW w:w="256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2,231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2,446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2,189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1,981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2,028</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60" w:type="dxa"/>
            <w:vAlign w:val="bottom"/>
          </w:tcPr>
          <w:p>
            <w:pPr>
              <w:spacing w:after="0"/>
              <w:rPr>
                <w:sz w:val="24"/>
                <w:szCs w:val="2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w:t>
            </w:r>
          </w:p>
        </w:tc>
      </w:tr>
      <w:tr>
        <w:trPr>
          <w:trHeight w:val="169"/>
        </w:trPr>
        <w:tc>
          <w:tcPr>
            <w:tcW w:w="256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531</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508</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445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26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w:t>
            </w:r>
          </w:p>
        </w:tc>
      </w:tr>
      <w:tr>
        <w:trPr>
          <w:trHeight w:val="169"/>
        </w:trPr>
        <w:tc>
          <w:tcPr>
            <w:tcW w:w="2560" w:type="dxa"/>
            <w:vAlign w:val="bottom"/>
            <w:gridSpan w:val="4"/>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1,775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1,808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1,658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1,473</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1,583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270"/>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REVENUE BY BUSINESS</w:t>
            </w:r>
          </w:p>
        </w:tc>
        <w:tc>
          <w:tcPr>
            <w:tcW w:w="12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63"/>
        </w:trPr>
        <w:tc>
          <w:tcPr>
            <w:tcW w:w="2560" w:type="dxa"/>
            <w:vAlign w:val="bottom"/>
            <w:gridSpan w:val="4"/>
          </w:tcPr>
          <w:p>
            <w:pPr>
              <w:spacing w:after="0"/>
              <w:rPr>
                <w:sz w:val="20"/>
                <w:szCs w:val="20"/>
                <w:color w:val="auto"/>
              </w:rPr>
            </w:pPr>
            <w:r>
              <w:rPr>
                <w:rFonts w:ascii="Arial" w:cs="Arial" w:eastAsia="Arial" w:hAnsi="Arial"/>
                <w:sz w:val="11"/>
                <w:szCs w:val="11"/>
                <w:color w:val="auto"/>
              </w:rPr>
              <w:t>Asset Management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3,072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3,408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2,916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2,705</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2,671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w:t>
            </w:r>
          </w:p>
        </w:tc>
      </w:tr>
      <w:tr>
        <w:trPr>
          <w:trHeight w:val="176"/>
        </w:trPr>
        <w:tc>
          <w:tcPr>
            <w:tcW w:w="2560" w:type="dxa"/>
            <w:vAlign w:val="bottom"/>
            <w:gridSpan w:val="4"/>
          </w:tcPr>
          <w:p>
            <w:pPr>
              <w:spacing w:after="0"/>
              <w:rPr>
                <w:sz w:val="20"/>
                <w:szCs w:val="20"/>
                <w:color w:val="auto"/>
              </w:rPr>
            </w:pPr>
            <w:r>
              <w:rPr>
                <w:rFonts w:ascii="Arial" w:cs="Arial" w:eastAsia="Arial" w:hAnsi="Arial"/>
                <w:sz w:val="11"/>
                <w:szCs w:val="11"/>
                <w:color w:val="auto"/>
              </w:rPr>
              <w:t>Global Private Bank</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3,302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3,108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3,150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3,055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3,060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60" w:type="dxa"/>
            <w:vAlign w:val="bottom"/>
          </w:tcPr>
          <w:p>
            <w:pPr>
              <w:spacing w:after="0"/>
              <w:rPr>
                <w:sz w:val="15"/>
                <w:szCs w:val="15"/>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w:t>
            </w:r>
          </w:p>
        </w:tc>
      </w:tr>
      <w:tr>
        <w:trPr>
          <w:trHeight w:val="169"/>
        </w:trPr>
        <w:tc>
          <w:tcPr>
            <w:tcW w:w="256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6,374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6,516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6,066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5,760</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5,731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270"/>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54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63"/>
        </w:trPr>
        <w:tc>
          <w:tcPr>
            <w:tcW w:w="2560" w:type="dxa"/>
            <w:vAlign w:val="bottom"/>
            <w:gridSpan w:val="4"/>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44</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w w:val="81"/>
              </w:rPr>
              <w: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56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560" w:type="dxa"/>
            <w:vAlign w:val="bottom"/>
            <w:gridSpan w:val="4"/>
          </w:tcPr>
          <w:p>
            <w:pPr>
              <w:spacing w:after="0"/>
              <w:rPr>
                <w:sz w:val="20"/>
                <w:szCs w:val="20"/>
                <w:color w:val="auto"/>
              </w:rPr>
            </w:pPr>
            <w:r>
              <w:rPr>
                <w:rFonts w:ascii="Arial" w:cs="Arial" w:eastAsia="Arial" w:hAnsi="Arial"/>
                <w:sz w:val="11"/>
                <w:szCs w:val="11"/>
                <w:color w:val="auto"/>
              </w:rPr>
              <w:t>Pretax margin ratio:</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560" w:type="dxa"/>
            <w:vAlign w:val="bottom"/>
            <w:gridSpan w:val="4"/>
          </w:tcPr>
          <w:p>
            <w:pPr>
              <w:ind w:left="120"/>
              <w:spacing w:after="0"/>
              <w:rPr>
                <w:sz w:val="20"/>
                <w:szCs w:val="20"/>
                <w:color w:val="auto"/>
              </w:rPr>
            </w:pPr>
            <w:r>
              <w:rPr>
                <w:rFonts w:ascii="Arial" w:cs="Arial" w:eastAsia="Arial" w:hAnsi="Arial"/>
                <w:sz w:val="11"/>
                <w:szCs w:val="11"/>
                <w:color w:val="auto"/>
              </w:rPr>
              <w:t>Asset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560" w:type="dxa"/>
            <w:vAlign w:val="bottom"/>
            <w:gridSpan w:val="4"/>
          </w:tcPr>
          <w:p>
            <w:pPr>
              <w:ind w:left="120"/>
              <w:spacing w:after="0"/>
              <w:rPr>
                <w:sz w:val="20"/>
                <w:szCs w:val="20"/>
                <w:color w:val="auto"/>
              </w:rPr>
            </w:pPr>
            <w:r>
              <w:rPr>
                <w:rFonts w:ascii="Arial" w:cs="Arial" w:eastAsia="Arial" w:hAnsi="Arial"/>
                <w:sz w:val="11"/>
                <w:szCs w:val="11"/>
                <w:color w:val="auto"/>
              </w:rPr>
              <w:t>Global Private Bank</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560" w:type="dxa"/>
            <w:vAlign w:val="bottom"/>
            <w:gridSpan w:val="4"/>
          </w:tcPr>
          <w:p>
            <w:pPr>
              <w:ind w:left="120"/>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0"/>
        </w:trPr>
        <w:tc>
          <w:tcPr>
            <w:tcW w:w="2560" w:type="dxa"/>
            <w:vAlign w:val="bottom"/>
            <w:gridSpan w:val="4"/>
          </w:tcPr>
          <w:p>
            <w:pPr>
              <w:spacing w:after="0"/>
              <w:rPr>
                <w:sz w:val="20"/>
                <w:szCs w:val="20"/>
                <w:color w:val="auto"/>
              </w:rPr>
            </w:pPr>
            <w:r>
              <w:rPr>
                <w:rFonts w:ascii="Arial" w:cs="Arial" w:eastAsia="Arial" w:hAnsi="Arial"/>
                <w:sz w:val="11"/>
                <w:szCs w:val="11"/>
                <w:b w:val="1"/>
                <w:bCs w:val="1"/>
                <w:color w:val="auto"/>
              </w:rPr>
              <w:t>Employees (a)</w:t>
            </w: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29,357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29,181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29,135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28,770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28,916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24"/>
                <w:szCs w:val="2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w:t>
            </w:r>
          </w:p>
        </w:tc>
      </w:tr>
      <w:tr>
        <w:trPr>
          <w:trHeight w:val="318"/>
        </w:trPr>
        <w:tc>
          <w:tcPr>
            <w:tcW w:w="2560" w:type="dxa"/>
            <w:vAlign w:val="bottom"/>
            <w:gridSpan w:val="4"/>
          </w:tcPr>
          <w:p>
            <w:pPr>
              <w:spacing w:after="0"/>
              <w:rPr>
                <w:sz w:val="20"/>
                <w:szCs w:val="20"/>
                <w:color w:val="auto"/>
              </w:rPr>
            </w:pPr>
            <w:r>
              <w:rPr>
                <w:rFonts w:ascii="Arial" w:cs="Arial" w:eastAsia="Arial" w:hAnsi="Arial"/>
                <w:sz w:val="11"/>
                <w:szCs w:val="11"/>
                <w:color w:val="auto"/>
              </w:rPr>
              <w:t>Number of Global Private Bank client advisors</w:t>
            </w: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4,110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4,050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3,756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3,781</w:t>
            </w:r>
          </w:p>
        </w:tc>
        <w:tc>
          <w:tcPr>
            <w:tcW w:w="30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637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180" w:right="60" w:hanging="172"/>
        <w:spacing w:after="0" w:line="257" w:lineRule="auto"/>
        <w:tabs>
          <w:tab w:leader="none" w:pos="177"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 the first quarter of 2026, Risk functions that were previously aligned with the LOBs were centralized into Corporate. As a result, the employees and compensation expense related to those functions are now reflected in Corporate, and a corresponding expense allocation from Corporate is reflected in noncompensation expense of the respective LOBs. These adjustments had no impact on total noninterest expense of the LOBs or Corporate. Prior periods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20</w:t>
      </w:r>
    </w:p>
    <w:p>
      <w:pPr>
        <w:sectPr>
          <w:pgSz w:w="11900" w:h="16838" w:orient="portrait"/>
          <w:cols w:equalWidth="0" w:num="1">
            <w:col w:w="11240"/>
          </w:cols>
          <w:pgMar w:left="320" w:top="491"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4100195</wp:posOffset>
            </wp:positionH>
            <wp:positionV relativeFrom="page">
              <wp:posOffset>311785</wp:posOffset>
            </wp:positionV>
            <wp:extent cx="1397000"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rPr>
              <w:t>QUARTERLY TRENDS</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1Q26 Change</w:t>
            </w: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1Q26</w:t>
            </w: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4Q25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3Q25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2Q25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46"/>
              <w:spacing w:after="0"/>
              <w:rPr>
                <w:sz w:val="20"/>
                <w:szCs w:val="20"/>
                <w:color w:val="auto"/>
              </w:rPr>
            </w:pPr>
            <w:r>
              <w:rPr>
                <w:rFonts w:ascii="Arial" w:cs="Arial" w:eastAsia="Arial" w:hAnsi="Arial"/>
                <w:sz w:val="11"/>
                <w:szCs w:val="11"/>
                <w:b w:val="1"/>
                <w:bCs w:val="1"/>
                <w:color w:val="auto"/>
                <w:w w:val="96"/>
              </w:rPr>
              <w:t>1Q25</w:t>
            </w:r>
          </w:p>
        </w:tc>
        <w:tc>
          <w:tcPr>
            <w:tcW w:w="26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r>
      <w:tr>
        <w:trPr>
          <w:trHeight w:val="108"/>
        </w:trPr>
        <w:tc>
          <w:tcPr>
            <w:tcW w:w="20" w:type="dxa"/>
            <w:vAlign w:val="bottom"/>
          </w:tcPr>
          <w:p>
            <w:pPr>
              <w:spacing w:after="0"/>
              <w:rPr>
                <w:sz w:val="9"/>
                <w:szCs w:val="9"/>
                <w:color w:val="auto"/>
              </w:rPr>
            </w:pPr>
          </w:p>
        </w:tc>
        <w:tc>
          <w:tcPr>
            <w:tcW w:w="2540" w:type="dxa"/>
            <w:vAlign w:val="bottom"/>
            <w:gridSpan w:val="4"/>
          </w:tcPr>
          <w:p>
            <w:pPr>
              <w:spacing w:after="0" w:line="108" w:lineRule="exact"/>
              <w:rPr>
                <w:sz w:val="20"/>
                <w:szCs w:val="20"/>
                <w:color w:val="auto"/>
              </w:rPr>
            </w:pPr>
            <w:r>
              <w:rPr>
                <w:rFonts w:ascii="Arial" w:cs="Arial" w:eastAsia="Arial" w:hAnsi="Arial"/>
                <w:sz w:val="11"/>
                <w:szCs w:val="11"/>
                <w:b w:val="1"/>
                <w:bCs w:val="1"/>
                <w:color w:val="auto"/>
                <w:w w:val="98"/>
              </w:rPr>
              <w:t>SELECTED BALANCE SHEET DATA (period-end)</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250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Total assets</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299,179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288,065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282,322</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268,966</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258,354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16 %</w:t>
            </w:r>
          </w:p>
        </w:tc>
      </w:tr>
      <w:tr>
        <w:trPr>
          <w:trHeight w:val="162"/>
        </w:trPr>
        <w:tc>
          <w:tcPr>
            <w:tcW w:w="20" w:type="dxa"/>
            <w:vAlign w:val="bottom"/>
          </w:tcPr>
          <w:p>
            <w:pPr>
              <w:spacing w:after="0"/>
              <w:rPr>
                <w:sz w:val="14"/>
                <w:szCs w:val="14"/>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274,902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266,385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257,988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245,526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237,201</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w:t>
            </w:r>
          </w:p>
        </w:tc>
      </w:tr>
      <w:tr>
        <w:trPr>
          <w:trHeight w:val="162"/>
        </w:trPr>
        <w:tc>
          <w:tcPr>
            <w:tcW w:w="20" w:type="dxa"/>
            <w:vAlign w:val="bottom"/>
          </w:tcPr>
          <w:p>
            <w:pPr>
              <w:spacing w:after="0"/>
              <w:rPr>
                <w:sz w:val="14"/>
                <w:szCs w:val="14"/>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266,745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257,316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239,999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242,356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250,219</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62"/>
        </w:trPr>
        <w:tc>
          <w:tcPr>
            <w:tcW w:w="20" w:type="dxa"/>
            <w:vAlign w:val="bottom"/>
          </w:tcPr>
          <w:p>
            <w:pPr>
              <w:spacing w:after="0"/>
              <w:rPr>
                <w:sz w:val="14"/>
                <w:szCs w:val="14"/>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303"/>
        </w:trPr>
        <w:tc>
          <w:tcPr>
            <w:tcW w:w="20" w:type="dxa"/>
            <w:vAlign w:val="bottom"/>
          </w:tcPr>
          <w:p>
            <w:pPr>
              <w:spacing w:after="0"/>
              <w:rPr>
                <w:sz w:val="24"/>
                <w:szCs w:val="24"/>
                <w:color w:val="auto"/>
              </w:rPr>
            </w:pPr>
          </w:p>
        </w:tc>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7"/>
              </w:rPr>
              <w:t>SELECTED BALANCE SHEET DATA (average)</w:t>
            </w:r>
          </w:p>
        </w:tc>
        <w:tc>
          <w:tcPr>
            <w:tcW w:w="1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291,058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284,100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272,954</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261,128</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253,372</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w:t>
            </w:r>
          </w:p>
        </w:tc>
      </w:tr>
      <w:tr>
        <w:trPr>
          <w:trHeight w:val="162"/>
        </w:trPr>
        <w:tc>
          <w:tcPr>
            <w:tcW w:w="20" w:type="dxa"/>
            <w:vAlign w:val="bottom"/>
          </w:tcPr>
          <w:p>
            <w:pPr>
              <w:spacing w:after="0"/>
              <w:rPr>
                <w:sz w:val="14"/>
                <w:szCs w:val="14"/>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267,986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260,792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250,730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240,585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233,937</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w:t>
            </w:r>
          </w:p>
        </w:tc>
      </w:tr>
      <w:tr>
        <w:trPr>
          <w:trHeight w:val="162"/>
        </w:trPr>
        <w:tc>
          <w:tcPr>
            <w:tcW w:w="20" w:type="dxa"/>
            <w:vAlign w:val="bottom"/>
          </w:tcPr>
          <w:p>
            <w:pPr>
              <w:spacing w:after="0"/>
              <w:rPr>
                <w:sz w:val="14"/>
                <w:szCs w:val="14"/>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253,706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247,065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241,454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248,375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244,107</w:t>
            </w:r>
          </w:p>
        </w:tc>
        <w:tc>
          <w:tcPr>
            <w:tcW w:w="92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w:t>
            </w:r>
          </w:p>
        </w:tc>
      </w:tr>
      <w:tr>
        <w:trPr>
          <w:trHeight w:val="162"/>
        </w:trPr>
        <w:tc>
          <w:tcPr>
            <w:tcW w:w="20" w:type="dxa"/>
            <w:vAlign w:val="bottom"/>
          </w:tcPr>
          <w:p>
            <w:pPr>
              <w:spacing w:after="0"/>
              <w:rPr>
                <w:sz w:val="14"/>
                <w:szCs w:val="14"/>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303"/>
        </w:trPr>
        <w:tc>
          <w:tcPr>
            <w:tcW w:w="20" w:type="dxa"/>
            <w:vAlign w:val="bottom"/>
          </w:tcPr>
          <w:p>
            <w:pPr>
              <w:spacing w:after="0"/>
              <w:rPr>
                <w:sz w:val="24"/>
                <w:szCs w:val="24"/>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CREDIT DATA AND QUALITY STATISTICS</w:t>
            </w:r>
          </w:p>
        </w:tc>
        <w:tc>
          <w:tcPr>
            <w:tcW w:w="4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62</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(97)</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216"/>
        </w:trPr>
        <w:tc>
          <w:tcPr>
            <w:tcW w:w="2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26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53</w:t>
            </w:r>
          </w:p>
        </w:tc>
      </w:tr>
      <w:tr>
        <w:trPr>
          <w:trHeight w:val="216"/>
        </w:trPr>
        <w:tc>
          <w:tcPr>
            <w:tcW w:w="2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540" w:type="dxa"/>
            <w:vAlign w:val="bottom"/>
            <w:gridSpan w:val="4"/>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552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530</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w:t>
            </w:r>
          </w:p>
        </w:tc>
      </w:tr>
      <w:tr>
        <w:trPr>
          <w:trHeight w:val="175"/>
        </w:trPr>
        <w:tc>
          <w:tcPr>
            <w:tcW w:w="20" w:type="dxa"/>
            <w:vAlign w:val="bottom"/>
          </w:tcPr>
          <w:p>
            <w:pPr>
              <w:spacing w:after="0"/>
              <w:rPr>
                <w:sz w:val="15"/>
                <w:szCs w:val="15"/>
                <w:color w:val="auto"/>
              </w:rPr>
            </w:pPr>
          </w:p>
        </w:tc>
        <w:tc>
          <w:tcPr>
            <w:tcW w:w="2540" w:type="dxa"/>
            <w:vAlign w:val="bottom"/>
            <w:gridSpan w:val="4"/>
          </w:tcPr>
          <w:p>
            <w:pPr>
              <w:ind w:left="120"/>
              <w:spacing w:after="0"/>
              <w:rPr>
                <w:sz w:val="20"/>
                <w:szCs w:val="20"/>
                <w:color w:val="auto"/>
              </w:rPr>
            </w:pPr>
            <w:r>
              <w:rPr>
                <w:rFonts w:ascii="Arial" w:cs="Arial" w:eastAsia="Arial" w:hAnsi="Arial"/>
                <w:sz w:val="11"/>
                <w:szCs w:val="11"/>
                <w:color w:val="auto"/>
              </w:rPr>
              <w:t>Allowance for lending-related commitments</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(23)</w:t>
            </w:r>
          </w:p>
        </w:tc>
        <w:tc>
          <w:tcPr>
            <w:tcW w:w="26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148"/>
        </w:trPr>
        <w:tc>
          <w:tcPr>
            <w:tcW w:w="20" w:type="dxa"/>
            <w:vAlign w:val="bottom"/>
          </w:tcPr>
          <w:p>
            <w:pPr>
              <w:spacing w:after="0"/>
              <w:rPr>
                <w:sz w:val="12"/>
                <w:szCs w:val="12"/>
                <w:color w:val="auto"/>
              </w:rPr>
            </w:pPr>
          </w:p>
        </w:tc>
        <w:tc>
          <w:tcPr>
            <w:tcW w:w="254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563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w:t>
            </w:r>
          </w:p>
        </w:tc>
      </w:tr>
      <w:tr>
        <w:trPr>
          <w:trHeight w:val="210"/>
        </w:trPr>
        <w:tc>
          <w:tcPr>
            <w:tcW w:w="2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0.05</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0.10</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Allowance for loan losses to period-end loans</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0.22</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Allowance for loan losses to nonaccrual loans</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540" w:type="dxa"/>
            <w:vAlign w:val="bottom"/>
            <w:gridSpan w:val="4"/>
          </w:tcPr>
          <w:p>
            <w:pPr>
              <w:spacing w:after="0"/>
              <w:rPr>
                <w:sz w:val="20"/>
                <w:szCs w:val="20"/>
                <w:color w:val="auto"/>
              </w:rPr>
            </w:pPr>
            <w:r>
              <w:rPr>
                <w:rFonts w:ascii="Arial" w:cs="Arial" w:eastAsia="Arial" w:hAnsi="Arial"/>
                <w:sz w:val="11"/>
                <w:szCs w:val="11"/>
                <w:color w:val="auto"/>
              </w:rPr>
              <w:t>Nonaccrual loans to period-end loans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0.38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0.42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0.28</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21</w:t>
      </w:r>
    </w:p>
    <w:p>
      <w:pPr>
        <w:sectPr>
          <w:pgSz w:w="11900" w:h="16838" w:orient="portrait"/>
          <w:cols w:equalWidth="0" w:num="1">
            <w:col w:w="11240"/>
          </w:cols>
          <w:pgMar w:left="320" w:top="491"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3954145</wp:posOffset>
            </wp:positionH>
            <wp:positionV relativeFrom="page">
              <wp:posOffset>311785</wp:posOffset>
            </wp:positionV>
            <wp:extent cx="1397000" cy="197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billions, except business metrics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Mar 31, 2026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left="486"/>
              <w:spacing w:after="0"/>
              <w:rPr>
                <w:sz w:val="20"/>
                <w:szCs w:val="20"/>
                <w:color w:val="auto"/>
              </w:rPr>
            </w:pPr>
            <w:r>
              <w:rPr>
                <w:rFonts w:ascii="Arial" w:cs="Arial" w:eastAsia="Arial" w:hAnsi="Arial"/>
                <w:sz w:val="11"/>
                <w:szCs w:val="11"/>
                <w:b w:val="1"/>
                <w:bCs w:val="1"/>
                <w:color w:val="auto"/>
                <w:w w:val="99"/>
              </w:rPr>
              <w:t>Change</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Mar 31,</w:t>
            </w:r>
          </w:p>
        </w:tc>
        <w:tc>
          <w:tcPr>
            <w:tcW w:w="280" w:type="dxa"/>
            <w:vAlign w:val="bottom"/>
          </w:tcPr>
          <w:p>
            <w:pPr>
              <w:spacing w:after="0"/>
              <w:rPr>
                <w:sz w:val="12"/>
                <w:szCs w:val="12"/>
                <w:color w:val="auto"/>
              </w:rPr>
            </w:pPr>
          </w:p>
        </w:tc>
        <w:tc>
          <w:tcPr>
            <w:tcW w:w="1020" w:type="dxa"/>
            <w:vAlign w:val="bottom"/>
            <w:gridSpan w:val="3"/>
          </w:tcPr>
          <w:p>
            <w:pPr>
              <w:ind w:left="140"/>
              <w:spacing w:after="0"/>
              <w:rPr>
                <w:sz w:val="20"/>
                <w:szCs w:val="20"/>
                <w:color w:val="auto"/>
              </w:rPr>
            </w:pPr>
            <w:r>
              <w:rPr>
                <w:rFonts w:ascii="Arial" w:cs="Arial" w:eastAsia="Arial" w:hAnsi="Arial"/>
                <w:sz w:val="11"/>
                <w:szCs w:val="11"/>
                <w:b w:val="1"/>
                <w:bCs w:val="1"/>
                <w:color w:val="auto"/>
              </w:rPr>
              <w:t>Dec 31,</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Mar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CLIENT ASSETS</w:t>
            </w:r>
          </w:p>
        </w:tc>
        <w:tc>
          <w:tcPr>
            <w:tcW w:w="18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2026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2025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92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Assets by asset class</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Liquidity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1,297</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1,279</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1,174</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1,131</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1,120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998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879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1,360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1,258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1,128</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880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764</w:t>
            </w:r>
          </w:p>
        </w:tc>
        <w:tc>
          <w:tcPr>
            <w:tcW w:w="28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Alternatives</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238</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228</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4,789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4,791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4,599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4,343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4,113</w:t>
            </w:r>
          </w:p>
        </w:tc>
        <w:tc>
          <w:tcPr>
            <w:tcW w:w="280" w:type="dxa"/>
            <w:vAlign w:val="bottom"/>
          </w:tcPr>
          <w:p>
            <w:pPr>
              <w:spacing w:after="0"/>
              <w:rPr>
                <w:sz w:val="12"/>
                <w:szCs w:val="12"/>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Custody/brokerage/administration/deposits</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2,314</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2,327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2,239</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2,078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1,889</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7,103</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7,118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6,838</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6,421</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6,002</w:t>
            </w:r>
          </w:p>
        </w:tc>
        <w:tc>
          <w:tcPr>
            <w:tcW w:w="280" w:type="dxa"/>
            <w:vAlign w:val="bottom"/>
          </w:tcPr>
          <w:p>
            <w:pPr>
              <w:spacing w:after="0"/>
              <w:rPr>
                <w:sz w:val="13"/>
                <w:szCs w:val="13"/>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1"/>
                <w:szCs w:val="11"/>
                <w:b w:val="1"/>
                <w:bCs w:val="1"/>
                <w:color w:val="auto"/>
              </w:rPr>
              <w:t>Assets by client segment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1,440</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1,414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1,364</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1,270</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1,201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1,964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1,953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1,837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1,772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1,705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Global Funds</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1,385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1,424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1,398</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1,301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1,207</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4,789</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4,791</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4,599</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4,343</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4,113</w:t>
            </w:r>
          </w:p>
        </w:tc>
        <w:tc>
          <w:tcPr>
            <w:tcW w:w="280" w:type="dxa"/>
            <w:vAlign w:val="bottom"/>
          </w:tcPr>
          <w:p>
            <w:pPr>
              <w:spacing w:after="0"/>
              <w:rPr>
                <w:sz w:val="13"/>
                <w:szCs w:val="13"/>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3,549</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3,549</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3,423</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3,191</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2,949</w:t>
            </w:r>
          </w:p>
        </w:tc>
        <w:tc>
          <w:tcPr>
            <w:tcW w:w="280" w:type="dxa"/>
            <w:vAlign w:val="bottom"/>
          </w:tcPr>
          <w:p>
            <w:pPr>
              <w:spacing w:after="0"/>
              <w:rPr>
                <w:sz w:val="24"/>
                <w:szCs w:val="2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2,145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1,994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1,907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1,828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Global Funds</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1,409</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1,421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1,323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1,225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7,103</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7,118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6,838</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6,421</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6,002</w:t>
            </w:r>
          </w:p>
        </w:tc>
        <w:tc>
          <w:tcPr>
            <w:tcW w:w="280" w:type="dxa"/>
            <w:vAlign w:val="bottom"/>
          </w:tcPr>
          <w:p>
            <w:pPr>
              <w:spacing w:after="0"/>
              <w:rPr>
                <w:sz w:val="13"/>
                <w:szCs w:val="13"/>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1"/>
                <w:szCs w:val="11"/>
                <w:b w:val="1"/>
                <w:bCs w:val="1"/>
                <w:color w:val="auto"/>
              </w:rPr>
              <w:t>Assets under management rollforward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4,791</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4,599</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4,343</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4,113</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4,045</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color w:val="auto"/>
              </w:rPr>
              <w:t>Liquidity</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color w:val="auto"/>
              </w:rPr>
              <w:t>Alternatives</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147</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4,789</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4,791</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4,599</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4,343</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4,113</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1"/>
                <w:szCs w:val="11"/>
                <w:b w:val="1"/>
                <w:bCs w:val="1"/>
                <w:color w:val="auto"/>
              </w:rPr>
              <w:t>Client assets rollforward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7,118</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6,838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6,421</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6,002</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5,932</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120</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7,103</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7,118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6,838</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6,421</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6,002</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7"/>
              </w:rPr>
              <w:t>BUSINESS METRICS</w:t>
            </w: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b w:val="1"/>
                <w:bCs w:val="1"/>
                <w:color w:val="auto"/>
              </w:rPr>
              <w:t>Firmwide Wealth Management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Client assets (in billions) (b)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4,516</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4,521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4,373</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4,087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3,791</w:t>
            </w:r>
          </w:p>
        </w:tc>
        <w:tc>
          <w:tcPr>
            <w:tcW w:w="280" w:type="dxa"/>
            <w:vAlign w:val="bottom"/>
          </w:tcPr>
          <w:p>
            <w:pPr>
              <w:spacing w:after="0"/>
              <w:rPr>
                <w:sz w:val="13"/>
                <w:szCs w:val="13"/>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Number of client advisors</w:t>
            </w: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10,353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10,150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10,075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9,704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9,641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1"/>
                <w:szCs w:val="11"/>
                <w:b w:val="1"/>
                <w:bCs w:val="1"/>
                <w:color w:val="auto"/>
              </w:rPr>
              <w:t>Stock Plan Administration</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gridSpan w:val="3"/>
          </w:tcPr>
          <w:p>
            <w:pPr>
              <w:spacing w:after="0"/>
              <w:rPr>
                <w:sz w:val="20"/>
                <w:szCs w:val="20"/>
                <w:color w:val="auto"/>
              </w:rPr>
            </w:pPr>
            <w:r>
              <w:rPr>
                <w:rFonts w:ascii="Arial" w:cs="Arial" w:eastAsia="Arial" w:hAnsi="Arial"/>
                <w:sz w:val="11"/>
                <w:szCs w:val="11"/>
                <w:color w:val="auto"/>
              </w:rPr>
              <w:t>Number of stock plan participants (in thousands)</w:t>
            </w: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1,883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1,796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1,594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1,500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Client assets (in billions)</w:t>
            </w:r>
          </w:p>
        </w:tc>
        <w:tc>
          <w:tcPr>
            <w:tcW w:w="80" w:type="dxa"/>
            <w:vAlign w:val="bottom"/>
          </w:tcPr>
          <w:p>
            <w:pPr>
              <w:spacing w:after="0"/>
              <w:rPr>
                <w:sz w:val="15"/>
                <w:szCs w:val="15"/>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Includes CCB client investment assets invested in managed accounts and J.P. Morgan mutual funds where AWM is the investment manager.</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Consists of Global Private Bank in AWM and client investment assets in J.P. Morgan Wealth Management in CCB.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22</w:t>
      </w:r>
    </w:p>
    <w:p>
      <w:pPr>
        <w:sectPr>
          <w:pgSz w:w="11900" w:h="16838" w:orient="portrait"/>
          <w:cols w:equalWidth="0" w:num="1">
            <w:col w:w="11240"/>
          </w:cols>
          <w:pgMar w:left="320" w:top="491"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3937000</wp:posOffset>
            </wp:positionH>
            <wp:positionV relativeFrom="page">
              <wp:posOffset>311785</wp:posOffset>
            </wp:positionV>
            <wp:extent cx="1397000" cy="197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employee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QUARTERLY TRENDS</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1Q26</w:t>
            </w: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4Q25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3Q25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2Q25</w:t>
            </w:r>
          </w:p>
        </w:tc>
        <w:tc>
          <w:tcPr>
            <w:tcW w:w="10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26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980" w:type="dxa"/>
            <w:vAlign w:val="bottom"/>
            <w:gridSpan w:val="3"/>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REVENUE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Principal transactions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(144)</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(54)</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(87)</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78 %</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64 %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Investment securities gains/(losses)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w:t>
            </w:r>
          </w:p>
        </w:tc>
        <w:tc>
          <w:tcPr>
            <w:tcW w:w="260" w:type="dxa"/>
            <w:vAlign w:val="bottom"/>
          </w:tcPr>
          <w:p>
            <w:pPr>
              <w:spacing w:after="0"/>
              <w:rPr>
                <w:sz w:val="14"/>
                <w:szCs w:val="14"/>
                <w:color w:val="auto"/>
              </w:rPr>
            </w:pPr>
          </w:p>
        </w:tc>
        <w:tc>
          <w:tcPr>
            <w:tcW w:w="920" w:type="dxa"/>
            <w:vAlign w:val="bottom"/>
            <w:gridSpan w:val="2"/>
          </w:tcPr>
          <w:p>
            <w:pPr>
              <w:ind w:left="480"/>
              <w:spacing w:after="0"/>
              <w:rPr>
                <w:sz w:val="20"/>
                <w:szCs w:val="20"/>
                <w:color w:val="auto"/>
              </w:rPr>
            </w:pPr>
            <w:r>
              <w:rPr>
                <w:rFonts w:ascii="Arial" w:cs="Arial" w:eastAsia="Arial" w:hAnsi="Arial"/>
                <w:sz w:val="11"/>
                <w:szCs w:val="11"/>
                <w:color w:val="auto"/>
              </w:rPr>
              <w:t>NM</w:t>
            </w: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157</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777</w:t>
            </w:r>
          </w:p>
        </w:tc>
        <w:tc>
          <w:tcPr>
            <w:tcW w:w="26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26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189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297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653</w:t>
            </w:r>
          </w:p>
        </w:tc>
        <w:tc>
          <w:tcPr>
            <w:tcW w:w="260" w:type="dxa"/>
            <w:vAlign w:val="bottom"/>
          </w:tcPr>
          <w:p>
            <w:pPr>
              <w:spacing w:after="0"/>
              <w:rPr>
                <w:sz w:val="12"/>
                <w:szCs w:val="12"/>
                <w:color w:val="auto"/>
              </w:rPr>
            </w:pPr>
          </w:p>
        </w:tc>
        <w:tc>
          <w:tcPr>
            <w:tcW w:w="920" w:type="dxa"/>
            <w:vAlign w:val="bottom"/>
            <w:gridSpan w:val="2"/>
          </w:tcPr>
          <w:p>
            <w:pPr>
              <w:ind w:left="480"/>
              <w:spacing w:after="0"/>
              <w:rPr>
                <w:sz w:val="20"/>
                <w:szCs w:val="20"/>
                <w:color w:val="auto"/>
              </w:rPr>
            </w:pPr>
            <w:r>
              <w:rPr>
                <w:rFonts w:ascii="Arial" w:cs="Arial" w:eastAsia="Arial" w:hAnsi="Arial"/>
                <w:sz w:val="11"/>
                <w:szCs w:val="11"/>
                <w:color w:val="auto"/>
              </w:rPr>
              <w:t>NM</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1,568</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1,406</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1,489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1,651</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1,215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1,480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1,703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1,538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2,304</w:t>
            </w:r>
          </w:p>
        </w:tc>
        <w:tc>
          <w:tcPr>
            <w:tcW w:w="26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26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w:t>
            </w:r>
          </w:p>
        </w:tc>
        <w:tc>
          <w:tcPr>
            <w:tcW w:w="260" w:type="dxa"/>
            <w:vAlign w:val="bottom"/>
          </w:tcPr>
          <w:p>
            <w:pPr>
              <w:spacing w:after="0"/>
              <w:rPr>
                <w:sz w:val="24"/>
                <w:szCs w:val="24"/>
                <w:color w:val="auto"/>
              </w:rPr>
            </w:pPr>
          </w:p>
        </w:tc>
        <w:tc>
          <w:tcPr>
            <w:tcW w:w="920" w:type="dxa"/>
            <w:vAlign w:val="bottom"/>
            <w:gridSpan w:val="2"/>
          </w:tcPr>
          <w:p>
            <w:pPr>
              <w:ind w:left="480"/>
              <w:spacing w:after="0"/>
              <w:rPr>
                <w:sz w:val="20"/>
                <w:szCs w:val="20"/>
                <w:color w:val="auto"/>
              </w:rPr>
            </w:pPr>
            <w:r>
              <w:rPr>
                <w:rFonts w:ascii="Arial" w:cs="Arial" w:eastAsia="Arial" w:hAnsi="Arial"/>
                <w:sz w:val="11"/>
                <w:szCs w:val="11"/>
                <w:color w:val="auto"/>
              </w:rPr>
              <w:t>NM</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 (b)</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568</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648</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445</w:t>
            </w: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547</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185</w:t>
            </w:r>
          </w:p>
        </w:tc>
        <w:tc>
          <w:tcPr>
            <w:tcW w:w="260" w:type="dxa"/>
            <w:vAlign w:val="bottom"/>
          </w:tcPr>
          <w:p>
            <w:pPr>
              <w:ind w:left="20"/>
              <w:spacing w:after="0"/>
              <w:rPr>
                <w:sz w:val="20"/>
                <w:szCs w:val="20"/>
                <w:color w:val="auto"/>
              </w:rPr>
            </w:pPr>
            <w:r>
              <w:rPr>
                <w:rFonts w:ascii="Arial" w:cs="Arial" w:eastAsia="Arial" w:hAnsi="Arial"/>
                <w:sz w:val="11"/>
                <w:szCs w:val="11"/>
                <w:color w:val="auto"/>
              </w:rPr>
              <w:t>(f)</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260" w:type="dxa"/>
            <w:vAlign w:val="bottom"/>
          </w:tcPr>
          <w:p>
            <w:pPr>
              <w:spacing w:after="0"/>
              <w:rPr>
                <w:sz w:val="24"/>
                <w:szCs w:val="2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648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828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1,261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966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2,138</w:t>
            </w:r>
          </w:p>
        </w:tc>
        <w:tc>
          <w:tcPr>
            <w:tcW w:w="26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26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Income tax expense/(benefit)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436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auto"/>
              </w:rPr>
              <w:t>(729) (h)</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445</w:t>
            </w:r>
          </w:p>
        </w:tc>
        <w:tc>
          <w:tcPr>
            <w:tcW w:w="260" w:type="dxa"/>
            <w:vAlign w:val="bottom"/>
          </w:tcPr>
          <w:p>
            <w:pPr>
              <w:spacing w:after="0"/>
              <w:rPr>
                <w:sz w:val="14"/>
                <w:szCs w:val="14"/>
                <w:color w:val="auto"/>
              </w:rPr>
            </w:pPr>
          </w:p>
        </w:tc>
        <w:tc>
          <w:tcPr>
            <w:tcW w:w="920" w:type="dxa"/>
            <w:vAlign w:val="bottom"/>
            <w:gridSpan w:val="2"/>
          </w:tcPr>
          <w:p>
            <w:pPr>
              <w:ind w:left="480"/>
              <w:spacing w:after="0"/>
              <w:rPr>
                <w:sz w:val="20"/>
                <w:szCs w:val="20"/>
                <w:color w:val="auto"/>
              </w:rPr>
            </w:pPr>
            <w:r>
              <w:rPr>
                <w:rFonts w:ascii="Arial" w:cs="Arial" w:eastAsia="Arial" w:hAnsi="Arial"/>
                <w:sz w:val="11"/>
                <w:szCs w:val="11"/>
                <w:color w:val="auto"/>
              </w:rPr>
              <w:t>NM</w:t>
            </w: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699</w:t>
            </w:r>
          </w:p>
        </w:tc>
        <w:tc>
          <w:tcPr>
            <w:tcW w:w="2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307</w:t>
            </w:r>
          </w:p>
        </w:tc>
        <w:tc>
          <w:tcPr>
            <w:tcW w:w="2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825</w:t>
            </w: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1,695</w:t>
            </w:r>
          </w:p>
        </w:tc>
        <w:tc>
          <w:tcPr>
            <w:tcW w:w="2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1,693</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128</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MEMO:</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00" w:type="dxa"/>
            <w:vAlign w:val="bottom"/>
            <w:gridSpan w:val="5"/>
          </w:tcPr>
          <w:p>
            <w:pPr>
              <w:spacing w:after="0" w:line="122" w:lineRule="exact"/>
              <w:rPr>
                <w:sz w:val="20"/>
                <w:szCs w:val="20"/>
                <w:color w:val="auto"/>
              </w:rPr>
            </w:pPr>
            <w:r>
              <w:rPr>
                <w:rFonts w:ascii="Arial" w:cs="Arial" w:eastAsia="Arial" w:hAnsi="Arial"/>
                <w:sz w:val="11"/>
                <w:szCs w:val="11"/>
                <w:color w:val="auto"/>
              </w:rPr>
              <w:t>Treasury and Chief Investment Office</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1,337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1,601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1,687</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1,649</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1,564</w:t>
            </w:r>
          </w:p>
        </w:tc>
        <w:tc>
          <w:tcPr>
            <w:tcW w:w="260" w:type="dxa"/>
            <w:vAlign w:val="bottom"/>
          </w:tcPr>
          <w:p>
            <w:pPr>
              <w:spacing w:after="0"/>
              <w:rPr>
                <w:sz w:val="10"/>
                <w:szCs w:val="10"/>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(16)</w:t>
            </w:r>
          </w:p>
        </w:tc>
        <w:tc>
          <w:tcPr>
            <w:tcW w:w="260" w:type="dxa"/>
            <w:vAlign w:val="bottom"/>
          </w:tcPr>
          <w:p>
            <w:pPr>
              <w:spacing w:after="0"/>
              <w:rPr>
                <w:sz w:val="10"/>
                <w:szCs w:val="10"/>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(“CIO”)</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740</w:t>
            </w:r>
          </w:p>
        </w:tc>
        <w:tc>
          <w:tcPr>
            <w:tcW w:w="26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1,215</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1,480</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1,703</w:t>
            </w: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1,538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2,304</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NET INCOME/(LOSS)</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Treasury and CIO</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842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1,166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1,121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1,158</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26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(341)</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535</w:t>
            </w:r>
          </w:p>
        </w:tc>
        <w:tc>
          <w:tcPr>
            <w:tcW w:w="26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82</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INCOME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699</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307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825</w:t>
            </w: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1,695</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1,693</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128</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gridSpan w:val="3"/>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1,318,399</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1,329,632</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1,297,608</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1,370,312</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1,289,274</w:t>
            </w:r>
          </w:p>
        </w:tc>
        <w:tc>
          <w:tcPr>
            <w:tcW w:w="26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3,093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2,707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2,033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2,478</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Deposits (c)</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41,173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35,874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34,145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27,952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25,064</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Employees (b)</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55,360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55,390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55,523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55,310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56,368</w:t>
            </w:r>
          </w:p>
        </w:tc>
        <w:tc>
          <w:tcPr>
            <w:tcW w:w="26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SUPPLEMENTAL INFORMATION</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60" w:type="dxa"/>
            <w:vAlign w:val="bottom"/>
            <w:tcBorders>
              <w:top w:val="single" w:sz="8" w:color="auto"/>
            </w:tcBorders>
            <w:gridSpan w:val="3"/>
          </w:tcPr>
          <w:p>
            <w:pPr>
              <w:spacing w:after="0"/>
              <w:rPr>
                <w:sz w:val="20"/>
                <w:szCs w:val="20"/>
                <w:color w:val="auto"/>
              </w:rPr>
            </w:pPr>
            <w:r>
              <w:rPr>
                <w:rFonts w:ascii="Arial" w:cs="Arial" w:eastAsia="Arial" w:hAnsi="Arial"/>
                <w:sz w:val="11"/>
                <w:szCs w:val="11"/>
                <w:b w:val="1"/>
                <w:bCs w:val="1"/>
                <w:color w:val="auto"/>
              </w:rPr>
              <w:t>TREASURY and CIO</w:t>
            </w:r>
          </w:p>
        </w:tc>
        <w:tc>
          <w:tcPr>
            <w:tcW w:w="4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Investment securities gains/(losses)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260" w:type="dxa"/>
            <w:vAlign w:val="bottom"/>
          </w:tcPr>
          <w:p>
            <w:pPr>
              <w:spacing w:after="0"/>
              <w:rPr>
                <w:sz w:val="14"/>
                <w:szCs w:val="14"/>
                <w:color w:val="auto"/>
              </w:rPr>
            </w:pPr>
          </w:p>
        </w:tc>
        <w:tc>
          <w:tcPr>
            <w:tcW w:w="920" w:type="dxa"/>
            <w:vAlign w:val="bottom"/>
            <w:gridSpan w:val="2"/>
          </w:tcPr>
          <w:p>
            <w:pPr>
              <w:ind w:left="480"/>
              <w:spacing w:after="0"/>
              <w:rPr>
                <w:sz w:val="20"/>
                <w:szCs w:val="20"/>
                <w:color w:val="auto"/>
              </w:rPr>
            </w:pPr>
            <w:r>
              <w:rPr>
                <w:rFonts w:ascii="Arial" w:cs="Arial" w:eastAsia="Arial" w:hAnsi="Arial"/>
                <w:sz w:val="11"/>
                <w:szCs w:val="11"/>
                <w:color w:val="auto"/>
              </w:rPr>
              <w:t>NM</w:t>
            </w: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Available-for-sale securities (average)</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529,500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502,641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495,777</w:t>
            </w:r>
          </w:p>
        </w:tc>
        <w:tc>
          <w:tcPr>
            <w:tcW w:w="300" w:type="dxa"/>
            <w:vAlign w:val="bottom"/>
          </w:tcPr>
          <w:p>
            <w:pPr>
              <w:ind w:left="20"/>
              <w:spacing w:after="0"/>
              <w:rPr>
                <w:sz w:val="20"/>
                <w:szCs w:val="20"/>
                <w:color w:val="auto"/>
              </w:rPr>
            </w:pPr>
            <w:r>
              <w:rPr>
                <w:rFonts w:ascii="Arial" w:cs="Arial" w:eastAsia="Arial" w:hAnsi="Arial"/>
                <w:sz w:val="11"/>
                <w:szCs w:val="11"/>
                <w:color w:val="auto"/>
              </w:rPr>
              <w:t>(g)</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462,179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391,997</w:t>
            </w:r>
          </w:p>
        </w:tc>
        <w:tc>
          <w:tcPr>
            <w:tcW w:w="26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6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Held-to-maturity securities (average) (d)</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269,482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283,009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269,717</w:t>
            </w: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(g)</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262,479</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269,906</w:t>
            </w:r>
          </w:p>
        </w:tc>
        <w:tc>
          <w:tcPr>
            <w:tcW w:w="26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26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Investment securities portfolio (average)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798,982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785,650</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765,494</w:t>
            </w: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724,658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661,903</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Available-for-sale securities (period-end)</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545,706</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503,896</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487,277</w:t>
            </w:r>
          </w:p>
        </w:tc>
        <w:tc>
          <w:tcPr>
            <w:tcW w:w="300" w:type="dxa"/>
            <w:vAlign w:val="bottom"/>
          </w:tcPr>
          <w:p>
            <w:pPr>
              <w:ind w:left="20"/>
              <w:spacing w:after="0"/>
              <w:rPr>
                <w:sz w:val="20"/>
                <w:szCs w:val="20"/>
                <w:color w:val="auto"/>
              </w:rPr>
            </w:pPr>
            <w:r>
              <w:rPr>
                <w:rFonts w:ascii="Arial" w:cs="Arial" w:eastAsia="Arial" w:hAnsi="Arial"/>
                <w:sz w:val="11"/>
                <w:szCs w:val="11"/>
                <w:color w:val="auto"/>
              </w:rPr>
              <w:t>(g)</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482,269</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396,316</w:t>
            </w:r>
          </w:p>
        </w:tc>
        <w:tc>
          <w:tcPr>
            <w:tcW w:w="26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Held-to-maturity securities (period-end) (d)</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272,142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270,134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293,446</w:t>
            </w:r>
          </w:p>
        </w:tc>
        <w:tc>
          <w:tcPr>
            <w:tcW w:w="380" w:type="dxa"/>
            <w:vAlign w:val="bottom"/>
            <w:gridSpan w:val="2"/>
          </w:tcPr>
          <w:p>
            <w:pPr>
              <w:ind w:left="20"/>
              <w:spacing w:after="0"/>
              <w:rPr>
                <w:sz w:val="20"/>
                <w:szCs w:val="20"/>
                <w:color w:val="auto"/>
              </w:rPr>
            </w:pPr>
            <w:r>
              <w:rPr>
                <w:rFonts w:ascii="Arial" w:cs="Arial" w:eastAsia="Arial" w:hAnsi="Arial"/>
                <w:sz w:val="11"/>
                <w:szCs w:val="11"/>
                <w:color w:val="auto"/>
              </w:rPr>
              <w:t>(g)</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260,559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265,084</w:t>
            </w:r>
          </w:p>
        </w:tc>
        <w:tc>
          <w:tcPr>
            <w:tcW w:w="26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gridSpan w:val="5"/>
          </w:tcPr>
          <w:p>
            <w:pPr>
              <w:spacing w:after="0" w:line="95" w:lineRule="exact"/>
              <w:rPr>
                <w:sz w:val="20"/>
                <w:szCs w:val="20"/>
                <w:color w:val="auto"/>
              </w:rPr>
            </w:pPr>
            <w:r>
              <w:rPr>
                <w:rFonts w:ascii="Arial" w:cs="Arial" w:eastAsia="Arial" w:hAnsi="Arial"/>
                <w:sz w:val="10"/>
                <w:szCs w:val="10"/>
                <w:color w:val="auto"/>
              </w:rPr>
              <w:t>Investment securities portfolio, net of</w:t>
            </w: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gridSpan w:val="5"/>
          </w:tcPr>
          <w:p>
            <w:pPr>
              <w:ind w:left="80"/>
              <w:spacing w:after="0" w:line="108" w:lineRule="exact"/>
              <w:rPr>
                <w:sz w:val="20"/>
                <w:szCs w:val="20"/>
                <w:color w:val="auto"/>
              </w:rPr>
            </w:pPr>
            <w:r>
              <w:rPr>
                <w:rFonts w:ascii="Arial" w:cs="Arial" w:eastAsia="Arial" w:hAnsi="Arial"/>
                <w:sz w:val="11"/>
                <w:szCs w:val="11"/>
                <w:color w:val="auto"/>
              </w:rPr>
              <w:t>allowance for credit losses (period-end)</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817,848</w:t>
            </w:r>
          </w:p>
        </w:tc>
        <w:tc>
          <w:tcPr>
            <w:tcW w:w="2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774,030</w:t>
            </w:r>
          </w:p>
        </w:tc>
        <w:tc>
          <w:tcPr>
            <w:tcW w:w="24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780,723</w:t>
            </w:r>
          </w:p>
        </w:tc>
        <w:tc>
          <w:tcPr>
            <w:tcW w:w="3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742,828</w:t>
            </w:r>
          </w:p>
        </w:tc>
        <w:tc>
          <w:tcPr>
            <w:tcW w:w="2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661,400</w:t>
            </w:r>
          </w:p>
        </w:tc>
        <w:tc>
          <w:tcPr>
            <w:tcW w:w="260" w:type="dxa"/>
            <w:vAlign w:val="bottom"/>
          </w:tcPr>
          <w:p>
            <w:pPr>
              <w:spacing w:after="0"/>
              <w:rPr>
                <w:sz w:val="9"/>
                <w:szCs w:val="9"/>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6</w:t>
            </w:r>
          </w:p>
        </w:tc>
        <w:tc>
          <w:tcPr>
            <w:tcW w:w="260" w:type="dxa"/>
            <w:vAlign w:val="bottom"/>
          </w:tcPr>
          <w:p>
            <w:pPr>
              <w:spacing w:after="0"/>
              <w:rPr>
                <w:sz w:val="9"/>
                <w:szCs w:val="9"/>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(e)</w:t>
            </w: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120" w:hanging="172"/>
        <w:spacing w:after="0" w:line="249" w:lineRule="auto"/>
        <w:tabs>
          <w:tab w:leader="none" w:pos="177"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Included tax-equivalent adjustments, predominantly driven by tax-exempt income from municipal bonds, of $44 million, $41 million, $39 million, $38 million and $36 million for the three months ended March 31, 2026, December 31, 2025, September 30, 2025, June 30, 2025 and March 31, 2025, respectively.</w:t>
      </w:r>
    </w:p>
    <w:p>
      <w:pPr>
        <w:jc w:val="both"/>
        <w:ind w:left="180" w:right="60" w:hanging="172"/>
        <w:spacing w:after="0" w:line="247" w:lineRule="auto"/>
        <w:tabs>
          <w:tab w:leader="none" w:pos="177"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 the first quarter of 2026, Risk functions that were previously aligned with the LOBs were centralized into Corporate. As a result, the employees and compensation expense related to those functions are now reflected in Corporate, and a corresponding expense allocation from Corporate is reflected in noncompensation expense of the respective LOBs. These adjustments had no impact on total noninterest expense of the LOBs or Corporate. Prior periods have been revised to conform with the current presentation.</w:t>
      </w:r>
    </w:p>
    <w:p>
      <w:pPr>
        <w:ind w:left="160" w:hanging="152"/>
        <w:spacing w:after="0" w:line="211" w:lineRule="auto"/>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Predominantly relates to the Firm's international consumer initiatives.</w:t>
      </w:r>
    </w:p>
    <w:p>
      <w:pPr>
        <w:ind w:left="180" w:right="220" w:hanging="172"/>
        <w:spacing w:after="0" w:line="230" w:lineRule="auto"/>
        <w:tabs>
          <w:tab w:leader="none" w:pos="177" w:val="left"/>
        </w:tabs>
        <w:numPr>
          <w:ilvl w:val="0"/>
          <w:numId w:val="32"/>
        </w:numPr>
        <w:rPr>
          <w:rFonts w:ascii="Arial" w:cs="Arial" w:eastAsia="Arial" w:hAnsi="Arial"/>
          <w:sz w:val="11"/>
          <w:szCs w:val="11"/>
          <w:color w:val="auto"/>
        </w:rPr>
      </w:pPr>
      <w:r>
        <w:rPr>
          <w:rFonts w:ascii="Arial" w:cs="Arial" w:eastAsia="Arial" w:hAnsi="Arial"/>
          <w:sz w:val="11"/>
          <w:szCs w:val="11"/>
          <w:color w:val="auto"/>
        </w:rPr>
        <w:t>At March 31, 2026, December 31, 2025, September 30, 2025, June 30, 2025 and March 31, 2025, the estimated fair value of the HTM securities portfolio was $254.5 billion, $253.3 billion, $274.9 billion, $239.3 billion and $242.3 billion, respectively.</w:t>
      </w:r>
    </w:p>
    <w:p>
      <w:pPr>
        <w:ind w:left="180" w:right="440" w:hanging="172"/>
        <w:spacing w:after="0" w:line="230" w:lineRule="auto"/>
        <w:tabs>
          <w:tab w:leader="none" w:pos="177" w:val="left"/>
        </w:tabs>
        <w:numPr>
          <w:ilvl w:val="0"/>
          <w:numId w:val="32"/>
        </w:numPr>
        <w:rPr>
          <w:rFonts w:ascii="Arial" w:cs="Arial" w:eastAsia="Arial" w:hAnsi="Arial"/>
          <w:sz w:val="11"/>
          <w:szCs w:val="11"/>
          <w:color w:val="auto"/>
        </w:rPr>
      </w:pPr>
      <w:r>
        <w:rPr>
          <w:rFonts w:ascii="Arial" w:cs="Arial" w:eastAsia="Arial" w:hAnsi="Arial"/>
          <w:sz w:val="11"/>
          <w:szCs w:val="11"/>
          <w:color w:val="auto"/>
        </w:rPr>
        <w:t>At March 31, 2026, December 31, 2025, September 30, 2025, June 30, 2025 and March 31, 2025, the allowance for credit losses on investment securities was $73 million, $73 million, $72 million, $75 million and $85 million, respectively.</w:t>
      </w:r>
    </w:p>
    <w:p>
      <w:pPr>
        <w:ind w:left="180" w:right="120" w:hanging="172"/>
        <w:spacing w:after="0" w:line="230" w:lineRule="auto"/>
        <w:tabs>
          <w:tab w:leader="none" w:pos="174"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Included FDIC special assessment accrual releases of $326 million and $323 million for the three months ended December 31, 2025 and March 31, 2025, respectively. Refer to Note 6 on page 221 of the Firm’s 2025 Form 10-K for additional information.</w:t>
      </w:r>
    </w:p>
    <w:p>
      <w:pPr>
        <w:ind w:left="160" w:hanging="152"/>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During the third quarter of 2025, the Firm transferred $44.1 billion of investment securities from AFS to HTM for asset-liability management purposes.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Included a $774 million income tax benefit driven by the resolution of certain tax audits and the impact of tax regulations related to foreign currency translation gains and losses finalized in 2024 and effective for 2025.</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23</w:t>
      </w:r>
    </w:p>
    <w:p>
      <w:pPr>
        <w:sectPr>
          <w:pgSz w:w="11900" w:h="16838" w:orient="portrait"/>
          <w:cols w:equalWidth="0" w:num="1">
            <w:col w:w="11240"/>
          </w:cols>
          <w:pgMar w:left="320" w:top="491"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3988435</wp:posOffset>
            </wp:positionH>
            <wp:positionV relativeFrom="page">
              <wp:posOffset>346075</wp:posOffset>
            </wp:positionV>
            <wp:extent cx="139700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6850"/>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Mar 31, 2026</w:t>
            </w: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gridSpan w:val="3"/>
          </w:tcPr>
          <w:p>
            <w:pPr>
              <w:jc w:val="center"/>
              <w:ind w:left="426"/>
              <w:spacing w:after="0"/>
              <w:rPr>
                <w:sz w:val="20"/>
                <w:szCs w:val="20"/>
                <w:color w:val="auto"/>
              </w:rPr>
            </w:pPr>
            <w:r>
              <w:rPr>
                <w:rFonts w:ascii="Arial" w:cs="Arial" w:eastAsia="Arial" w:hAnsi="Arial"/>
                <w:sz w:val="11"/>
                <w:szCs w:val="11"/>
                <w:b w:val="1"/>
                <w:bCs w:val="1"/>
                <w:color w:val="auto"/>
                <w:w w:val="99"/>
              </w:rPr>
              <w:t>Change</w:t>
            </w:r>
          </w:p>
        </w:tc>
        <w:tc>
          <w:tcPr>
            <w:tcW w:w="480" w:type="dxa"/>
            <w:vAlign w:val="bottom"/>
            <w:tcBorders>
              <w:bottom w:val="single" w:sz="8" w:color="auto"/>
            </w:tcBorders>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10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Jun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Mar 31,</w:t>
            </w:r>
          </w:p>
        </w:tc>
        <w:tc>
          <w:tcPr>
            <w:tcW w:w="240" w:type="dxa"/>
            <w:vAlign w:val="bottom"/>
          </w:tcPr>
          <w:p>
            <w:pPr>
              <w:spacing w:after="0"/>
              <w:rPr>
                <w:sz w:val="12"/>
                <w:szCs w:val="12"/>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Dec 31,</w:t>
            </w: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w w:val="94"/>
              </w:rPr>
              <w:t>Mar 31,</w:t>
            </w: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2025</w:t>
            </w: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6"/>
              </w:rPr>
              <w:t>CREDIT EXPOSURE</w:t>
            </w:r>
          </w:p>
        </w:tc>
        <w:tc>
          <w:tcPr>
            <w:tcW w:w="1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r>
      <w:tr>
        <w:trPr>
          <w:trHeight w:val="169"/>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Consumer, excluding credit card loans (a)</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42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367,274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368,741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369,859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371,855</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372,892</w:t>
            </w:r>
          </w:p>
        </w:tc>
        <w:tc>
          <w:tcPr>
            <w:tcW w:w="240" w:type="dxa"/>
            <w:vAlign w:val="bottom"/>
          </w:tcPr>
          <w:p>
            <w:pPr>
              <w:spacing w:after="0"/>
              <w:rPr>
                <w:sz w:val="13"/>
                <w:szCs w:val="13"/>
                <w:color w:val="auto"/>
              </w:rPr>
            </w:pPr>
          </w:p>
        </w:tc>
        <w:tc>
          <w:tcPr>
            <w:tcW w:w="880" w:type="dxa"/>
            <w:vAlign w:val="bottom"/>
            <w:gridSpan w:val="3"/>
          </w:tcPr>
          <w:p>
            <w:pPr>
              <w:ind w:left="300"/>
              <w:spacing w:after="0"/>
              <w:rPr>
                <w:sz w:val="20"/>
                <w:szCs w:val="20"/>
                <w:color w:val="auto"/>
              </w:rPr>
            </w:pPr>
            <w:r>
              <w:rPr>
                <w:rFonts w:ascii="Arial" w:cs="Arial" w:eastAsia="Arial" w:hAnsi="Arial"/>
                <w:sz w:val="11"/>
                <w:szCs w:val="11"/>
                <w:color w:val="auto"/>
              </w:rPr>
              <w:t>— %</w:t>
            </w: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75"/>
        </w:trPr>
        <w:tc>
          <w:tcPr>
            <w:tcW w:w="20" w:type="dxa"/>
            <w:vAlign w:val="bottom"/>
          </w:tcPr>
          <w:p>
            <w:pPr>
              <w:spacing w:after="0"/>
              <w:rPr>
                <w:sz w:val="15"/>
                <w:szCs w:val="15"/>
                <w:color w:val="auto"/>
              </w:rPr>
            </w:pPr>
          </w:p>
        </w:tc>
        <w:tc>
          <w:tcPr>
            <w:tcW w:w="242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24,386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33,517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23,225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22,185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18,246</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34</w:t>
            </w:r>
          </w:p>
        </w:tc>
      </w:tr>
      <w:tr>
        <w:trPr>
          <w:trHeight w:val="156"/>
        </w:trPr>
        <w:tc>
          <w:tcPr>
            <w:tcW w:w="20" w:type="dxa"/>
            <w:vAlign w:val="bottom"/>
          </w:tcPr>
          <w:p>
            <w:pPr>
              <w:spacing w:after="0"/>
              <w:rPr>
                <w:sz w:val="13"/>
                <w:szCs w:val="13"/>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consumer, excluding credit card loans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391,660</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402,258</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393,084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394,040</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391,138</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297"/>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Credit card loans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42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239,123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247,797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235,475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232,943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223,384</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76"/>
        </w:trPr>
        <w:tc>
          <w:tcPr>
            <w:tcW w:w="2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credit card loans</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239,123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247,797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235,475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232,943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223,384</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48"/>
        </w:trPr>
        <w:tc>
          <w:tcPr>
            <w:tcW w:w="20" w:type="dxa"/>
            <w:vAlign w:val="bottom"/>
          </w:tcPr>
          <w:p>
            <w:pPr>
              <w:spacing w:after="0"/>
              <w:rPr>
                <w:sz w:val="12"/>
                <w:szCs w:val="12"/>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consumer loans</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630,783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650,055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628,559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626,983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614,522</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w:t>
            </w:r>
          </w:p>
        </w:tc>
      </w:tr>
      <w:tr>
        <w:trPr>
          <w:trHeight w:val="324"/>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Wholesale loans (b)</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42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818,839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792,367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764,451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740,675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704,714</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16</w:t>
            </w:r>
          </w:p>
        </w:tc>
      </w:tr>
      <w:tr>
        <w:trPr>
          <w:trHeight w:val="176"/>
        </w:trPr>
        <w:tc>
          <w:tcPr>
            <w:tcW w:w="20" w:type="dxa"/>
            <w:vAlign w:val="bottom"/>
          </w:tcPr>
          <w:p>
            <w:pPr>
              <w:spacing w:after="0"/>
              <w:rPr>
                <w:sz w:val="15"/>
                <w:szCs w:val="15"/>
                <w:color w:val="auto"/>
              </w:rPr>
            </w:pPr>
          </w:p>
        </w:tc>
        <w:tc>
          <w:tcPr>
            <w:tcW w:w="242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53,898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51,007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42,236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44,334</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36,459</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48</w:t>
            </w:r>
          </w:p>
        </w:tc>
      </w:tr>
      <w:tr>
        <w:trPr>
          <w:trHeight w:val="148"/>
        </w:trPr>
        <w:tc>
          <w:tcPr>
            <w:tcW w:w="20" w:type="dxa"/>
            <w:vAlign w:val="bottom"/>
          </w:tcPr>
          <w:p>
            <w:pPr>
              <w:spacing w:after="0"/>
              <w:rPr>
                <w:sz w:val="12"/>
                <w:szCs w:val="12"/>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wholesale loans</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872,737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843,374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806,687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785,009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741,173</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18</w:t>
            </w:r>
          </w:p>
        </w:tc>
      </w:tr>
      <w:tr>
        <w:trPr>
          <w:trHeight w:val="324"/>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1,503,520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1,493,429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1,435,246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1,411,992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1,355,695</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156"/>
        </w:trPr>
        <w:tc>
          <w:tcPr>
            <w:tcW w:w="20" w:type="dxa"/>
            <w:vAlign w:val="bottom"/>
          </w:tcPr>
          <w:p>
            <w:pPr>
              <w:spacing w:after="0"/>
              <w:rPr>
                <w:sz w:val="13"/>
                <w:szCs w:val="13"/>
                <w:color w:val="auto"/>
              </w:rPr>
            </w:pPr>
          </w:p>
        </w:tc>
        <w:tc>
          <w:tcPr>
            <w:tcW w:w="2420" w:type="dxa"/>
            <w:vAlign w:val="bottom"/>
            <w:gridSpan w:val="2"/>
          </w:tcPr>
          <w:p>
            <w:pPr>
              <w:ind w:left="120"/>
              <w:spacing w:after="0"/>
              <w:rPr>
                <w:sz w:val="20"/>
                <w:szCs w:val="20"/>
                <w:color w:val="auto"/>
              </w:rPr>
            </w:pPr>
            <w:r>
              <w:rPr>
                <w:rFonts w:ascii="Arial" w:cs="Arial" w:eastAsia="Arial" w:hAnsi="Arial"/>
                <w:sz w:val="11"/>
                <w:szCs w:val="11"/>
                <w:color w:val="auto"/>
              </w:rPr>
              <w:t>Derivative receivables</w:t>
            </w: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71,584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57,777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59,849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60,346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60,539</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18</w:t>
            </w:r>
          </w:p>
        </w:tc>
      </w:tr>
      <w:tr>
        <w:trPr>
          <w:trHeight w:val="176"/>
        </w:trPr>
        <w:tc>
          <w:tcPr>
            <w:tcW w:w="20" w:type="dxa"/>
            <w:vAlign w:val="bottom"/>
          </w:tcPr>
          <w:p>
            <w:pPr>
              <w:spacing w:after="0"/>
              <w:rPr>
                <w:sz w:val="15"/>
                <w:szCs w:val="15"/>
                <w:color w:val="auto"/>
              </w:rPr>
            </w:pPr>
          </w:p>
        </w:tc>
        <w:tc>
          <w:tcPr>
            <w:tcW w:w="2420" w:type="dxa"/>
            <w:vAlign w:val="bottom"/>
            <w:gridSpan w:val="2"/>
          </w:tcPr>
          <w:p>
            <w:pPr>
              <w:ind w:left="120"/>
              <w:spacing w:after="0"/>
              <w:rPr>
                <w:sz w:val="20"/>
                <w:szCs w:val="20"/>
                <w:color w:val="auto"/>
              </w:rPr>
            </w:pPr>
            <w:r>
              <w:rPr>
                <w:rFonts w:ascii="Arial" w:cs="Arial" w:eastAsia="Arial" w:hAnsi="Arial"/>
                <w:sz w:val="11"/>
                <w:szCs w:val="11"/>
                <w:color w:val="auto"/>
              </w:rPr>
              <w:t>Receivables from customers (c)</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64,844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47,336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68,493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53,099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49,403</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37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31</w:t>
            </w:r>
          </w:p>
        </w:tc>
      </w:tr>
      <w:tr>
        <w:trPr>
          <w:trHeight w:val="148"/>
        </w:trPr>
        <w:tc>
          <w:tcPr>
            <w:tcW w:w="20" w:type="dxa"/>
            <w:vAlign w:val="bottom"/>
          </w:tcPr>
          <w:p>
            <w:pPr>
              <w:spacing w:after="0"/>
              <w:rPr>
                <w:sz w:val="12"/>
                <w:szCs w:val="12"/>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credit-related assets</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1,639,948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1,598,542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1,563,588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1,525,437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1,465,637</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324"/>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Lending-related commitments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420" w:type="dxa"/>
            <w:vAlign w:val="bottom"/>
            <w:gridSpan w:val="2"/>
          </w:tcPr>
          <w:p>
            <w:pPr>
              <w:spacing w:after="0"/>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46,236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43,587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48,015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47,064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46,149</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162"/>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1"/>
                <w:szCs w:val="11"/>
                <w:color w:val="auto"/>
              </w:rPr>
              <w:t>Credit card (d)(e)</w:t>
            </w: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1,204,016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1,177,766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1,069,963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1,050,275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1,031,481</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17</w:t>
            </w:r>
          </w:p>
        </w:tc>
      </w:tr>
      <w:tr>
        <w:trPr>
          <w:trHeight w:val="175"/>
        </w:trPr>
        <w:tc>
          <w:tcPr>
            <w:tcW w:w="2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Arial" w:cs="Arial" w:eastAsia="Arial" w:hAnsi="Arial"/>
                <w:sz w:val="11"/>
                <w:szCs w:val="11"/>
                <w:color w:val="auto"/>
              </w:rPr>
              <w:t>Wholesale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604,922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595,954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596,028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559,654</w:t>
            </w:r>
          </w:p>
        </w:tc>
        <w:tc>
          <w:tcPr>
            <w:tcW w:w="240" w:type="dxa"/>
            <w:vAlign w:val="bottom"/>
          </w:tcPr>
          <w:p>
            <w:pPr>
              <w:spacing w:after="0"/>
              <w:rPr>
                <w:sz w:val="20"/>
                <w:szCs w:val="20"/>
                <w:color w:val="auto"/>
              </w:rPr>
            </w:pPr>
            <w:r>
              <w:rPr>
                <w:rFonts w:ascii="Arial" w:cs="Arial" w:eastAsia="Arial" w:hAnsi="Arial"/>
                <w:sz w:val="11"/>
                <w:szCs w:val="11"/>
                <w:color w:val="auto"/>
              </w:rPr>
              <w:t>(h)</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548,853</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10</w:t>
            </w:r>
          </w:p>
        </w:tc>
      </w:tr>
      <w:tr>
        <w:trPr>
          <w:trHeight w:val="148"/>
        </w:trPr>
        <w:tc>
          <w:tcPr>
            <w:tcW w:w="20" w:type="dxa"/>
            <w:vAlign w:val="bottom"/>
          </w:tcPr>
          <w:p>
            <w:pPr>
              <w:spacing w:after="0"/>
              <w:rPr>
                <w:sz w:val="12"/>
                <w:szCs w:val="12"/>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lending-related commitments</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1,855,174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1,817,307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1,714,006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1,656,993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1,626,483</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14</w:t>
            </w: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3,495,122</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3,415,849</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3,277,594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3,182,430</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3,092,120</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13</w:t>
            </w:r>
          </w:p>
        </w:tc>
      </w:tr>
      <w:tr>
        <w:trPr>
          <w:trHeight w:val="297"/>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Memo: Total by category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420" w:type="dxa"/>
            <w:vAlign w:val="bottom"/>
            <w:gridSpan w:val="2"/>
          </w:tcPr>
          <w:p>
            <w:pPr>
              <w:spacing w:after="0"/>
              <w:rPr>
                <w:sz w:val="20"/>
                <w:szCs w:val="20"/>
                <w:color w:val="auto"/>
              </w:rPr>
            </w:pPr>
            <w:r>
              <w:rPr>
                <w:rFonts w:ascii="Arial" w:cs="Arial" w:eastAsia="Arial" w:hAnsi="Arial"/>
                <w:sz w:val="11"/>
                <w:szCs w:val="11"/>
                <w:color w:val="auto"/>
              </w:rPr>
              <w:t>Consumer exposure (f)</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1,881,035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1,871,408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1,746,537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1,724,322</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1,692,152</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175"/>
        </w:trPr>
        <w:tc>
          <w:tcPr>
            <w:tcW w:w="2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Arial" w:cs="Arial" w:eastAsia="Arial" w:hAnsi="Arial"/>
                <w:sz w:val="11"/>
                <w:szCs w:val="11"/>
                <w:color w:val="auto"/>
              </w:rPr>
              <w:t>Wholesale exposure (g)</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3"/>
              </w:rPr>
              <w:t>1,614,087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1,544,441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1,531,057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1,458,108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1,399,968</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15</w:t>
            </w:r>
          </w:p>
        </w:tc>
      </w:tr>
      <w:tr>
        <w:trPr>
          <w:trHeight w:val="169"/>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3,495,122</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3,415,849</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3,277,594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3,182,430</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3,092,120</w:t>
            </w:r>
          </w:p>
        </w:tc>
        <w:tc>
          <w:tcPr>
            <w:tcW w:w="80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13</w:t>
            </w:r>
          </w:p>
        </w:tc>
      </w:tr>
      <w:tr>
        <w:trPr>
          <w:trHeight w:val="310"/>
        </w:trPr>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97"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Includes scored loans held in CCB, scored mortgage and home equity loans held in AWM, and scored mortgage loans held in CIB and Corporate.</w:t>
      </w:r>
    </w:p>
    <w:p>
      <w:pPr>
        <w:spacing w:after="0" w:line="5" w:lineRule="exact"/>
        <w:rPr>
          <w:rFonts w:ascii="Arial" w:cs="Arial" w:eastAsia="Arial" w:hAnsi="Arial"/>
          <w:sz w:val="11"/>
          <w:szCs w:val="11"/>
          <w:color w:val="auto"/>
        </w:rPr>
      </w:pPr>
    </w:p>
    <w:p>
      <w:pPr>
        <w:ind w:left="180" w:right="160" w:hanging="172"/>
        <w:spacing w:after="0" w:line="243" w:lineRule="auto"/>
        <w:tabs>
          <w:tab w:leader="none" w:pos="177"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Includes loans held in CIB, AWM, Corporate as well as risk-rated loans held in CCB, including business banking and J.P. Morgan Wealth Management loans held in Banking &amp; Wealth Management, and auto dealer loans for which the wholesale methodology is applied when determining the allowance for loan losses.</w:t>
      </w: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Receivables from customers reflect held-for-investment margin loans to brokerage clients in CIB, CCB and AWM; these are reported within accrued interest and accounts receivable on the Consolidated balance sheets.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Also includes commercial card lending-related commitments primarily in CIB.</w:t>
      </w:r>
    </w:p>
    <w:p>
      <w:pPr>
        <w:spacing w:after="0" w:line="8"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As of December 31, 2025, includes the impact of the Apple Card transaction. Refer to Notes 4 and 28 of the Firm’s 2025 Form 10-K for additional information.</w:t>
      </w: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Represents total consumer loans and lending-related commitments.</w:t>
      </w:r>
    </w:p>
    <w:p>
      <w:pPr>
        <w:spacing w:after="0" w:line="5"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Represents total wholesale loans, lending-related commitments, derivative receivables, and receivables from customers.</w:t>
      </w: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Prior-period amount has been revised to conform with the presentation in the Firm’s Quarterly Report on Form 10-Q for the quarterly period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24</w:t>
      </w:r>
    </w:p>
    <w:p>
      <w:pPr>
        <w:sectPr>
          <w:pgSz w:w="11900" w:h="16838" w:orient="portrait"/>
          <w:cols w:equalWidth="0" w:num="1">
            <w:col w:w="11240"/>
          </w:cols>
          <w:pgMar w:left="320" w:top="545"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3860165</wp:posOffset>
            </wp:positionH>
            <wp:positionV relativeFrom="page">
              <wp:posOffset>311785</wp:posOffset>
            </wp:positionV>
            <wp:extent cx="1397000"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CONTINUED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Mar 31, 2026</w:t>
            </w: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426"/>
              <w:spacing w:after="0"/>
              <w:rPr>
                <w:sz w:val="20"/>
                <w:szCs w:val="20"/>
                <w:color w:val="auto"/>
              </w:rPr>
            </w:pPr>
            <w:r>
              <w:rPr>
                <w:rFonts w:ascii="Arial" w:cs="Arial" w:eastAsia="Arial" w:hAnsi="Arial"/>
                <w:sz w:val="11"/>
                <w:szCs w:val="11"/>
                <w:b w:val="1"/>
                <w:bCs w:val="1"/>
                <w:color w:val="auto"/>
                <w:w w:val="94"/>
              </w:rPr>
              <w:t>Change</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w:t>
            </w:r>
          </w:p>
        </w:tc>
        <w:tc>
          <w:tcPr>
            <w:tcW w:w="12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Mar 31,</w:t>
            </w:r>
          </w:p>
        </w:tc>
        <w:tc>
          <w:tcPr>
            <w:tcW w:w="200" w:type="dxa"/>
            <w:vAlign w:val="bottom"/>
          </w:tcPr>
          <w:p>
            <w:pPr>
              <w:spacing w:after="0"/>
              <w:rPr>
                <w:sz w:val="12"/>
                <w:szCs w:val="12"/>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Dec 31,</w:t>
            </w: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w w:val="94"/>
              </w:rPr>
              <w:t>Mar 31,</w:t>
            </w: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2025</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08"/>
        </w:trPr>
        <w:tc>
          <w:tcPr>
            <w:tcW w:w="224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rPr>
              <w:t>NONPERFORMING ASSETS (a)</w:t>
            </w: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6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Consumer nonaccrual loans</w:t>
            </w:r>
          </w:p>
        </w:tc>
        <w:tc>
          <w:tcPr>
            <w:tcW w:w="6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40" w:type="dxa"/>
            <w:vAlign w:val="bottom"/>
            <w:gridSpan w:val="3"/>
          </w:tcPr>
          <w:p>
            <w:pPr>
              <w:ind w:left="100"/>
              <w:spacing w:after="0"/>
              <w:rPr>
                <w:sz w:val="20"/>
                <w:szCs w:val="20"/>
                <w:color w:val="auto"/>
              </w:rPr>
            </w:pPr>
            <w:r>
              <w:rPr>
                <w:rFonts w:ascii="Arial" w:cs="Arial" w:eastAsia="Arial" w:hAnsi="Arial"/>
                <w:sz w:val="11"/>
                <w:szCs w:val="11"/>
                <w:color w:val="auto"/>
              </w:rPr>
              <w:t>Loans retained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3,810</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3,875</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3,954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3,938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3,318</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76"/>
        </w:trPr>
        <w:tc>
          <w:tcPr>
            <w:tcW w:w="2240" w:type="dxa"/>
            <w:vAlign w:val="bottom"/>
            <w:gridSpan w:val="3"/>
          </w:tcPr>
          <w:p>
            <w:pPr>
              <w:ind w:left="10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589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798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646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731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441</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(26)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48"/>
        </w:trPr>
        <w:tc>
          <w:tcPr>
            <w:tcW w:w="2240" w:type="dxa"/>
            <w:vAlign w:val="bottom"/>
            <w:gridSpan w:val="3"/>
          </w:tcPr>
          <w:p>
            <w:pPr>
              <w:spacing w:after="0"/>
              <w:rPr>
                <w:sz w:val="20"/>
                <w:szCs w:val="20"/>
                <w:color w:val="auto"/>
              </w:rPr>
            </w:pPr>
            <w:r>
              <w:rPr>
                <w:rFonts w:ascii="Arial" w:cs="Arial" w:eastAsia="Arial" w:hAnsi="Arial"/>
                <w:sz w:val="11"/>
                <w:szCs w:val="11"/>
                <w:b w:val="1"/>
                <w:bCs w:val="1"/>
                <w:color w:val="auto"/>
              </w:rPr>
              <w:t>Total consumer nonaccrual loans</w:t>
            </w: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4,399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4,673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4,600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4,669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3,759</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324"/>
        </w:trPr>
        <w:tc>
          <w:tcPr>
            <w:tcW w:w="2240" w:type="dxa"/>
            <w:vAlign w:val="bottom"/>
            <w:gridSpan w:val="3"/>
          </w:tcPr>
          <w:p>
            <w:pPr>
              <w:spacing w:after="0"/>
              <w:rPr>
                <w:sz w:val="20"/>
                <w:szCs w:val="20"/>
                <w:color w:val="auto"/>
              </w:rPr>
            </w:pPr>
            <w:r>
              <w:rPr>
                <w:rFonts w:ascii="Arial" w:cs="Arial" w:eastAsia="Arial" w:hAnsi="Arial"/>
                <w:sz w:val="11"/>
                <w:szCs w:val="11"/>
                <w:b w:val="1"/>
                <w:bCs w:val="1"/>
                <w:color w:val="auto"/>
              </w:rPr>
              <w:t>Wholesale nonaccrual loans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40" w:type="dxa"/>
            <w:vAlign w:val="bottom"/>
            <w:gridSpan w:val="3"/>
          </w:tcPr>
          <w:p>
            <w:pPr>
              <w:ind w:left="120"/>
              <w:spacing w:after="0"/>
              <w:rPr>
                <w:sz w:val="20"/>
                <w:szCs w:val="20"/>
                <w:color w:val="auto"/>
              </w:rPr>
            </w:pPr>
            <w:r>
              <w:rPr>
                <w:rFonts w:ascii="Arial" w:cs="Arial" w:eastAsia="Arial" w:hAnsi="Arial"/>
                <w:sz w:val="11"/>
                <w:szCs w:val="11"/>
                <w:color w:val="auto"/>
              </w:rPr>
              <w:t>Loans retained</w:t>
            </w:r>
          </w:p>
        </w:tc>
        <w:tc>
          <w:tcPr>
            <w:tcW w:w="1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4,524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4,398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4,740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4,479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3,895</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6"/>
        </w:trPr>
        <w:tc>
          <w:tcPr>
            <w:tcW w:w="2240" w:type="dxa"/>
            <w:vAlign w:val="bottom"/>
            <w:gridSpan w:val="3"/>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660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786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766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673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964</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8"/>
        </w:trPr>
        <w:tc>
          <w:tcPr>
            <w:tcW w:w="2240" w:type="dxa"/>
            <w:vAlign w:val="bottom"/>
            <w:gridSpan w:val="3"/>
          </w:tcPr>
          <w:p>
            <w:pPr>
              <w:spacing w:after="0"/>
              <w:rPr>
                <w:sz w:val="20"/>
                <w:szCs w:val="20"/>
                <w:color w:val="auto"/>
              </w:rPr>
            </w:pPr>
            <w:r>
              <w:rPr>
                <w:rFonts w:ascii="Arial" w:cs="Arial" w:eastAsia="Arial" w:hAnsi="Arial"/>
                <w:sz w:val="11"/>
                <w:szCs w:val="11"/>
                <w:b w:val="1"/>
                <w:bCs w:val="1"/>
                <w:color w:val="auto"/>
              </w:rPr>
              <w:t>Total wholesale nonaccrual loans</w:t>
            </w: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5,184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5,184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5,506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5,152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4,859</w:t>
            </w:r>
          </w:p>
        </w:tc>
        <w:tc>
          <w:tcPr>
            <w:tcW w:w="200" w:type="dxa"/>
            <w:vAlign w:val="bottom"/>
          </w:tcPr>
          <w:p>
            <w:pPr>
              <w:spacing w:after="0"/>
              <w:rPr>
                <w:sz w:val="12"/>
                <w:szCs w:val="12"/>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76"/>
        </w:trPr>
        <w:tc>
          <w:tcPr>
            <w:tcW w:w="22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Total nonaccrual loans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9"/>
        </w:trPr>
        <w:tc>
          <w:tcPr>
            <w:tcW w:w="2240" w:type="dxa"/>
            <w:vAlign w:val="bottom"/>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9,583</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9,857</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10,106</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9,821</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8,618</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240" w:type="dxa"/>
            <w:vAlign w:val="bottom"/>
            <w:gridSpan w:val="3"/>
          </w:tcPr>
          <w:p>
            <w:pPr>
              <w:spacing w:after="0"/>
              <w:rPr>
                <w:sz w:val="20"/>
                <w:szCs w:val="20"/>
                <w:color w:val="auto"/>
              </w:rPr>
            </w:pPr>
            <w:r>
              <w:rPr>
                <w:rFonts w:ascii="Arial" w:cs="Arial" w:eastAsia="Arial" w:hAnsi="Arial"/>
                <w:sz w:val="11"/>
                <w:szCs w:val="11"/>
                <w:color w:val="auto"/>
              </w:rPr>
              <w:t>Derivative receivables</w:t>
            </w:r>
          </w:p>
        </w:tc>
        <w:tc>
          <w:tcPr>
            <w:tcW w:w="12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349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169</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5"/>
        </w:trPr>
        <w:tc>
          <w:tcPr>
            <w:tcW w:w="2240" w:type="dxa"/>
            <w:vAlign w:val="bottom"/>
            <w:gridSpan w:val="3"/>
          </w:tcPr>
          <w:p>
            <w:pPr>
              <w:spacing w:after="0"/>
              <w:rPr>
                <w:sz w:val="20"/>
                <w:szCs w:val="20"/>
                <w:color w:val="auto"/>
              </w:rPr>
            </w:pPr>
            <w:r>
              <w:rPr>
                <w:rFonts w:ascii="Arial" w:cs="Arial" w:eastAsia="Arial" w:hAnsi="Arial"/>
                <w:sz w:val="11"/>
                <w:szCs w:val="11"/>
                <w:color w:val="auto"/>
              </w:rPr>
              <w:t>Assets acquired in loan satisfactions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292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298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305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310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318</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8"/>
        </w:trPr>
        <w:tc>
          <w:tcPr>
            <w:tcW w:w="2240" w:type="dxa"/>
            <w:vAlign w:val="bottom"/>
            <w:gridSpan w:val="3"/>
          </w:tcPr>
          <w:p>
            <w:pPr>
              <w:spacing w:after="0"/>
              <w:rPr>
                <w:sz w:val="20"/>
                <w:szCs w:val="20"/>
                <w:color w:val="auto"/>
              </w:rPr>
            </w:pPr>
            <w:r>
              <w:rPr>
                <w:rFonts w:ascii="Arial" w:cs="Arial" w:eastAsia="Arial" w:hAnsi="Arial"/>
                <w:sz w:val="11"/>
                <w:szCs w:val="11"/>
                <w:b w:val="1"/>
                <w:bCs w:val="1"/>
                <w:color w:val="auto"/>
              </w:rPr>
              <w:t>Total nonperforming assets</w:t>
            </w: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10,049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10,359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10,635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10,480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9,105</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9"/>
        </w:trPr>
        <w:tc>
          <w:tcPr>
            <w:tcW w:w="2240" w:type="dxa"/>
            <w:vAlign w:val="bottom"/>
            <w:gridSpan w:val="3"/>
          </w:tcPr>
          <w:p>
            <w:pPr>
              <w:spacing w:after="0"/>
              <w:rPr>
                <w:sz w:val="20"/>
                <w:szCs w:val="20"/>
                <w:color w:val="auto"/>
              </w:rPr>
            </w:pPr>
            <w:r>
              <w:rPr>
                <w:rFonts w:ascii="Arial" w:cs="Arial" w:eastAsia="Arial" w:hAnsi="Arial"/>
                <w:sz w:val="11"/>
                <w:szCs w:val="11"/>
                <w:color w:val="auto"/>
              </w:rPr>
              <w:t>Wholesale lending-related commitments (b)</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916</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925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1,025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922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793</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9"/>
        </w:trPr>
        <w:tc>
          <w:tcPr>
            <w:tcW w:w="2240" w:type="dxa"/>
            <w:vAlign w:val="bottom"/>
            <w:gridSpan w:val="3"/>
          </w:tcPr>
          <w:p>
            <w:pPr>
              <w:spacing w:after="0"/>
              <w:rPr>
                <w:sz w:val="20"/>
                <w:szCs w:val="20"/>
                <w:color w:val="auto"/>
              </w:rPr>
            </w:pPr>
            <w:r>
              <w:rPr>
                <w:rFonts w:ascii="Arial" w:cs="Arial" w:eastAsia="Arial" w:hAnsi="Arial"/>
                <w:sz w:val="11"/>
                <w:szCs w:val="11"/>
                <w:b w:val="1"/>
                <w:bCs w:val="1"/>
                <w:color w:val="auto"/>
              </w:rPr>
              <w:t>Total nonperforming exposure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10,965</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11,284</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11,660</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11,402</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9,898</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70"/>
        </w:trPr>
        <w:tc>
          <w:tcPr>
            <w:tcW w:w="2240" w:type="dxa"/>
            <w:vAlign w:val="bottom"/>
            <w:gridSpan w:val="3"/>
          </w:tcPr>
          <w:p>
            <w:pPr>
              <w:spacing w:after="0"/>
              <w:rPr>
                <w:sz w:val="20"/>
                <w:szCs w:val="20"/>
                <w:color w:val="auto"/>
              </w:rPr>
            </w:pPr>
            <w:r>
              <w:rPr>
                <w:rFonts w:ascii="Arial" w:cs="Arial" w:eastAsia="Arial" w:hAnsi="Arial"/>
                <w:sz w:val="11"/>
                <w:szCs w:val="11"/>
                <w:b w:val="1"/>
                <w:bCs w:val="1"/>
                <w:color w:val="auto"/>
              </w:rPr>
              <w:t>NONACCRUAL LOAN-RELATED RATIOS</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Total nonaccrual loans to total loans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0.64 %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0.66 %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0.70 %</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0.70 %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0.64 %</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40" w:type="dxa"/>
            <w:vAlign w:val="bottom"/>
            <w:gridSpan w:val="3"/>
          </w:tcPr>
          <w:p>
            <w:pPr>
              <w:spacing w:after="0"/>
              <w:rPr>
                <w:sz w:val="20"/>
                <w:szCs w:val="20"/>
                <w:color w:val="auto"/>
              </w:rPr>
            </w:pPr>
            <w:r>
              <w:rPr>
                <w:rFonts w:ascii="Arial" w:cs="Arial" w:eastAsia="Arial" w:hAnsi="Arial"/>
                <w:sz w:val="11"/>
                <w:szCs w:val="11"/>
                <w:color w:val="auto"/>
              </w:rPr>
              <w:t>Total consumer, excluding credit card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40" w:type="dxa"/>
            <w:vAlign w:val="bottom"/>
            <w:gridSpan w:val="3"/>
          </w:tcPr>
          <w:p>
            <w:pPr>
              <w:spacing w:after="0"/>
              <w:rPr>
                <w:sz w:val="20"/>
                <w:szCs w:val="20"/>
                <w:color w:val="auto"/>
              </w:rPr>
            </w:pPr>
            <w:r>
              <w:rPr>
                <w:rFonts w:ascii="Arial" w:cs="Arial" w:eastAsia="Arial" w:hAnsi="Arial"/>
                <w:sz w:val="11"/>
                <w:szCs w:val="11"/>
                <w:color w:val="auto"/>
              </w:rPr>
              <w:t>nonaccrual loans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ind w:left="60"/>
              <w:spacing w:after="0"/>
              <w:rPr>
                <w:sz w:val="20"/>
                <w:szCs w:val="20"/>
                <w:color w:val="auto"/>
              </w:rPr>
            </w:pPr>
            <w:r>
              <w:rPr>
                <w:rFonts w:ascii="Arial" w:cs="Arial" w:eastAsia="Arial" w:hAnsi="Arial"/>
                <w:sz w:val="11"/>
                <w:szCs w:val="11"/>
                <w:color w:val="auto"/>
              </w:rPr>
              <w:t>total consumer, excluding credit card loans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0.96</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spacing w:after="0"/>
              <w:rPr>
                <w:sz w:val="20"/>
                <w:szCs w:val="20"/>
                <w:color w:val="auto"/>
              </w:rPr>
            </w:pPr>
            <w:r>
              <w:rPr>
                <w:rFonts w:ascii="Arial" w:cs="Arial" w:eastAsia="Arial" w:hAnsi="Arial"/>
                <w:sz w:val="11"/>
                <w:szCs w:val="11"/>
                <w:color w:val="auto"/>
              </w:rPr>
              <w:t>Total wholesale nonaccrual loans to total</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ind w:left="60"/>
              <w:spacing w:after="0"/>
              <w:rPr>
                <w:sz w:val="20"/>
                <w:szCs w:val="20"/>
                <w:color w:val="auto"/>
              </w:rPr>
            </w:pPr>
            <w:r>
              <w:rPr>
                <w:rFonts w:ascii="Arial" w:cs="Arial" w:eastAsia="Arial" w:hAnsi="Arial"/>
                <w:sz w:val="11"/>
                <w:szCs w:val="11"/>
                <w:color w:val="auto"/>
              </w:rPr>
              <w:t>wholesale loans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0.61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0.68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0.66</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4312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right="40" w:hanging="172"/>
        <w:spacing w:after="0" w:line="246" w:lineRule="auto"/>
        <w:tabs>
          <w:tab w:leader="none" w:pos="177" w:val="left"/>
        </w:tabs>
        <w:numPr>
          <w:ilvl w:val="0"/>
          <w:numId w:val="34"/>
        </w:numPr>
        <w:rPr>
          <w:rFonts w:ascii="Arial" w:cs="Arial" w:eastAsia="Arial" w:hAnsi="Arial"/>
          <w:sz w:val="11"/>
          <w:szCs w:val="11"/>
          <w:color w:val="auto"/>
        </w:rPr>
      </w:pPr>
      <w:r>
        <w:rPr>
          <w:rFonts w:ascii="Arial" w:cs="Arial" w:eastAsia="Arial" w:hAnsi="Arial"/>
          <w:sz w:val="11"/>
          <w:szCs w:val="11"/>
          <w:color w:val="auto"/>
        </w:rPr>
        <w:t>Excludes mortgage loans past due and insured by U.S. government agencies, which are primarily 90 or more days past due. These loans have been excluded based upon the government guarantee. At March 31, 2026, December 31, 2025, September 30, 2025, June 30, 2025 and March 31, 2025, mortgage loans 90 or more days past due and insured by U.S. government agencies were $251 million, $198 million, $158 million, $113 million and $117 million, respectively. In addition, the Firm’s policy is generally to exempt credit card loans from being placed on nonaccrual status as permitted by regulatory guidance. Refer to Note 12 of the Firm’s 2025 Form 10-K for additional information on the Firm’s credit card nonaccrual and charge-off policies.</w:t>
      </w:r>
    </w:p>
    <w:p>
      <w:pPr>
        <w:spacing w:after="0" w:line="1" w:lineRule="exact"/>
        <w:rPr>
          <w:rFonts w:ascii="Arial" w:cs="Arial" w:eastAsia="Arial" w:hAnsi="Arial"/>
          <w:sz w:val="11"/>
          <w:szCs w:val="11"/>
          <w:color w:val="auto"/>
        </w:rPr>
      </w:pPr>
    </w:p>
    <w:p>
      <w:pPr>
        <w:ind w:left="160" w:hanging="152"/>
        <w:spacing w:after="0"/>
        <w:tabs>
          <w:tab w:leader="none" w:pos="1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Represents commitments that are risk rated as nonaccrual.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25</w:t>
      </w:r>
    </w:p>
    <w:p>
      <w:pPr>
        <w:sectPr>
          <w:pgSz w:w="11900" w:h="16838" w:orient="portrait"/>
          <w:cols w:equalWidth="0" w:num="1">
            <w:col w:w="11240"/>
          </w:cols>
          <w:pgMar w:left="320" w:top="491"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4125595</wp:posOffset>
            </wp:positionH>
            <wp:positionV relativeFrom="page">
              <wp:posOffset>311785</wp:posOffset>
            </wp:positionV>
            <wp:extent cx="1397000" cy="197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7485"/>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CONTINUED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95"/>
              </w:rPr>
              <w:t>QUARTERLY TRENDS</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1Q26</w:t>
            </w:r>
          </w:p>
        </w:tc>
        <w:tc>
          <w:tcPr>
            <w:tcW w:w="80" w:type="dxa"/>
            <w:vAlign w:val="bottom"/>
          </w:tcPr>
          <w:p>
            <w:pPr>
              <w:spacing w:after="0"/>
              <w:rPr>
                <w:sz w:val="13"/>
                <w:szCs w:val="13"/>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4Q25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3Q25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2Q25</w:t>
            </w:r>
          </w:p>
        </w:tc>
        <w:tc>
          <w:tcPr>
            <w:tcW w:w="100" w:type="dxa"/>
            <w:vAlign w:val="bottom"/>
          </w:tcPr>
          <w:p>
            <w:pPr>
              <w:spacing w:after="0"/>
              <w:rPr>
                <w:sz w:val="13"/>
                <w:szCs w:val="13"/>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1Q25</w:t>
            </w:r>
          </w:p>
        </w:tc>
        <w:tc>
          <w:tcPr>
            <w:tcW w:w="28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4Q25</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rPr>
              <w:t>SUMMARY OF CHANGES IN THE</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ALLOWANCES</w:t>
            </w:r>
          </w:p>
        </w:tc>
        <w:tc>
          <w:tcPr>
            <w:tcW w:w="920" w:type="dxa"/>
            <w:vAlign w:val="bottom"/>
            <w:tcBorders>
              <w:top w:val="single" w:sz="8" w:color="auto"/>
            </w:tcBorders>
            <w:gridSpan w:val="2"/>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ALLOWANCE FOR LOAN LOSSES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25,765</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25,735</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24,953</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25,208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24,345</w:t>
            </w:r>
          </w:p>
        </w:tc>
        <w:tc>
          <w:tcPr>
            <w:tcW w:w="2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Net charge-offs: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color w:val="auto"/>
              </w:rPr>
              <w:t>Gross charge-offs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3,099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3,181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2,944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2,816</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6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color w:val="auto"/>
              </w:rPr>
              <w:t>Gross recoveries collected</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(595)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(585)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(588)</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(534)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(484)</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5"/>
                <w:szCs w:val="15"/>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Net charge-offs</w:t>
            </w:r>
          </w:p>
        </w:tc>
        <w:tc>
          <w:tcPr>
            <w:tcW w:w="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2,593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2,332</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Provision for loan losses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2,481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2,544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3,376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2,151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3,193</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color w:val="auto"/>
              </w:rPr>
              <w:t>NM</w:t>
            </w: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25,928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25,765</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25,735</w:t>
            </w:r>
          </w:p>
        </w:tc>
        <w:tc>
          <w:tcPr>
            <w:tcW w:w="26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24,953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25,208</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3"/>
                <w:szCs w:val="13"/>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ALLOWANCE FOR LENDING-RELATED</w:t>
            </w: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COMMITMENTS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5,071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2,964</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2,932</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2,226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2,101</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71</w:t>
            </w:r>
          </w:p>
        </w:tc>
        <w:tc>
          <w:tcPr>
            <w:tcW w:w="260" w:type="dxa"/>
            <w:vAlign w:val="bottom"/>
          </w:tcPr>
          <w:p>
            <w:pPr>
              <w:spacing w:after="0"/>
              <w:rPr>
                <w:sz w:val="13"/>
                <w:szCs w:val="13"/>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Provision for lending-related commitments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2,107</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125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(99)</w:t>
            </w:r>
          </w:p>
        </w:tc>
        <w:tc>
          <w:tcPr>
            <w:tcW w:w="26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color w:val="auto"/>
              </w:rPr>
              <w:t>NM</w:t>
            </w: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5,091</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5,071</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2,964</w:t>
            </w:r>
          </w:p>
        </w:tc>
        <w:tc>
          <w:tcPr>
            <w:tcW w:w="26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2,932</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2,226</w:t>
            </w:r>
          </w:p>
        </w:tc>
        <w:tc>
          <w:tcPr>
            <w:tcW w:w="28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ALLOWANCE FOR INVESTMENT</w:t>
            </w: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100" w:type="dxa"/>
            <w:vAlign w:val="bottom"/>
            <w:gridSpan w:val="5"/>
            <w:vMerge w:val="continue"/>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78</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106</w:t>
            </w:r>
          </w:p>
        </w:tc>
        <w:tc>
          <w:tcPr>
            <w:tcW w:w="24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105</w:t>
            </w:r>
          </w:p>
        </w:tc>
        <w:tc>
          <w:tcPr>
            <w:tcW w:w="20" w:type="dxa"/>
            <w:vAlign w:val="bottom"/>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108</w:t>
            </w:r>
          </w:p>
        </w:tc>
        <w:tc>
          <w:tcPr>
            <w:tcW w:w="1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118</w:t>
            </w:r>
          </w:p>
        </w:tc>
        <w:tc>
          <w:tcPr>
            <w:tcW w:w="9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(26)</w:t>
            </w:r>
          </w:p>
        </w:tc>
        <w:tc>
          <w:tcPr>
            <w:tcW w:w="260" w:type="dxa"/>
            <w:vAlign w:val="bottom"/>
          </w:tcPr>
          <w:p>
            <w:pPr>
              <w:spacing w:after="0"/>
              <w:rPr>
                <w:sz w:val="7"/>
                <w:szCs w:val="7"/>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SECURITIES</w:t>
            </w: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Total allowance for credit losses (a)</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31,097</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30,942</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28,804</w:t>
            </w:r>
          </w:p>
        </w:tc>
        <w:tc>
          <w:tcPr>
            <w:tcW w:w="26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27,993</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27,552</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24"/>
                <w:szCs w:val="2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w w:val="98"/>
              </w:rPr>
              <w:t>NET CHARGE-OFF/(RECOVERY) RATES</w:t>
            </w: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Consumer retained, excluding credit card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0.17 %</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0.19 %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0.12 %</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0.14 %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0.18 %</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Credit card retained loans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3.46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3.15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3.40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3.58</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Total consumer retained loans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1.29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1.45</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Wholesale retained loans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0.23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0.33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0.11</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Total retained loans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0.67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0.72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rPr>
              <w:t>0.76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0.73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0.74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Memo: Average retained loans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Consumer retained, excluding credit card</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367,880</w:t>
            </w:r>
          </w:p>
        </w:tc>
        <w:tc>
          <w:tcPr>
            <w:tcW w:w="2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368,485</w:t>
            </w:r>
          </w:p>
        </w:tc>
        <w:tc>
          <w:tcPr>
            <w:tcW w:w="2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370,073</w:t>
            </w:r>
          </w:p>
        </w:tc>
        <w:tc>
          <w:tcPr>
            <w:tcW w:w="260" w:type="dxa"/>
            <w:vAlign w:val="bottom"/>
            <w:gridSpan w:val="3"/>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372,005</w:t>
            </w:r>
          </w:p>
        </w:tc>
        <w:tc>
          <w:tcPr>
            <w:tcW w:w="1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374,466</w:t>
            </w:r>
          </w:p>
        </w:tc>
        <w:tc>
          <w:tcPr>
            <w:tcW w:w="280" w:type="dxa"/>
            <w:vAlign w:val="bottom"/>
          </w:tcPr>
          <w:p>
            <w:pPr>
              <w:spacing w:after="0"/>
              <w:rPr>
                <w:sz w:val="11"/>
                <w:szCs w:val="11"/>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loans</w:t>
            </w: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Credit card retained loans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239,220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239,356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234,354</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228,320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224,350</w:t>
            </w:r>
          </w:p>
        </w:tc>
        <w:tc>
          <w:tcPr>
            <w:tcW w:w="28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color w:val="auto"/>
              </w:rPr>
              <w:t>Total average retained consumer loans</w:t>
            </w:r>
          </w:p>
        </w:tc>
        <w:tc>
          <w:tcPr>
            <w:tcW w:w="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607,100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607,841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604,427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600,325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598,816</w:t>
            </w:r>
          </w:p>
        </w:tc>
        <w:tc>
          <w:tcPr>
            <w:tcW w:w="28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1"/>
                <w:szCs w:val="11"/>
                <w:color w:val="auto"/>
              </w:rPr>
              <w:t>Wholesale retained loans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793,654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775,282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747,045</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721,105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686,585</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5"/>
                <w:szCs w:val="15"/>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average retained loans</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1,400,754</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1,383,123</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1,351,472</w:t>
            </w:r>
          </w:p>
        </w:tc>
        <w:tc>
          <w:tcPr>
            <w:tcW w:w="26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1,321,430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1,285,401</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20" w:hanging="172"/>
        <w:spacing w:after="0" w:line="249" w:lineRule="auto"/>
        <w:tabs>
          <w:tab w:leader="none" w:pos="177" w:val="left"/>
        </w:tabs>
        <w:numPr>
          <w:ilvl w:val="0"/>
          <w:numId w:val="35"/>
        </w:numPr>
        <w:rPr>
          <w:rFonts w:ascii="Arial" w:cs="Arial" w:eastAsia="Arial" w:hAnsi="Arial"/>
          <w:sz w:val="11"/>
          <w:szCs w:val="11"/>
          <w:color w:val="auto"/>
        </w:rPr>
      </w:pPr>
      <w:r>
        <w:rPr>
          <w:rFonts w:ascii="Arial" w:cs="Arial" w:eastAsia="Arial" w:hAnsi="Arial"/>
          <w:sz w:val="11"/>
          <w:szCs w:val="11"/>
          <w:color w:val="auto"/>
        </w:rPr>
        <w:t>At March 31, 2026, December 31, 2025, September 30, 2025, June 30, 2025 and March 31, 2025, excludes an allowance for credit losses associated with certain accounts receivable in CIB of $286 million, $288 million, $285 million, $288 million and $283 million, respectively.</w:t>
      </w:r>
    </w:p>
    <w:p>
      <w:pPr>
        <w:ind w:left="160" w:hanging="152"/>
        <w:spacing w:after="0"/>
        <w:tabs>
          <w:tab w:leader="none" w:pos="1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Refer to footnote (f) on page 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26</w:t>
      </w:r>
    </w:p>
    <w:p>
      <w:pPr>
        <w:sectPr>
          <w:pgSz w:w="11900" w:h="16838" w:orient="portrait"/>
          <w:cols w:equalWidth="0" w:num="1">
            <w:col w:w="11240"/>
          </w:cols>
          <w:pgMar w:left="320" w:top="491"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3860165</wp:posOffset>
            </wp:positionH>
            <wp:positionV relativeFrom="page">
              <wp:posOffset>311785</wp:posOffset>
            </wp:positionV>
            <wp:extent cx="1397000"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6850"/>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CONTINUED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Mar 31, 2026</w:t>
            </w: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406"/>
              <w:spacing w:after="0"/>
              <w:rPr>
                <w:sz w:val="20"/>
                <w:szCs w:val="20"/>
                <w:color w:val="auto"/>
              </w:rPr>
            </w:pPr>
            <w:r>
              <w:rPr>
                <w:rFonts w:ascii="Arial" w:cs="Arial" w:eastAsia="Arial" w:hAnsi="Arial"/>
                <w:sz w:val="11"/>
                <w:szCs w:val="11"/>
                <w:b w:val="1"/>
                <w:bCs w:val="1"/>
                <w:color w:val="auto"/>
                <w:w w:val="99"/>
              </w:rPr>
              <w:t>Change</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w:t>
            </w:r>
          </w:p>
        </w:tc>
        <w:tc>
          <w:tcPr>
            <w:tcW w:w="12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Mar 31,</w:t>
            </w:r>
          </w:p>
        </w:tc>
        <w:tc>
          <w:tcPr>
            <w:tcW w:w="220" w:type="dxa"/>
            <w:vAlign w:val="bottom"/>
          </w:tcPr>
          <w:p>
            <w:pPr>
              <w:spacing w:after="0"/>
              <w:rPr>
                <w:sz w:val="12"/>
                <w:szCs w:val="12"/>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Dec 31,</w:t>
            </w: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w w:val="94"/>
              </w:rPr>
              <w:t>Mar 31,</w:t>
            </w: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2025</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08"/>
        </w:trPr>
        <w:tc>
          <w:tcPr>
            <w:tcW w:w="2200" w:type="dxa"/>
            <w:vAlign w:val="bottom"/>
            <w:gridSpan w:val="4"/>
          </w:tcPr>
          <w:p>
            <w:pPr>
              <w:spacing w:after="0" w:line="108" w:lineRule="exact"/>
              <w:rPr>
                <w:sz w:val="20"/>
                <w:szCs w:val="20"/>
                <w:color w:val="auto"/>
              </w:rPr>
            </w:pPr>
            <w:r>
              <w:rPr>
                <w:rFonts w:ascii="Arial" w:cs="Arial" w:eastAsia="Arial" w:hAnsi="Arial"/>
                <w:sz w:val="11"/>
                <w:szCs w:val="11"/>
                <w:b w:val="1"/>
                <w:bCs w:val="1"/>
                <w:color w:val="auto"/>
              </w:rPr>
              <w:t>ALLOWANCE COMPONENTS AND</w:t>
            </w: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RATIOS</w:t>
            </w: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ALLOWANCE FOR LOAN LOSSES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Consumer, excluding credit card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gridSpan w:val="4"/>
          </w:tcPr>
          <w:p>
            <w:pPr>
              <w:ind w:left="120"/>
              <w:spacing w:after="0"/>
              <w:rPr>
                <w:sz w:val="20"/>
                <w:szCs w:val="20"/>
                <w:color w:val="auto"/>
              </w:rPr>
            </w:pPr>
            <w:r>
              <w:rPr>
                <w:rFonts w:ascii="Arial" w:cs="Arial" w:eastAsia="Arial" w:hAnsi="Arial"/>
                <w:sz w:val="11"/>
                <w:szCs w:val="11"/>
                <w:color w:val="auto"/>
              </w:rPr>
              <w:t>Asset-specific</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(623)</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(647)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(621)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(683)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(727)</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76"/>
        </w:trPr>
        <w:tc>
          <w:tcPr>
            <w:tcW w:w="220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2,412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2,567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2,524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2,532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2,585</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8"/>
        </w:trPr>
        <w:tc>
          <w:tcPr>
            <w:tcW w:w="2200" w:type="dxa"/>
            <w:vAlign w:val="bottom"/>
            <w:gridSpan w:val="4"/>
          </w:tcPr>
          <w:p>
            <w:pPr>
              <w:ind w:left="200"/>
              <w:spacing w:after="0"/>
              <w:rPr>
                <w:sz w:val="20"/>
                <w:szCs w:val="20"/>
                <w:color w:val="auto"/>
              </w:rPr>
            </w:pPr>
            <w:r>
              <w:rPr>
                <w:rFonts w:ascii="Arial" w:cs="Arial" w:eastAsia="Arial" w:hAnsi="Arial"/>
                <w:sz w:val="11"/>
                <w:szCs w:val="11"/>
                <w:b w:val="1"/>
                <w:bCs w:val="1"/>
                <w:color w:val="auto"/>
                <w:w w:val="99"/>
              </w:rPr>
              <w:t>Total consumer, excluding credit card</w:t>
            </w: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1,789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1,920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1,903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1,849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1,858</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Credit card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15,559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15,557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15,554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15,001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15,000</w:t>
            </w:r>
          </w:p>
        </w:tc>
        <w:tc>
          <w:tcPr>
            <w:tcW w:w="220" w:type="dxa"/>
            <w:vAlign w:val="bottom"/>
          </w:tcPr>
          <w:p>
            <w:pPr>
              <w:spacing w:after="0"/>
              <w:rPr>
                <w:sz w:val="14"/>
                <w:szCs w:val="14"/>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6"/>
        </w:trPr>
        <w:tc>
          <w:tcPr>
            <w:tcW w:w="220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credit card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15,559</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15,557</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15,554</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15,001</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15,000</w:t>
            </w:r>
          </w:p>
        </w:tc>
        <w:tc>
          <w:tcPr>
            <w:tcW w:w="22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consumer</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17,348</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17,477</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17,457</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16,850</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16,858</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Wholesale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200" w:type="dxa"/>
            <w:vAlign w:val="bottom"/>
            <w:gridSpan w:val="4"/>
          </w:tcPr>
          <w:p>
            <w:pPr>
              <w:ind w:left="120"/>
              <w:spacing w:after="0"/>
              <w:rPr>
                <w:sz w:val="20"/>
                <w:szCs w:val="20"/>
                <w:color w:val="auto"/>
              </w:rPr>
            </w:pPr>
            <w:r>
              <w:rPr>
                <w:rFonts w:ascii="Arial" w:cs="Arial" w:eastAsia="Arial" w:hAnsi="Arial"/>
                <w:sz w:val="11"/>
                <w:szCs w:val="11"/>
                <w:color w:val="auto"/>
              </w:rPr>
              <w:t>Asset-specific</w:t>
            </w:r>
          </w:p>
        </w:tc>
        <w:tc>
          <w:tcPr>
            <w:tcW w:w="1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851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707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838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781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692</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75"/>
        </w:trPr>
        <w:tc>
          <w:tcPr>
            <w:tcW w:w="220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7,729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7,581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7,440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7,322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7,658</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220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wholesale</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8,580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8,288</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8,278</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8,103</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8,350</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8"/>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Total allowance for loan losses</w:t>
            </w: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25,928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25,765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25,735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24,953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25,208</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2"/>
        </w:trPr>
        <w:tc>
          <w:tcPr>
            <w:tcW w:w="2200" w:type="dxa"/>
            <w:vAlign w:val="bottom"/>
            <w:gridSpan w:val="4"/>
          </w:tcPr>
          <w:p>
            <w:pPr>
              <w:spacing w:after="0" w:line="122" w:lineRule="exact"/>
              <w:rPr>
                <w:sz w:val="20"/>
                <w:szCs w:val="20"/>
                <w:color w:val="auto"/>
              </w:rPr>
            </w:pPr>
            <w:r>
              <w:rPr>
                <w:rFonts w:ascii="Arial" w:cs="Arial" w:eastAsia="Arial" w:hAnsi="Arial"/>
                <w:sz w:val="11"/>
                <w:szCs w:val="11"/>
                <w:color w:val="auto"/>
              </w:rPr>
              <w:t>Allowance for lending-related commitments</w:t>
            </w: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5,091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5,071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2,964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2,932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2,226</w:t>
            </w:r>
          </w:p>
        </w:tc>
        <w:tc>
          <w:tcPr>
            <w:tcW w:w="220" w:type="dxa"/>
            <w:vAlign w:val="bottom"/>
          </w:tcPr>
          <w:p>
            <w:pPr>
              <w:spacing w:after="0"/>
              <w:rPr>
                <w:sz w:val="10"/>
                <w:szCs w:val="10"/>
                <w:color w:val="auto"/>
              </w:rPr>
            </w:pPr>
          </w:p>
        </w:tc>
        <w:tc>
          <w:tcPr>
            <w:tcW w:w="860" w:type="dxa"/>
            <w:vAlign w:val="bottom"/>
            <w:gridSpan w:val="3"/>
            <w:vMerge w:val="restart"/>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color w:val="auto"/>
              </w:rPr>
              <w:t>129</w:t>
            </w:r>
          </w:p>
        </w:tc>
        <w:tc>
          <w:tcPr>
            <w:tcW w:w="0" w:type="dxa"/>
            <w:vAlign w:val="bottom"/>
          </w:tcPr>
          <w:p>
            <w:pPr>
              <w:spacing w:after="0"/>
              <w:rPr>
                <w:sz w:val="1"/>
                <w:szCs w:val="1"/>
                <w:color w:val="auto"/>
              </w:rPr>
            </w:pPr>
          </w:p>
        </w:tc>
      </w:tr>
      <w:tr>
        <w:trPr>
          <w:trHeight w:val="142"/>
        </w:trPr>
        <w:tc>
          <w:tcPr>
            <w:tcW w:w="2200" w:type="dxa"/>
            <w:vAlign w:val="bottom"/>
            <w:gridSpan w:val="4"/>
          </w:tcPr>
          <w:p>
            <w:pPr>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00" w:type="dxa"/>
            <w:vAlign w:val="bottom"/>
            <w:gridSpan w:val="4"/>
          </w:tcPr>
          <w:p>
            <w:pPr>
              <w:spacing w:after="0"/>
              <w:rPr>
                <w:sz w:val="20"/>
                <w:szCs w:val="20"/>
                <w:color w:val="auto"/>
              </w:rPr>
            </w:pPr>
            <w:r>
              <w:rPr>
                <w:rFonts w:ascii="Arial" w:cs="Arial" w:eastAsia="Arial" w:hAnsi="Arial"/>
                <w:sz w:val="11"/>
                <w:szCs w:val="11"/>
                <w:color w:val="auto"/>
              </w:rPr>
              <w:t>Allowance for investment securities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118</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(26)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69"/>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31,097</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30,942</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28,804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27,993</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27,552</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70"/>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CREDIT RATIOS</w:t>
            </w:r>
          </w:p>
        </w:tc>
        <w:tc>
          <w:tcPr>
            <w:tcW w:w="13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2200" w:type="dxa"/>
            <w:vAlign w:val="bottom"/>
            <w:gridSpan w:val="4"/>
          </w:tcPr>
          <w:p>
            <w:pPr>
              <w:spacing w:after="0"/>
              <w:rPr>
                <w:sz w:val="20"/>
                <w:szCs w:val="20"/>
                <w:color w:val="auto"/>
              </w:rPr>
            </w:pPr>
            <w:r>
              <w:rPr>
                <w:rFonts w:ascii="Arial" w:cs="Arial" w:eastAsia="Arial" w:hAnsi="Arial"/>
                <w:sz w:val="11"/>
                <w:szCs w:val="11"/>
                <w:color w:val="auto"/>
              </w:rPr>
              <w:t>Consumer, excluding credit card allowance,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tcPr>
          <w:p>
            <w:pPr>
              <w:spacing w:after="0"/>
              <w:rPr>
                <w:sz w:val="20"/>
                <w:szCs w:val="20"/>
                <w:color w:val="auto"/>
              </w:rPr>
            </w:pPr>
            <w:r>
              <w:rPr>
                <w:rFonts w:ascii="Arial" w:cs="Arial" w:eastAsia="Arial" w:hAnsi="Arial"/>
                <w:sz w:val="11"/>
                <w:szCs w:val="11"/>
                <w:color w:val="auto"/>
              </w:rPr>
              <w:t>to total</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4"/>
          </w:tcPr>
          <w:p>
            <w:pPr>
              <w:ind w:left="60"/>
              <w:spacing w:after="0"/>
              <w:rPr>
                <w:sz w:val="20"/>
                <w:szCs w:val="20"/>
                <w:color w:val="auto"/>
              </w:rPr>
            </w:pPr>
            <w:r>
              <w:rPr>
                <w:rFonts w:ascii="Arial" w:cs="Arial" w:eastAsia="Arial" w:hAnsi="Arial"/>
                <w:sz w:val="11"/>
                <w:szCs w:val="11"/>
                <w:color w:val="auto"/>
              </w:rPr>
              <w:t>consumer, excluding credit card retained</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0.49 %</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0.52 %</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0.51 %</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0.50 %</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0.50 %</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tcPr>
          <w:p>
            <w:pPr>
              <w:ind w:left="60"/>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4"/>
          </w:tcPr>
          <w:p>
            <w:pPr>
              <w:spacing w:after="0"/>
              <w:rPr>
                <w:sz w:val="20"/>
                <w:szCs w:val="20"/>
                <w:color w:val="auto"/>
              </w:rPr>
            </w:pPr>
            <w:r>
              <w:rPr>
                <w:rFonts w:ascii="Arial" w:cs="Arial" w:eastAsia="Arial" w:hAnsi="Arial"/>
                <w:sz w:val="11"/>
                <w:szCs w:val="11"/>
                <w:color w:val="auto"/>
              </w:rPr>
              <w:t>Credit card allowance to total credit card</w:t>
            </w: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6.51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6.28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6.61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6.44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6.71</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tcPr>
          <w:p>
            <w:pPr>
              <w:spacing w:after="0"/>
              <w:rPr>
                <w:sz w:val="20"/>
                <w:szCs w:val="20"/>
                <w:color w:val="auto"/>
              </w:rPr>
            </w:pPr>
            <w:r>
              <w:rPr>
                <w:rFonts w:ascii="Arial" w:cs="Arial" w:eastAsia="Arial" w:hAnsi="Arial"/>
                <w:sz w:val="11"/>
                <w:szCs w:val="11"/>
                <w:color w:val="auto"/>
              </w:rPr>
              <w:t>retained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4"/>
          </w:tcPr>
          <w:p>
            <w:pPr>
              <w:spacing w:after="0"/>
              <w:rPr>
                <w:sz w:val="20"/>
                <w:szCs w:val="20"/>
                <w:color w:val="auto"/>
              </w:rPr>
            </w:pPr>
            <w:r>
              <w:rPr>
                <w:rFonts w:ascii="Arial" w:cs="Arial" w:eastAsia="Arial" w:hAnsi="Arial"/>
                <w:sz w:val="11"/>
                <w:szCs w:val="11"/>
                <w:color w:val="auto"/>
              </w:rPr>
              <w:t>Wholesale allowance to total wholesale</w:t>
            </w: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1.05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1.05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1.08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1.09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1.18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tcPr>
          <w:p>
            <w:pPr>
              <w:spacing w:after="0"/>
              <w:rPr>
                <w:sz w:val="20"/>
                <w:szCs w:val="20"/>
                <w:color w:val="auto"/>
              </w:rPr>
            </w:pPr>
            <w:r>
              <w:rPr>
                <w:rFonts w:ascii="Arial" w:cs="Arial" w:eastAsia="Arial" w:hAnsi="Arial"/>
                <w:sz w:val="11"/>
                <w:szCs w:val="11"/>
                <w:color w:val="auto"/>
              </w:rPr>
              <w:t>retained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Total allowance to total retained loans</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1.83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1.88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1.85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1.94</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00" w:type="dxa"/>
            <w:vAlign w:val="bottom"/>
            <w:gridSpan w:val="4"/>
          </w:tcPr>
          <w:p>
            <w:pPr>
              <w:spacing w:after="0" w:line="122" w:lineRule="exact"/>
              <w:rPr>
                <w:sz w:val="20"/>
                <w:szCs w:val="20"/>
                <w:color w:val="auto"/>
              </w:rPr>
            </w:pPr>
            <w:r>
              <w:rPr>
                <w:rFonts w:ascii="Arial" w:cs="Arial" w:eastAsia="Arial" w:hAnsi="Arial"/>
                <w:sz w:val="11"/>
                <w:szCs w:val="11"/>
                <w:color w:val="auto"/>
              </w:rPr>
              <w:t>Consumer, excluding credit card allowance,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00" w:type="dxa"/>
            <w:vAlign w:val="bottom"/>
            <w:gridSpan w:val="4"/>
          </w:tcPr>
          <w:p>
            <w:pPr>
              <w:spacing w:after="0"/>
              <w:rPr>
                <w:sz w:val="20"/>
                <w:szCs w:val="20"/>
                <w:color w:val="auto"/>
              </w:rPr>
            </w:pPr>
            <w:r>
              <w:rPr>
                <w:rFonts w:ascii="Arial" w:cs="Arial" w:eastAsia="Arial" w:hAnsi="Arial"/>
                <w:sz w:val="11"/>
                <w:szCs w:val="11"/>
                <w:color w:val="auto"/>
              </w:rPr>
              <w:t>to consumer,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4"/>
          </w:tcPr>
          <w:p>
            <w:pPr>
              <w:ind w:left="60"/>
              <w:spacing w:after="0"/>
              <w:rPr>
                <w:sz w:val="20"/>
                <w:szCs w:val="20"/>
                <w:color w:val="auto"/>
              </w:rPr>
            </w:pPr>
            <w:r>
              <w:rPr>
                <w:rFonts w:ascii="Arial" w:cs="Arial" w:eastAsia="Arial" w:hAnsi="Arial"/>
                <w:sz w:val="11"/>
                <w:szCs w:val="11"/>
                <w:color w:val="auto"/>
              </w:rPr>
              <w:t>excluding credit card retained nonaccrual</w:t>
            </w: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47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56</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tcPr>
          <w:p>
            <w:pPr>
              <w:ind w:left="60"/>
              <w:spacing w:after="0"/>
              <w:rPr>
                <w:sz w:val="20"/>
                <w:szCs w:val="20"/>
                <w:color w:val="auto"/>
              </w:rPr>
            </w:pPr>
            <w:r>
              <w:rPr>
                <w:rFonts w:ascii="Arial" w:cs="Arial" w:eastAsia="Arial" w:hAnsi="Arial"/>
                <w:sz w:val="11"/>
                <w:szCs w:val="11"/>
                <w:color w:val="auto"/>
              </w:rPr>
              <w:t>loans (b)</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4"/>
          </w:tcPr>
          <w:p>
            <w:pPr>
              <w:spacing w:after="0"/>
              <w:rPr>
                <w:sz w:val="20"/>
                <w:szCs w:val="20"/>
                <w:color w:val="auto"/>
              </w:rPr>
            </w:pPr>
            <w:r>
              <w:rPr>
                <w:rFonts w:ascii="Arial" w:cs="Arial" w:eastAsia="Arial" w:hAnsi="Arial"/>
                <w:sz w:val="11"/>
                <w:szCs w:val="11"/>
                <w:color w:val="auto"/>
              </w:rPr>
              <w:t>Total allowance, excluding credit card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tcPr>
          <w:p>
            <w:pPr>
              <w:spacing w:after="0"/>
              <w:rPr>
                <w:sz w:val="20"/>
                <w:szCs w:val="20"/>
                <w:color w:val="auto"/>
              </w:rPr>
            </w:pPr>
            <w:r>
              <w:rPr>
                <w:rFonts w:ascii="Arial" w:cs="Arial" w:eastAsia="Arial" w:hAnsi="Arial"/>
                <w:sz w:val="11"/>
                <w:szCs w:val="11"/>
                <w:color w:val="auto"/>
              </w:rPr>
              <w:t>allowance, to retained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4"/>
          </w:tcPr>
          <w:p>
            <w:pPr>
              <w:ind w:left="100"/>
              <w:spacing w:after="0"/>
              <w:rPr>
                <w:sz w:val="20"/>
                <w:szCs w:val="20"/>
                <w:color w:val="auto"/>
              </w:rPr>
            </w:pPr>
            <w:r>
              <w:rPr>
                <w:rFonts w:ascii="Arial" w:cs="Arial" w:eastAsia="Arial" w:hAnsi="Arial"/>
                <w:sz w:val="11"/>
                <w:szCs w:val="11"/>
                <w:color w:val="auto"/>
              </w:rPr>
              <w:t>nonaccrual loans, excluding credit card</w:t>
            </w: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124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123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117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118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142</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tcPr>
          <w:p>
            <w:pPr>
              <w:ind w:left="60"/>
              <w:spacing w:after="0"/>
              <w:rPr>
                <w:sz w:val="20"/>
                <w:szCs w:val="20"/>
                <w:color w:val="auto"/>
              </w:rPr>
            </w:pPr>
            <w:r>
              <w:rPr>
                <w:rFonts w:ascii="Arial" w:cs="Arial" w:eastAsia="Arial" w:hAnsi="Arial"/>
                <w:sz w:val="11"/>
                <w:szCs w:val="11"/>
                <w:color w:val="auto"/>
              </w:rPr>
              <w:t>nonaccrual loans (b)</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4"/>
          </w:tcPr>
          <w:p>
            <w:pPr>
              <w:spacing w:after="0"/>
              <w:rPr>
                <w:sz w:val="20"/>
                <w:szCs w:val="20"/>
                <w:color w:val="auto"/>
              </w:rPr>
            </w:pPr>
            <w:r>
              <w:rPr>
                <w:rFonts w:ascii="Arial" w:cs="Arial" w:eastAsia="Arial" w:hAnsi="Arial"/>
                <w:sz w:val="11"/>
                <w:szCs w:val="11"/>
                <w:color w:val="auto"/>
              </w:rPr>
              <w:t>Wholesale allowance to wholesale retained</w:t>
            </w: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190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188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175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181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214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tcPr>
          <w:p>
            <w:pPr>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Total allowance to total retained</w:t>
            </w: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311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311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296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349</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gridSpan w:val="4"/>
          </w:tcPr>
          <w:p>
            <w:pPr>
              <w:spacing w:after="0"/>
              <w:rPr>
                <w:sz w:val="20"/>
                <w:szCs w:val="20"/>
                <w:color w:val="auto"/>
              </w:rPr>
            </w:pPr>
            <w:r>
              <w:rPr>
                <w:rFonts w:ascii="Arial" w:cs="Arial" w:eastAsia="Arial" w:hAnsi="Arial"/>
                <w:sz w:val="11"/>
                <w:szCs w:val="11"/>
                <w:b w:val="1"/>
                <w:bCs w:val="1"/>
                <w:color w:val="auto"/>
              </w:rPr>
              <w:t>nonaccrual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05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1"/>
          <w:szCs w:val="11"/>
          <w:color w:val="auto"/>
        </w:rPr>
      </w:pPr>
      <w:r>
        <w:rPr>
          <w:rFonts w:ascii="Arial" w:cs="Arial" w:eastAsia="Arial" w:hAnsi="Arial"/>
          <w:sz w:val="11"/>
          <w:szCs w:val="11"/>
          <w:color w:val="auto"/>
        </w:rPr>
        <w:t>As of December 31, 2025, includes the impact of the Apple Card transaction. Refer to footnote (f) on page 2 for additional information.</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Refer to footnote (a) on page 25 for information on the Firm’s nonaccrual policy for credit card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27</w:t>
      </w:r>
    </w:p>
    <w:p>
      <w:pPr>
        <w:sectPr>
          <w:pgSz w:w="11900" w:h="16838" w:orient="portrait"/>
          <w:cols w:equalWidth="0" w:num="1">
            <w:col w:w="11240"/>
          </w:cols>
          <w:pgMar w:left="320" w:top="491"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5925820</wp:posOffset>
            </wp:positionH>
            <wp:positionV relativeFrom="page">
              <wp:posOffset>311785</wp:posOffset>
            </wp:positionV>
            <wp:extent cx="139700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96850"/>
                    </a:xfrm>
                    <a:prstGeom prst="rect">
                      <a:avLst/>
                    </a:prstGeom>
                    <a:noFill/>
                  </pic:spPr>
                </pic:pic>
              </a:graphicData>
            </a:graphic>
          </wp:anchor>
        </w:drawing>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33" w:lineRule="exact"/>
        <w:rPr>
          <w:sz w:val="20"/>
          <w:szCs w:val="20"/>
          <w:color w:val="auto"/>
        </w:rPr>
      </w:pPr>
    </w:p>
    <w:p>
      <w:pPr>
        <w:ind w:left="340" w:right="60" w:hanging="332"/>
        <w:spacing w:after="0" w:line="253" w:lineRule="auto"/>
        <w:tabs>
          <w:tab w:leader="none" w:pos="3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In addition to analyzing the Firm’s results on a reported basis, management reviews Firmwide results, including the overhead ratio, on a </w:t>
      </w:r>
      <w:r>
        <w:rPr>
          <w:rFonts w:ascii="Arial" w:cs="Arial" w:eastAsia="Arial" w:hAnsi="Arial"/>
          <w:sz w:val="16"/>
          <w:szCs w:val="16"/>
          <w:b w:val="1"/>
          <w:bCs w:val="1"/>
          <w:color w:val="auto"/>
        </w:rPr>
        <w:t>“managed” basis</w:t>
      </w:r>
      <w:r>
        <w:rPr>
          <w:rFonts w:ascii="Arial" w:cs="Arial" w:eastAsia="Arial" w:hAnsi="Arial"/>
          <w:sz w:val="16"/>
          <w:szCs w:val="16"/>
          <w:color w:val="auto"/>
        </w:rPr>
        <w:t>; these Firmwide managed basis results are non-GAAP financial measures. The Firm also reviews the results of the LOBs on a managed basis. The Firm’s definition of managed basis starts, in each case, with the reported U.S. GAAP results and includes certain reclassifications to present total net revenue for the Firm as a whole and for each of the reportable business segments and Corporate on an FTE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each of the LOBs and Corporate.</w:t>
      </w:r>
    </w:p>
    <w:p>
      <w:pPr>
        <w:spacing w:after="0" w:line="13" w:lineRule="exact"/>
        <w:rPr>
          <w:rFonts w:ascii="Arial" w:cs="Arial" w:eastAsia="Arial" w:hAnsi="Arial"/>
          <w:sz w:val="16"/>
          <w:szCs w:val="16"/>
          <w:color w:val="auto"/>
        </w:rPr>
      </w:pPr>
    </w:p>
    <w:p>
      <w:pPr>
        <w:ind w:left="340" w:right="540" w:hanging="332"/>
        <w:spacing w:after="0" w:line="264" w:lineRule="auto"/>
        <w:tabs>
          <w:tab w:leader="none" w:pos="331"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Pre-provision profit </w:t>
      </w:r>
      <w:r>
        <w:rPr>
          <w:rFonts w:ascii="Arial" w:cs="Arial" w:eastAsia="Arial" w:hAnsi="Arial"/>
          <w:sz w:val="16"/>
          <w:szCs w:val="16"/>
          <w:color w:val="auto"/>
        </w:rPr>
        <w:t>is a non-GAAP financial measure which represents total net revenue less total noninterest expense. The Firm believes that this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measure is useful in assessing the ability of a lending institution to generate income in excess of its provision for credit losses.</w:t>
      </w:r>
    </w:p>
    <w:p>
      <w:pPr>
        <w:ind w:left="340" w:right="40" w:hanging="332"/>
        <w:spacing w:after="0" w:line="260" w:lineRule="auto"/>
        <w:tabs>
          <w:tab w:leader="none" w:pos="335"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TCE, ROTCE, and TBVPS </w:t>
      </w:r>
      <w:r>
        <w:rPr>
          <w:rFonts w:ascii="Arial" w:cs="Arial" w:eastAsia="Arial" w:hAnsi="Arial"/>
          <w:sz w:val="16"/>
          <w:szCs w:val="16"/>
          <w:color w:val="auto"/>
        </w:rPr>
        <w:t>are each non-GAAP financial measures. TCE represents the Firm’s common stockholders’ equity (i.e., total stockholders’ equity</w:t>
      </w:r>
      <w:r>
        <w:rPr>
          <w:rFonts w:ascii="Arial" w:cs="Arial" w:eastAsia="Arial" w:hAnsi="Arial"/>
          <w:sz w:val="16"/>
          <w:szCs w:val="16"/>
          <w:b w:val="1"/>
          <w:bCs w:val="1"/>
          <w:color w:val="auto"/>
        </w:rPr>
        <w:t xml:space="preserve"> </w:t>
      </w:r>
      <w:r>
        <w:rPr>
          <w:rFonts w:ascii="Arial" w:cs="Arial" w:eastAsia="Arial" w:hAnsi="Arial"/>
          <w:sz w:val="16"/>
          <w:szCs w:val="16"/>
          <w:color w:val="auto"/>
        </w:rPr>
        <w:t>less preferred stock) less goodwill and identifiable intangible assets (other than MSRs), net of related deferred tax liabilities. ROTCE measures the Firm’s net income applicable to common equity as a percentage of average TCE. TBVPS represents the Firm’s TCE at period-end divided by common shares at period-end. TCE, ROTCE, and TBVPS are utilized by the Firm, as well as investors and analysts, in assessing the Firm’s use of equity.</w:t>
      </w:r>
    </w:p>
    <w:p>
      <w:pPr>
        <w:spacing w:after="0" w:line="1" w:lineRule="exact"/>
        <w:rPr>
          <w:rFonts w:ascii="Arial" w:cs="Arial" w:eastAsia="Arial" w:hAnsi="Arial"/>
          <w:sz w:val="16"/>
          <w:szCs w:val="16"/>
          <w:color w:val="auto"/>
        </w:rPr>
      </w:pPr>
    </w:p>
    <w:p>
      <w:pPr>
        <w:jc w:val="both"/>
        <w:ind w:left="340" w:right="80" w:hanging="332"/>
        <w:spacing w:after="0" w:line="275" w:lineRule="auto"/>
        <w:tabs>
          <w:tab w:leader="none" w:pos="331"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In addition to reviewing net interest income (“NII”), net yield, and noninterest revenue (“NIR”) on a managed basis, management also reviews these metrics </w:t>
      </w:r>
      <w:r>
        <w:rPr>
          <w:rFonts w:ascii="Arial" w:cs="Arial" w:eastAsia="Arial" w:hAnsi="Arial"/>
          <w:sz w:val="15"/>
          <w:szCs w:val="15"/>
          <w:b w:val="1"/>
          <w:bCs w:val="1"/>
          <w:color w:val="auto"/>
        </w:rPr>
        <w:t>excluding Markets</w:t>
      </w:r>
      <w:r>
        <w:rPr>
          <w:rFonts w:ascii="Arial" w:cs="Arial" w:eastAsia="Arial" w:hAnsi="Arial"/>
          <w:sz w:val="15"/>
          <w:szCs w:val="15"/>
          <w:color w:val="auto"/>
        </w:rPr>
        <w:t>, which is composed of Fixed Income Markets and Equity Markets, as shown below. Markets revenue consists of principal transactions,</w:t>
      </w:r>
      <w:r>
        <w:rPr>
          <w:rFonts w:ascii="Arial" w:cs="Arial" w:eastAsia="Arial" w:hAnsi="Arial"/>
          <w:sz w:val="15"/>
          <w:szCs w:val="15"/>
          <w:b w:val="1"/>
          <w:bCs w:val="1"/>
          <w:color w:val="auto"/>
        </w:rPr>
        <w:t xml:space="preserve"> </w:t>
      </w:r>
      <w:r>
        <w:rPr>
          <w:rFonts w:ascii="Arial" w:cs="Arial" w:eastAsia="Arial" w:hAnsi="Arial"/>
          <w:sz w:val="15"/>
          <w:szCs w:val="15"/>
          <w:color w:val="auto"/>
        </w:rPr>
        <w:t>fees, commissions and other income, as well as net interest income. These metrics, which exclude Markets, are non-GAAP financial measures.</w:t>
      </w:r>
    </w:p>
    <w:p>
      <w:pPr>
        <w:spacing w:after="0" w:line="1" w:lineRule="exact"/>
        <w:rPr>
          <w:rFonts w:ascii="Arial" w:cs="Arial" w:eastAsia="Arial" w:hAnsi="Arial"/>
          <w:sz w:val="15"/>
          <w:szCs w:val="15"/>
          <w:color w:val="auto"/>
        </w:rPr>
      </w:pPr>
    </w:p>
    <w:p>
      <w:pPr>
        <w:ind w:left="340" w:right="260"/>
        <w:spacing w:after="0" w:line="270" w:lineRule="auto"/>
        <w:rPr>
          <w:rFonts w:ascii="Arial" w:cs="Arial" w:eastAsia="Arial" w:hAnsi="Arial"/>
          <w:sz w:val="15"/>
          <w:szCs w:val="15"/>
          <w:color w:val="auto"/>
        </w:rPr>
      </w:pPr>
      <w:r>
        <w:rPr>
          <w:rFonts w:ascii="Arial" w:cs="Arial" w:eastAsia="Arial" w:hAnsi="Arial"/>
          <w:sz w:val="15"/>
          <w:szCs w:val="15"/>
          <w:color w:val="auto"/>
        </w:rPr>
        <w:t>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additional information on Markets revenue, refer to pages 73-74 of the Firm’s 2025 Form 10-K.</w:t>
      </w:r>
    </w:p>
    <w:p>
      <w:pPr>
        <w:spacing w:after="0" w:line="91" w:lineRule="exact"/>
        <w:rPr>
          <w:sz w:val="20"/>
          <w:szCs w:val="20"/>
          <w:color w:val="auto"/>
        </w:rPr>
      </w:pPr>
    </w:p>
    <w:tbl>
      <w:tblPr>
        <w:tblLayout w:type="fixed"/>
        <w:tblInd w:w="360" w:type="dxa"/>
        <w:tblCellMar>
          <w:top w:w="0" w:type="dxa"/>
          <w:left w:w="0" w:type="dxa"/>
          <w:bottom w:w="0" w:type="dxa"/>
          <w:right w:w="0" w:type="dxa"/>
        </w:tblCellMar>
      </w:tblPr>
      <w:tr>
        <w:trPr>
          <w:trHeight w:val="155"/>
        </w:trPr>
        <w:tc>
          <w:tcPr>
            <w:tcW w:w="2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ind w:left="440"/>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1Q26 Change</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20"/>
                <w:szCs w:val="20"/>
                <w:color w:val="auto"/>
              </w:rPr>
            </w:pPr>
            <w:r>
              <w:rPr>
                <w:rFonts w:ascii="Arial" w:cs="Arial" w:eastAsia="Arial" w:hAnsi="Arial"/>
                <w:sz w:val="11"/>
                <w:szCs w:val="11"/>
                <w:color w:val="auto"/>
              </w:rPr>
              <w:t>(in millions, except rates)</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1Q26</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4Q25</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3Q25</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2Q25</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1Q25</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4Q25</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1Q25</w:t>
            </w:r>
          </w:p>
        </w:tc>
        <w:tc>
          <w:tcPr>
            <w:tcW w:w="0" w:type="dxa"/>
            <w:vAlign w:val="bottom"/>
          </w:tcPr>
          <w:p>
            <w:pPr>
              <w:spacing w:after="0"/>
              <w:rPr>
                <w:sz w:val="1"/>
                <w:szCs w:val="1"/>
                <w:color w:val="auto"/>
              </w:rPr>
            </w:pPr>
          </w:p>
        </w:tc>
      </w:tr>
      <w:tr>
        <w:trPr>
          <w:trHeight w:val="290"/>
        </w:trPr>
        <w:tc>
          <w:tcPr>
            <w:tcW w:w="2180" w:type="dxa"/>
            <w:vAlign w:val="bottom"/>
          </w:tcPr>
          <w:p>
            <w:pPr>
              <w:spacing w:after="0"/>
              <w:rPr>
                <w:sz w:val="20"/>
                <w:szCs w:val="20"/>
                <w:color w:val="auto"/>
              </w:rPr>
            </w:pPr>
            <w:r>
              <w:rPr>
                <w:rFonts w:ascii="Arial" w:cs="Arial" w:eastAsia="Arial" w:hAnsi="Arial"/>
                <w:sz w:val="11"/>
                <w:szCs w:val="11"/>
                <w:color w:val="auto"/>
              </w:rPr>
              <w:t>Net interest income - reported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25,366</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24,995</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23,966</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23,209</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23,273</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20"/>
                <w:szCs w:val="20"/>
                <w:color w:val="auto"/>
              </w:rPr>
            </w:pPr>
            <w:r>
              <w:rPr>
                <w:rFonts w:ascii="Arial" w:cs="Arial" w:eastAsia="Arial" w:hAnsi="Arial"/>
                <w:sz w:val="11"/>
                <w:szCs w:val="11"/>
                <w:color w:val="auto"/>
              </w:rPr>
              <w:t>Fully taxable-equivalent adjustments</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113</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102</w:t>
            </w:r>
          </w:p>
        </w:tc>
        <w:tc>
          <w:tcPr>
            <w:tcW w:w="20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20"/>
                <w:szCs w:val="20"/>
                <w:color w:val="auto"/>
              </w:rPr>
            </w:pPr>
            <w:r>
              <w:rPr>
                <w:rFonts w:ascii="Arial" w:cs="Arial" w:eastAsia="Arial" w:hAnsi="Arial"/>
                <w:sz w:val="11"/>
                <w:szCs w:val="11"/>
                <w:color w:val="auto"/>
              </w:rPr>
              <w:t>Net interest income - managed basis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25,479</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25,108</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24,071</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23,314</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23,375</w:t>
            </w: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20"/>
                <w:szCs w:val="20"/>
                <w:color w:val="auto"/>
              </w:rPr>
            </w:pPr>
            <w:r>
              <w:rPr>
                <w:rFonts w:ascii="Arial" w:cs="Arial" w:eastAsia="Arial" w:hAnsi="Arial"/>
                <w:sz w:val="11"/>
                <w:szCs w:val="11"/>
                <w:color w:val="auto"/>
              </w:rPr>
              <w:t>Less: Markets net interest income</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2,199</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1,251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680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561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785</w:t>
            </w: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76</w:t>
            </w:r>
          </w:p>
        </w:tc>
        <w:tc>
          <w:tcPr>
            <w:tcW w:w="200" w:type="dxa"/>
            <w:vAlign w:val="bottom"/>
          </w:tcPr>
          <w:p>
            <w:pPr>
              <w:spacing w:after="0"/>
              <w:rPr>
                <w:sz w:val="15"/>
                <w:szCs w:val="15"/>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180</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20"/>
                <w:szCs w:val="20"/>
                <w:color w:val="auto"/>
              </w:rPr>
            </w:pPr>
            <w:r>
              <w:rPr>
                <w:rFonts w:ascii="Arial" w:cs="Arial" w:eastAsia="Arial" w:hAnsi="Arial"/>
                <w:sz w:val="11"/>
                <w:szCs w:val="11"/>
                <w:b w:val="1"/>
                <w:bCs w:val="1"/>
                <w:color w:val="auto"/>
              </w:rPr>
              <w:t>Net interest income excluding Markets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23,280</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23,857</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23,391</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22,753</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22,590</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90"/>
        </w:trPr>
        <w:tc>
          <w:tcPr>
            <w:tcW w:w="2180" w:type="dxa"/>
            <w:vAlign w:val="bottom"/>
          </w:tcPr>
          <w:p>
            <w:pPr>
              <w:spacing w:after="0"/>
              <w:rPr>
                <w:sz w:val="20"/>
                <w:szCs w:val="20"/>
                <w:color w:val="auto"/>
              </w:rPr>
            </w:pPr>
            <w:r>
              <w:rPr>
                <w:rFonts w:ascii="Arial" w:cs="Arial" w:eastAsia="Arial" w:hAnsi="Arial"/>
                <w:sz w:val="11"/>
                <w:szCs w:val="11"/>
                <w:color w:val="auto"/>
              </w:rPr>
              <w:t>Average interest-earning assets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4,135,737</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3"/>
              </w:rPr>
              <w:t>3,923,824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3,895,764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3,845,982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3,668,384</w:t>
            </w: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8"/>
        </w:trPr>
        <w:tc>
          <w:tcPr>
            <w:tcW w:w="2180" w:type="dxa"/>
            <w:vAlign w:val="bottom"/>
          </w:tcPr>
          <w:p>
            <w:pPr>
              <w:spacing w:after="0"/>
              <w:rPr>
                <w:sz w:val="20"/>
                <w:szCs w:val="20"/>
                <w:color w:val="auto"/>
              </w:rPr>
            </w:pPr>
            <w:r>
              <w:rPr>
                <w:rFonts w:ascii="Arial" w:cs="Arial" w:eastAsia="Arial" w:hAnsi="Arial"/>
                <w:sz w:val="11"/>
                <w:szCs w:val="11"/>
                <w:color w:val="auto"/>
              </w:rPr>
              <w:t>Less: Average Markets interest-earning</w:t>
            </w: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w w:val="93"/>
              </w:rPr>
              <w:t>1,599,089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w w:val="93"/>
              </w:rPr>
              <w:t>1,403,245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1,404,633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1,387,584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w w:val="93"/>
              </w:rPr>
              <w:t>1,255,149</w:t>
            </w:r>
          </w:p>
        </w:tc>
        <w:tc>
          <w:tcPr>
            <w:tcW w:w="7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20"/>
                <w:szCs w:val="20"/>
                <w:color w:val="auto"/>
              </w:rPr>
            </w:pPr>
            <w:r>
              <w:rPr>
                <w:rFonts w:ascii="Arial" w:cs="Arial" w:eastAsia="Arial" w:hAnsi="Arial"/>
                <w:sz w:val="11"/>
                <w:szCs w:val="11"/>
                <w:color w:val="auto"/>
              </w:rPr>
              <w:t>assets</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180" w:type="dxa"/>
            <w:vAlign w:val="bottom"/>
          </w:tcPr>
          <w:p>
            <w:pPr>
              <w:spacing w:after="0" w:line="95" w:lineRule="exact"/>
              <w:rPr>
                <w:sz w:val="20"/>
                <w:szCs w:val="20"/>
                <w:color w:val="auto"/>
              </w:rPr>
            </w:pPr>
            <w:r>
              <w:rPr>
                <w:rFonts w:ascii="Arial" w:cs="Arial" w:eastAsia="Arial" w:hAnsi="Arial"/>
                <w:sz w:val="10"/>
                <w:szCs w:val="10"/>
                <w:b w:val="1"/>
                <w:bCs w:val="1"/>
                <w:color w:val="auto"/>
              </w:rPr>
              <w:t>Average interest-earning assets</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3"/>
              </w:rPr>
              <w:t>2,536,648</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3"/>
              </w:rPr>
              <w:t>2,520,579</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2,491,131</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2,458,398</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3"/>
              </w:rPr>
              <w:t>2,413,235</w:t>
            </w:r>
          </w:p>
        </w:tc>
        <w:tc>
          <w:tcPr>
            <w:tcW w:w="7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8"/>
                <w:szCs w:val="8"/>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0"/>
        </w:trPr>
        <w:tc>
          <w:tcPr>
            <w:tcW w:w="2180" w:type="dxa"/>
            <w:vAlign w:val="bottom"/>
          </w:tcPr>
          <w:p>
            <w:pPr>
              <w:spacing w:after="0"/>
              <w:rPr>
                <w:sz w:val="20"/>
                <w:szCs w:val="20"/>
                <w:color w:val="auto"/>
              </w:rPr>
            </w:pPr>
            <w:r>
              <w:rPr>
                <w:rFonts w:ascii="Arial" w:cs="Arial" w:eastAsia="Arial" w:hAnsi="Arial"/>
                <w:sz w:val="11"/>
                <w:szCs w:val="11"/>
                <w:b w:val="1"/>
                <w:bCs w:val="1"/>
                <w:color w:val="auto"/>
              </w:rPr>
              <w:t>excluding Markets</w:t>
            </w:r>
          </w:p>
        </w:tc>
        <w:tc>
          <w:tcPr>
            <w:tcW w:w="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0"/>
                <w:szCs w:val="20"/>
                <w:color w:val="auto"/>
              </w:rPr>
            </w:pPr>
            <w:r>
              <w:rPr>
                <w:rFonts w:ascii="Arial" w:cs="Arial" w:eastAsia="Arial" w:hAnsi="Arial"/>
                <w:sz w:val="11"/>
                <w:szCs w:val="11"/>
                <w:color w:val="auto"/>
              </w:rPr>
              <w:t>Net yield on average interest-earning assets</w:t>
            </w:r>
          </w:p>
        </w:tc>
        <w:tc>
          <w:tcPr>
            <w:tcW w:w="8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2.50 %</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2.54 %</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2.45 %</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2.43 %</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2.58 %</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20"/>
                <w:szCs w:val="20"/>
                <w:color w:val="auto"/>
              </w:rPr>
            </w:pPr>
            <w:r>
              <w:rPr>
                <w:rFonts w:ascii="Arial" w:cs="Arial" w:eastAsia="Arial" w:hAnsi="Arial"/>
                <w:sz w:val="11"/>
                <w:szCs w:val="11"/>
                <w:color w:val="auto"/>
              </w:rPr>
              <w:t>- managed basis (a)</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20"/>
                <w:szCs w:val="20"/>
                <w:color w:val="auto"/>
              </w:rPr>
            </w:pPr>
            <w:r>
              <w:rPr>
                <w:rFonts w:ascii="Arial" w:cs="Arial" w:eastAsia="Arial" w:hAnsi="Arial"/>
                <w:sz w:val="11"/>
                <w:szCs w:val="11"/>
                <w:color w:val="auto"/>
              </w:rPr>
              <w:t>Net yield on average Markets interest-</w:t>
            </w: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0.56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color w:val="auto"/>
              </w:rPr>
              <w:t>0.35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0.19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0.16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0.25</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20"/>
                <w:szCs w:val="20"/>
                <w:color w:val="auto"/>
              </w:rPr>
            </w:pPr>
            <w:r>
              <w:rPr>
                <w:rFonts w:ascii="Arial" w:cs="Arial" w:eastAsia="Arial" w:hAnsi="Arial"/>
                <w:sz w:val="11"/>
                <w:szCs w:val="11"/>
                <w:color w:val="auto"/>
              </w:rPr>
              <w:t>earning assets</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20"/>
                <w:szCs w:val="20"/>
                <w:color w:val="auto"/>
              </w:rPr>
            </w:pPr>
            <w:r>
              <w:rPr>
                <w:rFonts w:ascii="Arial" w:cs="Arial" w:eastAsia="Arial" w:hAnsi="Arial"/>
                <w:sz w:val="11"/>
                <w:szCs w:val="11"/>
                <w:b w:val="1"/>
                <w:bCs w:val="1"/>
                <w:color w:val="auto"/>
              </w:rPr>
              <w:t>Net yield on average interest-earning</w:t>
            </w: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3.72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3.76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3.73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3.71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3.80</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20"/>
                <w:szCs w:val="20"/>
                <w:color w:val="auto"/>
              </w:rPr>
            </w:pPr>
            <w:r>
              <w:rPr>
                <w:rFonts w:ascii="Arial" w:cs="Arial" w:eastAsia="Arial" w:hAnsi="Arial"/>
                <w:sz w:val="11"/>
                <w:szCs w:val="11"/>
                <w:b w:val="1"/>
                <w:bCs w:val="1"/>
                <w:color w:val="auto"/>
              </w:rPr>
              <w:t>assets excluding Markets (a)</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2180" w:type="dxa"/>
            <w:vAlign w:val="bottom"/>
          </w:tcPr>
          <w:p>
            <w:pPr>
              <w:spacing w:after="0"/>
              <w:rPr>
                <w:sz w:val="20"/>
                <w:szCs w:val="20"/>
                <w:color w:val="auto"/>
              </w:rPr>
            </w:pPr>
            <w:r>
              <w:rPr>
                <w:rFonts w:ascii="Arial" w:cs="Arial" w:eastAsia="Arial" w:hAnsi="Arial"/>
                <w:sz w:val="11"/>
                <w:szCs w:val="11"/>
                <w:color w:val="auto"/>
              </w:rPr>
              <w:t>Noninterest revenue - reported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24,470</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20,803</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22,461</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21,703</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22,037</w:t>
            </w: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20"/>
                <w:szCs w:val="20"/>
                <w:color w:val="auto"/>
              </w:rPr>
            </w:pPr>
            <w:r>
              <w:rPr>
                <w:rFonts w:ascii="Arial" w:cs="Arial" w:eastAsia="Arial" w:hAnsi="Arial"/>
                <w:sz w:val="11"/>
                <w:szCs w:val="11"/>
                <w:color w:val="auto"/>
              </w:rPr>
              <w:t>Fully taxable-equivalent adjustments</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587</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856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588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663</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602</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20"/>
                <w:szCs w:val="20"/>
                <w:color w:val="auto"/>
              </w:rPr>
            </w:pPr>
            <w:r>
              <w:rPr>
                <w:rFonts w:ascii="Arial" w:cs="Arial" w:eastAsia="Arial" w:hAnsi="Arial"/>
                <w:sz w:val="11"/>
                <w:szCs w:val="11"/>
                <w:color w:val="auto"/>
              </w:rPr>
              <w:t>Noninterest revenue - managed basis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25,057</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21,659</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23,049</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22,366</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22,639</w:t>
            </w: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20"/>
                <w:szCs w:val="20"/>
                <w:color w:val="auto"/>
              </w:rPr>
            </w:pPr>
            <w:r>
              <w:rPr>
                <w:rFonts w:ascii="Arial" w:cs="Arial" w:eastAsia="Arial" w:hAnsi="Arial"/>
                <w:sz w:val="11"/>
                <w:szCs w:val="11"/>
                <w:color w:val="auto"/>
              </w:rPr>
              <w:t>Less: Markets noninterest revenue</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9,360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6,988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8,264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8,375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8,878</w:t>
            </w: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15"/>
                <w:szCs w:val="15"/>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20"/>
                <w:szCs w:val="20"/>
                <w:color w:val="auto"/>
              </w:rPr>
            </w:pPr>
            <w:r>
              <w:rPr>
                <w:rFonts w:ascii="Arial" w:cs="Arial" w:eastAsia="Arial" w:hAnsi="Arial"/>
                <w:sz w:val="11"/>
                <w:szCs w:val="11"/>
                <w:b w:val="1"/>
                <w:bCs w:val="1"/>
                <w:color w:val="auto"/>
              </w:rPr>
              <w:t>Noninterest revenue excluding Markets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15,697</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14,671</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14,785</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13,991</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13,761</w:t>
            </w: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Arial" w:cs="Arial" w:eastAsia="Arial" w:hAnsi="Arial"/>
                <w:sz w:val="11"/>
                <w:szCs w:val="11"/>
                <w:b w:val="1"/>
                <w:bCs w:val="1"/>
                <w:color w:val="auto"/>
              </w:rPr>
              <w:t>Memo: Markets total net revenue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11,559</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8,239</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8,944</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8,936</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9,663</w:t>
            </w: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40</w:t>
            </w:r>
          </w:p>
        </w:tc>
        <w:tc>
          <w:tcPr>
            <w:tcW w:w="2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196850</wp:posOffset>
            </wp:positionV>
            <wp:extent cx="13970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72" w:lineRule="exact"/>
        <w:rPr>
          <w:sz w:val="20"/>
          <w:szCs w:val="20"/>
          <w:color w:val="auto"/>
        </w:rPr>
      </w:pPr>
    </w:p>
    <w:p>
      <w:pPr>
        <w:ind w:left="340"/>
        <w:spacing w:after="0"/>
        <w:rPr>
          <w:sz w:val="20"/>
          <w:szCs w:val="20"/>
          <w:color w:val="auto"/>
        </w:rPr>
      </w:pPr>
      <w:r>
        <w:rPr>
          <w:rFonts w:ascii="Arial" w:cs="Arial" w:eastAsia="Arial" w:hAnsi="Arial"/>
          <w:sz w:val="11"/>
          <w:szCs w:val="11"/>
          <w:color w:val="auto"/>
        </w:rPr>
        <w:t>(a) Includes the effect of derivatives that qualify for hedge accounting. Taxable-equivalent amounts are used where applicable. Refer to Note 5 of the Firm’s 2025 Form 10-K for additional information on hedge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28</w:t>
      </w:r>
    </w:p>
    <w:sectPr>
      <w:pgSz w:w="11900" w:h="16838" w:orient="portrait"/>
      <w:cols w:equalWidth="0" w:num="1">
        <w:col w:w="11240"/>
      </w:cols>
      <w:pgMar w:left="320" w:top="4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4"/>
    </w:lvl>
  </w:abstractNum>
  <w:abstractNum w:abstractNumId="2">
    <w:nsid w:val="62BBD95A"/>
    <w:multiLevelType w:val="hybridMultilevel"/>
    <w:lvl w:ilvl="0">
      <w:lvlJc w:val="left"/>
      <w:lvlText w:val="%1"/>
      <w:numFmt w:val="decimal"/>
      <w:start w:val="101"/>
    </w:lvl>
  </w:abstractNum>
  <w:abstractNum w:abstractNumId="3">
    <w:nsid w:val="436C6125"/>
    <w:multiLevelType w:val="hybridMultilevel"/>
    <w:lvl w:ilvl="0">
      <w:lvlJc w:val="left"/>
      <w:lvlText w:val="%1"/>
      <w:numFmt w:val="decimal"/>
      <w:start w:val="104"/>
    </w:lvl>
  </w:abstractNum>
  <w:abstractNum w:abstractNumId="4">
    <w:nsid w:val="628C895D"/>
    <w:multiLevelType w:val="hybridMultilevel"/>
    <w:lvl w:ilvl="0">
      <w:lvlJc w:val="left"/>
      <w:lvlText w:val="n"/>
      <w:numFmt w:val="bullet"/>
      <w:start w:val="1"/>
    </w:lvl>
  </w:abstractNum>
  <w:abstractNum w:abstractNumId="5">
    <w:nsid w:val="333AB105"/>
    <w:multiLevelType w:val="hybridMultilevel"/>
    <w:lvl w:ilvl="0">
      <w:lvlJc w:val="left"/>
      <w:lvlText w:val="n"/>
      <w:numFmt w:val="bullet"/>
      <w:start w:val="1"/>
    </w:lvl>
  </w:abstractNum>
  <w:abstractNum w:abstractNumId="6">
    <w:nsid w:val="721DA317"/>
    <w:multiLevelType w:val="hybridMultilevel"/>
    <w:lvl w:ilvl="0">
      <w:lvlJc w:val="left"/>
      <w:lvlText w:val="n"/>
      <w:numFmt w:val="bullet"/>
      <w:start w:val="1"/>
    </w:lvl>
  </w:abstractNum>
  <w:abstractNum w:abstractNumId="7">
    <w:nsid w:val="2443A858"/>
    <w:multiLevelType w:val="hybridMultilevel"/>
    <w:lvl w:ilvl="0">
      <w:lvlJc w:val="left"/>
      <w:lvlText w:val="n"/>
      <w:numFmt w:val="bullet"/>
      <w:start w:val="1"/>
    </w:lvl>
  </w:abstractNum>
  <w:abstractNum w:abstractNumId="8">
    <w:nsid w:val="2D1D5AE9"/>
    <w:multiLevelType w:val="hybridMultilevel"/>
    <w:lvl w:ilvl="0">
      <w:lvlJc w:val="left"/>
      <w:lvlText w:val="n"/>
      <w:numFmt w:val="bullet"/>
      <w:start w:val="1"/>
    </w:lvl>
  </w:abstractNum>
  <w:abstractNum w:abstractNumId="9">
    <w:nsid w:val="6763845E"/>
    <w:multiLevelType w:val="hybridMultilevel"/>
    <w:lvl w:ilvl="0">
      <w:lvlJc w:val="left"/>
      <w:lvlText w:val="n"/>
      <w:numFmt w:val="bullet"/>
      <w:start w:val="1"/>
    </w:lvl>
  </w:abstractNum>
  <w:abstractNum w:abstractNumId="10">
    <w:nsid w:val="75A2A8D4"/>
    <w:multiLevelType w:val="hybridMultilevel"/>
    <w:lvl w:ilvl="0">
      <w:lvlJc w:val="left"/>
      <w:lvlText w:val="1"/>
      <w:numFmt w:val="bullet"/>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2026-04-14T05:36:51Z</dcterms:created>
  <dcterms:modified xsi:type="dcterms:W3CDTF">2026-04-14T05:36:51Z</dcterms:modified>
</cp:coreProperties>
</file>