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9"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15"/>
          <w:szCs w:val="15"/>
          <w:b w:val="1"/>
          <w:bCs w:val="1"/>
          <w:color w:val="auto"/>
        </w:rPr>
        <w:t>UNITED STATES</w:t>
      </w:r>
    </w:p>
    <w:p>
      <w:pPr>
        <w:spacing w:after="0" w:line="20"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15"/>
          <w:szCs w:val="15"/>
          <w:b w:val="1"/>
          <w:bCs w:val="1"/>
          <w:color w:val="auto"/>
        </w:rPr>
        <w:t>SECURITIES AND EXCHANGE COMMISSION</w:t>
      </w:r>
    </w:p>
    <w:p>
      <w:pPr>
        <w:spacing w:after="0" w:line="3"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61"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42"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2"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15"/>
          <w:szCs w:val="15"/>
          <w:b w:val="1"/>
          <w:bCs w:val="1"/>
          <w:color w:val="auto"/>
        </w:rPr>
        <w:t>Pursuant to Section 13 or 15(d) of the Securities Exchange Act of 1934</w:t>
      </w:r>
    </w:p>
    <w:p>
      <w:pPr>
        <w:spacing w:after="0" w:line="338"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April 11, 2014</w:t>
      </w:r>
    </w:p>
    <w:p>
      <w:pPr>
        <w:spacing w:after="0" w:line="284"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32"/>
          <w:szCs w:val="32"/>
          <w:b w:val="1"/>
          <w:bCs w:val="1"/>
          <w:color w:val="auto"/>
        </w:rPr>
        <w:t>JPMorgan Chase &amp; Co.</w:t>
      </w:r>
    </w:p>
    <w:p>
      <w:pPr>
        <w:spacing w:after="0" w:line="5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5" w:lineRule="exact"/>
        <w:rPr>
          <w:sz w:val="24"/>
          <w:szCs w:val="24"/>
          <w:color w:val="auto"/>
        </w:rPr>
      </w:pPr>
    </w:p>
    <w:tbl>
      <w:tblPr>
        <w:tblLayout w:type="fixed"/>
        <w:tblInd w:w="2020" w:type="dxa"/>
        <w:tblCellMar>
          <w:top w:w="0" w:type="dxa"/>
          <w:left w:w="0" w:type="dxa"/>
          <w:bottom w:w="0" w:type="dxa"/>
          <w:right w:w="0" w:type="dxa"/>
        </w:tblCellMar>
      </w:tblPr>
      <w:tr>
        <w:trPr>
          <w:trHeight w:val="193"/>
        </w:trPr>
        <w:tc>
          <w:tcPr>
            <w:tcW w:w="2640" w:type="dxa"/>
            <w:vAlign w:val="bottom"/>
          </w:tcPr>
          <w:p>
            <w:pPr>
              <w:jc w:val="center"/>
              <w:ind w:right="147"/>
              <w:spacing w:after="0"/>
              <w:rPr>
                <w:sz w:val="20"/>
                <w:szCs w:val="20"/>
                <w:color w:val="auto"/>
              </w:rPr>
            </w:pPr>
            <w:r>
              <w:rPr>
                <w:rFonts w:ascii="Times New Roman" w:cs="Times New Roman" w:eastAsia="Times New Roman" w:hAnsi="Times New Roman"/>
                <w:sz w:val="15"/>
                <w:szCs w:val="15"/>
                <w:b w:val="1"/>
                <w:bCs w:val="1"/>
                <w:color w:val="auto"/>
                <w:w w:val="95"/>
              </w:rPr>
              <w:t>Delaware</w:t>
            </w:r>
          </w:p>
        </w:tc>
        <w:tc>
          <w:tcPr>
            <w:tcW w:w="2460" w:type="dxa"/>
            <w:vAlign w:val="bottom"/>
          </w:tcPr>
          <w:p>
            <w:pPr>
              <w:jc w:val="right"/>
              <w:ind w:right="1107"/>
              <w:spacing w:after="0"/>
              <w:rPr>
                <w:sz w:val="20"/>
                <w:szCs w:val="20"/>
                <w:color w:val="auto"/>
              </w:rPr>
            </w:pPr>
            <w:r>
              <w:rPr>
                <w:rFonts w:ascii="Times New Roman" w:cs="Times New Roman" w:eastAsia="Times New Roman" w:hAnsi="Times New Roman"/>
                <w:sz w:val="15"/>
                <w:szCs w:val="15"/>
                <w:b w:val="1"/>
                <w:bCs w:val="1"/>
                <w:color w:val="auto"/>
              </w:rPr>
              <w:t>1-5805</w:t>
            </w:r>
          </w:p>
        </w:tc>
        <w:tc>
          <w:tcPr>
            <w:tcW w:w="1660" w:type="dxa"/>
            <w:vAlign w:val="bottom"/>
          </w:tcPr>
          <w:p>
            <w:pPr>
              <w:jc w:val="right"/>
              <w:ind w:right="127"/>
              <w:spacing w:after="0"/>
              <w:rPr>
                <w:sz w:val="20"/>
                <w:szCs w:val="20"/>
                <w:color w:val="auto"/>
              </w:rPr>
            </w:pPr>
            <w:r>
              <w:rPr>
                <w:rFonts w:ascii="Times New Roman" w:cs="Times New Roman" w:eastAsia="Times New Roman" w:hAnsi="Times New Roman"/>
                <w:sz w:val="15"/>
                <w:szCs w:val="15"/>
                <w:b w:val="1"/>
                <w:bCs w:val="1"/>
                <w:color w:val="auto"/>
              </w:rPr>
              <w:t>13-2624428</w:t>
            </w:r>
          </w:p>
        </w:tc>
      </w:tr>
      <w:tr>
        <w:trPr>
          <w:trHeight w:val="203"/>
        </w:trPr>
        <w:tc>
          <w:tcPr>
            <w:tcW w:w="2640" w:type="dxa"/>
            <w:vAlign w:val="bottom"/>
          </w:tcPr>
          <w:p>
            <w:pPr>
              <w:jc w:val="center"/>
              <w:ind w:right="147"/>
              <w:spacing w:after="0"/>
              <w:rPr>
                <w:sz w:val="20"/>
                <w:szCs w:val="20"/>
                <w:color w:val="auto"/>
              </w:rPr>
            </w:pPr>
            <w:r>
              <w:rPr>
                <w:rFonts w:ascii="Times New Roman" w:cs="Times New Roman" w:eastAsia="Times New Roman" w:hAnsi="Times New Roman"/>
                <w:sz w:val="15"/>
                <w:szCs w:val="15"/>
                <w:b w:val="1"/>
                <w:bCs w:val="1"/>
                <w:color w:val="auto"/>
                <w:w w:val="97"/>
              </w:rPr>
              <w:t>(State or other jurisdiction of</w:t>
            </w:r>
          </w:p>
        </w:tc>
        <w:tc>
          <w:tcPr>
            <w:tcW w:w="2460" w:type="dxa"/>
            <w:vAlign w:val="bottom"/>
          </w:tcPr>
          <w:p>
            <w:pPr>
              <w:jc w:val="center"/>
              <w:ind w:right="247"/>
              <w:spacing w:after="0"/>
              <w:rPr>
                <w:sz w:val="20"/>
                <w:szCs w:val="20"/>
                <w:color w:val="auto"/>
              </w:rPr>
            </w:pPr>
            <w:r>
              <w:rPr>
                <w:rFonts w:ascii="Times New Roman" w:cs="Times New Roman" w:eastAsia="Times New Roman" w:hAnsi="Times New Roman"/>
                <w:sz w:val="15"/>
                <w:szCs w:val="15"/>
                <w:b w:val="1"/>
                <w:bCs w:val="1"/>
                <w:color w:val="auto"/>
                <w:w w:val="97"/>
              </w:rPr>
              <w:t>(Commission File Number)</w:t>
            </w:r>
          </w:p>
        </w:tc>
        <w:tc>
          <w:tcPr>
            <w:tcW w:w="1660" w:type="dxa"/>
            <w:vAlign w:val="bottom"/>
          </w:tcPr>
          <w:p>
            <w:pPr>
              <w:jc w:val="center"/>
              <w:ind w:left="487"/>
              <w:spacing w:after="0"/>
              <w:rPr>
                <w:sz w:val="20"/>
                <w:szCs w:val="20"/>
                <w:color w:val="auto"/>
              </w:rPr>
            </w:pPr>
            <w:r>
              <w:rPr>
                <w:rFonts w:ascii="Times New Roman" w:cs="Times New Roman" w:eastAsia="Times New Roman" w:hAnsi="Times New Roman"/>
                <w:sz w:val="15"/>
                <w:szCs w:val="15"/>
                <w:b w:val="1"/>
                <w:bCs w:val="1"/>
                <w:color w:val="auto"/>
                <w:w w:val="97"/>
              </w:rPr>
              <w:t>(I.R.S. employer</w:t>
            </w:r>
          </w:p>
        </w:tc>
      </w:tr>
      <w:tr>
        <w:trPr>
          <w:trHeight w:val="193"/>
        </w:trPr>
        <w:tc>
          <w:tcPr>
            <w:tcW w:w="2640" w:type="dxa"/>
            <w:vAlign w:val="bottom"/>
          </w:tcPr>
          <w:p>
            <w:pPr>
              <w:jc w:val="center"/>
              <w:ind w:right="147"/>
              <w:spacing w:after="0"/>
              <w:rPr>
                <w:sz w:val="20"/>
                <w:szCs w:val="20"/>
                <w:color w:val="auto"/>
              </w:rPr>
            </w:pPr>
            <w:r>
              <w:rPr>
                <w:rFonts w:ascii="Times New Roman" w:cs="Times New Roman" w:eastAsia="Times New Roman" w:hAnsi="Times New Roman"/>
                <w:sz w:val="15"/>
                <w:szCs w:val="15"/>
                <w:b w:val="1"/>
                <w:bCs w:val="1"/>
                <w:color w:val="auto"/>
                <w:w w:val="96"/>
              </w:rPr>
              <w:t>incorporation or organization)</w:t>
            </w:r>
          </w:p>
        </w:tc>
        <w:tc>
          <w:tcPr>
            <w:tcW w:w="2460" w:type="dxa"/>
            <w:vAlign w:val="bottom"/>
          </w:tcPr>
          <w:p>
            <w:pPr>
              <w:spacing w:after="0"/>
              <w:rPr>
                <w:sz w:val="16"/>
                <w:szCs w:val="16"/>
                <w:color w:val="auto"/>
              </w:rPr>
            </w:pPr>
          </w:p>
        </w:tc>
        <w:tc>
          <w:tcPr>
            <w:tcW w:w="1660" w:type="dxa"/>
            <w:vAlign w:val="bottom"/>
          </w:tcPr>
          <w:p>
            <w:pPr>
              <w:jc w:val="center"/>
              <w:ind w:left="487"/>
              <w:spacing w:after="0"/>
              <w:rPr>
                <w:sz w:val="20"/>
                <w:szCs w:val="20"/>
                <w:color w:val="auto"/>
              </w:rPr>
            </w:pPr>
            <w:r>
              <w:rPr>
                <w:rFonts w:ascii="Times New Roman" w:cs="Times New Roman" w:eastAsia="Times New Roman" w:hAnsi="Times New Roman"/>
                <w:sz w:val="15"/>
                <w:szCs w:val="15"/>
                <w:b w:val="1"/>
                <w:bCs w:val="1"/>
                <w:color w:val="auto"/>
                <w:w w:val="97"/>
              </w:rPr>
              <w:t>identification no.)</w:t>
            </w:r>
          </w:p>
        </w:tc>
      </w:tr>
      <w:tr>
        <w:trPr>
          <w:trHeight w:val="423"/>
        </w:trPr>
        <w:tc>
          <w:tcPr>
            <w:tcW w:w="2640" w:type="dxa"/>
            <w:vAlign w:val="bottom"/>
          </w:tcPr>
          <w:p>
            <w:pPr>
              <w:jc w:val="center"/>
              <w:ind w:right="147"/>
              <w:spacing w:after="0"/>
              <w:rPr>
                <w:sz w:val="20"/>
                <w:szCs w:val="20"/>
                <w:color w:val="auto"/>
              </w:rPr>
            </w:pPr>
            <w:r>
              <w:rPr>
                <w:rFonts w:ascii="Times New Roman" w:cs="Times New Roman" w:eastAsia="Times New Roman" w:hAnsi="Times New Roman"/>
                <w:sz w:val="15"/>
                <w:szCs w:val="15"/>
                <w:b w:val="1"/>
                <w:bCs w:val="1"/>
                <w:color w:val="auto"/>
                <w:w w:val="95"/>
              </w:rPr>
              <w:t>270 Park Avenue, New York, New</w:t>
            </w:r>
          </w:p>
        </w:tc>
        <w:tc>
          <w:tcPr>
            <w:tcW w:w="24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93"/>
        </w:trPr>
        <w:tc>
          <w:tcPr>
            <w:tcW w:w="2640" w:type="dxa"/>
            <w:vAlign w:val="bottom"/>
          </w:tcPr>
          <w:p>
            <w:pPr>
              <w:jc w:val="center"/>
              <w:ind w:right="147"/>
              <w:spacing w:after="0"/>
              <w:rPr>
                <w:sz w:val="20"/>
                <w:szCs w:val="20"/>
                <w:color w:val="auto"/>
              </w:rPr>
            </w:pPr>
            <w:r>
              <w:rPr>
                <w:rFonts w:ascii="Times New Roman" w:cs="Times New Roman" w:eastAsia="Times New Roman" w:hAnsi="Times New Roman"/>
                <w:sz w:val="15"/>
                <w:szCs w:val="15"/>
                <w:b w:val="1"/>
                <w:bCs w:val="1"/>
                <w:color w:val="auto"/>
                <w:w w:val="89"/>
              </w:rPr>
              <w:t>York</w:t>
            </w:r>
          </w:p>
        </w:tc>
        <w:tc>
          <w:tcPr>
            <w:tcW w:w="2460" w:type="dxa"/>
            <w:vAlign w:val="bottom"/>
          </w:tcPr>
          <w:p>
            <w:pPr>
              <w:spacing w:after="0"/>
              <w:rPr>
                <w:sz w:val="16"/>
                <w:szCs w:val="16"/>
                <w:color w:val="auto"/>
              </w:rPr>
            </w:pPr>
          </w:p>
        </w:tc>
        <w:tc>
          <w:tcPr>
            <w:tcW w:w="1660" w:type="dxa"/>
            <w:vAlign w:val="bottom"/>
          </w:tcPr>
          <w:p>
            <w:pPr>
              <w:jc w:val="right"/>
              <w:ind w:right="287"/>
              <w:spacing w:after="0"/>
              <w:rPr>
                <w:sz w:val="20"/>
                <w:szCs w:val="20"/>
                <w:color w:val="auto"/>
              </w:rPr>
            </w:pPr>
            <w:r>
              <w:rPr>
                <w:rFonts w:ascii="Times New Roman" w:cs="Times New Roman" w:eastAsia="Times New Roman" w:hAnsi="Times New Roman"/>
                <w:sz w:val="15"/>
                <w:szCs w:val="15"/>
                <w:b w:val="1"/>
                <w:bCs w:val="1"/>
                <w:color w:val="auto"/>
              </w:rPr>
              <w:t>10017</w:t>
            </w:r>
          </w:p>
        </w:tc>
      </w:tr>
      <w:tr>
        <w:trPr>
          <w:trHeight w:val="220"/>
        </w:trPr>
        <w:tc>
          <w:tcPr>
            <w:tcW w:w="2640" w:type="dxa"/>
            <w:vAlign w:val="bottom"/>
          </w:tcPr>
          <w:p>
            <w:pPr>
              <w:jc w:val="center"/>
              <w:ind w:right="147"/>
              <w:spacing w:after="0"/>
              <w:rPr>
                <w:sz w:val="20"/>
                <w:szCs w:val="20"/>
                <w:color w:val="auto"/>
              </w:rPr>
            </w:pPr>
            <w:r>
              <w:rPr>
                <w:rFonts w:ascii="Times New Roman" w:cs="Times New Roman" w:eastAsia="Times New Roman" w:hAnsi="Times New Roman"/>
                <w:sz w:val="15"/>
                <w:szCs w:val="15"/>
                <w:b w:val="1"/>
                <w:bCs w:val="1"/>
                <w:color w:val="auto"/>
                <w:w w:val="97"/>
              </w:rPr>
              <w:t>(Address of principal executive offices)</w:t>
            </w:r>
          </w:p>
        </w:tc>
        <w:tc>
          <w:tcPr>
            <w:tcW w:w="2460" w:type="dxa"/>
            <w:vAlign w:val="bottom"/>
          </w:tcPr>
          <w:p>
            <w:pPr>
              <w:spacing w:after="0"/>
              <w:rPr>
                <w:sz w:val="19"/>
                <w:szCs w:val="19"/>
                <w:color w:val="auto"/>
              </w:rPr>
            </w:pPr>
          </w:p>
        </w:tc>
        <w:tc>
          <w:tcPr>
            <w:tcW w:w="1660" w:type="dxa"/>
            <w:vAlign w:val="bottom"/>
          </w:tcPr>
          <w:p>
            <w:pPr>
              <w:jc w:val="center"/>
              <w:ind w:left="507"/>
              <w:spacing w:after="0"/>
              <w:rPr>
                <w:sz w:val="20"/>
                <w:szCs w:val="20"/>
                <w:color w:val="auto"/>
              </w:rPr>
            </w:pPr>
            <w:r>
              <w:rPr>
                <w:rFonts w:ascii="Times New Roman" w:cs="Times New Roman" w:eastAsia="Times New Roman" w:hAnsi="Times New Roman"/>
                <w:sz w:val="15"/>
                <w:szCs w:val="15"/>
                <w:b w:val="1"/>
                <w:bCs w:val="1"/>
                <w:color w:val="auto"/>
                <w:w w:val="97"/>
              </w:rPr>
              <w:t>(Zip Code)</w:t>
            </w:r>
          </w:p>
        </w:tc>
      </w:tr>
    </w:tbl>
    <w:p>
      <w:pPr>
        <w:spacing w:after="0" w:line="357"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(212) 270-6000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Check the appropriate box below if the Form 8-K filing is intended to simultaneously satisfy the filing obligation of the registrant under any of the following provisions:</w:t>
      </w:r>
    </w:p>
    <w:p>
      <w:pPr>
        <w:spacing w:after="0" w:line="323" w:lineRule="exact"/>
        <w:rPr>
          <w:sz w:val="24"/>
          <w:szCs w:val="24"/>
          <w:color w:val="auto"/>
        </w:rPr>
      </w:pPr>
    </w:p>
    <w:p>
      <w:pPr>
        <w:ind w:left="380" w:hanging="350"/>
        <w:spacing w:after="0"/>
        <w:tabs>
          <w:tab w:leader="none" w:pos="38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Written communications pursuant to Rule 425 under the Securities Act (17 CFR 230.425)</w:t>
      </w:r>
    </w:p>
    <w:p>
      <w:pPr>
        <w:spacing w:after="0" w:line="157" w:lineRule="exact"/>
        <w:rPr>
          <w:rFonts w:ascii="Times New Roman" w:cs="Times New Roman" w:eastAsia="Times New Roman" w:hAnsi="Times New Roman"/>
          <w:sz w:val="15"/>
          <w:szCs w:val="15"/>
          <w:color w:val="auto"/>
        </w:rPr>
      </w:pPr>
    </w:p>
    <w:p>
      <w:pPr>
        <w:ind w:left="380" w:hanging="350"/>
        <w:spacing w:after="0"/>
        <w:tabs>
          <w:tab w:leader="none" w:pos="38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Soliciting material pursuant to Rule 14a-12 under the Exchange Act (17 CFR 240.14a-12)</w:t>
      </w:r>
    </w:p>
    <w:p>
      <w:pPr>
        <w:spacing w:after="0" w:line="157" w:lineRule="exact"/>
        <w:rPr>
          <w:rFonts w:ascii="Times New Roman" w:cs="Times New Roman" w:eastAsia="Times New Roman" w:hAnsi="Times New Roman"/>
          <w:sz w:val="15"/>
          <w:szCs w:val="15"/>
          <w:color w:val="auto"/>
        </w:rPr>
      </w:pPr>
    </w:p>
    <w:p>
      <w:pPr>
        <w:ind w:left="380" w:hanging="350"/>
        <w:spacing w:after="0"/>
        <w:tabs>
          <w:tab w:leader="none" w:pos="38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Pre-commencement communications pursuant to Rule 14d-2(b) under the Exchange Act (17 CFR 240.14d-2(b))</w:t>
      </w:r>
    </w:p>
    <w:p>
      <w:pPr>
        <w:spacing w:after="0" w:line="157" w:lineRule="exact"/>
        <w:rPr>
          <w:rFonts w:ascii="Times New Roman" w:cs="Times New Roman" w:eastAsia="Times New Roman" w:hAnsi="Times New Roman"/>
          <w:sz w:val="15"/>
          <w:szCs w:val="15"/>
          <w:color w:val="auto"/>
        </w:rPr>
      </w:pPr>
    </w:p>
    <w:p>
      <w:pPr>
        <w:ind w:left="380" w:hanging="350"/>
        <w:spacing w:after="0"/>
        <w:tabs>
          <w:tab w:leader="none" w:pos="38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Pre-commencement communications pursuant to Rule 13e-4(c) under the Exchange Act (17 CFR 240.13e-4(c))</w:t>
      </w:r>
    </w:p>
    <w:p>
      <w:pPr>
        <w:sectPr>
          <w:pgSz w:w="11900" w:h="16838" w:orient="portrait"/>
          <w:cols w:equalWidth="0" w:num="1">
            <w:col w:w="10460"/>
          </w:cols>
          <w:pgMar w:left="220" w:top="1440" w:right="12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5"/>
          <w:szCs w:val="15"/>
          <w:b w:val="1"/>
          <w:bCs w:val="1"/>
          <w:color w:val="auto"/>
        </w:rPr>
        <w:t>Item 7.01 Regulation FD Disclosure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April 11, 2014, JPMorgan Chase &amp; Co. (“JPMorgan Chase” or the “Firm”) held an investor presentation to review first quarter 2014 earnings.</w:t>
      </w:r>
    </w:p>
    <w:p>
      <w:pPr>
        <w:spacing w:after="0" w:line="179"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15"/>
          <w:szCs w:val="15"/>
          <w:color w:val="auto"/>
        </w:rPr>
        <w:t>Exhibit 99.1 is a copy of slides furnished for, and posted on the Firm’s website in connection with, the presentation. The slides are being furnished pursuant to Item 7.01, and the information contained therein shall not be deemed “filed” for purposes of Section 18 of the Securities Exchange Act of 1934, or otherwise subject to the liabilities under that Section. Furthermore, the information contained in Exhibit 99.1 shall not be deemed to be incorporated by reference into the filings of the Firm under the Securities Act of 1933.</w:t>
      </w:r>
    </w:p>
    <w:p>
      <w:pPr>
        <w:spacing w:after="0" w:line="19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i w:val="1"/>
          <w:iCs w:val="1"/>
          <w:color w:val="auto"/>
        </w:rPr>
        <w:t>This Current Report on Form 8-K (including the Exhibit hereto) contains forward-looking statements within the meaning of the Private Securities Litigation Reform Act of 1995. These statements are based on the current beliefs and expectations of JPMorgan Chase &amp; Co.’s management and are subject to significant risks and uncertainties. Actual results may differ from those set forth in the forward-looking statements. Factors that could cause JPMorgan Chase and Co.’s actual results to differ materially from those described in the forward-looking statements can be found in JPMorgan Chase &amp; Co.’s Annual Report on Form 10-K for the year ended December 31, 2013, which has been filed with the Securities and Exchange Commission and is available on JPMorgan Chase’s website (</w:t>
      </w:r>
      <w:r>
        <w:rPr>
          <w:rFonts w:ascii="Times New Roman" w:cs="Times New Roman" w:eastAsia="Times New Roman" w:hAnsi="Times New Roman"/>
          <w:sz w:val="14"/>
          <w:szCs w:val="14"/>
          <w:i w:val="1"/>
          <w:iCs w:val="1"/>
          <w:u w:val="single" w:color="auto"/>
          <w:color w:val="auto"/>
        </w:rPr>
        <w:t>http://investor.shareholder.com/jpmorganchase</w:t>
      </w:r>
      <w:r>
        <w:rPr>
          <w:rFonts w:ascii="Times New Roman" w:cs="Times New Roman" w:eastAsia="Times New Roman" w:hAnsi="Times New Roman"/>
          <w:sz w:val="14"/>
          <w:szCs w:val="14"/>
          <w:i w:val="1"/>
          <w:iCs w:val="1"/>
          <w:color w:val="auto"/>
        </w:rPr>
        <w:t>) and on the Securities and Exchange Commission’s website (</w:t>
      </w:r>
      <w:r>
        <w:rPr>
          <w:rFonts w:ascii="Times New Roman" w:cs="Times New Roman" w:eastAsia="Times New Roman" w:hAnsi="Times New Roman"/>
          <w:sz w:val="14"/>
          <w:szCs w:val="14"/>
          <w:i w:val="1"/>
          <w:iCs w:val="1"/>
          <w:u w:val="single" w:color="auto"/>
          <w:color w:val="auto"/>
        </w:rPr>
        <w:t>www.sec.gov</w:t>
      </w:r>
      <w:r>
        <w:rPr>
          <w:rFonts w:ascii="Times New Roman" w:cs="Times New Roman" w:eastAsia="Times New Roman" w:hAnsi="Times New Roman"/>
          <w:sz w:val="14"/>
          <w:szCs w:val="14"/>
          <w:i w:val="1"/>
          <w:iCs w:val="1"/>
          <w:color w:val="auto"/>
        </w:rPr>
        <w:t>). JPMorgan Chase &amp; Co. does not undertake to update the forward-looking statements to reflect the impact of circumstances or events that may arise after the date of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9.01 Financial Statements and Exhibits</w:t>
      </w:r>
    </w:p>
    <w:p>
      <w:pPr>
        <w:spacing w:after="0" w:line="18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5"/>
          <w:szCs w:val="15"/>
          <w:color w:val="auto"/>
        </w:rPr>
        <w:t>(d)</w:t>
      </w:r>
      <w:r>
        <w:rPr>
          <w:sz w:val="20"/>
          <w:szCs w:val="20"/>
          <w:color w:val="auto"/>
        </w:rPr>
        <w:tab/>
      </w:r>
      <w:r>
        <w:rPr>
          <w:rFonts w:ascii="Times New Roman" w:cs="Times New Roman" w:eastAsia="Times New Roman" w:hAnsi="Times New Roman"/>
          <w:sz w:val="14"/>
          <w:szCs w:val="14"/>
          <w:color w:val="auto"/>
        </w:rPr>
        <w:t>Exhibits</w:t>
      </w:r>
    </w:p>
    <w:p>
      <w:pPr>
        <w:spacing w:after="0" w:line="397"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2180" w:type="dxa"/>
            <w:vAlign w:val="bottom"/>
            <w:gridSpan w:val="2"/>
          </w:tcPr>
          <w:p>
            <w:pPr>
              <w:ind w:left="680"/>
              <w:spacing w:after="0"/>
              <w:rPr>
                <w:sz w:val="20"/>
                <w:szCs w:val="20"/>
                <w:color w:val="auto"/>
              </w:rPr>
            </w:pPr>
            <w:r>
              <w:rPr>
                <w:rFonts w:ascii="Times New Roman" w:cs="Times New Roman" w:eastAsia="Times New Roman" w:hAnsi="Times New Roman"/>
                <w:sz w:val="15"/>
                <w:szCs w:val="15"/>
                <w:b w:val="1"/>
                <w:bCs w:val="1"/>
                <w:color w:val="auto"/>
              </w:rPr>
              <w:t>Exhibit No.</w:t>
            </w:r>
          </w:p>
        </w:tc>
        <w:tc>
          <w:tcPr>
            <w:tcW w:w="8660" w:type="dxa"/>
            <w:vAlign w:val="bottom"/>
          </w:tcPr>
          <w:p>
            <w:pPr>
              <w:jc w:val="right"/>
              <w:ind w:right="3587"/>
              <w:spacing w:after="0"/>
              <w:rPr>
                <w:sz w:val="20"/>
                <w:szCs w:val="20"/>
                <w:color w:val="auto"/>
              </w:rPr>
            </w:pPr>
            <w:r>
              <w:rPr>
                <w:rFonts w:ascii="Times New Roman" w:cs="Times New Roman" w:eastAsia="Times New Roman" w:hAnsi="Times New Roman"/>
                <w:sz w:val="15"/>
                <w:szCs w:val="15"/>
                <w:b w:val="1"/>
                <w:bCs w:val="1"/>
                <w:color w:val="auto"/>
              </w:rPr>
              <w:t>Description of Exhibit</w:t>
            </w:r>
          </w:p>
        </w:tc>
      </w:tr>
      <w:tr>
        <w:trPr>
          <w:trHeight w:val="22"/>
        </w:trPr>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60" w:type="dxa"/>
            <w:vAlign w:val="bottom"/>
            <w:tcBorders>
              <w:bottom w:val="single" w:sz="8" w:color="auto"/>
            </w:tcBorders>
          </w:tcPr>
          <w:p>
            <w:pPr>
              <w:spacing w:after="0" w:line="20" w:lineRule="exact"/>
              <w:rPr>
                <w:sz w:val="1"/>
                <w:szCs w:val="1"/>
                <w:color w:val="auto"/>
              </w:rPr>
            </w:pPr>
          </w:p>
        </w:tc>
      </w:tr>
      <w:tr>
        <w:trPr>
          <w:trHeight w:val="365"/>
        </w:trPr>
        <w:tc>
          <w:tcPr>
            <w:tcW w:w="2080" w:type="dxa"/>
            <w:vAlign w:val="bottom"/>
          </w:tcPr>
          <w:p>
            <w:pPr>
              <w:jc w:val="right"/>
              <w:ind w:right="1727"/>
              <w:spacing w:after="0"/>
              <w:rPr>
                <w:sz w:val="20"/>
                <w:szCs w:val="20"/>
                <w:color w:val="auto"/>
              </w:rPr>
            </w:pPr>
            <w:r>
              <w:rPr>
                <w:rFonts w:ascii="Times New Roman" w:cs="Times New Roman" w:eastAsia="Times New Roman" w:hAnsi="Times New Roman"/>
                <w:sz w:val="15"/>
                <w:szCs w:val="15"/>
                <w:color w:val="auto"/>
                <w:w w:val="98"/>
              </w:rPr>
              <w:t>99.1</w:t>
            </w:r>
          </w:p>
        </w:tc>
        <w:tc>
          <w:tcPr>
            <w:tcW w:w="100" w:type="dxa"/>
            <w:vAlign w:val="bottom"/>
          </w:tcPr>
          <w:p>
            <w:pPr>
              <w:spacing w:after="0"/>
              <w:rPr>
                <w:sz w:val="24"/>
                <w:szCs w:val="24"/>
                <w:color w:val="auto"/>
              </w:rPr>
            </w:pPr>
          </w:p>
        </w:tc>
        <w:tc>
          <w:tcPr>
            <w:tcW w:w="8660" w:type="dxa"/>
            <w:vAlign w:val="bottom"/>
          </w:tcPr>
          <w:p>
            <w:pPr>
              <w:jc w:val="right"/>
              <w:ind w:right="3847"/>
              <w:spacing w:after="0"/>
              <w:rPr>
                <w:sz w:val="20"/>
                <w:szCs w:val="20"/>
                <w:color w:val="auto"/>
              </w:rPr>
            </w:pPr>
            <w:r>
              <w:rPr>
                <w:rFonts w:ascii="Times New Roman" w:cs="Times New Roman" w:eastAsia="Times New Roman" w:hAnsi="Times New Roman"/>
                <w:sz w:val="15"/>
                <w:szCs w:val="15"/>
                <w:color w:val="auto"/>
                <w:w w:val="97"/>
              </w:rPr>
              <w:t>JPMorgan Chase &amp; Co. Earnings Presentation Slides – Financial Results – 1Q14</w:t>
            </w:r>
          </w:p>
        </w:tc>
      </w:tr>
      <w:tr>
        <w:trPr>
          <w:trHeight w:val="572"/>
        </w:trPr>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60" w:type="dxa"/>
            <w:vAlign w:val="bottom"/>
          </w:tcPr>
          <w:p>
            <w:pPr>
              <w:jc w:val="right"/>
              <w:ind w:right="5307"/>
              <w:spacing w:after="0"/>
              <w:rPr>
                <w:sz w:val="20"/>
                <w:szCs w:val="20"/>
                <w:color w:val="auto"/>
              </w:rPr>
            </w:pPr>
            <w:r>
              <w:rPr>
                <w:rFonts w:ascii="Times New Roman" w:cs="Times New Roman" w:eastAsia="Times New Roman" w:hAnsi="Times New Roman"/>
                <w:sz w:val="15"/>
                <w:szCs w:val="15"/>
                <w:color w:val="auto"/>
              </w:rPr>
              <w:t>2</w:t>
            </w:r>
          </w:p>
        </w:tc>
      </w:tr>
    </w:tbl>
    <w:p>
      <w:pPr>
        <w:sectPr>
          <w:pgSz w:w="11900" w:h="16838" w:orient="portrait"/>
          <w:cols w:equalWidth="0" w:num="1">
            <w:col w:w="11420"/>
          </w:cols>
          <w:pgMar w:left="220" w:top="672" w:right="2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5"/>
          <w:szCs w:val="15"/>
          <w:u w:val="single" w:color="auto"/>
          <w:color w:val="auto"/>
        </w:rPr>
        <w:t>SIGNATURE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135" w:lineRule="exact"/>
        <w:rPr>
          <w:sz w:val="20"/>
          <w:szCs w:val="20"/>
          <w:color w:val="auto"/>
        </w:rPr>
      </w:pPr>
    </w:p>
    <w:tbl>
      <w:tblPr>
        <w:tblLayout w:type="fixed"/>
        <w:tblInd w:w="5900" w:type="dxa"/>
        <w:tblCellMar>
          <w:top w:w="0" w:type="dxa"/>
          <w:left w:w="0" w:type="dxa"/>
          <w:bottom w:w="0" w:type="dxa"/>
          <w:right w:w="0" w:type="dxa"/>
        </w:tblCellMar>
      </w:tblPr>
      <w:tr>
        <w:trPr>
          <w:trHeight w:val="191"/>
        </w:trPr>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JPMorgan Chase &amp; Co.</w:t>
            </w:r>
          </w:p>
        </w:tc>
      </w:tr>
      <w:tr>
        <w:trPr>
          <w:trHeight w:val="22"/>
        </w:trPr>
        <w:tc>
          <w:tcPr>
            <w:tcW w:w="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r>
      <w:tr>
        <w:trPr>
          <w:trHeight w:val="189"/>
        </w:trPr>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(Registrant)</w:t>
            </w:r>
          </w:p>
        </w:tc>
      </w:tr>
      <w:tr>
        <w:trPr>
          <w:trHeight w:val="681"/>
        </w:trPr>
        <w:tc>
          <w:tcPr>
            <w:tcW w:w="5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/s/ Mark W. O’Donovan</w:t>
            </w:r>
          </w:p>
        </w:tc>
      </w:tr>
      <w:tr>
        <w:trPr>
          <w:trHeight w:val="22"/>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r>
      <w:tr>
        <w:trPr>
          <w:trHeight w:val="189"/>
        </w:trPr>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Mark W. O’Donovan</w:t>
            </w:r>
          </w:p>
        </w:tc>
      </w:tr>
      <w:tr>
        <w:trPr>
          <w:trHeight w:val="220"/>
        </w:trPr>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Managing Director and Corporate Controller</w:t>
            </w:r>
          </w:p>
        </w:tc>
      </w:tr>
      <w:tr>
        <w:trPr>
          <w:trHeight w:val="220"/>
        </w:trPr>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(Principal Accounting Officer)</w:t>
            </w:r>
          </w:p>
        </w:tc>
      </w:tr>
    </w:tbl>
    <w:p>
      <w:pPr>
        <w:spacing w:after="0" w:line="200" w:lineRule="exact"/>
        <w:rPr>
          <w:sz w:val="20"/>
          <w:szCs w:val="20"/>
          <w:color w:val="auto"/>
        </w:rPr>
      </w:pPr>
    </w:p>
    <w:p>
      <w:pPr>
        <w:spacing w:after="0" w:line="291" w:lineRule="exact"/>
        <w:rPr>
          <w:sz w:val="20"/>
          <w:szCs w:val="20"/>
          <w:color w:val="auto"/>
        </w:rPr>
      </w:pPr>
    </w:p>
    <w:p>
      <w:pPr>
        <w:ind w:left="40"/>
        <w:spacing w:after="0"/>
        <w:tabs>
          <w:tab w:leader="none" w:pos="560" w:val="left"/>
        </w:tabs>
        <w:rPr>
          <w:sz w:val="20"/>
          <w:szCs w:val="20"/>
          <w:color w:val="auto"/>
        </w:rPr>
      </w:pPr>
      <w:r>
        <w:rPr>
          <w:rFonts w:ascii="Times New Roman" w:cs="Times New Roman" w:eastAsia="Times New Roman" w:hAnsi="Times New Roman"/>
          <w:sz w:val="15"/>
          <w:szCs w:val="15"/>
          <w:color w:val="auto"/>
        </w:rPr>
        <w:t>Dated:</w:t>
        <w:tab/>
        <w:t>April 11, 2014</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460"/>
          </w:cols>
          <w:pgMar w:left="220" w:top="839" w:right="219" w:bottom="1440" w:gutter="0" w:footer="0" w:header="0"/>
        </w:sectPr>
      </w:pPr>
    </w:p>
    <w:bookmarkStart w:id="3" w:name="page4"/>
    <w:bookmarkEnd w:id="3"/>
    <w:tbl>
      <w:tblPr>
        <w:tblLayout w:type="fixed"/>
        <w:tblInd w:w="980" w:type="dxa"/>
        <w:tblCellMar>
          <w:top w:w="0" w:type="dxa"/>
          <w:left w:w="0" w:type="dxa"/>
          <w:bottom w:w="0" w:type="dxa"/>
          <w:right w:w="0" w:type="dxa"/>
        </w:tblCellMar>
      </w:tblPr>
      <w:tr>
        <w:trPr>
          <w:trHeight w:val="172"/>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240" w:type="dxa"/>
            <w:vAlign w:val="bottom"/>
            <w:gridSpan w:val="2"/>
          </w:tcPr>
          <w:p>
            <w:pPr>
              <w:jc w:val="center"/>
              <w:ind w:right="2860"/>
              <w:spacing w:after="0"/>
              <w:rPr>
                <w:sz w:val="20"/>
                <w:szCs w:val="20"/>
                <w:color w:val="auto"/>
              </w:rPr>
            </w:pPr>
            <w:r>
              <w:rPr>
                <w:rFonts w:ascii="Times New Roman" w:cs="Times New Roman" w:eastAsia="Times New Roman" w:hAnsi="Times New Roman"/>
                <w:sz w:val="15"/>
                <w:szCs w:val="15"/>
                <w:color w:val="auto"/>
                <w:w w:val="96"/>
              </w:rPr>
              <w:t>INDEX TO EXHIBITS</w:t>
            </w:r>
          </w:p>
        </w:tc>
      </w:tr>
      <w:tr>
        <w:trPr>
          <w:trHeight w:val="20"/>
        </w:trPr>
        <w:tc>
          <w:tcPr>
            <w:tcW w:w="14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585"/>
        </w:trPr>
        <w:tc>
          <w:tcPr>
            <w:tcW w:w="142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Exhibit No.</w:t>
            </w:r>
          </w:p>
        </w:tc>
        <w:tc>
          <w:tcPr>
            <w:tcW w:w="1420" w:type="dxa"/>
            <w:vAlign w:val="bottom"/>
          </w:tcPr>
          <w:p>
            <w:pPr>
              <w:spacing w:after="0"/>
              <w:rPr>
                <w:sz w:val="24"/>
                <w:szCs w:val="24"/>
                <w:color w:val="auto"/>
              </w:rPr>
            </w:pPr>
          </w:p>
        </w:tc>
        <w:tc>
          <w:tcPr>
            <w:tcW w:w="4240" w:type="dxa"/>
            <w:vAlign w:val="bottom"/>
            <w:gridSpan w:val="2"/>
          </w:tcPr>
          <w:p>
            <w:pPr>
              <w:ind w:left="720"/>
              <w:spacing w:after="0"/>
              <w:rPr>
                <w:sz w:val="20"/>
                <w:szCs w:val="20"/>
                <w:color w:val="auto"/>
              </w:rPr>
            </w:pPr>
            <w:r>
              <w:rPr>
                <w:rFonts w:ascii="Times New Roman" w:cs="Times New Roman" w:eastAsia="Times New Roman" w:hAnsi="Times New Roman"/>
                <w:sz w:val="15"/>
                <w:szCs w:val="15"/>
                <w:b w:val="1"/>
                <w:bCs w:val="1"/>
                <w:color w:val="auto"/>
              </w:rPr>
              <w:t>Description of Exhibit</w:t>
            </w:r>
          </w:p>
        </w:tc>
      </w:tr>
      <w:tr>
        <w:trPr>
          <w:trHeight w:val="22"/>
        </w:trPr>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r>
      <w:tr>
        <w:trPr>
          <w:trHeight w:val="365"/>
        </w:trPr>
        <w:tc>
          <w:tcPr>
            <w:tcW w:w="1320" w:type="dxa"/>
            <w:vAlign w:val="bottom"/>
          </w:tcPr>
          <w:p>
            <w:pPr>
              <w:jc w:val="right"/>
              <w:ind w:right="987"/>
              <w:spacing w:after="0"/>
              <w:rPr>
                <w:sz w:val="20"/>
                <w:szCs w:val="20"/>
                <w:color w:val="auto"/>
              </w:rPr>
            </w:pPr>
            <w:r>
              <w:rPr>
                <w:rFonts w:ascii="Times New Roman" w:cs="Times New Roman" w:eastAsia="Times New Roman" w:hAnsi="Times New Roman"/>
                <w:sz w:val="15"/>
                <w:szCs w:val="15"/>
                <w:color w:val="auto"/>
                <w:w w:val="91"/>
              </w:rPr>
              <w:t>99.1</w:t>
            </w:r>
          </w:p>
        </w:tc>
        <w:tc>
          <w:tcPr>
            <w:tcW w:w="100" w:type="dxa"/>
            <w:vAlign w:val="bottom"/>
          </w:tcPr>
          <w:p>
            <w:pPr>
              <w:spacing w:after="0"/>
              <w:rPr>
                <w:sz w:val="24"/>
                <w:szCs w:val="24"/>
                <w:color w:val="auto"/>
              </w:rPr>
            </w:pPr>
          </w:p>
        </w:tc>
        <w:tc>
          <w:tcPr>
            <w:tcW w:w="56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JPMorgan Chase &amp; Co. Earnings Presentation Slides – Financial Results – 1Q14</w:t>
            </w:r>
          </w:p>
        </w:tc>
      </w:tr>
      <w:tr>
        <w:trPr>
          <w:trHeight w:val="572"/>
        </w:trPr>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2"/>
          </w:tcPr>
          <w:p>
            <w:pPr>
              <w:jc w:val="right"/>
              <w:ind w:right="567"/>
              <w:spacing w:after="0"/>
              <w:rPr>
                <w:sz w:val="20"/>
                <w:szCs w:val="20"/>
                <w:color w:val="auto"/>
              </w:rPr>
            </w:pPr>
            <w:r>
              <w:rPr>
                <w:rFonts w:ascii="Times New Roman" w:cs="Times New Roman" w:eastAsia="Times New Roman" w:hAnsi="Times New Roman"/>
                <w:sz w:val="15"/>
                <w:szCs w:val="15"/>
                <w:color w:val="auto"/>
              </w:rPr>
              <w:t>4</w:t>
            </w:r>
          </w:p>
        </w:tc>
        <w:tc>
          <w:tcPr>
            <w:tcW w:w="2860" w:type="dxa"/>
            <w:vAlign w:val="bottom"/>
          </w:tcPr>
          <w:p>
            <w:pPr>
              <w:spacing w:after="0"/>
              <w:rPr>
                <w:sz w:val="24"/>
                <w:szCs w:val="24"/>
                <w:color w:val="auto"/>
              </w:rPr>
            </w:pPr>
          </w:p>
        </w:tc>
      </w:tr>
    </w:tbl>
    <w:p>
      <w:pPr>
        <w:sectPr>
          <w:pgSz w:w="11900" w:h="16838" w:orient="portrait"/>
          <w:cols w:equalWidth="0" w:num="1">
            <w:col w:w="9019"/>
          </w:cols>
          <w:pgMar w:left="1440" w:top="989"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312420</wp:posOffset>
            </wp:positionV>
            <wp:extent cx="7214235" cy="5711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8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4235" cy="571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8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4235" cy="571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8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4235" cy="571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257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4235" cy="5725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88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235" cy="571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327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235" cy="5732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2019-12-05T04:08:10Z</dcterms:created>
  <dcterms:modified xsi:type="dcterms:W3CDTF">2019-12-05T04:08:10Z</dcterms:modified>
</cp:coreProperties>
</file>