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297675-01_fwp.htm"/>
      <w:bookmarkStart w:id="1" w:name="ksea029767501_fwp"/>
      <w:bookmarkStart w:id="2" w:name="ea0297675-01_fwp.htm"/>
      <w:bookmarkStart w:id="3" w:name="ksea029767501_fwp"/>
      <w:bookmarkEnd w:id="2"/>
      <w:bookmarkEnd w:id="3"/>
    </w:p>
    <w:tbl>
      <w:tblPr>
        <w:tblW w:w="10205" w:type="dxa"/>
        <w:jc w:val="left"/>
        <w:tblInd w:w="0" w:type="dxa"/>
        <w:tblLayout w:type="fixed"/>
        <w:tblCellMar>
          <w:top w:w="0" w:type="dxa"/>
          <w:left w:w="0" w:type="dxa"/>
          <w:bottom w:w="0" w:type="dxa"/>
          <w:right w:w="0" w:type="dxa"/>
        </w:tblCellMar>
      </w:tblPr>
      <w:tblGrid>
        <w:gridCol w:w="6148"/>
        <w:gridCol w:w="4057"/>
      </w:tblGrid>
      <w:tr>
        <w:trPr/>
        <w:tc>
          <w:tcPr>
            <w:tcW w:w="6148"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4057"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148" w:type="dxa"/>
            <w:vMerge w:val="continue"/>
            <w:tcBorders/>
            <w:vAlign w:val="center"/>
          </w:tcPr>
          <w:p>
            <w:pPr>
              <w:pStyle w:val="Normal"/>
              <w:bidi w:val="0"/>
              <w:jc w:val="left"/>
              <w:rPr/>
            </w:pPr>
            <w:r>
              <w:rPr/>
            </w:r>
          </w:p>
        </w:tc>
        <w:tc>
          <w:tcPr>
            <w:tcW w:w="4057"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7430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45720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 — Auto-Callable with Contingent Downside</w:t>
            </w:r>
          </w:p>
          <w:p>
            <w:pPr>
              <w:pStyle w:val="TableContents"/>
              <w:bidi w:val="0"/>
              <w:spacing w:before="120" w:after="120"/>
              <w:ind w:left="120" w:right="1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S&amp;P 500</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Index and the Nasdaq-100 Index</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due July 31, 2031</w:t>
            </w:r>
          </w:p>
          <w:p>
            <w:pPr>
              <w:pStyle w:val="TableContents"/>
              <w:bidi w:val="0"/>
              <w:spacing w:before="0" w:after="12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July 10, 2026 to Preliminary Pricing Supplement dated July 10, 2026</w:t>
            </w:r>
          </w:p>
        </w:tc>
      </w:tr>
    </w:tbl>
    <w:p>
      <w:pPr>
        <w:pStyle w:val="TextBody"/>
        <w:bidi w:val="0"/>
        <w:spacing w:before="0" w:after="2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68"/>
                              <w:gridCol w:w="8637"/>
                            </w:tblGrid>
                            <w:tr>
                              <w:trPr/>
                              <w:tc>
                                <w:tcPr>
                                  <w:tcW w:w="156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3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Indices:</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S&amp;P 500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SPX) and Nasdaq-100 Index</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(Bloomberg ticker: NDX)</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27, 2026</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30, 2026</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31, 2031</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closing level of the lowest performing Index on any call date is greater than or equal to its starting level, the securities will be automatically called for the principal amount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call premium applicable to the relevant call date.  See “Call Dates and Call Premiums” on page 2. </w:t>
                                  </w:r>
                                </w:p>
                              </w:tc>
                            </w:tr>
                            <w:tr>
                              <w:trPr/>
                              <w:tc>
                                <w:tcPr>
                                  <w:tcW w:w="15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and Call Premiums:</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call premium applicable to each call date will be a percentage of the principal amount that increases for each call date based on a simple (non-compounding) return of approximately at least 10.40% per annum.  See “Call Dates and Call Premiums” on page 2.</w:t>
                                  </w:r>
                                </w:p>
                              </w:tc>
                            </w:tr>
                            <w:tr>
                              <w:trPr/>
                              <w:tc>
                                <w:tcPr>
                                  <w:tcW w:w="15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Three business days after the applicable call date,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call settlement date for the final call date is the stated maturity date</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3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ind w:left="288" w:right="0" w:hanging="360"/>
                                    <w:jc w:val="left"/>
                                    <w:rPr>
                                      <w:rFonts w:ascii="Georgia;Times;Serif" w:hAnsi="Georgia;Times;Serif"/>
                                      <w:b w:val="false"/>
                                      <w:i w:val="false"/>
                                      <w:caps w:val="false"/>
                                      <w:smallCaps w:val="false"/>
                                      <w:sz w:val="16"/>
                                    </w:rPr>
                                  </w:pPr>
                                  <w:r>
                                    <w:rPr>
                                      <w:rFonts w:ascii="Symbol" w:hAnsi="Symbol"/>
                                      <w:b w:val="false"/>
                                      <w:i w:val="false"/>
                                      <w:caps w:val="false"/>
                                      <w:smallCaps w:val="false"/>
                                      <w:sz w:val="16"/>
                                    </w:rPr>
                                    <w:t>·</w:t>
                                  </w:r>
                                  <w:r>
                                    <w:rPr>
                                      <w:rFonts w:ascii="Georgia;Times;Serif" w:hAnsi="Georgia;Times;Serif"/>
                                      <w:b w:val="false"/>
                                      <w:i w:val="false"/>
                                      <w:caps w:val="false"/>
                                      <w:smallCaps w:val="false"/>
                                      <w:sz w:val="16"/>
                                    </w:rPr>
                                    <w:t>       if the ending level of the lowest performing Index on the final calculation day is greater than or equal to its threshold level: $1,000; or</w:t>
                                  </w:r>
                                </w:p>
                                <w:p>
                                  <w:pPr>
                                    <w:pStyle w:val="TableContents"/>
                                    <w:bidi w:val="0"/>
                                    <w:ind w:left="288" w:right="0" w:hanging="360"/>
                                    <w:jc w:val="left"/>
                                    <w:rPr>
                                      <w:rFonts w:ascii="Georgia;Times;Serif" w:hAnsi="Georgia;Times;Serif"/>
                                      <w:b w:val="false"/>
                                      <w:i w:val="false"/>
                                      <w:caps w:val="false"/>
                                      <w:smallCaps w:val="false"/>
                                      <w:sz w:val="16"/>
                                    </w:rPr>
                                  </w:pPr>
                                  <w:r>
                                    <w:rPr>
                                      <w:rFonts w:ascii="Symbol" w:hAnsi="Symbol"/>
                                      <w:b w:val="false"/>
                                      <w:i w:val="false"/>
                                      <w:caps w:val="false"/>
                                      <w:smallCaps w:val="false"/>
                                      <w:sz w:val="16"/>
                                    </w:rPr>
                                    <w:t>·</w:t>
                                  </w:r>
                                  <w:r>
                                    <w:rPr>
                                      <w:rFonts w:ascii="Georgia;Times;Serif" w:hAnsi="Georgia;Times;Serif"/>
                                      <w:b w:val="false"/>
                                      <w:i w:val="false"/>
                                      <w:caps w:val="false"/>
                                      <w:smallCaps w:val="false"/>
                                      <w:sz w:val="16"/>
                                    </w:rPr>
                                    <w:t>       if the ending level of the lowest performing Index on the final calculation day is less than its threshold level:</w:t>
                                  </w:r>
                                </w:p>
                                <w:p>
                                  <w:pPr>
                                    <w:pStyle w:val="TableContents"/>
                                    <w:bidi w:val="0"/>
                                    <w:spacing w:before="0" w:after="283"/>
                                    <w:ind w:left="528"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Index:</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call date, the “</w:t>
                                  </w:r>
                                  <w:r>
                                    <w:rPr>
                                      <w:rFonts w:ascii="Georgia;Times;Serif" w:hAnsi="Georgia;Times;Serif"/>
                                      <w:b w:val="false"/>
                                      <w:i w:val="false"/>
                                      <w:caps w:val="false"/>
                                      <w:smallCaps w:val="false"/>
                                      <w:sz w:val="16"/>
                                      <w:u w:val="single"/>
                                    </w:rPr>
                                    <w:t>lowest performing Index</w:t>
                                  </w:r>
                                  <w:r>
                                    <w:rPr>
                                      <w:rFonts w:ascii="Georgia;Times;Serif" w:hAnsi="Georgia;Times;Serif"/>
                                      <w:b w:val="false"/>
                                      <w:i w:val="false"/>
                                      <w:caps w:val="false"/>
                                      <w:smallCaps w:val="false"/>
                                      <w:sz w:val="16"/>
                                    </w:rPr>
                                    <w:t>” will be the Index with the lowest index return on that call date.</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pricing date</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final calculation day</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Level:</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70.00% of its starting level</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Index Return:</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on any call date, (closing level on that call date – starting level) / starting level</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46661CQM1</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2.825%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position w:val="5"/>
                                      <w:sz w:val="13"/>
                                      <w:sz w:val="16"/>
                                    </w:rPr>
                                    <w:t xml:space="preserve">1 </w:t>
                                  </w:r>
                                  <w:r>
                                    <w:rPr>
                                      <w:rFonts w:ascii="Georgia;Times;Serif" w:hAnsi="Georgia;Times;Serif"/>
                                      <w:b w:val="false"/>
                                      <w:i w:val="false"/>
                                      <w:caps w:val="false"/>
                                      <w:smallCaps w:val="false"/>
                                      <w:sz w:val="12"/>
                                    </w:rPr>
                                    <w:t>Subject to change</w:t>
                                  </w:r>
                                </w:p>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position w:val="5"/>
                                      <w:sz w:val="13"/>
                                      <w:sz w:val="16"/>
                                    </w:rPr>
                                    <w:t xml:space="preserve">2 </w:t>
                                  </w:r>
                                  <w:r>
                                    <w:rPr>
                                      <w:rFonts w:ascii="Georgia;Times;Serif" w:hAnsi="Georgia;Times;Serif"/>
                                      <w:b w:val="false"/>
                                      <w:i w:val="false"/>
                                      <w:caps w:val="false"/>
                                      <w:smallCaps w:val="false"/>
                                      <w:sz w:val="12"/>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68"/>
                        <w:gridCol w:w="8637"/>
                      </w:tblGrid>
                      <w:tr>
                        <w:trPr/>
                        <w:tc>
                          <w:tcPr>
                            <w:tcW w:w="156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3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Indices:</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S&amp;P 500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SPX) and Nasdaq-100 Index</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(Bloomberg ticker: NDX)</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27, 2026</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30, 2026</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31, 2031</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closing level of the lowest performing Index on any call date is greater than or equal to its starting level, the securities will be automatically called for the principal amount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call premium applicable to the relevant call date.  See “Call Dates and Call Premiums” on page 2. </w:t>
                            </w:r>
                          </w:p>
                        </w:tc>
                      </w:tr>
                      <w:tr>
                        <w:trPr/>
                        <w:tc>
                          <w:tcPr>
                            <w:tcW w:w="15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and Call Premiums:</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call premium applicable to each call date will be a percentage of the principal amount that increases for each call date based on a simple (non-compounding) return of approximately at least 10.40% per annum.  See “Call Dates and Call Premiums” on page 2.</w:t>
                            </w:r>
                          </w:p>
                        </w:tc>
                      </w:tr>
                      <w:tr>
                        <w:trPr/>
                        <w:tc>
                          <w:tcPr>
                            <w:tcW w:w="1568"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Three business days after the applicable call date,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call settlement date for the final call date is the stated maturity date</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3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ind w:left="288" w:right="0" w:hanging="360"/>
                              <w:jc w:val="left"/>
                              <w:rPr>
                                <w:rFonts w:ascii="Georgia;Times;Serif" w:hAnsi="Georgia;Times;Serif"/>
                                <w:b w:val="false"/>
                                <w:i w:val="false"/>
                                <w:caps w:val="false"/>
                                <w:smallCaps w:val="false"/>
                                <w:sz w:val="16"/>
                              </w:rPr>
                            </w:pPr>
                            <w:r>
                              <w:rPr>
                                <w:rFonts w:ascii="Symbol" w:hAnsi="Symbol"/>
                                <w:b w:val="false"/>
                                <w:i w:val="false"/>
                                <w:caps w:val="false"/>
                                <w:smallCaps w:val="false"/>
                                <w:sz w:val="16"/>
                              </w:rPr>
                              <w:t>·</w:t>
                            </w:r>
                            <w:r>
                              <w:rPr>
                                <w:rFonts w:ascii="Georgia;Times;Serif" w:hAnsi="Georgia;Times;Serif"/>
                                <w:b w:val="false"/>
                                <w:i w:val="false"/>
                                <w:caps w:val="false"/>
                                <w:smallCaps w:val="false"/>
                                <w:sz w:val="16"/>
                              </w:rPr>
                              <w:t>       if the ending level of the lowest performing Index on the final calculation day is greater than or equal to its threshold level: $1,000; or</w:t>
                            </w:r>
                          </w:p>
                          <w:p>
                            <w:pPr>
                              <w:pStyle w:val="TableContents"/>
                              <w:bidi w:val="0"/>
                              <w:ind w:left="288" w:right="0" w:hanging="360"/>
                              <w:jc w:val="left"/>
                              <w:rPr>
                                <w:rFonts w:ascii="Georgia;Times;Serif" w:hAnsi="Georgia;Times;Serif"/>
                                <w:b w:val="false"/>
                                <w:i w:val="false"/>
                                <w:caps w:val="false"/>
                                <w:smallCaps w:val="false"/>
                                <w:sz w:val="16"/>
                              </w:rPr>
                            </w:pPr>
                            <w:r>
                              <w:rPr>
                                <w:rFonts w:ascii="Symbol" w:hAnsi="Symbol"/>
                                <w:b w:val="false"/>
                                <w:i w:val="false"/>
                                <w:caps w:val="false"/>
                                <w:smallCaps w:val="false"/>
                                <w:sz w:val="16"/>
                              </w:rPr>
                              <w:t>·</w:t>
                            </w:r>
                            <w:r>
                              <w:rPr>
                                <w:rFonts w:ascii="Georgia;Times;Serif" w:hAnsi="Georgia;Times;Serif"/>
                                <w:b w:val="false"/>
                                <w:i w:val="false"/>
                                <w:caps w:val="false"/>
                                <w:smallCaps w:val="false"/>
                                <w:sz w:val="16"/>
                              </w:rPr>
                              <w:t>       if the ending level of the lowest performing Index on the final calculation day is less than its threshold level:</w:t>
                            </w:r>
                          </w:p>
                          <w:p>
                            <w:pPr>
                              <w:pStyle w:val="TableContents"/>
                              <w:bidi w:val="0"/>
                              <w:spacing w:before="0" w:after="283"/>
                              <w:ind w:left="528"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Index:</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call date, the “</w:t>
                            </w:r>
                            <w:r>
                              <w:rPr>
                                <w:rFonts w:ascii="Georgia;Times;Serif" w:hAnsi="Georgia;Times;Serif"/>
                                <w:b w:val="false"/>
                                <w:i w:val="false"/>
                                <w:caps w:val="false"/>
                                <w:smallCaps w:val="false"/>
                                <w:sz w:val="16"/>
                                <w:u w:val="single"/>
                              </w:rPr>
                              <w:t>lowest performing Index</w:t>
                            </w:r>
                            <w:r>
                              <w:rPr>
                                <w:rFonts w:ascii="Georgia;Times;Serif" w:hAnsi="Georgia;Times;Serif"/>
                                <w:b w:val="false"/>
                                <w:i w:val="false"/>
                                <w:caps w:val="false"/>
                                <w:smallCaps w:val="false"/>
                                <w:sz w:val="16"/>
                              </w:rPr>
                              <w:t>” will be the Index with the lowest index return on that call date.</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pricing date</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final calculation day</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Level:</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70.00% of its starting level</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Index Return:</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on any call date, (closing level on that call date – starting level) / starting level</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46661CQM1</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2.825%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position w:val="5"/>
                                <w:sz w:val="13"/>
                                <w:sz w:val="16"/>
                              </w:rPr>
                              <w:t xml:space="preserve">1 </w:t>
                            </w:r>
                            <w:r>
                              <w:rPr>
                                <w:rFonts w:ascii="Georgia;Times;Serif" w:hAnsi="Georgia;Times;Serif"/>
                                <w:b w:val="false"/>
                                <w:i w:val="false"/>
                                <w:caps w:val="false"/>
                                <w:smallCaps w:val="false"/>
                                <w:sz w:val="12"/>
                              </w:rPr>
                              <w:t>Subject to change</w:t>
                            </w:r>
                          </w:p>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position w:val="5"/>
                                <w:sz w:val="13"/>
                                <w:sz w:val="16"/>
                              </w:rPr>
                              <w:t xml:space="preserve">2 </w:t>
                            </w:r>
                            <w:r>
                              <w:rPr>
                                <w:rFonts w:ascii="Georgia;Times;Serif" w:hAnsi="Georgia;Times;Serif"/>
                                <w:b w:val="false"/>
                                <w:i w:val="false"/>
                                <w:caps w:val="false"/>
                                <w:smallCaps w:val="false"/>
                                <w:sz w:val="12"/>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6731000"/>
                <wp:effectExtent l="0" t="0" r="0" b="0"/>
                <wp:wrapSquare wrapText="left"/>
                <wp:docPr id="3" name="Frame2"/>
                <a:graphic xmlns:a="http://schemas.openxmlformats.org/drawingml/2006/main">
                  <a:graphicData uri="http://schemas.microsoft.com/office/word/2010/wordprocessingShape">
                    <wps:wsp>
                      <wps:cNvSpPr txBox="1"/>
                      <wps:spPr>
                        <a:xfrm>
                          <a:off x="0" y="0"/>
                          <a:ext cx="3175000" cy="673100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ind w:left="90" w:right="0" w:hanging="0"/>
                              <w:jc w:val="left"/>
                              <w:rPr>
                                <w:caps w:val="false"/>
                                <w:smallCaps w:val="false"/>
                                <w:color w:val="8F8F8F"/>
                              </w:rPr>
                            </w:pPr>
                            <w:r>
                              <w:rPr>
                                <w:caps w:val="false"/>
                                <w:smallCaps w:val="false"/>
                                <w:color w:val="8F8F8F"/>
                              </w:rPr>
                              <w:drawing>
                                <wp:inline distT="0" distB="0" distL="0" distR="0">
                                  <wp:extent cx="3190875" cy="19621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190875" cy="1962150"/>
                                          </a:xfrm>
                                          <a:prstGeom prst="rect">
                                            <a:avLst/>
                                          </a:prstGeom>
                                        </pic:spPr>
                                      </pic:pic>
                                    </a:graphicData>
                                  </a:graphic>
                                </wp:inline>
                              </w:drawing>
                            </w:r>
                          </w:p>
                          <w:p>
                            <w:pPr>
                              <w:pStyle w:val="TextBody"/>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Assumes a call premium for each call date equal to the minimum call premium for that call date</w:t>
                            </w:r>
                          </w:p>
                          <w:p>
                            <w:pPr>
                              <w:pStyle w:val="TextBody"/>
                              <w:bidi w:val="0"/>
                              <w:spacing w:before="40" w:after="40"/>
                              <w:ind w:left="12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 xml:space="preserve">If the securities are not automatically called and the ending level of the lowest performing Index on the final calculation day is less than its threshold level, you will have full downside exposure to the decrease in the level of that Index from its starting level, and you will lose more than 30%, and possibly all, of the principal amount of your securities at maturity. </w:t>
                            </w:r>
                          </w:p>
                          <w:p>
                            <w:pPr>
                              <w:pStyle w:val="TextBody"/>
                              <w:bidi w:val="0"/>
                              <w:spacing w:before="40" w:after="40"/>
                              <w:ind w:left="12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positive return on the securities will be limited to the applicable call premium, even if the closing level of the lowest performing Index on the applicable call date significantly exceeds its starting level. You will not participate in any appreciation of either Index beyond the applicable call premium.</w:t>
                            </w:r>
                          </w:p>
                          <w:p>
                            <w:pPr>
                              <w:pStyle w:val="TextBody"/>
                              <w:bidi w:val="0"/>
                              <w:spacing w:before="40" w:after="40"/>
                              <w:ind w:left="12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12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$942.10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spacing w:before="40" w:after="40"/>
                              <w:ind w:left="120" w:right="40" w:hanging="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http://www.sec.gov/Archives/edgar/data/19617/000121390026076996/</w:t>
                                <w:br/>
                                <w:t>ea0297651-01_424b2.htm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0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ind w:left="90" w:right="0" w:hanging="0"/>
                        <w:jc w:val="left"/>
                        <w:rPr>
                          <w:caps w:val="false"/>
                          <w:smallCaps w:val="false"/>
                          <w:color w:val="8F8F8F"/>
                        </w:rPr>
                      </w:pPr>
                      <w:r>
                        <w:rPr>
                          <w:caps w:val="false"/>
                          <w:smallCaps w:val="false"/>
                          <w:color w:val="8F8F8F"/>
                        </w:rPr>
                        <w:drawing>
                          <wp:inline distT="0" distB="0" distL="0" distR="0">
                            <wp:extent cx="3190875" cy="19621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190875" cy="1962150"/>
                                    </a:xfrm>
                                    <a:prstGeom prst="rect">
                                      <a:avLst/>
                                    </a:prstGeom>
                                  </pic:spPr>
                                </pic:pic>
                              </a:graphicData>
                            </a:graphic>
                          </wp:inline>
                        </w:drawing>
                      </w:r>
                    </w:p>
                    <w:p>
                      <w:pPr>
                        <w:pStyle w:val="TextBody"/>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Assumes a call premium for each call date equal to the minimum call premium for that call date</w:t>
                      </w:r>
                    </w:p>
                    <w:p>
                      <w:pPr>
                        <w:pStyle w:val="TextBody"/>
                        <w:bidi w:val="0"/>
                        <w:spacing w:before="40" w:after="40"/>
                        <w:ind w:left="12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 xml:space="preserve">If the securities are not automatically called and the ending level of the lowest performing Index on the final calculation day is less than its threshold level, you will have full downside exposure to the decrease in the level of that Index from its starting level, and you will lose more than 30%, and possibly all, of the principal amount of your securities at maturity. </w:t>
                      </w:r>
                    </w:p>
                    <w:p>
                      <w:pPr>
                        <w:pStyle w:val="TextBody"/>
                        <w:bidi w:val="0"/>
                        <w:spacing w:before="40" w:after="40"/>
                        <w:ind w:left="12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positive return on the securities will be limited to the applicable call premium, even if the closing level of the lowest performing Index on the applicable call date significantly exceeds its starting level. You will not participate in any appreciation of either Index beyond the applicable call premium.</w:t>
                      </w:r>
                    </w:p>
                    <w:p>
                      <w:pPr>
                        <w:pStyle w:val="TextBody"/>
                        <w:bidi w:val="0"/>
                        <w:spacing w:before="40" w:after="40"/>
                        <w:ind w:left="12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12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$942.10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spacing w:before="40" w:after="40"/>
                        <w:ind w:left="120" w:right="40" w:hanging="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http://www.sec.gov/Archives/edgar/data/19617/000121390026076996/</w:t>
                          <w:br/>
                          <w:t>ea0297651-01_424b2.htm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product supplement and underlying supplement</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360" w:after="80"/>
        <w:ind w:left="360" w:right="3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Call Dates and Call Premiums</w:t>
      </w:r>
    </w:p>
    <w:tbl>
      <w:tblPr>
        <w:tblW w:w="5410" w:type="dxa"/>
        <w:jc w:val="left"/>
        <w:tblInd w:w="-10" w:type="dxa"/>
        <w:tblLayout w:type="fixed"/>
        <w:tblCellMar>
          <w:top w:w="28" w:type="dxa"/>
          <w:left w:w="108" w:type="dxa"/>
          <w:bottom w:w="28" w:type="dxa"/>
          <w:right w:w="108" w:type="dxa"/>
        </w:tblCellMar>
      </w:tblPr>
      <w:tblGrid>
        <w:gridCol w:w="2210"/>
        <w:gridCol w:w="3200"/>
      </w:tblGrid>
      <w:tr>
        <w:trPr/>
        <w:tc>
          <w:tcPr>
            <w:tcW w:w="2210"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center"/>
              <w:rPr>
                <w:rFonts w:ascii="Georgia;Times;Serif" w:hAnsi="Georgia;Times;Serif"/>
                <w:b/>
                <w:i w:val="false"/>
                <w:caps w:val="false"/>
                <w:smallCaps w:val="false"/>
                <w:color w:val="000000"/>
                <w:sz w:val="18"/>
              </w:rPr>
            </w:pPr>
            <w:r>
              <w:rPr>
                <w:rFonts w:ascii="Georgia;Times;Serif" w:hAnsi="Georgia;Times;Serif"/>
                <w:b/>
                <w:i w:val="false"/>
                <w:caps w:val="false"/>
                <w:smallCaps w:val="false"/>
                <w:color w:val="000000"/>
                <w:sz w:val="18"/>
              </w:rPr>
              <w:t>Call Date</w:t>
            </w:r>
          </w:p>
        </w:tc>
        <w:tc>
          <w:tcPr>
            <w:tcW w:w="320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rFonts w:ascii="Georgia;Times;Serif" w:hAnsi="Georgia;Times;Serif"/>
                <w:b/>
                <w:i w:val="false"/>
                <w:caps w:val="false"/>
                <w:smallCaps w:val="false"/>
                <w:color w:val="000000"/>
                <w:sz w:val="18"/>
              </w:rPr>
            </w:pPr>
            <w:r>
              <w:rPr>
                <w:rFonts w:ascii="Georgia;Times;Serif" w:hAnsi="Georgia;Times;Serif"/>
                <w:b/>
                <w:i w:val="false"/>
                <w:caps w:val="false"/>
                <w:smallCaps w:val="false"/>
                <w:color w:val="000000"/>
                <w:sz w:val="18"/>
              </w:rPr>
              <w:t>Call Premium</w:t>
            </w:r>
            <w:r>
              <w:rPr>
                <w:rFonts w:ascii="Georgia;Times;Serif" w:hAnsi="Georgia;Times;Serif"/>
                <w:b/>
                <w:i w:val="false"/>
                <w:caps w:val="false"/>
                <w:smallCaps w:val="false"/>
                <w:color w:val="000000"/>
                <w:position w:val="6"/>
                <w:sz w:val="14"/>
                <w:sz w:val="18"/>
              </w:rPr>
              <w:t>†</w:t>
            </w:r>
          </w:p>
        </w:tc>
      </w:tr>
      <w:tr>
        <w:trPr/>
        <w:tc>
          <w:tcPr>
            <w:tcW w:w="22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July 30, 2027</w:t>
            </w:r>
          </w:p>
        </w:tc>
        <w:tc>
          <w:tcPr>
            <w:tcW w:w="3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At least 10.40% of the principal amount</w:t>
            </w:r>
          </w:p>
        </w:tc>
      </w:tr>
      <w:tr>
        <w:trPr/>
        <w:tc>
          <w:tcPr>
            <w:tcW w:w="22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July 31, 2028</w:t>
            </w:r>
          </w:p>
        </w:tc>
        <w:tc>
          <w:tcPr>
            <w:tcW w:w="3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At least 20.80% of the principal amount</w:t>
            </w:r>
          </w:p>
        </w:tc>
      </w:tr>
      <w:tr>
        <w:trPr/>
        <w:tc>
          <w:tcPr>
            <w:tcW w:w="22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July 30, 2029</w:t>
            </w:r>
          </w:p>
        </w:tc>
        <w:tc>
          <w:tcPr>
            <w:tcW w:w="3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At least 31.20% of the principal amount</w:t>
            </w:r>
          </w:p>
        </w:tc>
      </w:tr>
      <w:tr>
        <w:trPr/>
        <w:tc>
          <w:tcPr>
            <w:tcW w:w="22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July 30, 2030</w:t>
            </w:r>
          </w:p>
        </w:tc>
        <w:tc>
          <w:tcPr>
            <w:tcW w:w="3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At least 41.60% of the principal amount</w:t>
            </w:r>
          </w:p>
        </w:tc>
      </w:tr>
      <w:tr>
        <w:trPr/>
        <w:tc>
          <w:tcPr>
            <w:tcW w:w="2210" w:type="dxa"/>
            <w:tcBorders>
              <w:left w:val="single" w:sz="8" w:space="0" w:color="000000"/>
              <w:bottom w:val="single" w:sz="8" w:space="0" w:color="000000"/>
              <w:right w:val="single" w:sz="8" w:space="0" w:color="000000"/>
            </w:tcBorders>
            <w:tcMar>
              <w:top w:w="0" w:type="dxa"/>
            </w:tcMar>
            <w:vAlign w:val="center"/>
          </w:tcPr>
          <w:p>
            <w:pPr>
              <w:pStyle w:val="TableContents"/>
              <w:bidi w:val="0"/>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July 28, 2031</w:t>
            </w:r>
          </w:p>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“final calculation day”)</w:t>
            </w:r>
          </w:p>
        </w:tc>
        <w:tc>
          <w:tcPr>
            <w:tcW w:w="3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At least 52.00% of the principal amount</w:t>
            </w:r>
          </w:p>
        </w:tc>
      </w:tr>
    </w:tbl>
    <w:p>
      <w:pPr>
        <w:pStyle w:val="TextBody"/>
        <w:bidi w:val="0"/>
        <w:jc w:val="left"/>
        <w:rPr>
          <w:caps w:val="false"/>
          <w:smallCaps w:val="false"/>
        </w:rPr>
      </w:pPr>
      <w:r>
        <w:rPr>
          <w:caps w:val="false"/>
          <w:smallCaps w:val="false"/>
          <w:position w:val="8"/>
          <w:sz w:val="19"/>
        </w:rPr>
        <w:t xml:space="preserve">† </w:t>
      </w:r>
      <w:r>
        <w:rPr>
          <w:rFonts w:ascii="Georgia;Times;Serif" w:hAnsi="Georgia;Times;Serif"/>
          <w:b w:val="false"/>
          <w:i w:val="false"/>
          <w:caps w:val="false"/>
          <w:smallCaps w:val="false"/>
          <w:sz w:val="15"/>
        </w:rPr>
        <w:t>To be provided in the pricing supplement</w:t>
      </w:r>
    </w:p>
    <w:p>
      <w:pPr>
        <w:pStyle w:val="TextBody"/>
        <w:bidi w:val="0"/>
        <w:spacing w:before="240" w:after="120"/>
        <w:ind w:left="240" w:right="24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p>
      <w:pPr>
        <w:pStyle w:val="TextBody"/>
        <w:bidi w:val="0"/>
        <w:spacing w:before="240" w:after="120"/>
        <w:ind w:left="240" w:right="240" w:hanging="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6604635"/>
                <wp:effectExtent l="0" t="0" r="0" b="0"/>
                <wp:wrapSquare wrapText="right"/>
                <wp:docPr id="6" name="Frame3"/>
                <a:graphic xmlns:a="http://schemas.openxmlformats.org/drawingml/2006/main">
                  <a:graphicData uri="http://schemas.microsoft.com/office/word/2010/wordprocessingShape">
                    <wps:wsp>
                      <wps:cNvSpPr txBox="1"/>
                      <wps:spPr>
                        <a:xfrm>
                          <a:off x="0" y="0"/>
                          <a:ext cx="3175000" cy="6604635"/>
                        </a:xfrm>
                        <a:prstGeom prst="rect"/>
                        <a:solidFill>
                          <a:srgbClr val="FFFFFF"/>
                        </a:solidFill>
                      </wps:spPr>
                      <wps:txbx>
                        <w:txbxContent>
                          <w:p>
                            <w:pPr>
                              <w:pStyle w:val="TextBody"/>
                              <w:bidi w:val="0"/>
                              <w:spacing w:before="120" w:after="120"/>
                              <w:ind w:left="389" w:right="12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Level of the Lowest Performing Index on the Final Calculation Day Is Less Than Its Threshold Level, You Will Lose More Than 30%, and Possibly All, of the Principal Amount of Your Securities at Maturity.</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Potential Return on the Securities Is Limited to the Call Premium.</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You Will Be Subject to Reinvestment Risk. </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Level of Each Index.</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Index.</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Between the Indices.</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extBody"/>
                              <w:bidi w:val="0"/>
                              <w:spacing w:before="0" w:after="283"/>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20.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ind w:left="389" w:right="12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Level of the Lowest Performing Index on the Final Calculation Day Is Less Than Its Threshold Level, You Will Lose More Than 30%, and Possibly All, of the Principal Amount of Your Securities at Maturity.</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Potential Return on the Securities Is Limited to the Call Premium.</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You Will Be Subject to Reinvestment Risk. </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Level of Each Index.</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Index.</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Between the Indices.</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extBody"/>
                        <w:bidi w:val="0"/>
                        <w:spacing w:before="0" w:after="283"/>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right</wp:align>
                </wp:positionH>
                <wp:positionV relativeFrom="line">
                  <wp:posOffset>635</wp:posOffset>
                </wp:positionV>
                <wp:extent cx="3175000" cy="5039995"/>
                <wp:effectExtent l="0" t="0" r="0" b="0"/>
                <wp:wrapSquare wrapText="left"/>
                <wp:docPr id="7" name="Frame4"/>
                <a:graphic xmlns:a="http://schemas.openxmlformats.org/drawingml/2006/main">
                  <a:graphicData uri="http://schemas.microsoft.com/office/word/2010/wordprocessingShape">
                    <wps:wsp>
                      <wps:cNvSpPr txBox="1"/>
                      <wps:spPr>
                        <a:xfrm>
                          <a:off x="0" y="0"/>
                          <a:ext cx="3175000" cy="5039995"/>
                        </a:xfrm>
                        <a:prstGeom prst="rect"/>
                        <a:solidFill>
                          <a:srgbClr val="FFFFFF"/>
                        </a:solidFill>
                      </wps:spPr>
                      <wps:txbx>
                        <w:txbxContent>
                          <w:p>
                            <w:pPr>
                              <w:pStyle w:val="TextBody"/>
                              <w:bidi w:val="0"/>
                              <w:ind w:left="389" w:right="0" w:hanging="389"/>
                              <w:jc w:val="left"/>
                              <w:rPr>
                                <w:caps w:val="false"/>
                                <w:smallCaps w:val="false"/>
                              </w:rPr>
                            </w:pPr>
                            <w:r>
                              <w:rPr>
                                <w:caps w:val="false"/>
                                <w:smallCaps w:val="false"/>
                              </w:rPr>
                              <w:t> </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Each of JPMorgan Chase &amp; Co. and Wells Fargo &amp; Company (the Parent Company of WFS) Is </w:t>
                            </w:r>
                            <w:r>
                              <w:rPr>
                                <w:rFonts w:ascii="Georgia;Times;Serif" w:hAnsi="Georgia;Times;Serif"/>
                                <w:b/>
                                <w:i w:val="false"/>
                                <w:caps w:val="false"/>
                                <w:smallCaps w:val="false"/>
                                <w:sz w:val="18"/>
                              </w:rPr>
                              <w:t xml:space="preserve">Currently </w:t>
                            </w:r>
                            <w:r>
                              <w:rPr>
                                <w:rFonts w:ascii="Georgia;Times;Serif" w:hAnsi="Georgia;Times;Serif"/>
                                <w:b/>
                                <w:i w:val="false"/>
                                <w:caps w:val="false"/>
                                <w:smallCaps w:val="false"/>
                                <w:sz w:val="18"/>
                                <w:shd w:fill="FFFFFF" w:val="clear"/>
                              </w:rPr>
                              <w:t>One of the Companies that Make Up the S&amp;P 500</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 xml:space="preserve"> Index</w:t>
                            </w:r>
                            <w:r>
                              <w:rPr>
                                <w:rFonts w:ascii="Times New Roman;Times;Serif" w:hAnsi="Times New Roman;Times;Serif"/>
                                <w:b/>
                                <w:i w:val="false"/>
                                <w:caps w:val="false"/>
                                <w:smallCaps w:val="false"/>
                                <w:sz w:val="24"/>
                                <w:shd w:fill="FFFFFF" w:val="clear"/>
                              </w:rPr>
                              <w:t>.</w:t>
                            </w:r>
                          </w:p>
                          <w:p>
                            <w:pPr>
                              <w:pStyle w:val="TextBody"/>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The Securities Are Subject to Non-U.S. Securities Risk with Respect to the Nasdaq-100 Index</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w:t>
                            </w:r>
                          </w:p>
                          <w:p>
                            <w:pPr>
                              <w:pStyle w:val="TextBody"/>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Any Payment on the Securities Will Depend upon the Performance of Each Index and Therefore the Securities Are Subject to the Risks Associated with Each Index, Each as Discussed in the Accompanying Preliminary Pricing Supplement and Product Supplement.</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96.8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389" w:right="0" w:hanging="389"/>
                        <w:jc w:val="left"/>
                        <w:rPr>
                          <w:caps w:val="false"/>
                          <w:smallCaps w:val="false"/>
                        </w:rPr>
                      </w:pPr>
                      <w:r>
                        <w:rPr>
                          <w:caps w:val="false"/>
                          <w:smallCaps w:val="false"/>
                        </w:rPr>
                        <w:t> </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extBody"/>
                        <w:bidi w:val="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Each of JPMorgan Chase &amp; Co. and Wells Fargo &amp; Company (the Parent Company of WFS) Is </w:t>
                      </w:r>
                      <w:r>
                        <w:rPr>
                          <w:rFonts w:ascii="Georgia;Times;Serif" w:hAnsi="Georgia;Times;Serif"/>
                          <w:b/>
                          <w:i w:val="false"/>
                          <w:caps w:val="false"/>
                          <w:smallCaps w:val="false"/>
                          <w:sz w:val="18"/>
                        </w:rPr>
                        <w:t xml:space="preserve">Currently </w:t>
                      </w:r>
                      <w:r>
                        <w:rPr>
                          <w:rFonts w:ascii="Georgia;Times;Serif" w:hAnsi="Georgia;Times;Serif"/>
                          <w:b/>
                          <w:i w:val="false"/>
                          <w:caps w:val="false"/>
                          <w:smallCaps w:val="false"/>
                          <w:sz w:val="18"/>
                          <w:shd w:fill="FFFFFF" w:val="clear"/>
                        </w:rPr>
                        <w:t>One of the Companies that Make Up the S&amp;P 500</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 xml:space="preserve"> Index</w:t>
                      </w:r>
                      <w:r>
                        <w:rPr>
                          <w:rFonts w:ascii="Times New Roman;Times;Serif" w:hAnsi="Times New Roman;Times;Serif"/>
                          <w:b/>
                          <w:i w:val="false"/>
                          <w:caps w:val="false"/>
                          <w:smallCaps w:val="false"/>
                          <w:sz w:val="24"/>
                          <w:shd w:fill="FFFFFF" w:val="clear"/>
                        </w:rPr>
                        <w:t>.</w:t>
                      </w:r>
                    </w:p>
                    <w:p>
                      <w:pPr>
                        <w:pStyle w:val="TextBody"/>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The Securities Are Subject to Non-U.S. Securities Risk with Respect to the Nasdaq-100 Index</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w:t>
                      </w:r>
                    </w:p>
                    <w:p>
                      <w:pPr>
                        <w:pStyle w:val="TextBody"/>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Any Payment on the Securities Will Depend upon the Performance of Each Index and Therefore the Securities Are Subject to the Risks Associated with Each Index, Each as Discussed in the Accompanying Preliminary Pricing Supplement and Product Supplement.</w:t>
                      </w:r>
                    </w:p>
                  </w:txbxContent>
                </v:textbox>
                <w10:wrap type="square" side="left"/>
              </v:rect>
            </w:pict>
          </mc:Fallback>
        </mc:AlternateContent>
      </w:r>
    </w:p>
    <w:p>
      <w:pPr>
        <w:pStyle w:val="TextBody"/>
        <w:bidi w:val="0"/>
        <w:spacing w:before="0" w:after="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jc w:val="center"/>
        <w:rPr/>
      </w:pPr>
      <w:r>
        <w:rPr/>
        <w:t> </w:t>
      </w:r>
    </w:p>
    <w:p>
      <w:pPr>
        <w:pStyle w:val="TextBody"/>
        <w:bidi w:val="0"/>
        <w:spacing w:before="0" w:after="2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76996/ea0297651-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76996/ea0297651-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1637</Words>
  <Characters>8608</Characters>
  <CharactersWithSpaces>10275</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