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20"/>
                <w:szCs w:val="20"/>
                <w:color w:val="auto"/>
              </w:rPr>
            </w:pPr>
            <w:r>
              <w:rPr>
                <w:rFonts w:ascii="Arial" w:cs="Arial" w:eastAsia="Arial" w:hAnsi="Arial"/>
                <w:sz w:val="14"/>
                <w:szCs w:val="14"/>
                <w:b w:val="1"/>
                <w:bCs w:val="1"/>
                <w:color w:val="auto"/>
              </w:rPr>
              <w:t>Term sheet</w:t>
            </w:r>
          </w:p>
        </w:tc>
        <w:tc>
          <w:tcPr>
            <w:tcW w:w="5160" w:type="dxa"/>
            <w:vAlign w:val="bottom"/>
          </w:tcPr>
          <w:p>
            <w:pPr>
              <w:jc w:val="right"/>
              <w:spacing w:after="0"/>
              <w:rPr>
                <w:sz w:val="20"/>
                <w:szCs w:val="20"/>
                <w:color w:val="auto"/>
              </w:rPr>
            </w:pPr>
            <w:r>
              <w:rPr>
                <w:rFonts w:ascii="Arial" w:cs="Arial" w:eastAsia="Arial" w:hAnsi="Arial"/>
                <w:sz w:val="14"/>
                <w:szCs w:val="14"/>
                <w:b w:val="1"/>
                <w:bCs w:val="1"/>
                <w:color w:val="auto"/>
              </w:rPr>
              <w:t>Term sheet to</w:t>
            </w:r>
          </w:p>
        </w:tc>
      </w:tr>
      <w:tr>
        <w:trPr>
          <w:trHeight w:val="162"/>
        </w:trPr>
        <w:tc>
          <w:tcPr>
            <w:tcW w:w="6260" w:type="dxa"/>
            <w:vAlign w:val="bottom"/>
          </w:tcPr>
          <w:p>
            <w:pPr>
              <w:spacing w:after="0"/>
              <w:rPr>
                <w:sz w:val="20"/>
                <w:szCs w:val="20"/>
                <w:color w:val="auto"/>
              </w:rPr>
            </w:pPr>
            <w:r>
              <w:rPr>
                <w:rFonts w:ascii="Arial" w:cs="Arial" w:eastAsia="Arial" w:hAnsi="Arial"/>
                <w:sz w:val="14"/>
                <w:szCs w:val="14"/>
                <w:i w:val="1"/>
                <w:iCs w:val="1"/>
                <w:color w:val="auto"/>
              </w:rPr>
              <w:t>To prospectus dated November 14, 2011,</w:t>
            </w:r>
          </w:p>
        </w:tc>
        <w:tc>
          <w:tcPr>
            <w:tcW w:w="5160" w:type="dxa"/>
            <w:vAlign w:val="bottom"/>
          </w:tcPr>
          <w:p>
            <w:pPr>
              <w:jc w:val="right"/>
              <w:spacing w:after="0"/>
              <w:rPr>
                <w:sz w:val="20"/>
                <w:szCs w:val="20"/>
                <w:color w:val="auto"/>
              </w:rPr>
            </w:pPr>
            <w:r>
              <w:rPr>
                <w:rFonts w:ascii="Arial" w:cs="Arial" w:eastAsia="Arial" w:hAnsi="Arial"/>
                <w:sz w:val="14"/>
                <w:szCs w:val="14"/>
                <w:b w:val="1"/>
                <w:bCs w:val="1"/>
                <w:color w:val="auto"/>
              </w:rPr>
              <w:t>Product Supplement No. 4-l</w:t>
            </w:r>
          </w:p>
        </w:tc>
      </w:tr>
      <w:tr>
        <w:trPr>
          <w:trHeight w:val="162"/>
        </w:trPr>
        <w:tc>
          <w:tcPr>
            <w:tcW w:w="6260" w:type="dxa"/>
            <w:vAlign w:val="bottom"/>
          </w:tcPr>
          <w:p>
            <w:pPr>
              <w:spacing w:after="0"/>
              <w:rPr>
                <w:sz w:val="20"/>
                <w:szCs w:val="20"/>
                <w:color w:val="auto"/>
              </w:rPr>
            </w:pPr>
            <w:r>
              <w:rPr>
                <w:rFonts w:ascii="Arial" w:cs="Arial" w:eastAsia="Arial" w:hAnsi="Arial"/>
                <w:sz w:val="14"/>
                <w:szCs w:val="14"/>
                <w:i w:val="1"/>
                <w:iCs w:val="1"/>
                <w:color w:val="auto"/>
              </w:rPr>
              <w:t>prospectus supplement dated November 14, 2011,</w:t>
            </w:r>
          </w:p>
        </w:tc>
        <w:tc>
          <w:tcPr>
            <w:tcW w:w="5160" w:type="dxa"/>
            <w:vAlign w:val="bottom"/>
          </w:tcPr>
          <w:p>
            <w:pPr>
              <w:jc w:val="right"/>
              <w:spacing w:after="0"/>
              <w:rPr>
                <w:sz w:val="20"/>
                <w:szCs w:val="20"/>
                <w:color w:val="auto"/>
              </w:rPr>
            </w:pPr>
            <w:r>
              <w:rPr>
                <w:rFonts w:ascii="Arial" w:cs="Arial" w:eastAsia="Arial" w:hAnsi="Arial"/>
                <w:sz w:val="14"/>
                <w:szCs w:val="14"/>
                <w:b w:val="1"/>
                <w:bCs w:val="1"/>
                <w:color w:val="auto"/>
              </w:rPr>
              <w:t>Registration Statement No. 333-177923</w:t>
            </w:r>
          </w:p>
        </w:tc>
      </w:tr>
      <w:tr>
        <w:trPr>
          <w:trHeight w:val="166"/>
        </w:trPr>
        <w:tc>
          <w:tcPr>
            <w:tcW w:w="6260" w:type="dxa"/>
            <w:vAlign w:val="bottom"/>
          </w:tcPr>
          <w:p>
            <w:pPr>
              <w:spacing w:after="0"/>
              <w:rPr>
                <w:sz w:val="20"/>
                <w:szCs w:val="20"/>
                <w:color w:val="auto"/>
              </w:rPr>
            </w:pPr>
            <w:r>
              <w:rPr>
                <w:rFonts w:ascii="Arial" w:cs="Arial" w:eastAsia="Arial" w:hAnsi="Arial"/>
                <w:sz w:val="14"/>
                <w:szCs w:val="14"/>
                <w:i w:val="1"/>
                <w:iCs w:val="1"/>
                <w:color w:val="auto"/>
              </w:rPr>
              <w:t>product supplement no. 4-I dated November 14, 2011 and</w:t>
            </w:r>
          </w:p>
        </w:tc>
        <w:tc>
          <w:tcPr>
            <w:tcW w:w="5160" w:type="dxa"/>
            <w:vAlign w:val="bottom"/>
          </w:tcPr>
          <w:p>
            <w:pPr>
              <w:jc w:val="right"/>
              <w:spacing w:after="0"/>
              <w:rPr>
                <w:sz w:val="20"/>
                <w:szCs w:val="20"/>
                <w:color w:val="auto"/>
              </w:rPr>
            </w:pPr>
            <w:r>
              <w:rPr>
                <w:rFonts w:ascii="Arial" w:cs="Arial" w:eastAsia="Arial" w:hAnsi="Arial"/>
                <w:sz w:val="14"/>
                <w:szCs w:val="14"/>
                <w:b w:val="1"/>
                <w:bCs w:val="1"/>
                <w:color w:val="auto"/>
              </w:rPr>
              <w:t>Dated April 16, 2013; Rule 433</w:t>
            </w:r>
          </w:p>
        </w:tc>
      </w:tr>
      <w:tr>
        <w:trPr>
          <w:trHeight w:val="186"/>
        </w:trPr>
        <w:tc>
          <w:tcPr>
            <w:tcW w:w="6260" w:type="dxa"/>
            <w:vAlign w:val="bottom"/>
          </w:tcPr>
          <w:p>
            <w:pPr>
              <w:spacing w:after="0"/>
              <w:rPr>
                <w:sz w:val="20"/>
                <w:szCs w:val="20"/>
                <w:color w:val="auto"/>
              </w:rPr>
            </w:pPr>
            <w:r>
              <w:rPr>
                <w:rFonts w:ascii="Arial" w:cs="Arial" w:eastAsia="Arial" w:hAnsi="Arial"/>
                <w:sz w:val="14"/>
                <w:szCs w:val="14"/>
                <w:i w:val="1"/>
                <w:iCs w:val="1"/>
                <w:color w:val="auto"/>
              </w:rPr>
              <w:t>underlying supplement no. 1-I dated November 14, 2011</w:t>
            </w:r>
          </w:p>
        </w:tc>
        <w:tc>
          <w:tcPr>
            <w:tcW w:w="51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921000" cy="633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1000" cy="633730"/>
                    </a:xfrm>
                    <a:prstGeom prst="rect">
                      <a:avLst/>
                    </a:prstGeom>
                    <a:noFill/>
                  </pic:spPr>
                </pic:pic>
              </a:graphicData>
            </a:graphic>
          </wp:anchor>
        </w:drawing>
      </w:r>
    </w:p>
    <w:p>
      <w:pPr>
        <w:spacing w:after="0" w:line="319" w:lineRule="exact"/>
        <w:rPr>
          <w:sz w:val="24"/>
          <w:szCs w:val="24"/>
          <w:color w:val="auto"/>
        </w:rPr>
      </w:pPr>
    </w:p>
    <w:p>
      <w:pPr>
        <w:ind w:left="480"/>
        <w:spacing w:after="0"/>
        <w:rPr>
          <w:sz w:val="20"/>
          <w:szCs w:val="20"/>
          <w:color w:val="auto"/>
        </w:rPr>
      </w:pPr>
      <w:r>
        <w:rPr>
          <w:rFonts w:ascii="Arial" w:cs="Arial" w:eastAsia="Arial" w:hAnsi="Arial"/>
          <w:sz w:val="23"/>
          <w:szCs w:val="23"/>
          <w:b w:val="1"/>
          <w:bCs w:val="1"/>
          <w:color w:val="FFFFFF"/>
        </w:rPr>
        <w:t xml:space="preserve">Structured </w:t>
      </w:r>
      <w:r>
        <w:rPr>
          <w:rFonts w:ascii="Arial" w:cs="Arial" w:eastAsia="Arial" w:hAnsi="Arial"/>
          <w:sz w:val="21"/>
          <w:szCs w:val="21"/>
          <w:b w:val="1"/>
          <w:bCs w:val="1"/>
          <w:color w:val="6E8E86"/>
        </w:rPr>
        <w:t>$</w:t>
      </w:r>
    </w:p>
    <w:p>
      <w:pPr>
        <w:spacing w:after="0" w:line="34" w:lineRule="exact"/>
        <w:rPr>
          <w:sz w:val="24"/>
          <w:szCs w:val="24"/>
          <w:color w:val="auto"/>
        </w:rPr>
      </w:pPr>
    </w:p>
    <w:p>
      <w:pPr>
        <w:ind w:left="300"/>
        <w:spacing w:after="0"/>
        <w:rPr>
          <w:sz w:val="20"/>
          <w:szCs w:val="20"/>
          <w:color w:val="auto"/>
        </w:rPr>
      </w:pPr>
      <w:r>
        <w:rPr>
          <w:rFonts w:ascii="Arial" w:cs="Arial" w:eastAsia="Arial" w:hAnsi="Arial"/>
          <w:sz w:val="23"/>
          <w:szCs w:val="23"/>
          <w:b w:val="1"/>
          <w:bCs w:val="1"/>
          <w:color w:val="FFFFFF"/>
        </w:rPr>
        <w:t xml:space="preserve">Investments </w:t>
      </w:r>
      <w:r>
        <w:rPr>
          <w:rFonts w:ascii="Arial" w:cs="Arial" w:eastAsia="Arial" w:hAnsi="Arial"/>
          <w:sz w:val="21"/>
          <w:szCs w:val="21"/>
          <w:b w:val="1"/>
          <w:bCs w:val="1"/>
          <w:color w:val="6E8E86"/>
        </w:rPr>
        <w:t>Capped Buffered Return Enhanced Notes Linked to the S&amp;P 500</w:t>
      </w:r>
      <w:r>
        <w:rPr>
          <w:rFonts w:ascii="Arial" w:cs="Arial" w:eastAsia="Arial" w:hAnsi="Arial"/>
          <w:sz w:val="30"/>
          <w:szCs w:val="30"/>
          <w:b w:val="1"/>
          <w:bCs w:val="1"/>
          <w:color w:val="6E8E86"/>
          <w:vertAlign w:val="superscript"/>
        </w:rPr>
        <w:t>®</w:t>
      </w:r>
      <w:r>
        <w:rPr>
          <w:rFonts w:ascii="Arial" w:cs="Arial" w:eastAsia="Arial" w:hAnsi="Arial"/>
          <w:sz w:val="23"/>
          <w:szCs w:val="23"/>
          <w:b w:val="1"/>
          <w:bCs w:val="1"/>
          <w:color w:val="FFFFFF"/>
        </w:rPr>
        <w:t xml:space="preserve"> </w:t>
      </w:r>
      <w:r>
        <w:rPr>
          <w:rFonts w:ascii="Arial" w:cs="Arial" w:eastAsia="Arial" w:hAnsi="Arial"/>
          <w:sz w:val="21"/>
          <w:szCs w:val="21"/>
          <w:b w:val="1"/>
          <w:bCs w:val="1"/>
          <w:color w:val="6E8E86"/>
        </w:rPr>
        <w:t>Index due April 22, 2015</w:t>
      </w:r>
    </w:p>
    <w:p>
      <w:pPr>
        <w:spacing w:after="0"/>
        <w:rPr>
          <w:sz w:val="20"/>
          <w:szCs w:val="20"/>
          <w:color w:val="auto"/>
        </w:rPr>
      </w:pPr>
      <w:r>
        <w:rPr>
          <w:rFonts w:ascii="Arial" w:cs="Arial" w:eastAsia="Arial" w:hAnsi="Arial"/>
          <w:sz w:val="18"/>
          <w:szCs w:val="18"/>
          <w:b w:val="1"/>
          <w:bCs w:val="1"/>
          <w:color w:val="648079"/>
        </w:rPr>
        <w:t>General</w:t>
      </w:r>
    </w:p>
    <w:p>
      <w:pPr>
        <w:spacing w:after="0" w:line="20" w:lineRule="exact"/>
        <w:rPr>
          <w:sz w:val="24"/>
          <w:szCs w:val="24"/>
          <w:color w:val="auto"/>
        </w:rPr>
      </w:pPr>
    </w:p>
    <w:p>
      <w:pPr>
        <w:jc w:val="both"/>
        <w:ind w:left="800" w:right="40" w:hanging="439"/>
        <w:spacing w:after="0" w:line="225"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6"/>
          <w:szCs w:val="16"/>
          <w:color w:val="auto"/>
        </w:rPr>
        <w:t>The notes are designed for investors who seek a return of twice the appreciation of the S&amp;P 500</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Index up to a maximum return of 20.00% at maturity. Investors should be willing to forgo interest and dividend payments and, if the Ending Index Level is less than the Initial Index Level by more than 10%, be willing to lose some or all of their principal. </w:t>
      </w:r>
      <w:r>
        <w:rPr>
          <w:rFonts w:ascii="Arial" w:cs="Arial" w:eastAsia="Arial" w:hAnsi="Arial"/>
          <w:sz w:val="16"/>
          <w:szCs w:val="16"/>
          <w:b w:val="1"/>
          <w:bCs w:val="1"/>
          <w:color w:val="auto"/>
        </w:rPr>
        <w:t>Any payment on the notes is subject to the credit risk of JPMorgan Chase &amp;</w:t>
      </w:r>
    </w:p>
    <w:p>
      <w:pPr>
        <w:ind w:left="800"/>
        <w:spacing w:after="0"/>
        <w:rPr>
          <w:rFonts w:ascii="Arial" w:cs="Arial" w:eastAsia="Arial" w:hAnsi="Arial"/>
          <w:sz w:val="18"/>
          <w:szCs w:val="18"/>
          <w:color w:val="auto"/>
        </w:rPr>
      </w:pPr>
      <w:r>
        <w:rPr>
          <w:rFonts w:ascii="Arial" w:cs="Arial" w:eastAsia="Arial" w:hAnsi="Arial"/>
          <w:sz w:val="16"/>
          <w:szCs w:val="16"/>
          <w:b w:val="1"/>
          <w:bCs w:val="1"/>
          <w:color w:val="auto"/>
        </w:rPr>
        <w:t>Co.</w:t>
      </w:r>
    </w:p>
    <w:p>
      <w:pPr>
        <w:spacing w:after="0" w:line="46" w:lineRule="exact"/>
        <w:rPr>
          <w:rFonts w:ascii="Arial" w:cs="Arial" w:eastAsia="Arial" w:hAnsi="Arial"/>
          <w:sz w:val="18"/>
          <w:szCs w:val="18"/>
          <w:color w:val="auto"/>
        </w:rPr>
      </w:pPr>
    </w:p>
    <w:p>
      <w:pPr>
        <w:ind w:left="800" w:hanging="439"/>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6"/>
          <w:szCs w:val="16"/>
          <w:color w:val="auto"/>
        </w:rPr>
        <w:t>Unsecured and unsubordinated obligations of JPMorgan Chase &amp; Co. maturing April 22, 2015*</w:t>
      </w:r>
    </w:p>
    <w:p>
      <w:pPr>
        <w:spacing w:after="0" w:line="49" w:lineRule="exact"/>
        <w:rPr>
          <w:rFonts w:ascii="Arial" w:cs="Arial" w:eastAsia="Arial" w:hAnsi="Arial"/>
          <w:sz w:val="18"/>
          <w:szCs w:val="18"/>
          <w:color w:val="auto"/>
        </w:rPr>
      </w:pPr>
    </w:p>
    <w:p>
      <w:pPr>
        <w:ind w:left="800" w:hanging="439"/>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6"/>
          <w:szCs w:val="16"/>
          <w:color w:val="auto"/>
        </w:rPr>
        <w:t>Minimum denominations of $1,000 and integral multiples thereof</w:t>
      </w:r>
    </w:p>
    <w:p>
      <w:pPr>
        <w:spacing w:after="0" w:line="49" w:lineRule="exact"/>
        <w:rPr>
          <w:rFonts w:ascii="Arial" w:cs="Arial" w:eastAsia="Arial" w:hAnsi="Arial"/>
          <w:sz w:val="18"/>
          <w:szCs w:val="18"/>
          <w:color w:val="auto"/>
        </w:rPr>
      </w:pPr>
    </w:p>
    <w:p>
      <w:pPr>
        <w:ind w:left="800" w:hanging="439"/>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6"/>
          <w:szCs w:val="16"/>
          <w:color w:val="auto"/>
        </w:rPr>
        <w:t>The notes are expected to price on or about April 17, 2013 and are expected to settle on or about April 22, 2013.</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648079"/>
        </w:rPr>
        <w:t>Key Terms</w:t>
      </w:r>
    </w:p>
    <w:p>
      <w:pPr>
        <w:spacing w:after="0" w:line="33" w:lineRule="exact"/>
        <w:rPr>
          <w:sz w:val="24"/>
          <w:szCs w:val="24"/>
          <w:color w:val="auto"/>
        </w:rPr>
      </w:pPr>
    </w:p>
    <w:tbl>
      <w:tblPr>
        <w:tblLayout w:type="fixed"/>
        <w:tblInd w:w="160" w:type="dxa"/>
        <w:tblCellMar>
          <w:top w:w="0" w:type="dxa"/>
          <w:left w:w="0" w:type="dxa"/>
          <w:bottom w:w="0" w:type="dxa"/>
          <w:right w:w="0" w:type="dxa"/>
        </w:tblCellMar>
      </w:tblPr>
      <w:tr>
        <w:trPr>
          <w:trHeight w:val="248"/>
        </w:trPr>
        <w:tc>
          <w:tcPr>
            <w:tcW w:w="2240" w:type="dxa"/>
            <w:vAlign w:val="bottom"/>
          </w:tcPr>
          <w:p>
            <w:pPr>
              <w:spacing w:after="0"/>
              <w:rPr>
                <w:sz w:val="20"/>
                <w:szCs w:val="20"/>
                <w:color w:val="auto"/>
              </w:rPr>
            </w:pPr>
            <w:r>
              <w:rPr>
                <w:rFonts w:ascii="Arial" w:cs="Arial" w:eastAsia="Arial" w:hAnsi="Arial"/>
                <w:sz w:val="16"/>
                <w:szCs w:val="16"/>
                <w:color w:val="auto"/>
              </w:rPr>
              <w:t>Index:</w:t>
            </w: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The S&amp;P 500</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Index (“SPX”) (the “Index”)</w:t>
            </w:r>
          </w:p>
        </w:tc>
      </w:tr>
      <w:tr>
        <w:trPr>
          <w:trHeight w:val="194"/>
        </w:trPr>
        <w:tc>
          <w:tcPr>
            <w:tcW w:w="2240" w:type="dxa"/>
            <w:vAlign w:val="bottom"/>
          </w:tcPr>
          <w:p>
            <w:pPr>
              <w:spacing w:after="0"/>
              <w:rPr>
                <w:sz w:val="20"/>
                <w:szCs w:val="20"/>
                <w:color w:val="auto"/>
              </w:rPr>
            </w:pPr>
            <w:r>
              <w:rPr>
                <w:rFonts w:ascii="Arial" w:cs="Arial" w:eastAsia="Arial" w:hAnsi="Arial"/>
                <w:sz w:val="16"/>
                <w:szCs w:val="16"/>
                <w:color w:val="auto"/>
              </w:rPr>
              <w:t>Upside Leverage Factor:</w:t>
            </w:r>
          </w:p>
        </w:tc>
        <w:tc>
          <w:tcPr>
            <w:tcW w:w="3060" w:type="dxa"/>
            <w:vAlign w:val="bottom"/>
            <w:gridSpan w:val="2"/>
          </w:tcPr>
          <w:p>
            <w:pPr>
              <w:ind w:left="260"/>
              <w:spacing w:after="0"/>
              <w:rPr>
                <w:sz w:val="20"/>
                <w:szCs w:val="20"/>
                <w:color w:val="auto"/>
              </w:rPr>
            </w:pPr>
            <w:r>
              <w:rPr>
                <w:rFonts w:ascii="Arial" w:cs="Arial" w:eastAsia="Arial" w:hAnsi="Arial"/>
                <w:sz w:val="16"/>
                <w:szCs w:val="16"/>
                <w:color w:val="auto"/>
              </w:rPr>
              <w:t>2</w:t>
            </w:r>
          </w:p>
        </w:tc>
        <w:tc>
          <w:tcPr>
            <w:tcW w:w="5940" w:type="dxa"/>
            <w:vAlign w:val="bottom"/>
          </w:tcPr>
          <w:p>
            <w:pPr>
              <w:spacing w:after="0"/>
              <w:rPr>
                <w:sz w:val="16"/>
                <w:szCs w:val="16"/>
                <w:color w:val="auto"/>
              </w:rPr>
            </w:pPr>
          </w:p>
        </w:tc>
      </w:tr>
      <w:tr>
        <w:trPr>
          <w:trHeight w:val="237"/>
        </w:trPr>
        <w:tc>
          <w:tcPr>
            <w:tcW w:w="2240" w:type="dxa"/>
            <w:vAlign w:val="bottom"/>
          </w:tcPr>
          <w:p>
            <w:pPr>
              <w:spacing w:after="0"/>
              <w:rPr>
                <w:sz w:val="20"/>
                <w:szCs w:val="20"/>
                <w:color w:val="auto"/>
              </w:rPr>
            </w:pPr>
            <w:r>
              <w:rPr>
                <w:rFonts w:ascii="Arial" w:cs="Arial" w:eastAsia="Arial" w:hAnsi="Arial"/>
                <w:sz w:val="16"/>
                <w:szCs w:val="16"/>
                <w:color w:val="auto"/>
              </w:rPr>
              <w:t>Payment at Maturity:</w:t>
            </w: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If the Ending Index Level is greater than the Initial Index Level, at maturity you will receive a cash payment that provides</w:t>
            </w:r>
          </w:p>
        </w:tc>
      </w:tr>
      <w:tr>
        <w:trPr>
          <w:trHeight w:val="189"/>
        </w:trPr>
        <w:tc>
          <w:tcPr>
            <w:tcW w:w="2240" w:type="dxa"/>
            <w:vAlign w:val="bottom"/>
          </w:tcPr>
          <w:p>
            <w:pPr>
              <w:spacing w:after="0"/>
              <w:rPr>
                <w:sz w:val="16"/>
                <w:szCs w:val="16"/>
                <w:color w:val="auto"/>
              </w:rPr>
            </w:pP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you with a return per $1,000 principal amount note equal to the Index Return multiplied by 2, subject to the Maximum</w:t>
            </w:r>
          </w:p>
        </w:tc>
      </w:tr>
      <w:tr>
        <w:trPr>
          <w:trHeight w:val="189"/>
        </w:trPr>
        <w:tc>
          <w:tcPr>
            <w:tcW w:w="2240" w:type="dxa"/>
            <w:vAlign w:val="bottom"/>
          </w:tcPr>
          <w:p>
            <w:pPr>
              <w:spacing w:after="0"/>
              <w:rPr>
                <w:sz w:val="16"/>
                <w:szCs w:val="16"/>
                <w:color w:val="auto"/>
              </w:rPr>
            </w:pP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Return. Accordingly, if the Ending Index Level is greater than the Initial Index Level, your payment at maturity per $1,000</w:t>
            </w:r>
          </w:p>
        </w:tc>
      </w:tr>
      <w:tr>
        <w:trPr>
          <w:trHeight w:val="194"/>
        </w:trPr>
        <w:tc>
          <w:tcPr>
            <w:tcW w:w="2240" w:type="dxa"/>
            <w:vAlign w:val="bottom"/>
          </w:tcPr>
          <w:p>
            <w:pPr>
              <w:spacing w:after="0"/>
              <w:rPr>
                <w:sz w:val="16"/>
                <w:szCs w:val="16"/>
                <w:color w:val="auto"/>
              </w:rPr>
            </w:pP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principal amount note will be calculated as follows:</w:t>
            </w:r>
          </w:p>
        </w:tc>
      </w:tr>
      <w:tr>
        <w:trPr>
          <w:trHeight w:val="243"/>
        </w:trPr>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740" w:type="dxa"/>
            <w:vAlign w:val="bottom"/>
            <w:gridSpan w:val="2"/>
          </w:tcPr>
          <w:p>
            <w:pPr>
              <w:jc w:val="center"/>
              <w:spacing w:after="0"/>
              <w:rPr>
                <w:sz w:val="20"/>
                <w:szCs w:val="20"/>
                <w:color w:val="auto"/>
              </w:rPr>
            </w:pPr>
            <w:r>
              <w:rPr>
                <w:rFonts w:ascii="Arial" w:cs="Arial" w:eastAsia="Arial" w:hAnsi="Arial"/>
                <w:sz w:val="16"/>
                <w:szCs w:val="16"/>
                <w:color w:val="auto"/>
              </w:rPr>
              <w:t>$1,000 +[$1,000 x (Index Return x 2)], subject to the Maximum Return</w:t>
            </w:r>
          </w:p>
        </w:tc>
      </w:tr>
      <w:tr>
        <w:trPr>
          <w:trHeight w:val="237"/>
        </w:trPr>
        <w:tc>
          <w:tcPr>
            <w:tcW w:w="2240" w:type="dxa"/>
            <w:vAlign w:val="bottom"/>
          </w:tcPr>
          <w:p>
            <w:pPr>
              <w:spacing w:after="0"/>
              <w:rPr>
                <w:sz w:val="20"/>
                <w:szCs w:val="20"/>
                <w:color w:val="auto"/>
              </w:rPr>
            </w:pP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If the Ending Index Level is equal to or less than the Initial Index Level by up to 10%, you will receive the principal amount</w:t>
            </w:r>
          </w:p>
        </w:tc>
      </w:tr>
      <w:tr>
        <w:trPr>
          <w:trHeight w:val="189"/>
        </w:trPr>
        <w:tc>
          <w:tcPr>
            <w:tcW w:w="2240" w:type="dxa"/>
            <w:vAlign w:val="bottom"/>
          </w:tcPr>
          <w:p>
            <w:pPr>
              <w:spacing w:after="0"/>
              <w:rPr>
                <w:sz w:val="16"/>
                <w:szCs w:val="16"/>
                <w:color w:val="auto"/>
              </w:rPr>
            </w:pP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of your notes at maturity.</w:t>
            </w:r>
          </w:p>
        </w:tc>
      </w:tr>
      <w:tr>
        <w:trPr>
          <w:trHeight w:val="189"/>
        </w:trPr>
        <w:tc>
          <w:tcPr>
            <w:tcW w:w="2240" w:type="dxa"/>
            <w:vAlign w:val="bottom"/>
          </w:tcPr>
          <w:p>
            <w:pPr>
              <w:spacing w:after="0"/>
              <w:rPr>
                <w:sz w:val="16"/>
                <w:szCs w:val="16"/>
                <w:color w:val="auto"/>
              </w:rPr>
            </w:pP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If the Ending Index Level is less than the Initial Index Level by more than 10%, you will lose 1.1111% of the principal</w:t>
            </w:r>
          </w:p>
        </w:tc>
      </w:tr>
      <w:tr>
        <w:trPr>
          <w:trHeight w:val="189"/>
        </w:trPr>
        <w:tc>
          <w:tcPr>
            <w:tcW w:w="2240" w:type="dxa"/>
            <w:vAlign w:val="bottom"/>
          </w:tcPr>
          <w:p>
            <w:pPr>
              <w:spacing w:after="0"/>
              <w:rPr>
                <w:sz w:val="16"/>
                <w:szCs w:val="16"/>
                <w:color w:val="auto"/>
              </w:rPr>
            </w:pP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amount of your notes for every 1% that the Ending Index Level is less than the Initial Index Level by more than 10%, and</w:t>
            </w:r>
          </w:p>
        </w:tc>
      </w:tr>
      <w:tr>
        <w:trPr>
          <w:trHeight w:val="194"/>
        </w:trPr>
        <w:tc>
          <w:tcPr>
            <w:tcW w:w="2240" w:type="dxa"/>
            <w:vAlign w:val="bottom"/>
          </w:tcPr>
          <w:p>
            <w:pPr>
              <w:spacing w:after="0"/>
              <w:rPr>
                <w:sz w:val="16"/>
                <w:szCs w:val="16"/>
                <w:color w:val="auto"/>
              </w:rPr>
            </w:pP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your payment at maturity per $1,000 principal amount note will be calculated as follows:</w:t>
            </w:r>
          </w:p>
        </w:tc>
      </w:tr>
      <w:tr>
        <w:trPr>
          <w:trHeight w:val="243"/>
        </w:trPr>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740" w:type="dxa"/>
            <w:vAlign w:val="bottom"/>
            <w:gridSpan w:val="2"/>
          </w:tcPr>
          <w:p>
            <w:pPr>
              <w:jc w:val="center"/>
              <w:ind w:right="20"/>
              <w:spacing w:after="0"/>
              <w:rPr>
                <w:sz w:val="20"/>
                <w:szCs w:val="20"/>
                <w:color w:val="auto"/>
              </w:rPr>
            </w:pPr>
            <w:r>
              <w:rPr>
                <w:rFonts w:ascii="Arial" w:cs="Arial" w:eastAsia="Arial" w:hAnsi="Arial"/>
                <w:sz w:val="16"/>
                <w:szCs w:val="16"/>
                <w:color w:val="auto"/>
              </w:rPr>
              <w:t>$1,000 + [$1,000 x (Index Return+10%) x -1.1111]</w:t>
            </w:r>
          </w:p>
        </w:tc>
      </w:tr>
      <w:tr>
        <w:trPr>
          <w:trHeight w:val="221"/>
        </w:trPr>
        <w:tc>
          <w:tcPr>
            <w:tcW w:w="2240" w:type="dxa"/>
            <w:vAlign w:val="bottom"/>
          </w:tcPr>
          <w:p>
            <w:pPr>
              <w:spacing w:after="0"/>
              <w:rPr>
                <w:sz w:val="19"/>
                <w:szCs w:val="19"/>
                <w:color w:val="auto"/>
              </w:rPr>
            </w:pPr>
          </w:p>
        </w:tc>
        <w:tc>
          <w:tcPr>
            <w:tcW w:w="9000" w:type="dxa"/>
            <w:vAlign w:val="bottom"/>
            <w:gridSpan w:val="3"/>
          </w:tcPr>
          <w:p>
            <w:pPr>
              <w:ind w:left="260"/>
              <w:spacing w:after="0"/>
              <w:rPr>
                <w:sz w:val="20"/>
                <w:szCs w:val="20"/>
                <w:color w:val="auto"/>
              </w:rPr>
            </w:pPr>
            <w:r>
              <w:rPr>
                <w:rFonts w:ascii="Arial" w:cs="Arial" w:eastAsia="Arial" w:hAnsi="Arial"/>
                <w:sz w:val="16"/>
                <w:szCs w:val="16"/>
                <w:i w:val="1"/>
                <w:iCs w:val="1"/>
                <w:color w:val="auto"/>
              </w:rPr>
              <w:t xml:space="preserve">You will lose some or all of your investment at maturity if the Ending Index Level is less than the </w:t>
            </w:r>
            <w:r>
              <w:rPr>
                <w:rFonts w:ascii="Arial" w:cs="Arial" w:eastAsia="Arial" w:hAnsi="Arial"/>
                <w:sz w:val="16"/>
                <w:szCs w:val="16"/>
                <w:color w:val="auto"/>
              </w:rPr>
              <w:t>Initial Index Level</w:t>
            </w:r>
            <w:r>
              <w:rPr>
                <w:rFonts w:ascii="Arial" w:cs="Arial" w:eastAsia="Arial" w:hAnsi="Arial"/>
                <w:sz w:val="16"/>
                <w:szCs w:val="16"/>
                <w:i w:val="1"/>
                <w:iCs w:val="1"/>
                <w:color w:val="auto"/>
              </w:rPr>
              <w:t xml:space="preserve"> by</w:t>
            </w:r>
          </w:p>
        </w:tc>
      </w:tr>
      <w:tr>
        <w:trPr>
          <w:trHeight w:val="210"/>
        </w:trPr>
        <w:tc>
          <w:tcPr>
            <w:tcW w:w="2240" w:type="dxa"/>
            <w:vAlign w:val="bottom"/>
          </w:tcPr>
          <w:p>
            <w:pPr>
              <w:spacing w:after="0"/>
              <w:rPr>
                <w:sz w:val="18"/>
                <w:szCs w:val="18"/>
                <w:color w:val="auto"/>
              </w:rPr>
            </w:pPr>
          </w:p>
        </w:tc>
        <w:tc>
          <w:tcPr>
            <w:tcW w:w="9000" w:type="dxa"/>
            <w:vAlign w:val="bottom"/>
            <w:gridSpan w:val="3"/>
          </w:tcPr>
          <w:p>
            <w:pPr>
              <w:ind w:left="260"/>
              <w:spacing w:after="0"/>
              <w:rPr>
                <w:sz w:val="20"/>
                <w:szCs w:val="20"/>
                <w:color w:val="auto"/>
              </w:rPr>
            </w:pPr>
            <w:r>
              <w:rPr>
                <w:rFonts w:ascii="Arial" w:cs="Arial" w:eastAsia="Arial" w:hAnsi="Arial"/>
                <w:sz w:val="16"/>
                <w:szCs w:val="16"/>
                <w:i w:val="1"/>
                <w:iCs w:val="1"/>
                <w:color w:val="auto"/>
              </w:rPr>
              <w:t>more than 10%.</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Maximum Return:</w:t>
            </w:r>
          </w:p>
        </w:tc>
        <w:tc>
          <w:tcPr>
            <w:tcW w:w="3060" w:type="dxa"/>
            <w:vAlign w:val="bottom"/>
            <w:gridSpan w:val="2"/>
          </w:tcPr>
          <w:p>
            <w:pPr>
              <w:ind w:left="260"/>
              <w:spacing w:after="0"/>
              <w:rPr>
                <w:sz w:val="20"/>
                <w:szCs w:val="20"/>
                <w:color w:val="auto"/>
              </w:rPr>
            </w:pPr>
            <w:r>
              <w:rPr>
                <w:rFonts w:ascii="Arial" w:cs="Arial" w:eastAsia="Arial" w:hAnsi="Arial"/>
                <w:sz w:val="16"/>
                <w:szCs w:val="16"/>
                <w:color w:val="auto"/>
              </w:rPr>
              <w:t>20.00%</w:t>
            </w:r>
          </w:p>
        </w:tc>
        <w:tc>
          <w:tcPr>
            <w:tcW w:w="5940" w:type="dxa"/>
            <w:vAlign w:val="bottom"/>
          </w:tcPr>
          <w:p>
            <w:pPr>
              <w:spacing w:after="0"/>
              <w:rPr>
                <w:sz w:val="21"/>
                <w:szCs w:val="2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Buffer Amount:</w:t>
            </w:r>
          </w:p>
        </w:tc>
        <w:tc>
          <w:tcPr>
            <w:tcW w:w="3060" w:type="dxa"/>
            <w:vAlign w:val="bottom"/>
            <w:gridSpan w:val="2"/>
          </w:tcPr>
          <w:p>
            <w:pPr>
              <w:ind w:left="260"/>
              <w:spacing w:after="0"/>
              <w:rPr>
                <w:sz w:val="20"/>
                <w:szCs w:val="20"/>
                <w:color w:val="auto"/>
              </w:rPr>
            </w:pPr>
            <w:r>
              <w:rPr>
                <w:rFonts w:ascii="Arial" w:cs="Arial" w:eastAsia="Arial" w:hAnsi="Arial"/>
                <w:sz w:val="16"/>
                <w:szCs w:val="16"/>
                <w:color w:val="auto"/>
              </w:rPr>
              <w:t>10%</w:t>
            </w:r>
          </w:p>
        </w:tc>
        <w:tc>
          <w:tcPr>
            <w:tcW w:w="5940" w:type="dxa"/>
            <w:vAlign w:val="bottom"/>
          </w:tcPr>
          <w:p>
            <w:pPr>
              <w:spacing w:after="0"/>
              <w:rPr>
                <w:sz w:val="21"/>
                <w:szCs w:val="2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Downside Leverage Factor:</w:t>
            </w:r>
          </w:p>
        </w:tc>
        <w:tc>
          <w:tcPr>
            <w:tcW w:w="3060" w:type="dxa"/>
            <w:vAlign w:val="bottom"/>
            <w:gridSpan w:val="2"/>
          </w:tcPr>
          <w:p>
            <w:pPr>
              <w:ind w:left="260"/>
              <w:spacing w:after="0"/>
              <w:rPr>
                <w:sz w:val="20"/>
                <w:szCs w:val="20"/>
                <w:color w:val="auto"/>
              </w:rPr>
            </w:pPr>
            <w:r>
              <w:rPr>
                <w:rFonts w:ascii="Arial" w:cs="Arial" w:eastAsia="Arial" w:hAnsi="Arial"/>
                <w:sz w:val="16"/>
                <w:szCs w:val="16"/>
                <w:color w:val="auto"/>
              </w:rPr>
              <w:t>1.1111</w:t>
            </w:r>
          </w:p>
        </w:tc>
        <w:tc>
          <w:tcPr>
            <w:tcW w:w="5940" w:type="dxa"/>
            <w:vAlign w:val="bottom"/>
          </w:tcPr>
          <w:p>
            <w:pPr>
              <w:spacing w:after="0"/>
              <w:rPr>
                <w:sz w:val="21"/>
                <w:szCs w:val="21"/>
                <w:color w:val="auto"/>
              </w:rPr>
            </w:pPr>
          </w:p>
        </w:tc>
      </w:tr>
      <w:tr>
        <w:trPr>
          <w:trHeight w:val="208"/>
        </w:trPr>
        <w:tc>
          <w:tcPr>
            <w:tcW w:w="2240" w:type="dxa"/>
            <w:vAlign w:val="bottom"/>
          </w:tcPr>
          <w:p>
            <w:pPr>
              <w:spacing w:after="0"/>
              <w:rPr>
                <w:sz w:val="20"/>
                <w:szCs w:val="20"/>
                <w:color w:val="auto"/>
              </w:rPr>
            </w:pPr>
            <w:r>
              <w:rPr>
                <w:rFonts w:ascii="Arial" w:cs="Arial" w:eastAsia="Arial" w:hAnsi="Arial"/>
                <w:sz w:val="16"/>
                <w:szCs w:val="16"/>
                <w:color w:val="auto"/>
              </w:rPr>
              <w:t>Index Return:</w:t>
            </w: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Ending Index Level – Initial Index Level</w:t>
            </w:r>
          </w:p>
        </w:tc>
      </w:tr>
      <w:tr>
        <w:trPr>
          <w:trHeight w:val="257"/>
        </w:trPr>
        <w:tc>
          <w:tcPr>
            <w:tcW w:w="2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Initial Index Level</w:t>
            </w:r>
          </w:p>
        </w:tc>
        <w:tc>
          <w:tcPr>
            <w:tcW w:w="5940" w:type="dxa"/>
            <w:vAlign w:val="bottom"/>
          </w:tcPr>
          <w:p>
            <w:pPr>
              <w:spacing w:after="0"/>
              <w:rPr>
                <w:sz w:val="22"/>
                <w:szCs w:val="22"/>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Initial Index Level:</w:t>
            </w: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The Index closing level on the pricing date</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Ending Index Level:</w:t>
            </w: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The Index closing level on the Observation Date</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Observation Date*:</w:t>
            </w: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April 17, 2015</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Maturity Date*:</w:t>
            </w: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April 22, 2015</w:t>
            </w:r>
          </w:p>
        </w:tc>
      </w:tr>
      <w:tr>
        <w:trPr>
          <w:trHeight w:val="243"/>
        </w:trPr>
        <w:tc>
          <w:tcPr>
            <w:tcW w:w="2240" w:type="dxa"/>
            <w:vAlign w:val="bottom"/>
          </w:tcPr>
          <w:p>
            <w:pPr>
              <w:spacing w:after="0"/>
              <w:rPr>
                <w:sz w:val="20"/>
                <w:szCs w:val="20"/>
                <w:color w:val="auto"/>
              </w:rPr>
            </w:pPr>
            <w:r>
              <w:rPr>
                <w:rFonts w:ascii="Arial" w:cs="Arial" w:eastAsia="Arial" w:hAnsi="Arial"/>
                <w:sz w:val="16"/>
                <w:szCs w:val="16"/>
                <w:color w:val="auto"/>
              </w:rPr>
              <w:t>CUSIP:</w:t>
            </w:r>
          </w:p>
        </w:tc>
        <w:tc>
          <w:tcPr>
            <w:tcW w:w="9000" w:type="dxa"/>
            <w:vAlign w:val="bottom"/>
            <w:gridSpan w:val="3"/>
          </w:tcPr>
          <w:p>
            <w:pPr>
              <w:ind w:left="260"/>
              <w:spacing w:after="0"/>
              <w:rPr>
                <w:sz w:val="20"/>
                <w:szCs w:val="20"/>
                <w:color w:val="auto"/>
              </w:rPr>
            </w:pPr>
            <w:r>
              <w:rPr>
                <w:rFonts w:ascii="Arial" w:cs="Arial" w:eastAsia="Arial" w:hAnsi="Arial"/>
                <w:sz w:val="16"/>
                <w:szCs w:val="16"/>
                <w:color w:val="auto"/>
              </w:rPr>
              <w:t>48126DY94</w:t>
            </w:r>
          </w:p>
        </w:tc>
      </w:tr>
    </w:tbl>
    <w:p>
      <w:pPr>
        <w:spacing w:after="0" w:line="51" w:lineRule="exact"/>
        <w:rPr>
          <w:sz w:val="24"/>
          <w:szCs w:val="24"/>
          <w:color w:val="auto"/>
        </w:rPr>
      </w:pPr>
    </w:p>
    <w:p>
      <w:pPr>
        <w:ind w:left="280" w:right="20" w:hanging="245"/>
        <w:spacing w:after="0" w:line="217" w:lineRule="auto"/>
        <w:tabs>
          <w:tab w:leader="none" w:pos="280" w:val="left"/>
        </w:tabs>
        <w:numPr>
          <w:ilvl w:val="0"/>
          <w:numId w:val="2"/>
        </w:numPr>
        <w:rPr>
          <w:rFonts w:ascii="Arial" w:cs="Arial" w:eastAsia="Arial" w:hAnsi="Arial"/>
          <w:sz w:val="18"/>
          <w:szCs w:val="18"/>
          <w:color w:val="auto"/>
        </w:rPr>
      </w:pPr>
      <w:r>
        <w:rPr>
          <w:rFonts w:ascii="Arial" w:cs="Arial" w:eastAsia="Arial" w:hAnsi="Arial"/>
          <w:sz w:val="14"/>
          <w:szCs w:val="14"/>
          <w:color w:val="auto"/>
        </w:rPr>
        <w:t>Subject to postponement in the event of a market disruption event and as described under “Description of Notes — Payment at Maturity” and “Description of Notes — Postponement of a Determination Date — A. Notes Linked to a Single Component” in the accompanying product supplement no. 4-I.</w:t>
      </w:r>
    </w:p>
    <w:p>
      <w:pPr>
        <w:spacing w:after="0" w:line="1" w:lineRule="exact"/>
        <w:rPr>
          <w:sz w:val="24"/>
          <w:szCs w:val="24"/>
          <w:color w:val="auto"/>
        </w:rPr>
      </w:pPr>
    </w:p>
    <w:p>
      <w:pPr>
        <w:jc w:val="both"/>
        <w:spacing w:after="0" w:line="252" w:lineRule="auto"/>
        <w:rPr>
          <w:sz w:val="20"/>
          <w:szCs w:val="20"/>
          <w:color w:val="auto"/>
        </w:rPr>
      </w:pPr>
      <w:r>
        <w:rPr>
          <w:rFonts w:ascii="Arial" w:cs="Arial" w:eastAsia="Arial" w:hAnsi="Arial"/>
          <w:sz w:val="16"/>
          <w:szCs w:val="16"/>
          <w:b w:val="1"/>
          <w:bCs w:val="1"/>
          <w:color w:val="auto"/>
        </w:rPr>
        <w:t>Investing in the Capped Buffered Return Enhanced Notes involves a number of risks. See “Risk Factors” beginning on page PS-21 of the accompanying product supplement no. 4-I, “Risk Factors” beginning on page US-1 of the accompanying underlying supplement no. 1-I and “Selected Risk Considerations” beginning on page TS-2 of this term sheet.</w:t>
      </w:r>
    </w:p>
    <w:p>
      <w:pPr>
        <w:spacing w:after="0" w:line="1"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term sheet or the accompanying product supplement, underlying supplement, prospectus supplement and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59320" cy="518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518160"/>
                    </a:xfrm>
                    <a:prstGeom prst="rect">
                      <a:avLst/>
                    </a:prstGeom>
                    <a:noFill/>
                  </pic:spPr>
                </pic:pic>
              </a:graphicData>
            </a:graphic>
          </wp:anchor>
        </w:drawing>
      </w:r>
    </w:p>
    <w:p>
      <w:pPr>
        <w:spacing w:after="0" w:line="32" w:lineRule="exact"/>
        <w:rPr>
          <w:sz w:val="24"/>
          <w:szCs w:val="24"/>
          <w:color w:val="auto"/>
        </w:rPr>
      </w:pPr>
    </w:p>
    <w:p>
      <w:pPr>
        <w:ind w:left="2900"/>
        <w:spacing w:after="0"/>
        <w:tabs>
          <w:tab w:leader="none" w:pos="5700" w:val="left"/>
          <w:tab w:leader="none" w:pos="8580" w:val="left"/>
        </w:tabs>
        <w:rPr>
          <w:sz w:val="20"/>
          <w:szCs w:val="20"/>
          <w:color w:val="auto"/>
        </w:rPr>
      </w:pPr>
      <w:r>
        <w:rPr>
          <w:rFonts w:ascii="Arial" w:cs="Arial" w:eastAsia="Arial" w:hAnsi="Arial"/>
          <w:sz w:val="16"/>
          <w:szCs w:val="16"/>
          <w:color w:val="auto"/>
        </w:rPr>
        <w:t>Price to Public (1)</w:t>
      </w:r>
      <w:r>
        <w:rPr>
          <w:sz w:val="20"/>
          <w:szCs w:val="20"/>
          <w:color w:val="auto"/>
        </w:rPr>
        <w:tab/>
      </w:r>
      <w:r>
        <w:rPr>
          <w:rFonts w:ascii="Arial" w:cs="Arial" w:eastAsia="Arial" w:hAnsi="Arial"/>
          <w:sz w:val="16"/>
          <w:szCs w:val="16"/>
          <w:color w:val="auto"/>
        </w:rPr>
        <w:t>Fees and Commissions (2)</w:t>
      </w:r>
      <w:r>
        <w:rPr>
          <w:sz w:val="20"/>
          <w:szCs w:val="20"/>
          <w:color w:val="auto"/>
        </w:rPr>
        <w:tab/>
      </w:r>
      <w:r>
        <w:rPr>
          <w:rFonts w:ascii="Arial" w:cs="Arial" w:eastAsia="Arial" w:hAnsi="Arial"/>
          <w:sz w:val="16"/>
          <w:szCs w:val="16"/>
          <w:color w:val="auto"/>
        </w:rPr>
        <w:t>Proceeds to Us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6"/>
          <w:szCs w:val="16"/>
          <w:color w:val="auto"/>
        </w:rPr>
        <w:t>Per note</w:t>
      </w:r>
    </w:p>
    <w:p>
      <w:pPr>
        <w:spacing w:after="0" w:line="72" w:lineRule="exact"/>
        <w:rPr>
          <w:sz w:val="24"/>
          <w:szCs w:val="24"/>
          <w:color w:val="auto"/>
        </w:rPr>
      </w:pPr>
    </w:p>
    <w:p>
      <w:pPr>
        <w:ind w:left="40"/>
        <w:spacing w:after="0"/>
        <w:rPr>
          <w:sz w:val="20"/>
          <w:szCs w:val="20"/>
          <w:color w:val="auto"/>
        </w:rPr>
      </w:pPr>
      <w:r>
        <w:rPr>
          <w:rFonts w:ascii="Arial" w:cs="Arial" w:eastAsia="Arial" w:hAnsi="Arial"/>
          <w:sz w:val="16"/>
          <w:szCs w:val="16"/>
          <w:color w:val="auto"/>
        </w:rPr>
        <w:t>Total</w:t>
      </w:r>
    </w:p>
    <w:p>
      <w:pPr>
        <w:spacing w:after="0" w:line="318" w:lineRule="exact"/>
        <w:rPr>
          <w:sz w:val="24"/>
          <w:szCs w:val="24"/>
          <w:color w:val="auto"/>
        </w:rPr>
      </w:pPr>
    </w:p>
    <w:p>
      <w:pPr>
        <w:ind w:left="380" w:hanging="345"/>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price to the public includes the estimated cost of hedging our obligations under the notes through one or more of our affiliates.</w:t>
      </w:r>
    </w:p>
    <w:p>
      <w:pPr>
        <w:spacing w:after="0" w:line="54" w:lineRule="exact"/>
        <w:rPr>
          <w:rFonts w:ascii="Arial" w:cs="Arial" w:eastAsia="Arial" w:hAnsi="Arial"/>
          <w:sz w:val="14"/>
          <w:szCs w:val="14"/>
          <w:color w:val="auto"/>
        </w:rPr>
      </w:pPr>
    </w:p>
    <w:p>
      <w:pPr>
        <w:jc w:val="both"/>
        <w:ind w:left="380" w:right="20" w:hanging="345"/>
        <w:spacing w:after="0" w:line="243" w:lineRule="auto"/>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the notes priced today and assuming a Maximum Return of 20.00%, J.P. Morgan Securities LLC, which we refer to as JPMS, acting as agent for JPMorgan Chase &amp; Co., would receive a commission of approximately $7.50 per $1,000 principal amount note and may use a portion of that commission to allow selling concessions to other affiliated or unaffiliated dealers of approximately $1.00 per $1,000 principal amount note. This commission includes the projected profits that our affiliates expect to realize, some of which may be allowed to other unaffiliated dealers, for assuming risks inherent in hedging our obligations under the notes. The actual commission received by JPMS may be more or less than $7.50 and will depend on market conditions on the pricing date. In no event will the commission received by JPMS, which includes concessions and other amounts that may be allowed to other dealers, exceed $20.00 per $1,000 principal amount note. See “Plan of Distribution (Conflicts of Interest)” beginning on page PS-77 of the accompanying product supplement no. 4-I.</w:t>
      </w:r>
    </w:p>
    <w:p>
      <w:pPr>
        <w:spacing w:after="0" w:line="2" w:lineRule="exact"/>
        <w:rPr>
          <w:sz w:val="24"/>
          <w:szCs w:val="24"/>
          <w:color w:val="auto"/>
        </w:rPr>
      </w:pPr>
    </w:p>
    <w:p>
      <w:pPr>
        <w:spacing w:after="0" w:line="278" w:lineRule="auto"/>
        <w:rPr>
          <w:sz w:val="20"/>
          <w:szCs w:val="20"/>
          <w:color w:val="auto"/>
        </w:rPr>
      </w:pPr>
      <w:r>
        <w:rPr>
          <w:rFonts w:ascii="Arial" w:cs="Arial" w:eastAsia="Arial" w:hAnsi="Arial"/>
          <w:sz w:val="16"/>
          <w:szCs w:val="16"/>
          <w:i w:val="1"/>
          <w:iCs w:val="1"/>
          <w:color w:val="auto"/>
        </w:rPr>
        <w:t>The notes are not bank deposits and are not insured by the Federal Deposit Insurance Corporation or any other governmental agency, nor are they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3208655</wp:posOffset>
            </wp:positionH>
            <wp:positionV relativeFrom="paragraph">
              <wp:posOffset>-22860</wp:posOffset>
            </wp:positionV>
            <wp:extent cx="839470" cy="265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9470" cy="265430"/>
                    </a:xfrm>
                    <a:prstGeom prst="rect">
                      <a:avLst/>
                    </a:prstGeom>
                    <a:noFill/>
                  </pic:spPr>
                </pic:pic>
              </a:graphicData>
            </a:graphic>
          </wp:anchor>
        </w:drawing>
      </w: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color w:val="auto"/>
        </w:rPr>
        <w:t>April 16,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565150</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648079"/>
        </w:rPr>
        <w:t>Additional Terms Specific to the Notes</w:t>
      </w:r>
    </w:p>
    <w:p>
      <w:pPr>
        <w:spacing w:after="0" w:line="265" w:lineRule="exact"/>
        <w:rPr>
          <w:sz w:val="20"/>
          <w:szCs w:val="20"/>
          <w:color w:val="auto"/>
        </w:rPr>
      </w:pPr>
    </w:p>
    <w:p>
      <w:pPr>
        <w:jc w:val="both"/>
        <w:ind w:left="40" w:right="40"/>
        <w:spacing w:after="0"/>
        <w:rPr>
          <w:sz w:val="20"/>
          <w:szCs w:val="20"/>
          <w:color w:val="auto"/>
        </w:rPr>
      </w:pPr>
      <w:r>
        <w:rPr>
          <w:rFonts w:ascii="Arial" w:cs="Arial" w:eastAsia="Arial" w:hAnsi="Arial"/>
          <w:sz w:val="18"/>
          <w:szCs w:val="18"/>
          <w:b w:val="1"/>
          <w:bCs w:val="1"/>
          <w:color w:val="auto"/>
        </w:rPr>
        <w:t>JPMorgan Chase &amp; Co. has filed a registration statement (including a prospectus) with the SEC for the offering to which this term sheet relates.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 website at www.sec.gov. Alternatively, JPMorgan Chase &amp; Co., any agent or any dealer participating in this offering will arrange to send you the prospectus, the prospectus supplement, product supplement no. 4-I, underlying supplement no. 1-I and this term sheet if you so request by calling toll-free 866-535-9248.</w:t>
      </w:r>
    </w:p>
    <w:p>
      <w:pPr>
        <w:spacing w:after="0" w:line="183" w:lineRule="exact"/>
        <w:rPr>
          <w:sz w:val="20"/>
          <w:szCs w:val="20"/>
          <w:color w:val="auto"/>
        </w:rPr>
      </w:pPr>
    </w:p>
    <w:p>
      <w:pPr>
        <w:jc w:val="both"/>
        <w:ind w:left="40" w:right="40"/>
        <w:spacing w:after="0" w:line="246" w:lineRule="auto"/>
        <w:rPr>
          <w:sz w:val="20"/>
          <w:szCs w:val="20"/>
          <w:color w:val="auto"/>
        </w:rPr>
      </w:pPr>
      <w:r>
        <w:rPr>
          <w:rFonts w:ascii="Arial" w:cs="Arial" w:eastAsia="Arial" w:hAnsi="Arial"/>
          <w:sz w:val="18"/>
          <w:szCs w:val="18"/>
          <w:b w:val="1"/>
          <w:bCs w:val="1"/>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199" w:lineRule="exact"/>
        <w:rPr>
          <w:sz w:val="20"/>
          <w:szCs w:val="20"/>
          <w:color w:val="auto"/>
        </w:rPr>
      </w:pPr>
    </w:p>
    <w:p>
      <w:pPr>
        <w:jc w:val="both"/>
        <w:ind w:left="40" w:right="20"/>
        <w:spacing w:after="0" w:line="236" w:lineRule="auto"/>
        <w:rPr>
          <w:sz w:val="20"/>
          <w:szCs w:val="20"/>
          <w:color w:val="auto"/>
        </w:rPr>
      </w:pPr>
      <w:r>
        <w:rPr>
          <w:rFonts w:ascii="Arial" w:cs="Arial" w:eastAsia="Arial" w:hAnsi="Arial"/>
          <w:sz w:val="18"/>
          <w:szCs w:val="18"/>
          <w:color w:val="auto"/>
        </w:rPr>
        <w:t xml:space="preserve">You should read this term sheet together with the prospectus dated November 14, 2011, as supplemented by the prospectus supplement dated November 14, 2011 relating to our Series E medium-term notes of which these notes are a part, and the more detailed information contained in product supplement no. 4-I dated November 14, 2011 and underlying supplement no. 1-I dated November 14, 2011. </w:t>
      </w:r>
      <w:r>
        <w:rPr>
          <w:rFonts w:ascii="Arial" w:cs="Arial" w:eastAsia="Arial" w:hAnsi="Arial"/>
          <w:sz w:val="18"/>
          <w:szCs w:val="18"/>
          <w:b w:val="1"/>
          <w:bCs w:val="1"/>
          <w:color w:val="auto"/>
        </w:rPr>
        <w:t>This term</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sheet,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8"/>
          <w:szCs w:val="18"/>
          <w:color w:val="auto"/>
        </w:rPr>
        <w:t>You should carefully</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 among other things, the matters set forth in “Risk Factors” in the accompanying product supplement no.4-I and “Risk Factors” in the accompanying underlying supplement no.1-I, as the notes involve risks not associated with conventional debt securities. We urge you to consult your investment, legal, tax, accounting and other advisers before you invest in the notes.</w:t>
      </w:r>
    </w:p>
    <w:p>
      <w:pPr>
        <w:spacing w:after="0" w:line="1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9" w:lineRule="exact"/>
        <w:rPr>
          <w:sz w:val="20"/>
          <w:szCs w:val="20"/>
          <w:color w:val="auto"/>
        </w:rPr>
      </w:pPr>
    </w:p>
    <w:p>
      <w:pPr>
        <w:ind w:left="600" w:right="3720" w:hanging="340"/>
        <w:spacing w:after="0" w:line="274" w:lineRule="auto"/>
        <w:tabs>
          <w:tab w:leader="none" w:pos="600" w:val="left"/>
        </w:tabs>
        <w:numPr>
          <w:ilvl w:val="0"/>
          <w:numId w:val="4"/>
        </w:numPr>
        <w:rPr>
          <w:rFonts w:ascii="Arial" w:cs="Arial" w:eastAsia="Arial" w:hAnsi="Arial"/>
          <w:sz w:val="17"/>
          <w:szCs w:val="17"/>
          <w:u w:val="single" w:color="auto"/>
          <w:color w:val="0000FF"/>
        </w:rPr>
      </w:pPr>
      <w:r>
        <w:rPr>
          <w:rFonts w:ascii="Arial" w:cs="Arial" w:eastAsia="Arial" w:hAnsi="Arial"/>
          <w:sz w:val="17"/>
          <w:szCs w:val="17"/>
          <w:color w:val="auto"/>
        </w:rPr>
        <w:t xml:space="preserve">Product supplement no. 4-I dated November 14, 2011: </w:t>
      </w:r>
      <w:hyperlink r:id="rId12">
        <w:r>
          <w:rPr>
            <w:rFonts w:ascii="Arial" w:cs="Arial" w:eastAsia="Arial" w:hAnsi="Arial"/>
            <w:sz w:val="17"/>
            <w:szCs w:val="17"/>
            <w:u w:val="single" w:color="auto"/>
            <w:color w:val="0000FF"/>
          </w:rPr>
          <w:t>http://www.sec.gov/Archives/edgar/data/19617/000089109211007593/e46160_424b2.pdf</w:t>
        </w:r>
      </w:hyperlink>
    </w:p>
    <w:p>
      <w:pPr>
        <w:spacing w:after="0" w:line="12" w:lineRule="exact"/>
        <w:rPr>
          <w:rFonts w:ascii="Arial" w:cs="Arial" w:eastAsia="Arial" w:hAnsi="Arial"/>
          <w:sz w:val="17"/>
          <w:szCs w:val="17"/>
          <w:u w:val="single" w:color="auto"/>
          <w:color w:val="0000FF"/>
        </w:rPr>
      </w:pPr>
    </w:p>
    <w:p>
      <w:pPr>
        <w:ind w:left="600" w:right="3720" w:hanging="340"/>
        <w:spacing w:after="0" w:line="274" w:lineRule="auto"/>
        <w:tabs>
          <w:tab w:leader="none" w:pos="600" w:val="left"/>
        </w:tabs>
        <w:numPr>
          <w:ilvl w:val="0"/>
          <w:numId w:val="4"/>
        </w:numPr>
        <w:rPr>
          <w:rFonts w:ascii="Arial" w:cs="Arial" w:eastAsia="Arial" w:hAnsi="Arial"/>
          <w:sz w:val="17"/>
          <w:szCs w:val="17"/>
          <w:u w:val="single" w:color="auto"/>
          <w:color w:val="0000FF"/>
        </w:rPr>
      </w:pPr>
      <w:r>
        <w:rPr>
          <w:rFonts w:ascii="Arial" w:cs="Arial" w:eastAsia="Arial" w:hAnsi="Arial"/>
          <w:sz w:val="17"/>
          <w:szCs w:val="17"/>
          <w:color w:val="auto"/>
        </w:rPr>
        <w:t xml:space="preserve">Underlying supplement no. 1-I dated November 14, 2011: </w:t>
      </w:r>
      <w:hyperlink r:id="rId13">
        <w:r>
          <w:rPr>
            <w:rFonts w:ascii="Arial" w:cs="Arial" w:eastAsia="Arial" w:hAnsi="Arial"/>
            <w:sz w:val="17"/>
            <w:szCs w:val="17"/>
            <w:u w:val="single" w:color="auto"/>
            <w:color w:val="0000FF"/>
          </w:rPr>
          <w:t>http://www.sec.gov/Archives/edgar/data/19617/000089109211007615/e46154_424b2.pdf</w:t>
        </w:r>
      </w:hyperlink>
    </w:p>
    <w:p>
      <w:pPr>
        <w:spacing w:after="0" w:line="12" w:lineRule="exact"/>
        <w:rPr>
          <w:rFonts w:ascii="Arial" w:cs="Arial" w:eastAsia="Arial" w:hAnsi="Arial"/>
          <w:sz w:val="17"/>
          <w:szCs w:val="17"/>
          <w:u w:val="single" w:color="auto"/>
          <w:color w:val="0000FF"/>
        </w:rPr>
      </w:pPr>
    </w:p>
    <w:p>
      <w:pPr>
        <w:ind w:left="600" w:right="3720" w:hanging="340"/>
        <w:spacing w:after="0" w:line="274" w:lineRule="auto"/>
        <w:tabs>
          <w:tab w:leader="none" w:pos="600" w:val="left"/>
        </w:tabs>
        <w:numPr>
          <w:ilvl w:val="0"/>
          <w:numId w:val="4"/>
        </w:numPr>
        <w:rPr>
          <w:rFonts w:ascii="Arial" w:cs="Arial" w:eastAsia="Arial" w:hAnsi="Arial"/>
          <w:sz w:val="17"/>
          <w:szCs w:val="17"/>
          <w:u w:val="single" w:color="auto"/>
          <w:color w:val="0000FF"/>
        </w:rPr>
      </w:pPr>
      <w:r>
        <w:rPr>
          <w:rFonts w:ascii="Arial" w:cs="Arial" w:eastAsia="Arial" w:hAnsi="Arial"/>
          <w:sz w:val="17"/>
          <w:szCs w:val="17"/>
          <w:color w:val="auto"/>
        </w:rPr>
        <w:t xml:space="preserve">Prospectus supplement dated November 14, 2011: </w:t>
      </w:r>
      <w:hyperlink r:id="rId14">
        <w:r>
          <w:rPr>
            <w:rFonts w:ascii="Arial" w:cs="Arial" w:eastAsia="Arial" w:hAnsi="Arial"/>
            <w:sz w:val="17"/>
            <w:szCs w:val="17"/>
            <w:u w:val="single" w:color="auto"/>
            <w:color w:val="0000FF"/>
          </w:rPr>
          <w:t>http://www.sec.gov/Archives/edgar/data/19617/000089109211007578/e46180_424b2.pdf</w:t>
        </w:r>
      </w:hyperlink>
    </w:p>
    <w:p>
      <w:pPr>
        <w:spacing w:after="0" w:line="12" w:lineRule="exact"/>
        <w:rPr>
          <w:rFonts w:ascii="Arial" w:cs="Arial" w:eastAsia="Arial" w:hAnsi="Arial"/>
          <w:sz w:val="17"/>
          <w:szCs w:val="17"/>
          <w:u w:val="single" w:color="auto"/>
          <w:color w:val="0000FF"/>
        </w:rPr>
      </w:pPr>
    </w:p>
    <w:p>
      <w:pPr>
        <w:ind w:left="600" w:right="3720" w:hanging="340"/>
        <w:spacing w:after="0" w:line="274" w:lineRule="auto"/>
        <w:tabs>
          <w:tab w:leader="none" w:pos="600" w:val="left"/>
        </w:tabs>
        <w:numPr>
          <w:ilvl w:val="0"/>
          <w:numId w:val="4"/>
        </w:numPr>
        <w:rPr>
          <w:rFonts w:ascii="Arial" w:cs="Arial" w:eastAsia="Arial" w:hAnsi="Arial"/>
          <w:sz w:val="17"/>
          <w:szCs w:val="17"/>
          <w:u w:val="single" w:color="auto"/>
          <w:color w:val="0000FF"/>
        </w:rPr>
      </w:pPr>
      <w:r>
        <w:rPr>
          <w:rFonts w:ascii="Arial" w:cs="Arial" w:eastAsia="Arial" w:hAnsi="Arial"/>
          <w:sz w:val="17"/>
          <w:szCs w:val="17"/>
          <w:color w:val="auto"/>
        </w:rPr>
        <w:t xml:space="preserve">Prospectus dated November 14, 2011: </w:t>
      </w:r>
      <w:hyperlink r:id="rId15">
        <w:r>
          <w:rPr>
            <w:rFonts w:ascii="Arial" w:cs="Arial" w:eastAsia="Arial" w:hAnsi="Arial"/>
            <w:sz w:val="17"/>
            <w:szCs w:val="17"/>
            <w:u w:val="single" w:color="auto"/>
            <w:color w:val="0000FF"/>
          </w:rPr>
          <w:t>http://www.sec.gov/Archives/edgar/data/19617/000089109211007568/e46179_424b2.pdf</w:t>
        </w:r>
      </w:hyperlink>
    </w:p>
    <w:p>
      <w:pPr>
        <w:spacing w:after="0" w:line="228" w:lineRule="exact"/>
        <w:rPr>
          <w:rFonts w:ascii="Arial" w:cs="Arial" w:eastAsia="Arial" w:hAnsi="Arial"/>
          <w:sz w:val="17"/>
          <w:szCs w:val="17"/>
          <w:color w:val="auto"/>
        </w:rPr>
      </w:pPr>
    </w:p>
    <w:p>
      <w:pPr>
        <w:spacing w:after="0" w:line="245" w:lineRule="auto"/>
        <w:rPr>
          <w:sz w:val="20"/>
          <w:szCs w:val="20"/>
          <w:color w:val="auto"/>
        </w:rPr>
      </w:pPr>
      <w:r>
        <w:rPr>
          <w:rFonts w:ascii="Arial" w:cs="Arial" w:eastAsia="Arial" w:hAnsi="Arial"/>
          <w:sz w:val="18"/>
          <w:szCs w:val="18"/>
          <w:color w:val="auto"/>
        </w:rPr>
        <w:t>Our Central Index Key, or CIK, on the SEC website is 19617. As used in this term sheet, the “Company,” “we,” “us” and “our” refer to JPMorgan Chase &amp; Co.</w:t>
      </w:r>
    </w:p>
    <w:p>
      <w:pPr>
        <w:spacing w:after="0" w:line="20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648079"/>
        </w:rPr>
        <w:t>Selected Purchase Considerations</w:t>
      </w:r>
    </w:p>
    <w:p>
      <w:pPr>
        <w:spacing w:after="0" w:line="265" w:lineRule="exact"/>
        <w:rPr>
          <w:rFonts w:ascii="Arial" w:cs="Arial" w:eastAsia="Arial" w:hAnsi="Arial"/>
          <w:sz w:val="17"/>
          <w:szCs w:val="17"/>
          <w:color w:val="auto"/>
        </w:rPr>
      </w:pPr>
    </w:p>
    <w:p>
      <w:pPr>
        <w:jc w:val="both"/>
        <w:ind w:left="620" w:right="40" w:hanging="353"/>
        <w:spacing w:after="0" w:line="246"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CAPPED APPRECIATION POTENTIAL — </w:t>
      </w:r>
      <w:r>
        <w:rPr>
          <w:rFonts w:ascii="Arial" w:cs="Arial" w:eastAsia="Arial" w:hAnsi="Arial"/>
          <w:sz w:val="18"/>
          <w:szCs w:val="18"/>
          <w:color w:val="auto"/>
        </w:rPr>
        <w:t>The notes provide the opportunity to enhance equity returns by multiplying a positive Index</w:t>
      </w:r>
      <w:r>
        <w:rPr>
          <w:rFonts w:ascii="Arial" w:cs="Arial" w:eastAsia="Arial" w:hAnsi="Arial"/>
          <w:sz w:val="18"/>
          <w:szCs w:val="18"/>
          <w:b w:val="1"/>
          <w:bCs w:val="1"/>
          <w:color w:val="auto"/>
        </w:rPr>
        <w:t xml:space="preserve"> </w:t>
      </w:r>
      <w:r>
        <w:rPr>
          <w:rFonts w:ascii="Arial" w:cs="Arial" w:eastAsia="Arial" w:hAnsi="Arial"/>
          <w:sz w:val="18"/>
          <w:szCs w:val="18"/>
          <w:color w:val="auto"/>
        </w:rPr>
        <w:t>Return by 2, up to the Maximum Return of 20.00% (or a maximum payment at maturity of $1,200) per $1,000 principal amount note. Because the notes are our unsecured and unsubordinated obligations, payment of any amount at maturity is subject to our ability to pay our obligations as they become due.</w:t>
      </w:r>
    </w:p>
    <w:p>
      <w:pPr>
        <w:spacing w:after="0" w:line="14" w:lineRule="exact"/>
        <w:rPr>
          <w:rFonts w:ascii="Arial" w:cs="Arial" w:eastAsia="Arial" w:hAnsi="Arial"/>
          <w:sz w:val="18"/>
          <w:szCs w:val="18"/>
          <w:color w:val="auto"/>
        </w:rPr>
      </w:pPr>
    </w:p>
    <w:p>
      <w:pPr>
        <w:jc w:val="both"/>
        <w:ind w:left="620" w:right="40" w:hanging="353"/>
        <w:spacing w:after="0" w:line="246"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LIMITED PROTECTION AGAINST LOSS — </w:t>
      </w:r>
      <w:r>
        <w:rPr>
          <w:rFonts w:ascii="Arial" w:cs="Arial" w:eastAsia="Arial" w:hAnsi="Arial"/>
          <w:sz w:val="18"/>
          <w:szCs w:val="18"/>
          <w:color w:val="auto"/>
        </w:rPr>
        <w:t>We will pay you your principal back at maturity if the Ending Index Level is not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Initial Index Level by more than 10%. If the Ending Index Level is less than the Initial Index Level by more than 10%, for every 1% that the Ending Index Level is less than the Initial Index Level by more than 10%, you will lose an amount equal to 1.1111% of the principal amount of your notes.</w:t>
      </w:r>
    </w:p>
    <w:p>
      <w:pPr>
        <w:spacing w:after="0" w:line="14" w:lineRule="exact"/>
        <w:rPr>
          <w:rFonts w:ascii="Arial" w:cs="Arial" w:eastAsia="Arial" w:hAnsi="Arial"/>
          <w:sz w:val="18"/>
          <w:szCs w:val="18"/>
          <w:color w:val="auto"/>
        </w:rPr>
      </w:pPr>
    </w:p>
    <w:p>
      <w:pPr>
        <w:jc w:val="both"/>
        <w:ind w:left="620" w:right="20" w:hanging="353"/>
        <w:spacing w:after="0" w:line="217"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RETURN LINKED TO THE S&amp;P 500</w:t>
      </w:r>
      <w:r>
        <w:rPr>
          <w:rFonts w:ascii="Arial" w:cs="Arial" w:eastAsia="Arial" w:hAnsi="Arial"/>
          <w:sz w:val="24"/>
          <w:szCs w:val="24"/>
          <w:b w:val="1"/>
          <w:bCs w:val="1"/>
          <w:color w:val="auto"/>
          <w:vertAlign w:val="superscript"/>
        </w:rPr>
        <w:t>®</w:t>
      </w:r>
      <w:r>
        <w:rPr>
          <w:rFonts w:ascii="Arial" w:cs="Arial" w:eastAsia="Arial" w:hAnsi="Arial"/>
          <w:sz w:val="17"/>
          <w:szCs w:val="17"/>
          <w:b w:val="1"/>
          <w:bCs w:val="1"/>
          <w:color w:val="auto"/>
        </w:rPr>
        <w:t xml:space="preserve"> INDEX — </w:t>
      </w:r>
      <w:r>
        <w:rPr>
          <w:rFonts w:ascii="Arial" w:cs="Arial" w:eastAsia="Arial" w:hAnsi="Arial"/>
          <w:sz w:val="17"/>
          <w:szCs w:val="17"/>
          <w:color w:val="auto"/>
        </w:rPr>
        <w:t>The return on the notes is linked to the S&amp;P 500</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Index. The S&amp;P 500</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Index consists</w:t>
      </w:r>
      <w:r>
        <w:rPr>
          <w:rFonts w:ascii="Arial" w:cs="Arial" w:eastAsia="Arial" w:hAnsi="Arial"/>
          <w:sz w:val="17"/>
          <w:szCs w:val="17"/>
          <w:b w:val="1"/>
          <w:bCs w:val="1"/>
          <w:color w:val="auto"/>
        </w:rPr>
        <w:t xml:space="preserve"> </w:t>
      </w:r>
      <w:r>
        <w:rPr>
          <w:rFonts w:ascii="Arial" w:cs="Arial" w:eastAsia="Arial" w:hAnsi="Arial"/>
          <w:sz w:val="17"/>
          <w:szCs w:val="17"/>
          <w:color w:val="auto"/>
        </w:rPr>
        <w:t>of 500 component stocks selected to provide a performance benchmark for the U.S. equity markets. See “Equity Index Descriptions</w:t>
      </w:r>
    </w:p>
    <w:p>
      <w:pPr>
        <w:ind w:left="620"/>
        <w:spacing w:after="0" w:line="213" w:lineRule="auto"/>
        <w:rPr>
          <w:rFonts w:ascii="Arial" w:cs="Arial" w:eastAsia="Arial" w:hAnsi="Arial"/>
          <w:sz w:val="17"/>
          <w:szCs w:val="17"/>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S&amp;P 500</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Index” in the accompanying underlying supplement no. 1-I.</w:t>
      </w:r>
    </w:p>
    <w:p>
      <w:pPr>
        <w:spacing w:after="0" w:line="1" w:lineRule="exact"/>
        <w:rPr>
          <w:rFonts w:ascii="Arial" w:cs="Arial" w:eastAsia="Arial" w:hAnsi="Arial"/>
          <w:sz w:val="17"/>
          <w:szCs w:val="17"/>
          <w:color w:val="auto"/>
        </w:rPr>
      </w:pPr>
    </w:p>
    <w:p>
      <w:pPr>
        <w:jc w:val="both"/>
        <w:ind w:left="620" w:right="40" w:hanging="353"/>
        <w:spacing w:after="0" w:line="234"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CAPITAL GAINS TAX TREATMENT — </w:t>
      </w:r>
      <w:r>
        <w:rPr>
          <w:rFonts w:ascii="Arial" w:cs="Arial" w:eastAsia="Arial" w:hAnsi="Arial"/>
          <w:sz w:val="18"/>
          <w:szCs w:val="18"/>
          <w:color w:val="auto"/>
        </w:rPr>
        <w:t>You should review carefully the section entitled “Material U.S. Federal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in the accompanying product supplement no. 4-I. The following discussion, when read in combination with that section, constitutes the full opinion of our special tax counsel, Davis Polk &amp; Wardwell LLP, regarding the material U.S. federal income tax consequences of owning and disposing of notes.</w:t>
      </w:r>
    </w:p>
    <w:p>
      <w:pPr>
        <w:spacing w:after="0" w:line="2" w:lineRule="exact"/>
        <w:rPr>
          <w:rFonts w:ascii="Arial" w:cs="Arial" w:eastAsia="Arial" w:hAnsi="Arial"/>
          <w:sz w:val="18"/>
          <w:szCs w:val="18"/>
          <w:color w:val="auto"/>
        </w:rPr>
      </w:pPr>
    </w:p>
    <w:p>
      <w:pPr>
        <w:jc w:val="both"/>
        <w:ind w:left="620" w:right="20"/>
        <w:spacing w:after="0" w:line="237" w:lineRule="auto"/>
        <w:rPr>
          <w:rFonts w:ascii="Arial" w:cs="Arial" w:eastAsia="Arial" w:hAnsi="Arial"/>
          <w:sz w:val="18"/>
          <w:szCs w:val="18"/>
          <w:color w:val="auto"/>
        </w:rPr>
      </w:pPr>
      <w:r>
        <w:rPr>
          <w:rFonts w:ascii="Arial" w:cs="Arial" w:eastAsia="Arial" w:hAnsi="Arial"/>
          <w:sz w:val="18"/>
          <w:szCs w:val="18"/>
          <w:color w:val="auto"/>
        </w:rPr>
        <w:t>Based on current market conditions, in the opinion of our special tax counsel it is reasonable to treat the notes as “open transactions” that are not debt instruments for U.S. federal income tax purposes. Assuming this treatment is respected, the gain or loss on your notes should be treated as long-term capital gain or loss if you hold your notes for more than a year, whether or not you are an initial purchaser of notes at the issue price. However, the Internal Revenue Service (the “IRS”) or a court may not respect this treatment of the notes, in which case the timing and character of any income or loss on the notes could be materially and adversely affected. In addition, in 2007 Treasury and the IRS released a notice requesting comments on the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4"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93"/>
        </w:trPr>
        <w:tc>
          <w:tcPr>
            <w:tcW w:w="85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78968E"/>
              </w:rPr>
              <w:t>JPMorgan Structured Investments —</w:t>
            </w:r>
          </w:p>
        </w:tc>
        <w:tc>
          <w:tcPr>
            <w:tcW w:w="2880" w:type="dxa"/>
            <w:vAlign w:val="bottom"/>
            <w:tcBorders>
              <w:top w:val="single" w:sz="8" w:color="auto"/>
            </w:tcBorders>
          </w:tcPr>
          <w:p>
            <w:pPr>
              <w:ind w:left="2500"/>
              <w:spacing w:after="0" w:line="193" w:lineRule="exact"/>
              <w:rPr>
                <w:sz w:val="20"/>
                <w:szCs w:val="20"/>
                <w:color w:val="auto"/>
              </w:rPr>
            </w:pPr>
            <w:r>
              <w:rPr>
                <w:rFonts w:ascii="Arial" w:cs="Arial" w:eastAsia="Arial" w:hAnsi="Arial"/>
                <w:sz w:val="18"/>
                <w:szCs w:val="18"/>
                <w:color w:val="78968E"/>
                <w:w w:val="92"/>
              </w:rPr>
              <w:t>TS-1</w:t>
            </w:r>
          </w:p>
        </w:tc>
      </w:tr>
      <w:tr>
        <w:trPr>
          <w:trHeight w:val="239"/>
        </w:trPr>
        <w:tc>
          <w:tcPr>
            <w:tcW w:w="8540" w:type="dxa"/>
            <w:vAlign w:val="bottom"/>
          </w:tcPr>
          <w:p>
            <w:pPr>
              <w:spacing w:after="0"/>
              <w:rPr>
                <w:sz w:val="20"/>
                <w:szCs w:val="20"/>
                <w:color w:val="auto"/>
              </w:rPr>
            </w:pPr>
            <w:r>
              <w:rPr>
                <w:rFonts w:ascii="Arial" w:cs="Arial" w:eastAsia="Arial" w:hAnsi="Arial"/>
                <w:sz w:val="18"/>
                <w:szCs w:val="18"/>
                <w:b w:val="1"/>
                <w:bCs w:val="1"/>
                <w:color w:val="78968E"/>
              </w:rPr>
              <w:t>Capped Buffered Return Enhanced Notes Linked to the S&amp;P 500</w:t>
            </w:r>
            <w:r>
              <w:rPr>
                <w:rFonts w:ascii="Arial" w:cs="Arial" w:eastAsia="Arial" w:hAnsi="Arial"/>
                <w:sz w:val="10"/>
                <w:szCs w:val="10"/>
                <w:b w:val="1"/>
                <w:bCs w:val="1"/>
                <w:color w:val="6E8E86"/>
              </w:rPr>
              <w:t>®</w:t>
            </w:r>
            <w:r>
              <w:rPr>
                <w:rFonts w:ascii="Arial" w:cs="Arial" w:eastAsia="Arial" w:hAnsi="Arial"/>
                <w:sz w:val="18"/>
                <w:szCs w:val="18"/>
                <w:b w:val="1"/>
                <w:bCs w:val="1"/>
                <w:color w:val="78968E"/>
              </w:rPr>
              <w:t xml:space="preserve"> Index</w:t>
            </w:r>
          </w:p>
        </w:tc>
        <w:tc>
          <w:tcPr>
            <w:tcW w:w="2880" w:type="dxa"/>
            <w:vAlign w:val="bottom"/>
          </w:tcPr>
          <w:p>
            <w:pPr>
              <w:spacing w:after="0"/>
              <w:rPr>
                <w:sz w:val="20"/>
                <w:szCs w:val="20"/>
                <w:color w:val="auto"/>
              </w:rPr>
            </w:pPr>
          </w:p>
        </w:tc>
      </w:tr>
      <w:tr>
        <w:trPr>
          <w:trHeight w:val="401"/>
        </w:trPr>
        <w:tc>
          <w:tcPr>
            <w:tcW w:w="854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1" w:right="239" w:bottom="901" w:gutter="0" w:footer="0" w:header="0"/>
        </w:sectPr>
      </w:pPr>
    </w:p>
    <w:bookmarkStart w:id="2" w:name="page3"/>
    <w:bookmarkEnd w:id="2"/>
    <w:p>
      <w:pPr>
        <w:jc w:val="both"/>
        <w:ind w:left="620" w:right="20"/>
        <w:spacing w:after="0" w:line="236" w:lineRule="auto"/>
        <w:rPr>
          <w:sz w:val="20"/>
          <w:szCs w:val="20"/>
          <w:color w:val="auto"/>
        </w:rPr>
      </w:pPr>
      <w:r>
        <w:rPr>
          <w:rFonts w:ascii="Arial" w:cs="Arial" w:eastAsia="Arial" w:hAnsi="Arial"/>
          <w:sz w:val="18"/>
          <w:szCs w:val="18"/>
          <w:color w:val="auto"/>
        </w:rPr>
        <w:t>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the degree, if any, to which income (including any mandated accruals) realized by non-U.S. investors should be subject to withholding tax; and whether these instruments are or should be subject to the “constructive ownership” regime, which very generally can operate to recharacterize certain long-term capital gain as ordinary income and impose a notional interest charge.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 You should consult your tax adviser regarding the U.S. federal income tax consequences of an investment in the notes, including possible alternative treatments and the issues presented by this notice.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Selected Risk Considerations</w:t>
      </w:r>
    </w:p>
    <w:p>
      <w:pPr>
        <w:spacing w:after="0" w:line="2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 investment in the notes involves significant risks. Investing in the notes is not equivalent to investing directly in the Index or in any of the component securities of the Index. These risks are explained in more detail in the “Risk Factors” section of the accompanying product supplement no. 4-I dated November 14, 2011 and the “Risk Factors” section of the accompanying underlying supplement no. 1-I dated November 14, 2011.</w:t>
      </w:r>
    </w:p>
    <w:p>
      <w:pPr>
        <w:spacing w:after="0" w:line="236" w:lineRule="exact"/>
        <w:rPr>
          <w:sz w:val="20"/>
          <w:szCs w:val="20"/>
          <w:color w:val="auto"/>
        </w:rPr>
      </w:pPr>
    </w:p>
    <w:p>
      <w:pPr>
        <w:jc w:val="both"/>
        <w:ind w:left="480" w:right="40" w:hanging="281"/>
        <w:spacing w:after="0" w:line="243"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YOUR INVESTMENT IN THE NOTES MAY RESULT IN A LOSS — </w:t>
      </w:r>
      <w:r>
        <w:rPr>
          <w:rFonts w:ascii="Arial" w:cs="Arial" w:eastAsia="Arial" w:hAnsi="Arial"/>
          <w:sz w:val="18"/>
          <w:szCs w:val="18"/>
          <w:color w:val="auto"/>
        </w:rPr>
        <w:t>The notes do not guarantee any return of principal. The return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notes at maturity is linked to the performance of the Index and will depend on whether, and the extent to which, the Index Return is positive or negative. Your investment will be exposed on a leveraged basis to loss if the Ending Index Level is less than the Initial Index Level by more than 10%. For every 1% that the Ending Index Level is less than the Initial Index Level by more than 10%, you will lose an amount equal to 1.1111% of the principal amount of your notes.</w:t>
      </w:r>
    </w:p>
    <w:p>
      <w:pPr>
        <w:spacing w:after="0" w:line="17" w:lineRule="exact"/>
        <w:rPr>
          <w:rFonts w:ascii="Arial" w:cs="Arial" w:eastAsia="Arial" w:hAnsi="Arial"/>
          <w:sz w:val="18"/>
          <w:szCs w:val="18"/>
          <w:color w:val="auto"/>
        </w:rPr>
      </w:pPr>
    </w:p>
    <w:p>
      <w:pPr>
        <w:jc w:val="both"/>
        <w:ind w:left="480" w:right="40" w:hanging="281"/>
        <w:spacing w:after="0" w:line="253"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YOUR MAXIMUM GAIN ON THE NOTES IS LIMITED TO THE MAXIMUM RETURN — </w:t>
      </w:r>
      <w:r>
        <w:rPr>
          <w:rFonts w:ascii="Arial" w:cs="Arial" w:eastAsia="Arial" w:hAnsi="Arial"/>
          <w:sz w:val="18"/>
          <w:szCs w:val="18"/>
          <w:color w:val="auto"/>
        </w:rPr>
        <w:t>If the Ending Index Level is greater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Index Level, for each $1,000 principal amount note, you will receive at maturity $1,000 plus an additional return that will not exceed the Maximum Return of 20.00%, regardless of the appreciation in the Index, which may be significant.</w:t>
      </w:r>
    </w:p>
    <w:p>
      <w:pPr>
        <w:spacing w:after="0" w:line="6" w:lineRule="exact"/>
        <w:rPr>
          <w:rFonts w:ascii="Arial" w:cs="Arial" w:eastAsia="Arial" w:hAnsi="Arial"/>
          <w:sz w:val="18"/>
          <w:szCs w:val="18"/>
          <w:color w:val="auto"/>
        </w:rPr>
      </w:pPr>
    </w:p>
    <w:p>
      <w:pPr>
        <w:ind w:left="480" w:right="80" w:hanging="281"/>
        <w:spacing w:after="0" w:line="241"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CREDIT RISK OF JPMORGAN CHASE &amp; CO. </w:t>
      </w:r>
      <w:r>
        <w:rPr>
          <w:rFonts w:ascii="Arial" w:cs="Arial" w:eastAsia="Arial" w:hAnsi="Arial"/>
          <w:sz w:val="18"/>
          <w:szCs w:val="18"/>
          <w:color w:val="auto"/>
        </w:rPr>
        <w:t>— The notes are subject to the credit risk of JPMorgan Chase &amp; Co., and our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credit spreads may adversely affect the market value of the notes. Investors are dependent on JPMorgan Chase &amp; Co.’s ability to pay all amounts due on the notes, and therefore investors are subject to our credit risk and to changes in the market’s view of our creditworthiness. Any decline in our credit ratings or increase in the credit spreads charged by the market for taking our credit risk is likely to adversely affect the value of the notes. If we were to default on our payment obligations, you may not receive any amounts owed to you under the notes and you could lose your entire investment.</w:t>
      </w:r>
    </w:p>
    <w:p>
      <w:pPr>
        <w:spacing w:after="0" w:line="20" w:lineRule="exact"/>
        <w:rPr>
          <w:rFonts w:ascii="Arial" w:cs="Arial" w:eastAsia="Arial" w:hAnsi="Arial"/>
          <w:sz w:val="18"/>
          <w:szCs w:val="18"/>
          <w:color w:val="auto"/>
        </w:rPr>
      </w:pPr>
    </w:p>
    <w:p>
      <w:pPr>
        <w:jc w:val="both"/>
        <w:ind w:left="480" w:right="20" w:hanging="281"/>
        <w:spacing w:after="0" w:line="23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POTENTIAL CONFLICTS — </w:t>
      </w:r>
      <w:r>
        <w:rPr>
          <w:rFonts w:ascii="Arial" w:cs="Arial" w:eastAsia="Arial" w:hAnsi="Arial"/>
          <w:sz w:val="18"/>
          <w:szCs w:val="18"/>
          <w:color w:val="auto"/>
        </w:rPr>
        <w:t>We and our affiliates play a variety of roles in connection with the issuance of the notes, including acting as</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 agent and hedging our obligations under the notes. In performing these duties, our economic interests and the economic interests of the calculation agent and other affiliates of ours are potentially adverse to your interests as an investor in the notes. In addition, our business activities, including hedging and trading activities, could cause our economic interests to be adverse to yours and could adversely affect any payment on the notes and the value of the notes. It is possible that hedging or trading activities of ours or our affiliates could result in substantial returns for us or our affiliates while the value of the notes declines. Please refer to “Risk Factors — Risks Relating to the Notes Generally” in the accompanying product supplement no. 4-I for additional information about these risks. In addition, we are currently one of the companies that make up the Index. We will not have any obligation to consider your interests as a holder of the notes in taking any corporate action that might affect the value of the Index and the notes.</w:t>
      </w:r>
    </w:p>
    <w:p>
      <w:pPr>
        <w:spacing w:after="0" w:line="19" w:lineRule="exact"/>
        <w:rPr>
          <w:rFonts w:ascii="Arial" w:cs="Arial" w:eastAsia="Arial" w:hAnsi="Arial"/>
          <w:sz w:val="18"/>
          <w:szCs w:val="18"/>
          <w:color w:val="auto"/>
        </w:rPr>
      </w:pPr>
    </w:p>
    <w:p>
      <w:pPr>
        <w:jc w:val="both"/>
        <w:ind w:left="480" w:right="20" w:hanging="281"/>
        <w:spacing w:after="0" w:line="23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CERTAIN BUILT-IN COSTS ARE LIKELY TO AFFECT ADVERSELY THE VALUE OF THE NOTES PRIOR TO MATURITY — </w:t>
      </w:r>
      <w:r>
        <w:rPr>
          <w:rFonts w:ascii="Arial" w:cs="Arial" w:eastAsia="Arial" w:hAnsi="Arial"/>
          <w:sz w:val="18"/>
          <w:szCs w:val="18"/>
          <w:color w:val="auto"/>
        </w:rPr>
        <w:t>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payment at maturity, if any, described in this term sheet is based on the full principal amount of your notes, the original issue price of the notes includes the agent’s commission and the estimated cost of hedging our obligations under the notes. As a result, and as a general matter, the price, if any, at which JPMS will be willing to purchase notes from you in secondary market transactions, if at all, will likely be lower than the original issue price and any sale prior to the maturity date could result in a substantial loss to you. This secondary market price will also be affected by a number of factors aside from the agent’s commission and hedging costs, including those set forth under “Many Economic and Market Factors Will Impact the Value of the Notes” below.</w:t>
      </w:r>
    </w:p>
    <w:p>
      <w:pPr>
        <w:spacing w:after="0" w:line="1" w:lineRule="exact"/>
        <w:rPr>
          <w:rFonts w:ascii="Arial" w:cs="Arial" w:eastAsia="Arial" w:hAnsi="Arial"/>
          <w:sz w:val="18"/>
          <w:szCs w:val="18"/>
          <w:color w:val="auto"/>
        </w:rPr>
      </w:pPr>
    </w:p>
    <w:p>
      <w:pPr>
        <w:ind w:left="480" w:right="620"/>
        <w:spacing w:after="0" w:line="245" w:lineRule="auto"/>
        <w:rPr>
          <w:rFonts w:ascii="Arial" w:cs="Arial" w:eastAsia="Arial" w:hAnsi="Arial"/>
          <w:sz w:val="18"/>
          <w:szCs w:val="18"/>
          <w:color w:val="auto"/>
        </w:rPr>
      </w:pPr>
      <w:r>
        <w:rPr>
          <w:rFonts w:ascii="Arial" w:cs="Arial" w:eastAsia="Arial" w:hAnsi="Arial"/>
          <w:sz w:val="18"/>
          <w:szCs w:val="18"/>
          <w:color w:val="auto"/>
        </w:rPr>
        <w:t>The notes are not designed to be short-term trading instruments. Accordingly, you should be able and willing to hold your notes to maturity.</w:t>
      </w:r>
    </w:p>
    <w:p>
      <w:pPr>
        <w:spacing w:after="0" w:line="14" w:lineRule="exact"/>
        <w:rPr>
          <w:rFonts w:ascii="Arial" w:cs="Arial" w:eastAsia="Arial" w:hAnsi="Arial"/>
          <w:sz w:val="18"/>
          <w:szCs w:val="18"/>
          <w:color w:val="auto"/>
        </w:rPr>
      </w:pPr>
    </w:p>
    <w:p>
      <w:pPr>
        <w:jc w:val="both"/>
        <w:ind w:left="480" w:right="20" w:hanging="281"/>
        <w:spacing w:after="0" w:line="253"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NO INTEREST OR DIVIDEND PAYMENTS OR VOTING RIGHTS — </w:t>
      </w:r>
      <w:r>
        <w:rPr>
          <w:rFonts w:ascii="Arial" w:cs="Arial" w:eastAsia="Arial" w:hAnsi="Arial"/>
          <w:sz w:val="18"/>
          <w:szCs w:val="18"/>
          <w:color w:val="auto"/>
        </w:rPr>
        <w:t>As a holder of the notes, you will not receive interest payments,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have voting rights or rights to receive cash dividends or other distributions or other rights that holders of securities composing the Index would have.</w:t>
      </w:r>
    </w:p>
    <w:p>
      <w:pPr>
        <w:spacing w:after="0" w:line="6" w:lineRule="exact"/>
        <w:rPr>
          <w:rFonts w:ascii="Arial" w:cs="Arial" w:eastAsia="Arial" w:hAnsi="Arial"/>
          <w:sz w:val="18"/>
          <w:szCs w:val="18"/>
          <w:color w:val="auto"/>
        </w:rPr>
      </w:pPr>
    </w:p>
    <w:p>
      <w:pPr>
        <w:jc w:val="both"/>
        <w:ind w:left="480" w:right="40" w:hanging="281"/>
        <w:spacing w:after="0" w:line="246"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WE ARE CURRENTLY ONE OF THE COMPANIES THAT MAKE UP THE INDEX — </w:t>
      </w:r>
      <w:r>
        <w:rPr>
          <w:rFonts w:ascii="Arial" w:cs="Arial" w:eastAsia="Arial" w:hAnsi="Arial"/>
          <w:sz w:val="18"/>
          <w:szCs w:val="18"/>
          <w:color w:val="auto"/>
        </w:rPr>
        <w:t>We are currently one of the companies that make</w:t>
      </w:r>
      <w:r>
        <w:rPr>
          <w:rFonts w:ascii="Arial" w:cs="Arial" w:eastAsia="Arial" w:hAnsi="Arial"/>
          <w:sz w:val="18"/>
          <w:szCs w:val="18"/>
          <w:b w:val="1"/>
          <w:bCs w:val="1"/>
          <w:color w:val="auto"/>
        </w:rPr>
        <w:t xml:space="preserve"> </w:t>
      </w:r>
      <w:r>
        <w:rPr>
          <w:rFonts w:ascii="Arial" w:cs="Arial" w:eastAsia="Arial" w:hAnsi="Arial"/>
          <w:sz w:val="18"/>
          <w:szCs w:val="18"/>
          <w:color w:val="auto"/>
        </w:rPr>
        <w:t>up the Index. To our knowledge, we are not currently affiliated with any other issuers the equity securities of which are included in the Index. We will not have any obligation to consider your interests as a holder of the notes in taking any corporate action that might affect the value of the Index and the notes.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78968E"/>
              </w:rPr>
              <w:t>JPMorgan Structured Investments —</w:t>
            </w:r>
          </w:p>
        </w:tc>
        <w:tc>
          <w:tcPr>
            <w:tcW w:w="2880" w:type="dxa"/>
            <w:vAlign w:val="bottom"/>
            <w:tcBorders>
              <w:top w:val="single" w:sz="8" w:color="auto"/>
            </w:tcBorders>
          </w:tcPr>
          <w:p>
            <w:pPr>
              <w:ind w:left="2500"/>
              <w:spacing w:after="0" w:line="193" w:lineRule="exact"/>
              <w:rPr>
                <w:sz w:val="20"/>
                <w:szCs w:val="20"/>
                <w:color w:val="auto"/>
              </w:rPr>
            </w:pPr>
            <w:r>
              <w:rPr>
                <w:rFonts w:ascii="Arial" w:cs="Arial" w:eastAsia="Arial" w:hAnsi="Arial"/>
                <w:sz w:val="18"/>
                <w:szCs w:val="18"/>
                <w:color w:val="78968E"/>
                <w:w w:val="92"/>
              </w:rPr>
              <w:t>TS-2</w:t>
            </w:r>
          </w:p>
        </w:tc>
      </w:tr>
      <w:tr>
        <w:trPr>
          <w:trHeight w:val="239"/>
        </w:trPr>
        <w:tc>
          <w:tcPr>
            <w:tcW w:w="8540" w:type="dxa"/>
            <w:vAlign w:val="bottom"/>
          </w:tcPr>
          <w:p>
            <w:pPr>
              <w:spacing w:after="0"/>
              <w:rPr>
                <w:sz w:val="20"/>
                <w:szCs w:val="20"/>
                <w:color w:val="auto"/>
              </w:rPr>
            </w:pPr>
            <w:r>
              <w:rPr>
                <w:rFonts w:ascii="Arial" w:cs="Arial" w:eastAsia="Arial" w:hAnsi="Arial"/>
                <w:sz w:val="18"/>
                <w:szCs w:val="18"/>
                <w:b w:val="1"/>
                <w:bCs w:val="1"/>
                <w:color w:val="78968E"/>
              </w:rPr>
              <w:t>Capped Buffered Return Enhanced Notes Linked to the S&amp;P 500</w:t>
            </w:r>
            <w:r>
              <w:rPr>
                <w:rFonts w:ascii="Arial" w:cs="Arial" w:eastAsia="Arial" w:hAnsi="Arial"/>
                <w:sz w:val="10"/>
                <w:szCs w:val="10"/>
                <w:b w:val="1"/>
                <w:bCs w:val="1"/>
                <w:color w:val="6E8E86"/>
              </w:rPr>
              <w:t>®</w:t>
            </w:r>
            <w:r>
              <w:rPr>
                <w:rFonts w:ascii="Arial" w:cs="Arial" w:eastAsia="Arial" w:hAnsi="Arial"/>
                <w:sz w:val="18"/>
                <w:szCs w:val="18"/>
                <w:b w:val="1"/>
                <w:bCs w:val="1"/>
                <w:color w:val="78968E"/>
              </w:rPr>
              <w:t xml:space="preserve"> Index</w:t>
            </w:r>
          </w:p>
        </w:tc>
        <w:tc>
          <w:tcPr>
            <w:tcW w:w="2880" w:type="dxa"/>
            <w:vAlign w:val="bottom"/>
          </w:tcPr>
          <w:p>
            <w:pPr>
              <w:spacing w:after="0"/>
              <w:rPr>
                <w:sz w:val="20"/>
                <w:szCs w:val="20"/>
                <w:color w:val="auto"/>
              </w:rPr>
            </w:pPr>
          </w:p>
        </w:tc>
      </w:tr>
      <w:tr>
        <w:trPr>
          <w:trHeight w:val="401"/>
        </w:trPr>
        <w:tc>
          <w:tcPr>
            <w:tcW w:w="854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both"/>
        <w:ind w:left="480" w:right="20" w:hanging="281"/>
        <w:spacing w:after="0" w:line="246"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LACK OF LIQUIDITY — </w:t>
      </w:r>
      <w:r>
        <w:rPr>
          <w:rFonts w:ascii="Arial" w:cs="Arial" w:eastAsia="Arial" w:hAnsi="Arial"/>
          <w:sz w:val="18"/>
          <w:szCs w:val="18"/>
          <w:color w:val="auto"/>
        </w:rPr>
        <w:t>The notes will not be listed on any securities exchange. JPMS intends to offer to purchase the notes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14" w:lineRule="exact"/>
        <w:rPr>
          <w:rFonts w:ascii="Arial" w:cs="Arial" w:eastAsia="Arial" w:hAnsi="Arial"/>
          <w:sz w:val="18"/>
          <w:szCs w:val="18"/>
          <w:color w:val="auto"/>
        </w:rPr>
      </w:pPr>
    </w:p>
    <w:p>
      <w:pPr>
        <w:jc w:val="both"/>
        <w:ind w:left="480" w:right="20" w:hanging="281"/>
        <w:spacing w:after="0" w:line="253"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MANY ECONOMIC AND MARKET FACTORS WILL IMPACT THE VALUE OF THE NOTES — </w:t>
      </w:r>
      <w:r>
        <w:rPr>
          <w:rFonts w:ascii="Arial" w:cs="Arial" w:eastAsia="Arial" w:hAnsi="Arial"/>
          <w:sz w:val="18"/>
          <w:szCs w:val="18"/>
          <w:color w:val="auto"/>
        </w:rPr>
        <w:t>In addition to the levels of the Index on</w:t>
      </w:r>
      <w:r>
        <w:rPr>
          <w:rFonts w:ascii="Arial" w:cs="Arial" w:eastAsia="Arial" w:hAnsi="Arial"/>
          <w:sz w:val="18"/>
          <w:szCs w:val="18"/>
          <w:b w:val="1"/>
          <w:bCs w:val="1"/>
          <w:color w:val="auto"/>
        </w:rPr>
        <w:t xml:space="preserve"> </w:t>
      </w:r>
      <w:r>
        <w:rPr>
          <w:rFonts w:ascii="Arial" w:cs="Arial" w:eastAsia="Arial" w:hAnsi="Arial"/>
          <w:sz w:val="18"/>
          <w:szCs w:val="18"/>
          <w:color w:val="auto"/>
        </w:rPr>
        <w:t>any day, the value of the notes will be impacted by a number of economic and market factors that may either offset or magnify each other, including:</w:t>
      </w:r>
    </w:p>
    <w:p>
      <w:pPr>
        <w:spacing w:after="0" w:line="271" w:lineRule="exact"/>
        <w:rPr>
          <w:rFonts w:ascii="Arial" w:cs="Arial" w:eastAsia="Arial" w:hAnsi="Arial"/>
          <w:sz w:val="18"/>
          <w:szCs w:val="18"/>
          <w:color w:val="auto"/>
        </w:rPr>
      </w:pPr>
    </w:p>
    <w:p>
      <w:pPr>
        <w:ind w:left="1320" w:hanging="255"/>
        <w:spacing w:after="0"/>
        <w:tabs>
          <w:tab w:leader="none" w:pos="13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actual and expected volatility of the Index;</w:t>
      </w:r>
    </w:p>
    <w:p>
      <w:pPr>
        <w:spacing w:after="0" w:line="49" w:lineRule="exact"/>
        <w:rPr>
          <w:rFonts w:ascii="Arial" w:cs="Arial" w:eastAsia="Arial" w:hAnsi="Arial"/>
          <w:sz w:val="18"/>
          <w:szCs w:val="18"/>
          <w:color w:val="auto"/>
        </w:rPr>
      </w:pPr>
    </w:p>
    <w:p>
      <w:pPr>
        <w:ind w:left="1320" w:hanging="255"/>
        <w:spacing w:after="0"/>
        <w:tabs>
          <w:tab w:leader="none" w:pos="13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time to maturity of the notes;</w:t>
      </w:r>
    </w:p>
    <w:p>
      <w:pPr>
        <w:spacing w:after="0" w:line="49" w:lineRule="exact"/>
        <w:rPr>
          <w:rFonts w:ascii="Arial" w:cs="Arial" w:eastAsia="Arial" w:hAnsi="Arial"/>
          <w:sz w:val="18"/>
          <w:szCs w:val="18"/>
          <w:color w:val="auto"/>
        </w:rPr>
      </w:pPr>
    </w:p>
    <w:p>
      <w:pPr>
        <w:ind w:left="1320" w:hanging="255"/>
        <w:spacing w:after="0"/>
        <w:tabs>
          <w:tab w:leader="none" w:pos="13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dividend rates on the equity securities underlying the Index;</w:t>
      </w:r>
    </w:p>
    <w:p>
      <w:pPr>
        <w:spacing w:after="0" w:line="49" w:lineRule="exact"/>
        <w:rPr>
          <w:rFonts w:ascii="Arial" w:cs="Arial" w:eastAsia="Arial" w:hAnsi="Arial"/>
          <w:sz w:val="18"/>
          <w:szCs w:val="18"/>
          <w:color w:val="auto"/>
        </w:rPr>
      </w:pPr>
    </w:p>
    <w:p>
      <w:pPr>
        <w:ind w:left="1320" w:hanging="255"/>
        <w:spacing w:after="0"/>
        <w:tabs>
          <w:tab w:leader="none" w:pos="13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interest and yield rates in the market generally;</w:t>
      </w:r>
    </w:p>
    <w:p>
      <w:pPr>
        <w:spacing w:after="0" w:line="49" w:lineRule="exact"/>
        <w:rPr>
          <w:rFonts w:ascii="Arial" w:cs="Arial" w:eastAsia="Arial" w:hAnsi="Arial"/>
          <w:sz w:val="18"/>
          <w:szCs w:val="18"/>
          <w:color w:val="auto"/>
        </w:rPr>
      </w:pPr>
    </w:p>
    <w:p>
      <w:pPr>
        <w:ind w:left="1320" w:hanging="255"/>
        <w:spacing w:after="0"/>
        <w:tabs>
          <w:tab w:leader="none" w:pos="13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variety of economic, financial, political, regulatory and judicial events; and</w:t>
      </w:r>
    </w:p>
    <w:p>
      <w:pPr>
        <w:spacing w:after="0" w:line="49" w:lineRule="exact"/>
        <w:rPr>
          <w:rFonts w:ascii="Arial" w:cs="Arial" w:eastAsia="Arial" w:hAnsi="Arial"/>
          <w:sz w:val="18"/>
          <w:szCs w:val="18"/>
          <w:color w:val="auto"/>
        </w:rPr>
      </w:pPr>
    </w:p>
    <w:p>
      <w:pPr>
        <w:ind w:left="1320" w:hanging="255"/>
        <w:spacing w:after="0"/>
        <w:tabs>
          <w:tab w:leader="none" w:pos="13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creditworthiness, including actual or anticipated downgrades in our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78968E"/>
              </w:rPr>
              <w:t>JPMorgan Structured Investments —</w:t>
            </w:r>
          </w:p>
        </w:tc>
        <w:tc>
          <w:tcPr>
            <w:tcW w:w="2880" w:type="dxa"/>
            <w:vAlign w:val="bottom"/>
            <w:tcBorders>
              <w:top w:val="single" w:sz="8" w:color="auto"/>
            </w:tcBorders>
          </w:tcPr>
          <w:p>
            <w:pPr>
              <w:ind w:left="2500"/>
              <w:spacing w:after="0" w:line="193" w:lineRule="exact"/>
              <w:rPr>
                <w:sz w:val="20"/>
                <w:szCs w:val="20"/>
                <w:color w:val="auto"/>
              </w:rPr>
            </w:pPr>
            <w:r>
              <w:rPr>
                <w:rFonts w:ascii="Arial" w:cs="Arial" w:eastAsia="Arial" w:hAnsi="Arial"/>
                <w:sz w:val="18"/>
                <w:szCs w:val="18"/>
                <w:color w:val="78968E"/>
                <w:w w:val="92"/>
              </w:rPr>
              <w:t>TS-3</w:t>
            </w:r>
          </w:p>
        </w:tc>
      </w:tr>
      <w:tr>
        <w:trPr>
          <w:trHeight w:val="239"/>
        </w:trPr>
        <w:tc>
          <w:tcPr>
            <w:tcW w:w="8540" w:type="dxa"/>
            <w:vAlign w:val="bottom"/>
          </w:tcPr>
          <w:p>
            <w:pPr>
              <w:spacing w:after="0"/>
              <w:rPr>
                <w:sz w:val="20"/>
                <w:szCs w:val="20"/>
                <w:color w:val="auto"/>
              </w:rPr>
            </w:pPr>
            <w:r>
              <w:rPr>
                <w:rFonts w:ascii="Arial" w:cs="Arial" w:eastAsia="Arial" w:hAnsi="Arial"/>
                <w:sz w:val="18"/>
                <w:szCs w:val="18"/>
                <w:b w:val="1"/>
                <w:bCs w:val="1"/>
                <w:color w:val="78968E"/>
              </w:rPr>
              <w:t>Capped Buffered Return Enhanced Notes Linked to the S&amp;P 500</w:t>
            </w:r>
            <w:r>
              <w:rPr>
                <w:rFonts w:ascii="Arial" w:cs="Arial" w:eastAsia="Arial" w:hAnsi="Arial"/>
                <w:sz w:val="10"/>
                <w:szCs w:val="10"/>
                <w:b w:val="1"/>
                <w:bCs w:val="1"/>
                <w:color w:val="6E8E86"/>
              </w:rPr>
              <w:t>®</w:t>
            </w:r>
            <w:r>
              <w:rPr>
                <w:rFonts w:ascii="Arial" w:cs="Arial" w:eastAsia="Arial" w:hAnsi="Arial"/>
                <w:sz w:val="18"/>
                <w:szCs w:val="18"/>
                <w:b w:val="1"/>
                <w:bCs w:val="1"/>
                <w:color w:val="78968E"/>
              </w:rPr>
              <w:t xml:space="preserve"> Index</w:t>
            </w:r>
          </w:p>
        </w:tc>
        <w:tc>
          <w:tcPr>
            <w:tcW w:w="2880" w:type="dxa"/>
            <w:vAlign w:val="bottom"/>
          </w:tcPr>
          <w:p>
            <w:pPr>
              <w:spacing w:after="0"/>
              <w:rPr>
                <w:sz w:val="20"/>
                <w:szCs w:val="20"/>
                <w:color w:val="auto"/>
              </w:rPr>
            </w:pPr>
          </w:p>
        </w:tc>
      </w:tr>
      <w:tr>
        <w:trPr>
          <w:trHeight w:val="401"/>
        </w:trPr>
        <w:tc>
          <w:tcPr>
            <w:tcW w:w="854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648079"/>
        </w:rPr>
        <w:t>What Is the Total Return on the Notes at Maturity, Assuming a Range of Performances for the Index?</w:t>
      </w:r>
    </w:p>
    <w:p>
      <w:pPr>
        <w:spacing w:after="0" w:line="287" w:lineRule="exact"/>
        <w:rPr>
          <w:sz w:val="20"/>
          <w:szCs w:val="20"/>
          <w:color w:val="auto"/>
        </w:rPr>
      </w:pPr>
    </w:p>
    <w:p>
      <w:pPr>
        <w:jc w:val="both"/>
        <w:ind w:left="40" w:right="40"/>
        <w:spacing w:after="0" w:line="237" w:lineRule="auto"/>
        <w:rPr>
          <w:sz w:val="20"/>
          <w:szCs w:val="20"/>
          <w:color w:val="auto"/>
        </w:rPr>
      </w:pPr>
      <w:r>
        <w:rPr>
          <w:rFonts w:ascii="Arial" w:cs="Arial" w:eastAsia="Arial" w:hAnsi="Arial"/>
          <w:sz w:val="18"/>
          <w:szCs w:val="18"/>
          <w:color w:val="auto"/>
        </w:rPr>
        <w:t>The following table, graph and examples illustrate the hypothetical total return at maturity on the notes. The “total return” as used in this term sheet is the number, expressed as a percentage, that results from comparing the payment at maturity per $1,000 principal amount note to $1,000. The hypothetical total returns set forth below assume an Initial Index Level of 1,552.00 and reflect the Maximum Return of 20.00%. Each hypothetical total return or hypothetical payment at maturity set forth below is for illustrative purposes only and may not be the actual total return or payment at maturity applicable to a purchaser of the notes. The numbers appearing in the following table, graph and examples have been rounded for ease of analysis.</w:t>
      </w:r>
    </w:p>
    <w:p>
      <w:pPr>
        <w:spacing w:after="0" w:line="200" w:lineRule="exact"/>
        <w:rPr>
          <w:sz w:val="20"/>
          <w:szCs w:val="20"/>
          <w:color w:val="auto"/>
        </w:rPr>
      </w:pPr>
    </w:p>
    <w:p>
      <w:pPr>
        <w:spacing w:after="0" w:line="278" w:lineRule="exact"/>
        <w:rPr>
          <w:sz w:val="20"/>
          <w:szCs w:val="20"/>
          <w:color w:val="auto"/>
        </w:rPr>
      </w:pPr>
    </w:p>
    <w:tbl>
      <w:tblPr>
        <w:tblLayout w:type="fixed"/>
        <w:tblInd w:w="2310" w:type="dxa"/>
        <w:tblCellMar>
          <w:top w:w="0" w:type="dxa"/>
          <w:left w:w="0" w:type="dxa"/>
          <w:bottom w:w="0" w:type="dxa"/>
          <w:right w:w="0" w:type="dxa"/>
        </w:tblCellMar>
      </w:tblPr>
      <w:tr>
        <w:trPr>
          <w:trHeight w:val="223"/>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Ending Index</w:t>
            </w:r>
          </w:p>
        </w:tc>
        <w:tc>
          <w:tcPr>
            <w:tcW w:w="172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Index Return</w:t>
            </w:r>
          </w:p>
        </w:tc>
        <w:tc>
          <w:tcPr>
            <w:tcW w:w="1700" w:type="dxa"/>
            <w:vAlign w:val="bottom"/>
            <w:tcBorders>
              <w:top w:val="single" w:sz="8" w:color="auto"/>
              <w:right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Total Return</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Payment at</w:t>
            </w:r>
          </w:p>
        </w:tc>
        <w:tc>
          <w:tcPr>
            <w:tcW w:w="0" w:type="dxa"/>
            <w:vAlign w:val="bottom"/>
          </w:tcPr>
          <w:p>
            <w:pPr>
              <w:spacing w:after="0"/>
              <w:rPr>
                <w:sz w:val="1"/>
                <w:szCs w:val="1"/>
                <w:color w:val="auto"/>
              </w:rPr>
            </w:pPr>
          </w:p>
        </w:tc>
      </w:tr>
      <w:tr>
        <w:trPr>
          <w:trHeight w:val="131"/>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Level</w:t>
            </w:r>
          </w:p>
        </w:tc>
        <w:tc>
          <w:tcPr>
            <w:tcW w:w="172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2,793.60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80.00%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2,560.80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2,328.00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2,172.80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2,017.60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1,862.40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1,784.80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1,707.20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1,629.60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1,567.52</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$1,020.00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1,552.00</w:t>
            </w:r>
          </w:p>
        </w:tc>
        <w:tc>
          <w:tcPr>
            <w:tcW w:w="17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7"/>
              </w:rPr>
              <w:t>0.00%</w:t>
            </w:r>
          </w:p>
        </w:tc>
        <w:tc>
          <w:tcPr>
            <w:tcW w:w="17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rPr>
              <w:t>0.00%</w:t>
            </w:r>
          </w:p>
        </w:tc>
        <w:tc>
          <w:tcPr>
            <w:tcW w:w="1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$1,000.00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1,474.40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-5.00%</w:t>
            </w:r>
          </w:p>
        </w:tc>
        <w:tc>
          <w:tcPr>
            <w:tcW w:w="17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rPr>
              <w:t>0.00%</w:t>
            </w:r>
          </w:p>
        </w:tc>
        <w:tc>
          <w:tcPr>
            <w:tcW w:w="1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$1,000.00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1,396.80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-10.00%</w:t>
            </w:r>
          </w:p>
        </w:tc>
        <w:tc>
          <w:tcPr>
            <w:tcW w:w="17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rPr>
              <w:t>0.00%</w:t>
            </w:r>
          </w:p>
        </w:tc>
        <w:tc>
          <w:tcPr>
            <w:tcW w:w="1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$1,000.00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1,319.20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-5.56%</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$944.44</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1,086.40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-22.22%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$777.78</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931.20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-33.33%</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776.00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-50.00%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-44.44%</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$555.56</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620.80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-60.00%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-55.56%</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$444.44</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465.60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-70.00%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-66.67%</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310.40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-80.00%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-77.78%</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155.20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-90.00%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-88.89%</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0.00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0" w:right="40"/>
        <w:spacing w:after="0" w:line="245" w:lineRule="auto"/>
        <w:rPr>
          <w:sz w:val="20"/>
          <w:szCs w:val="20"/>
          <w:color w:val="auto"/>
        </w:rPr>
      </w:pPr>
      <w:r>
        <w:rPr>
          <w:rFonts w:ascii="Arial" w:cs="Arial" w:eastAsia="Arial" w:hAnsi="Arial"/>
          <w:sz w:val="18"/>
          <w:szCs w:val="18"/>
          <w:color w:val="auto"/>
        </w:rPr>
        <w:t>The following graph demonstrates the hypothetical total returns and hypothetical payments at maturity on the notes at maturity for a sub-set of the Index Return detailed in the table above (-30% to 30%). Your investment may result in a loss of your entire principal amount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160655</wp:posOffset>
            </wp:positionV>
            <wp:extent cx="4008755" cy="3023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008755" cy="302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78968E"/>
              </w:rPr>
              <w:t>JPMorgan Structured Investments —</w:t>
            </w:r>
          </w:p>
        </w:tc>
        <w:tc>
          <w:tcPr>
            <w:tcW w:w="2880" w:type="dxa"/>
            <w:vAlign w:val="bottom"/>
            <w:tcBorders>
              <w:top w:val="single" w:sz="8" w:color="auto"/>
            </w:tcBorders>
          </w:tcPr>
          <w:p>
            <w:pPr>
              <w:ind w:left="2500"/>
              <w:spacing w:after="0" w:line="193" w:lineRule="exact"/>
              <w:rPr>
                <w:sz w:val="20"/>
                <w:szCs w:val="20"/>
                <w:color w:val="auto"/>
              </w:rPr>
            </w:pPr>
            <w:r>
              <w:rPr>
                <w:rFonts w:ascii="Arial" w:cs="Arial" w:eastAsia="Arial" w:hAnsi="Arial"/>
                <w:sz w:val="18"/>
                <w:szCs w:val="18"/>
                <w:color w:val="78968E"/>
                <w:w w:val="92"/>
              </w:rPr>
              <w:t>TS-4</w:t>
            </w:r>
          </w:p>
        </w:tc>
      </w:tr>
      <w:tr>
        <w:trPr>
          <w:trHeight w:val="239"/>
        </w:trPr>
        <w:tc>
          <w:tcPr>
            <w:tcW w:w="8540" w:type="dxa"/>
            <w:vAlign w:val="bottom"/>
          </w:tcPr>
          <w:p>
            <w:pPr>
              <w:spacing w:after="0"/>
              <w:rPr>
                <w:sz w:val="20"/>
                <w:szCs w:val="20"/>
                <w:color w:val="auto"/>
              </w:rPr>
            </w:pPr>
            <w:r>
              <w:rPr>
                <w:rFonts w:ascii="Arial" w:cs="Arial" w:eastAsia="Arial" w:hAnsi="Arial"/>
                <w:sz w:val="18"/>
                <w:szCs w:val="18"/>
                <w:b w:val="1"/>
                <w:bCs w:val="1"/>
                <w:color w:val="78968E"/>
              </w:rPr>
              <w:t>Capped Buffered Return Enhanced Notes Linked to the S&amp;P 500</w:t>
            </w:r>
            <w:r>
              <w:rPr>
                <w:rFonts w:ascii="Arial" w:cs="Arial" w:eastAsia="Arial" w:hAnsi="Arial"/>
                <w:sz w:val="10"/>
                <w:szCs w:val="10"/>
                <w:b w:val="1"/>
                <w:bCs w:val="1"/>
                <w:color w:val="6E8E86"/>
              </w:rPr>
              <w:t>®</w:t>
            </w:r>
            <w:r>
              <w:rPr>
                <w:rFonts w:ascii="Arial" w:cs="Arial" w:eastAsia="Arial" w:hAnsi="Arial"/>
                <w:sz w:val="18"/>
                <w:szCs w:val="18"/>
                <w:b w:val="1"/>
                <w:bCs w:val="1"/>
                <w:color w:val="78968E"/>
              </w:rPr>
              <w:t xml:space="preserve"> Index</w:t>
            </w:r>
          </w:p>
        </w:tc>
        <w:tc>
          <w:tcPr>
            <w:tcW w:w="2880" w:type="dxa"/>
            <w:vAlign w:val="bottom"/>
          </w:tcPr>
          <w:p>
            <w:pPr>
              <w:spacing w:after="0"/>
              <w:rPr>
                <w:sz w:val="20"/>
                <w:szCs w:val="20"/>
                <w:color w:val="auto"/>
              </w:rPr>
            </w:pPr>
          </w:p>
        </w:tc>
      </w:tr>
    </w:tbl>
    <w:p>
      <w:pPr>
        <w:sectPr>
          <w:pgSz w:w="11900" w:h="16838" w:orient="portrait"/>
          <w:cols w:equalWidth="0" w:num="1">
            <w:col w:w="11420"/>
          </w:cols>
          <w:pgMar w:left="240" w:top="508" w:right="239" w:bottom="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648079"/>
        </w:rPr>
        <w:t>Hypothetical Examples of Amounts Payable at Maturity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illustrate how the total returns set forth in the table above are calculated.</w:t>
      </w:r>
    </w:p>
    <w:p>
      <w:pPr>
        <w:spacing w:after="0" w:line="10" w:lineRule="exact"/>
        <w:rPr>
          <w:sz w:val="20"/>
          <w:szCs w:val="20"/>
          <w:color w:val="auto"/>
        </w:rPr>
      </w:pPr>
    </w:p>
    <w:p>
      <w:pPr>
        <w:jc w:val="both"/>
        <w:ind w:left="40" w:right="40"/>
        <w:spacing w:after="0" w:line="269" w:lineRule="auto"/>
        <w:rPr>
          <w:sz w:val="20"/>
          <w:szCs w:val="20"/>
          <w:color w:val="auto"/>
        </w:rPr>
      </w:pPr>
      <w:r>
        <w:rPr>
          <w:rFonts w:ascii="Arial" w:cs="Arial" w:eastAsia="Arial" w:hAnsi="Arial"/>
          <w:sz w:val="17"/>
          <w:szCs w:val="17"/>
          <w:b w:val="1"/>
          <w:bCs w:val="1"/>
          <w:color w:val="auto"/>
        </w:rPr>
        <w:t xml:space="preserve">Example 1: The level of the Index increases from the Initial Index Level of 1,552.00 to an Ending Index Level of 1,629.60. </w:t>
      </w:r>
      <w:r>
        <w:rPr>
          <w:rFonts w:ascii="Arial" w:cs="Arial" w:eastAsia="Arial" w:hAnsi="Arial"/>
          <w:sz w:val="17"/>
          <w:szCs w:val="17"/>
          <w:color w:val="auto"/>
        </w:rPr>
        <w:t>Because the</w:t>
      </w:r>
      <w:r>
        <w:rPr>
          <w:rFonts w:ascii="Arial" w:cs="Arial" w:eastAsia="Arial" w:hAnsi="Arial"/>
          <w:sz w:val="17"/>
          <w:szCs w:val="17"/>
          <w:b w:val="1"/>
          <w:bCs w:val="1"/>
          <w:color w:val="auto"/>
        </w:rPr>
        <w:t xml:space="preserve"> </w:t>
      </w:r>
      <w:r>
        <w:rPr>
          <w:rFonts w:ascii="Arial" w:cs="Arial" w:eastAsia="Arial" w:hAnsi="Arial"/>
          <w:sz w:val="17"/>
          <w:szCs w:val="17"/>
          <w:color w:val="auto"/>
        </w:rPr>
        <w:t>Ending Index Level of 1,629.60 is greater than the Initial Index Level of 1,552.00 and the Index Return of 5% multiplied by 2 does not exceed the Maximum Return of 20.00%, the investor receives a payment at maturity of $1,100 per $1,000 principal amount note, calculated as follows: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$1,000 + [$1,000 x (5% x 2)] = $1,100</w:t>
      </w:r>
    </w:p>
    <w:p>
      <w:pPr>
        <w:spacing w:after="0" w:line="27" w:lineRule="exact"/>
        <w:rPr>
          <w:sz w:val="20"/>
          <w:szCs w:val="20"/>
          <w:color w:val="auto"/>
        </w:rPr>
      </w:pPr>
    </w:p>
    <w:p>
      <w:pPr>
        <w:jc w:val="both"/>
        <w:ind w:left="40" w:right="20"/>
        <w:spacing w:after="0" w:line="253" w:lineRule="auto"/>
        <w:rPr>
          <w:sz w:val="20"/>
          <w:szCs w:val="20"/>
          <w:color w:val="auto"/>
        </w:rPr>
      </w:pPr>
      <w:r>
        <w:rPr>
          <w:rFonts w:ascii="Arial" w:cs="Arial" w:eastAsia="Arial" w:hAnsi="Arial"/>
          <w:sz w:val="18"/>
          <w:szCs w:val="18"/>
          <w:b w:val="1"/>
          <w:bCs w:val="1"/>
          <w:color w:val="auto"/>
        </w:rPr>
        <w:t xml:space="preserve">Example 2: The level of the Index decreases from the Initial Index Level of 1,552.00 to an Ending Index Level of 1,396.80. </w:t>
      </w:r>
      <w:r>
        <w:rPr>
          <w:rFonts w:ascii="Arial" w:cs="Arial" w:eastAsia="Arial" w:hAnsi="Arial"/>
          <w:sz w:val="18"/>
          <w:szCs w:val="18"/>
          <w:color w:val="auto"/>
        </w:rPr>
        <w:t>Although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Index Return is negative, because the Ending Index Level of 1,396.80 is less than the Initial Index Level of 1,552.00 by not more than the Buffer Amount of 10%, the investor receives a payment at maturity of $1,000 per $1,000 principal amount note.</w:t>
      </w:r>
    </w:p>
    <w:p>
      <w:pPr>
        <w:spacing w:after="0" w:line="6" w:lineRule="exact"/>
        <w:rPr>
          <w:sz w:val="20"/>
          <w:szCs w:val="20"/>
          <w:color w:val="auto"/>
        </w:rPr>
      </w:pPr>
    </w:p>
    <w:p>
      <w:pPr>
        <w:jc w:val="both"/>
        <w:ind w:left="40" w:right="20"/>
        <w:spacing w:after="0" w:line="246" w:lineRule="auto"/>
        <w:rPr>
          <w:sz w:val="20"/>
          <w:szCs w:val="20"/>
          <w:color w:val="auto"/>
        </w:rPr>
      </w:pPr>
      <w:r>
        <w:rPr>
          <w:rFonts w:ascii="Arial" w:cs="Arial" w:eastAsia="Arial" w:hAnsi="Arial"/>
          <w:sz w:val="18"/>
          <w:szCs w:val="18"/>
          <w:b w:val="1"/>
          <w:bCs w:val="1"/>
          <w:color w:val="auto"/>
        </w:rPr>
        <w:t xml:space="preserve">Example 3: The level of the Index increases from the Initial Index Level of 1,552.00 to an Ending Index Level of 2,017.60. </w:t>
      </w:r>
      <w:r>
        <w:rPr>
          <w:rFonts w:ascii="Arial" w:cs="Arial" w:eastAsia="Arial" w:hAnsi="Arial"/>
          <w:sz w:val="18"/>
          <w:szCs w:val="18"/>
          <w:color w:val="auto"/>
        </w:rPr>
        <w:t>Because the</w:t>
      </w:r>
      <w:r>
        <w:rPr>
          <w:rFonts w:ascii="Arial" w:cs="Arial" w:eastAsia="Arial" w:hAnsi="Arial"/>
          <w:sz w:val="18"/>
          <w:szCs w:val="18"/>
          <w:b w:val="1"/>
          <w:bCs w:val="1"/>
          <w:color w:val="auto"/>
        </w:rPr>
        <w:t xml:space="preserve"> </w:t>
      </w:r>
      <w:r>
        <w:rPr>
          <w:rFonts w:ascii="Arial" w:cs="Arial" w:eastAsia="Arial" w:hAnsi="Arial"/>
          <w:sz w:val="18"/>
          <w:szCs w:val="18"/>
          <w:color w:val="auto"/>
        </w:rPr>
        <w:t>Ending Index Level of 2,017.60 is greater than the Initial Index Level of 1,552.00 and the Index Return of 30% multiplied by 2 exceeds the Maximum Return of 20.00%, the investor receives a payment at maturity of $1,200.00 per $1,000 principal amount note, the maximum payment on the notes.</w:t>
      </w:r>
    </w:p>
    <w:p>
      <w:pPr>
        <w:spacing w:after="0" w:line="15" w:lineRule="exact"/>
        <w:rPr>
          <w:sz w:val="20"/>
          <w:szCs w:val="20"/>
          <w:color w:val="auto"/>
        </w:rPr>
      </w:pPr>
    </w:p>
    <w:p>
      <w:pPr>
        <w:jc w:val="both"/>
        <w:ind w:left="40" w:right="20"/>
        <w:spacing w:after="0" w:line="253" w:lineRule="auto"/>
        <w:rPr>
          <w:sz w:val="20"/>
          <w:szCs w:val="20"/>
          <w:color w:val="auto"/>
        </w:rPr>
      </w:pPr>
      <w:r>
        <w:rPr>
          <w:rFonts w:ascii="Arial" w:cs="Arial" w:eastAsia="Arial" w:hAnsi="Arial"/>
          <w:sz w:val="18"/>
          <w:szCs w:val="18"/>
          <w:b w:val="1"/>
          <w:bCs w:val="1"/>
          <w:color w:val="auto"/>
        </w:rPr>
        <w:t xml:space="preserve">Example 4: The level of the Index decreases from the Initial Index Level of 1,552.00 to an Ending Index Level of 1,086.40. </w:t>
      </w:r>
      <w:r>
        <w:rPr>
          <w:rFonts w:ascii="Arial" w:cs="Arial" w:eastAsia="Arial" w:hAnsi="Arial"/>
          <w:sz w:val="18"/>
          <w:szCs w:val="18"/>
          <w:color w:val="auto"/>
        </w:rPr>
        <w:t>Because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Index Return is negative and the Ending Index Level of 1,086.40 is less than the Initial Index Level of 1,552.00 by more than the Buffer Amount of 10%, the investor receives a payment at maturity of $777.78 per $1,000 principal amount note, calculated as follows: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[$1,000 x (-30% + 10%) x 1.1111] = $777.78</w:t>
      </w:r>
    </w:p>
    <w:p>
      <w:pPr>
        <w:spacing w:after="0" w:line="27" w:lineRule="exact"/>
        <w:rPr>
          <w:sz w:val="20"/>
          <w:szCs w:val="20"/>
          <w:color w:val="auto"/>
        </w:rPr>
      </w:pPr>
    </w:p>
    <w:p>
      <w:pPr>
        <w:jc w:val="both"/>
        <w:ind w:left="40" w:right="40"/>
        <w:spacing w:after="0" w:line="253" w:lineRule="auto"/>
        <w:rPr>
          <w:sz w:val="20"/>
          <w:szCs w:val="20"/>
          <w:color w:val="auto"/>
        </w:rPr>
      </w:pPr>
      <w:r>
        <w:rPr>
          <w:rFonts w:ascii="Arial" w:cs="Arial" w:eastAsia="Arial" w:hAnsi="Arial"/>
          <w:sz w:val="18"/>
          <w:szCs w:val="18"/>
          <w:b w:val="1"/>
          <w:bCs w:val="1"/>
          <w:color w:val="auto"/>
        </w:rPr>
        <w:t xml:space="preserve">Example 5: The level of the Index decreases from the Initial Index Level of 1,552.00 to an Ending Index Level of 0.00. </w:t>
      </w:r>
      <w:r>
        <w:rPr>
          <w:rFonts w:ascii="Arial" w:cs="Arial" w:eastAsia="Arial" w:hAnsi="Arial"/>
          <w:sz w:val="18"/>
          <w:szCs w:val="18"/>
          <w:color w:val="auto"/>
        </w:rPr>
        <w:t>Because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Index Return is negative and the Ending Index Level of 0.00 is less than the Initial Index Level of 1,552.00 by more than the Buffer Amount of 10%, the investor receives a payment at maturity of $0 per $1,000 principal amount note, calculated as follows: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[$1,000 x (-100% + 10%) x 1.1111] = $0</w:t>
      </w:r>
    </w:p>
    <w:p>
      <w:pPr>
        <w:spacing w:after="0" w:line="49" w:lineRule="exact"/>
        <w:rPr>
          <w:sz w:val="20"/>
          <w:szCs w:val="20"/>
          <w:color w:val="auto"/>
        </w:rPr>
      </w:pPr>
    </w:p>
    <w:p>
      <w:pPr>
        <w:ind w:left="40" w:right="80"/>
        <w:spacing w:after="0"/>
        <w:rPr>
          <w:sz w:val="20"/>
          <w:szCs w:val="20"/>
          <w:color w:val="auto"/>
        </w:rPr>
      </w:pPr>
      <w:r>
        <w:rPr>
          <w:rFonts w:ascii="Arial" w:cs="Arial" w:eastAsia="Arial" w:hAnsi="Arial"/>
          <w:sz w:val="18"/>
          <w:szCs w:val="18"/>
          <w:color w:val="auto"/>
        </w:rPr>
        <w:t>The hypothetical returns and hypothetical payments on the notes shown above do not reflect fees or expenses that would be associated with any sale in the secondary market. If these fees and expenses were included, the hypothetical returns and hypothetical payments shown above would likely be lower.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w:t>
      </w:r>
    </w:p>
    <w:p>
      <w:pPr>
        <w:spacing w:after="0" w:line="287" w:lineRule="exact"/>
        <w:rPr>
          <w:sz w:val="20"/>
          <w:szCs w:val="20"/>
          <w:color w:val="auto"/>
        </w:rPr>
      </w:pPr>
    </w:p>
    <w:p>
      <w:pPr>
        <w:ind w:left="40" w:right="60"/>
        <w:spacing w:after="0"/>
        <w:rPr>
          <w:sz w:val="20"/>
          <w:szCs w:val="20"/>
          <w:color w:val="auto"/>
        </w:rPr>
      </w:pPr>
      <w:r>
        <w:rPr>
          <w:rFonts w:ascii="Arial" w:cs="Arial" w:eastAsia="Arial" w:hAnsi="Arial"/>
          <w:sz w:val="18"/>
          <w:szCs w:val="18"/>
          <w:color w:val="auto"/>
        </w:rPr>
        <w:t>The following graph sets forth the historical performance of the Index based on the weekly historical Index levels from January 4, 2008 through April 12, 2013. The Index closing level on April 15, 2013 was 1,552.36. We obtained the Index closing levels below from Bloomberg Financial Markets, without independent verification.</w:t>
      </w:r>
    </w:p>
    <w:p>
      <w:pPr>
        <w:spacing w:after="0" w:line="256" w:lineRule="exact"/>
        <w:rPr>
          <w:sz w:val="20"/>
          <w:szCs w:val="20"/>
          <w:color w:val="auto"/>
        </w:rPr>
      </w:pPr>
    </w:p>
    <w:p>
      <w:pPr>
        <w:jc w:val="both"/>
        <w:ind w:left="40" w:right="40"/>
        <w:spacing w:after="0"/>
        <w:rPr>
          <w:sz w:val="20"/>
          <w:szCs w:val="20"/>
          <w:color w:val="auto"/>
        </w:rPr>
      </w:pPr>
      <w:r>
        <w:rPr>
          <w:rFonts w:ascii="Arial" w:cs="Arial" w:eastAsia="Arial" w:hAnsi="Arial"/>
          <w:sz w:val="18"/>
          <w:szCs w:val="18"/>
          <w:color w:val="auto"/>
        </w:rPr>
        <w:t>The historical levels of the Index should not be taken as an indication of future performance, and no assurance can be given as to the Index closing level on the pricing date or Observation Date. We cannot give you assurance that the performance of the Index will result in the return of any of your initial investment, subject to the credit risk of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300355</wp:posOffset>
            </wp:positionV>
            <wp:extent cx="4908550" cy="3023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4908550" cy="302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78968E"/>
              </w:rPr>
              <w:t>JPMorgan Structured Investments —</w:t>
            </w:r>
          </w:p>
        </w:tc>
        <w:tc>
          <w:tcPr>
            <w:tcW w:w="2880" w:type="dxa"/>
            <w:vAlign w:val="bottom"/>
            <w:tcBorders>
              <w:top w:val="single" w:sz="8" w:color="auto"/>
            </w:tcBorders>
          </w:tcPr>
          <w:p>
            <w:pPr>
              <w:ind w:left="2500"/>
              <w:spacing w:after="0" w:line="193" w:lineRule="exact"/>
              <w:rPr>
                <w:sz w:val="20"/>
                <w:szCs w:val="20"/>
                <w:color w:val="auto"/>
              </w:rPr>
            </w:pPr>
            <w:r>
              <w:rPr>
                <w:rFonts w:ascii="Arial" w:cs="Arial" w:eastAsia="Arial" w:hAnsi="Arial"/>
                <w:sz w:val="18"/>
                <w:szCs w:val="18"/>
                <w:color w:val="78968E"/>
                <w:w w:val="92"/>
              </w:rPr>
              <w:t>TS-5</w:t>
            </w:r>
          </w:p>
        </w:tc>
      </w:tr>
      <w:tr>
        <w:trPr>
          <w:trHeight w:val="239"/>
        </w:trPr>
        <w:tc>
          <w:tcPr>
            <w:tcW w:w="8540" w:type="dxa"/>
            <w:vAlign w:val="bottom"/>
          </w:tcPr>
          <w:p>
            <w:pPr>
              <w:spacing w:after="0"/>
              <w:rPr>
                <w:sz w:val="20"/>
                <w:szCs w:val="20"/>
                <w:color w:val="auto"/>
              </w:rPr>
            </w:pPr>
            <w:r>
              <w:rPr>
                <w:rFonts w:ascii="Arial" w:cs="Arial" w:eastAsia="Arial" w:hAnsi="Arial"/>
                <w:sz w:val="18"/>
                <w:szCs w:val="18"/>
                <w:b w:val="1"/>
                <w:bCs w:val="1"/>
                <w:color w:val="78968E"/>
              </w:rPr>
              <w:t>Capped Buffered Return Enhanced Notes Linked to the S&amp;P 500</w:t>
            </w:r>
            <w:r>
              <w:rPr>
                <w:rFonts w:ascii="Arial" w:cs="Arial" w:eastAsia="Arial" w:hAnsi="Arial"/>
                <w:sz w:val="10"/>
                <w:szCs w:val="10"/>
                <w:b w:val="1"/>
                <w:bCs w:val="1"/>
                <w:color w:val="6E8E86"/>
              </w:rPr>
              <w:t>®</w:t>
            </w:r>
            <w:r>
              <w:rPr>
                <w:rFonts w:ascii="Arial" w:cs="Arial" w:eastAsia="Arial" w:hAnsi="Arial"/>
                <w:sz w:val="18"/>
                <w:szCs w:val="18"/>
                <w:b w:val="1"/>
                <w:bCs w:val="1"/>
                <w:color w:val="78968E"/>
              </w:rPr>
              <w:t xml:space="preserve"> Index</w:t>
            </w:r>
          </w:p>
        </w:tc>
        <w:tc>
          <w:tcPr>
            <w:tcW w:w="28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4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eg"/><Relationship Id="rId23" Type="http://schemas.openxmlformats.org/officeDocument/2006/relationships/image" Target="media/image12.png"/><Relationship Id="rId24" Type="http://schemas.openxmlformats.org/officeDocument/2006/relationships/image" Target="media/image13.jpeg"/><Relationship Id="rId12" Type="http://schemas.openxmlformats.org/officeDocument/2006/relationships/hyperlink" Target="http://www.sec.gov/Archives/edgar/data/19617/000089109211007593/e46160_424b2.pdf" TargetMode="External"/><Relationship Id="rId13" Type="http://schemas.openxmlformats.org/officeDocument/2006/relationships/hyperlink" Target="http://www.sec.gov/Archives/edgar/data/19617/000089109211007615/e46154_424b2.pdf" TargetMode="External"/><Relationship Id="rId14" Type="http://schemas.openxmlformats.org/officeDocument/2006/relationships/hyperlink" Target="http://www.sec.gov/Archives/edgar/data/19617/000089109211007578/e46180_424b2.pdf" TargetMode="External"/><Relationship Id="rId15" Type="http://schemas.openxmlformats.org/officeDocument/2006/relationships/hyperlink" Target="http://www.sec.gov/Archives/edgar/data/19617/000089109211007568/e46179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2019-12-05T06:55:02Z</dcterms:created>
  <dcterms:modified xsi:type="dcterms:W3CDTF">2019-12-05T06:55:02Z</dcterms:modified>
</cp:coreProperties>
</file>