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FF0000"/>
        </w:rPr>
        <w:t>The information in this preliminary pricing supplement is not complete and may be changed. This preliminary pricing supplement is not an offer to sell nor does it seek an offer to buy</w:t>
      </w:r>
    </w:p>
    <w:p>
      <w:pPr>
        <w:jc w:val="center"/>
        <w:spacing w:after="0" w:line="231" w:lineRule="auto"/>
        <w:rPr>
          <w:sz w:val="20"/>
          <w:szCs w:val="20"/>
          <w:color w:val="auto"/>
        </w:rPr>
      </w:pPr>
      <w:r>
        <w:rPr>
          <w:rFonts w:ascii="Arial" w:cs="Arial" w:eastAsia="Arial" w:hAnsi="Arial"/>
          <w:sz w:val="13"/>
          <w:szCs w:val="13"/>
          <w:b w:val="1"/>
          <w:bCs w:val="1"/>
          <w:color w:val="FF0000"/>
        </w:rPr>
        <w:t>these securities in any jurisdiction where the offer or sale is not permitted.</w:t>
      </w:r>
    </w:p>
    <w:p>
      <w:pPr>
        <w:jc w:val="center"/>
        <w:spacing w:after="0" w:line="216" w:lineRule="auto"/>
        <w:rPr>
          <w:sz w:val="20"/>
          <w:szCs w:val="20"/>
          <w:color w:val="auto"/>
        </w:rPr>
      </w:pPr>
      <w:r>
        <w:rPr>
          <w:rFonts w:ascii="Arial" w:cs="Arial" w:eastAsia="Arial" w:hAnsi="Arial"/>
          <w:sz w:val="13"/>
          <w:szCs w:val="13"/>
          <w:b w:val="1"/>
          <w:bCs w:val="1"/>
          <w:color w:val="FF0000"/>
        </w:rPr>
        <w:t>Subject to completion dated May 16, 2024</w:t>
      </w:r>
    </w:p>
    <w:tbl>
      <w:tblPr>
        <w:tblLayout w:type="fixed"/>
        <w:tblInd w:w="0" w:type="dxa"/>
        <w:tblCellMar>
          <w:top w:w="0" w:type="dxa"/>
          <w:left w:w="0" w:type="dxa"/>
          <w:bottom w:w="0" w:type="dxa"/>
          <w:right w:w="0" w:type="dxa"/>
        </w:tblCellMar>
      </w:tblPr>
      <w:tr>
        <w:trPr>
          <w:trHeight w:val="124"/>
        </w:trPr>
        <w:tc>
          <w:tcPr>
            <w:tcW w:w="5820" w:type="dxa"/>
            <w:vAlign w:val="bottom"/>
          </w:tcPr>
          <w:p>
            <w:pPr>
              <w:spacing w:after="0" w:line="124" w:lineRule="exact"/>
              <w:rPr>
                <w:sz w:val="20"/>
                <w:szCs w:val="20"/>
                <w:color w:val="auto"/>
              </w:rPr>
            </w:pPr>
            <w:r>
              <w:rPr>
                <w:rFonts w:ascii="Arial" w:cs="Arial" w:eastAsia="Arial" w:hAnsi="Arial"/>
                <w:sz w:val="13"/>
                <w:szCs w:val="13"/>
                <w:b w:val="1"/>
                <w:bCs w:val="1"/>
                <w:color w:val="auto"/>
              </w:rPr>
              <w:t>Pricing supplement</w:t>
            </w:r>
          </w:p>
        </w:tc>
        <w:tc>
          <w:tcPr>
            <w:tcW w:w="542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Registration Statement No. 333-270004</w:t>
            </w: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3"/>
                <w:szCs w:val="13"/>
                <w:i w:val="1"/>
                <w:iCs w:val="1"/>
                <w:color w:val="auto"/>
              </w:rPr>
              <w:t>To prospectus dated April 13, 2023,</w:t>
            </w:r>
          </w:p>
        </w:tc>
        <w:tc>
          <w:tcPr>
            <w:tcW w:w="54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Dated May  , 2024</w:t>
            </w:r>
          </w:p>
        </w:tc>
      </w:tr>
      <w:tr>
        <w:trPr>
          <w:trHeight w:val="137"/>
        </w:trPr>
        <w:tc>
          <w:tcPr>
            <w:tcW w:w="5820" w:type="dxa"/>
            <w:vAlign w:val="bottom"/>
          </w:tcPr>
          <w:p>
            <w:pPr>
              <w:spacing w:after="0" w:line="137" w:lineRule="exact"/>
              <w:rPr>
                <w:sz w:val="20"/>
                <w:szCs w:val="20"/>
                <w:color w:val="auto"/>
              </w:rPr>
            </w:pPr>
            <w:r>
              <w:rPr>
                <w:rFonts w:ascii="Arial" w:cs="Arial" w:eastAsia="Arial" w:hAnsi="Arial"/>
                <w:sz w:val="13"/>
                <w:szCs w:val="13"/>
                <w:i w:val="1"/>
                <w:iCs w:val="1"/>
                <w:color w:val="auto"/>
              </w:rPr>
              <w:t>prospectus supplement dated April 13, 2023 and</w:t>
            </w:r>
          </w:p>
        </w:tc>
        <w:tc>
          <w:tcPr>
            <w:tcW w:w="542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Rule 424(b)(2)</w:t>
            </w:r>
          </w:p>
        </w:tc>
      </w:tr>
      <w:tr>
        <w:trPr>
          <w:trHeight w:val="164"/>
        </w:trPr>
        <w:tc>
          <w:tcPr>
            <w:tcW w:w="5820" w:type="dxa"/>
            <w:vAlign w:val="bottom"/>
          </w:tcPr>
          <w:p>
            <w:pPr>
              <w:spacing w:after="0"/>
              <w:rPr>
                <w:sz w:val="20"/>
                <w:szCs w:val="20"/>
                <w:color w:val="auto"/>
              </w:rPr>
            </w:pPr>
            <w:r>
              <w:rPr>
                <w:rFonts w:ascii="Arial" w:cs="Arial" w:eastAsia="Arial" w:hAnsi="Arial"/>
                <w:sz w:val="13"/>
                <w:szCs w:val="13"/>
                <w:i w:val="1"/>
                <w:iCs w:val="1"/>
                <w:color w:val="auto"/>
              </w:rPr>
              <w:t>product supplement no. 1-I dated April 13, 2023</w:t>
            </w:r>
          </w:p>
        </w:tc>
        <w:tc>
          <w:tcPr>
            <w:tcW w:w="54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95453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4530" cy="18859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4E8ABE"/>
        </w:rPr>
        <w:t>$</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b w:val="1"/>
          <w:bCs w:val="1"/>
          <w:color w:val="4E8ABE"/>
        </w:rPr>
        <w:t>Callable Fixed Rate Notes due May 31, 2029</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4E8ABE"/>
        </w:rPr>
        <w:t>General</w:t>
      </w:r>
    </w:p>
    <w:p>
      <w:pPr>
        <w:spacing w:after="0" w:line="12"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 xml:space="preserve">The notes are unsecured and unsubordinated obligations of JPMorgan Chase &amp; Co. </w:t>
      </w:r>
      <w:r>
        <w:rPr>
          <w:rFonts w:ascii="Arial" w:cs="Arial" w:eastAsia="Arial" w:hAnsi="Arial"/>
          <w:sz w:val="14"/>
          <w:szCs w:val="14"/>
          <w:b w:val="1"/>
          <w:bCs w:val="1"/>
          <w:color w:val="auto"/>
        </w:rPr>
        <w:t>Any payment on the notes is subject to the credit risk of JPMorgan Chase &amp; Co.</w:t>
      </w:r>
    </w:p>
    <w:p>
      <w:pPr>
        <w:spacing w:after="0" w:line="11" w:lineRule="exact"/>
        <w:rPr>
          <w:rFonts w:ascii="Times New Roman" w:cs="Times New Roman" w:eastAsia="Times New Roman" w:hAnsi="Times New Roman"/>
          <w:sz w:val="14"/>
          <w:szCs w:val="14"/>
          <w:color w:val="auto"/>
        </w:rPr>
      </w:pPr>
    </w:p>
    <w:p>
      <w:pPr>
        <w:ind w:left="340" w:right="300" w:hanging="332"/>
        <w:spacing w:after="0" w:line="241" w:lineRule="auto"/>
        <w:tabs>
          <w:tab w:leader="none" w:pos="340"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These notes are designed for an investor who seeks a fixed income investment at an interest rate of 5.35% per annum but who is also willing to accept the risk that the notes will be called prior to the Maturity Date.</w:t>
      </w:r>
    </w:p>
    <w:p>
      <w:pPr>
        <w:ind w:left="340" w:hanging="332"/>
        <w:spacing w:after="0"/>
        <w:tabs>
          <w:tab w:leader="none" w:pos="340"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At our option, we may redeem the notes, in whole but not in part, on any of the Redemption Dates specified below.</w:t>
      </w:r>
    </w:p>
    <w:p>
      <w:pPr>
        <w:ind w:left="340" w:hanging="332"/>
        <w:spacing w:after="0"/>
        <w:tabs>
          <w:tab w:leader="none" w:pos="340"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The notes may be purchased in minimum denominations of $1,000 and in integral multiples of $1,000 thereafter.</w:t>
      </w:r>
    </w:p>
    <w:p>
      <w:pPr>
        <w:spacing w:after="0" w:line="40" w:lineRule="exact"/>
        <w:rPr>
          <w:sz w:val="24"/>
          <w:szCs w:val="24"/>
          <w:color w:val="auto"/>
        </w:rPr>
      </w:pPr>
    </w:p>
    <w:p>
      <w:pPr>
        <w:spacing w:after="0"/>
        <w:rPr>
          <w:sz w:val="20"/>
          <w:szCs w:val="20"/>
          <w:color w:val="auto"/>
        </w:rPr>
      </w:pPr>
      <w:r>
        <w:rPr>
          <w:rFonts w:ascii="Arial" w:cs="Arial" w:eastAsia="Arial" w:hAnsi="Arial"/>
          <w:sz w:val="14"/>
          <w:szCs w:val="14"/>
          <w:b w:val="1"/>
          <w:bCs w:val="1"/>
          <w:color w:val="4E8ABE"/>
        </w:rPr>
        <w:t>Key Terms</w:t>
      </w:r>
    </w:p>
    <w:p>
      <w:pPr>
        <w:sectPr>
          <w:pgSz w:w="11900" w:h="16838" w:orient="portrait"/>
          <w:cols w:equalWidth="0" w:num="1">
            <w:col w:w="11240"/>
          </w:cols>
          <w:pgMar w:left="320" w:top="230" w:right="339" w:bottom="1440" w:gutter="0" w:footer="0" w:header="0"/>
        </w:sectPr>
      </w:pPr>
    </w:p>
    <w:p>
      <w:pPr>
        <w:spacing w:after="0" w:line="35" w:lineRule="exact"/>
        <w:rPr>
          <w:sz w:val="24"/>
          <w:szCs w:val="24"/>
          <w:color w:val="auto"/>
        </w:rPr>
      </w:pPr>
    </w:p>
    <w:p>
      <w:pPr>
        <w:ind w:left="100"/>
        <w:spacing w:after="0"/>
        <w:rPr>
          <w:sz w:val="20"/>
          <w:szCs w:val="20"/>
          <w:color w:val="auto"/>
        </w:rPr>
      </w:pPr>
      <w:r>
        <w:rPr>
          <w:rFonts w:ascii="Arial" w:cs="Arial" w:eastAsia="Arial" w:hAnsi="Arial"/>
          <w:sz w:val="14"/>
          <w:szCs w:val="14"/>
          <w:color w:val="auto"/>
        </w:rPr>
        <w:t>Issuer:</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JPMorgan Chase &amp; Co.</w:t>
      </w:r>
    </w:p>
    <w:p>
      <w:pPr>
        <w:spacing w:after="0" w:line="48" w:lineRule="exact"/>
        <w:rPr>
          <w:sz w:val="24"/>
          <w:szCs w:val="24"/>
          <w:color w:val="auto"/>
        </w:rPr>
      </w:pPr>
    </w:p>
    <w:p>
      <w:pPr>
        <w:sectPr>
          <w:pgSz w:w="11900" w:h="16838" w:orient="portrait"/>
          <w:cols w:equalWidth="0" w:num="2">
            <w:col w:w="2080" w:space="720"/>
            <w:col w:w="8440"/>
          </w:cols>
          <w:pgMar w:left="320" w:top="230"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Payment at Maturity:</w:t>
      </w:r>
    </w:p>
    <w:p>
      <w:pPr>
        <w:spacing w:after="0" w:line="20" w:lineRule="exact"/>
        <w:rPr>
          <w:sz w:val="24"/>
          <w:szCs w:val="24"/>
          <w:color w:val="auto"/>
        </w:rPr>
      </w:pPr>
      <w:r>
        <w:rPr>
          <w:sz w:val="24"/>
          <w:szCs w:val="24"/>
          <w:color w:val="auto"/>
        </w:rPr>
        <w:br w:type="column"/>
      </w:r>
    </w:p>
    <w:p>
      <w:pPr>
        <w:ind w:right="240"/>
        <w:spacing w:after="0" w:line="281" w:lineRule="auto"/>
        <w:rPr>
          <w:sz w:val="20"/>
          <w:szCs w:val="20"/>
          <w:color w:val="auto"/>
        </w:rPr>
      </w:pPr>
      <w:r>
        <w:rPr>
          <w:rFonts w:ascii="Arial" w:cs="Arial" w:eastAsia="Arial" w:hAnsi="Arial"/>
          <w:sz w:val="14"/>
          <w:szCs w:val="14"/>
          <w:color w:val="auto"/>
        </w:rPr>
        <w:t xml:space="preserve">On the Maturity Date, we will pay you the principal amount of your notes </w:t>
      </w:r>
      <w:r>
        <w:rPr>
          <w:rFonts w:ascii="Arial" w:cs="Arial" w:eastAsia="Arial" w:hAnsi="Arial"/>
          <w:sz w:val="14"/>
          <w:szCs w:val="14"/>
          <w:i w:val="1"/>
          <w:iCs w:val="1"/>
          <w:color w:val="auto"/>
        </w:rPr>
        <w:t>plus</w:t>
      </w:r>
      <w:r>
        <w:rPr>
          <w:rFonts w:ascii="Arial" w:cs="Arial" w:eastAsia="Arial" w:hAnsi="Arial"/>
          <w:sz w:val="14"/>
          <w:szCs w:val="14"/>
          <w:color w:val="auto"/>
        </w:rPr>
        <w:t xml:space="preserve"> any accrued and unpaid interest,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your notes are outstanding and have not previously been called on any Redemption Date.</w:t>
      </w:r>
    </w:p>
    <w:p>
      <w:pPr>
        <w:spacing w:after="0" w:line="1" w:lineRule="exact"/>
        <w:rPr>
          <w:sz w:val="24"/>
          <w:szCs w:val="24"/>
          <w:color w:val="auto"/>
        </w:rPr>
      </w:pPr>
    </w:p>
    <w:p>
      <w:pPr>
        <w:sectPr>
          <w:pgSz w:w="11900" w:h="16838" w:orient="portrait"/>
          <w:cols w:equalWidth="0" w:num="2">
            <w:col w:w="2080" w:space="720"/>
            <w:col w:w="8440"/>
          </w:cols>
          <w:pgMar w:left="320" w:top="230"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Call Feature:</w:t>
      </w:r>
    </w:p>
    <w:p>
      <w:pPr>
        <w:spacing w:after="0" w:line="20" w:lineRule="exact"/>
        <w:rPr>
          <w:sz w:val="24"/>
          <w:szCs w:val="24"/>
          <w:color w:val="auto"/>
        </w:rPr>
      </w:pPr>
      <w:r>
        <w:rPr>
          <w:sz w:val="24"/>
          <w:szCs w:val="24"/>
          <w:color w:val="auto"/>
        </w:rPr>
        <w:br w:type="column"/>
      </w:r>
    </w:p>
    <w:p>
      <w:pPr>
        <w:ind w:right="180"/>
        <w:spacing w:after="0" w:line="250" w:lineRule="auto"/>
        <w:rPr>
          <w:sz w:val="20"/>
          <w:szCs w:val="20"/>
          <w:color w:val="auto"/>
        </w:rPr>
      </w:pPr>
      <w:r>
        <w:rPr>
          <w:rFonts w:ascii="Arial" w:cs="Arial" w:eastAsia="Arial" w:hAnsi="Arial"/>
          <w:sz w:val="14"/>
          <w:szCs w:val="14"/>
          <w:color w:val="auto"/>
        </w:rPr>
        <w:t xml:space="preserve">On the last calendar day of May and November of each year, beginning on May 31, 2026 and ending on November 30, 2028 (each, a “Redemption Date”), we may redeem your notes, in whole but not in part, at a price equal to the principal amount being redeemed </w:t>
      </w:r>
      <w:r>
        <w:rPr>
          <w:rFonts w:ascii="Arial" w:cs="Arial" w:eastAsia="Arial" w:hAnsi="Arial"/>
          <w:sz w:val="14"/>
          <w:szCs w:val="14"/>
          <w:i w:val="1"/>
          <w:iCs w:val="1"/>
          <w:color w:val="auto"/>
        </w:rPr>
        <w:t>plus</w:t>
      </w:r>
      <w:r>
        <w:rPr>
          <w:rFonts w:ascii="Arial" w:cs="Arial" w:eastAsia="Arial" w:hAnsi="Arial"/>
          <w:sz w:val="14"/>
          <w:szCs w:val="14"/>
          <w:color w:val="auto"/>
        </w:rPr>
        <w:t xml:space="preserve"> any accrued and unpaid interest, subject to the Business Day Convention and the Interest Accrual Convention described below and in the accompanying product supplement. If we intend to redeem your notes, we will deliver notice to The Depository Trust Company on any business day after the Original Issue Date that is at least 5 business days before the applicable Redemption Date.</w:t>
      </w:r>
    </w:p>
    <w:p>
      <w:pPr>
        <w:spacing w:after="0" w:line="187" w:lineRule="exact"/>
        <w:rPr>
          <w:sz w:val="24"/>
          <w:szCs w:val="24"/>
          <w:color w:val="auto"/>
        </w:rPr>
      </w:pPr>
    </w:p>
    <w:p>
      <w:pPr>
        <w:sectPr>
          <w:pgSz w:w="11900" w:h="16838" w:orient="portrait"/>
          <w:cols w:equalWidth="0" w:num="2">
            <w:col w:w="2080" w:space="720"/>
            <w:col w:w="8440"/>
          </w:cols>
          <w:pgMar w:left="320" w:top="230"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Interest:</w:t>
      </w:r>
    </w:p>
    <w:p>
      <w:pPr>
        <w:spacing w:after="0" w:line="20" w:lineRule="exact"/>
        <w:rPr>
          <w:sz w:val="24"/>
          <w:szCs w:val="24"/>
          <w:color w:val="auto"/>
        </w:rPr>
      </w:pPr>
      <w:r>
        <w:rPr>
          <w:sz w:val="24"/>
          <w:szCs w:val="24"/>
          <w:color w:val="auto"/>
        </w:rPr>
        <w:br w:type="column"/>
      </w:r>
    </w:p>
    <w:p>
      <w:pPr>
        <w:ind w:right="140"/>
        <w:spacing w:after="0" w:line="262" w:lineRule="auto"/>
        <w:rPr>
          <w:sz w:val="20"/>
          <w:szCs w:val="20"/>
          <w:color w:val="auto"/>
        </w:rPr>
      </w:pPr>
      <w:r>
        <w:rPr>
          <w:rFonts w:ascii="Arial" w:cs="Arial" w:eastAsia="Arial" w:hAnsi="Arial"/>
          <w:sz w:val="14"/>
          <w:szCs w:val="14"/>
          <w:color w:val="auto"/>
        </w:rPr>
        <w:t>Subject to the Interest Accrual Convention, with respect to each Interest Period, for each $1,000 principal amount note, we will pay you interest in arrears on each Interest Payment Date in accordance with the following formula:</w:t>
      </w:r>
    </w:p>
    <w:p>
      <w:pPr>
        <w:spacing w:after="0" w:line="1" w:lineRule="exact"/>
        <w:rPr>
          <w:sz w:val="24"/>
          <w:szCs w:val="24"/>
          <w:color w:val="auto"/>
        </w:rPr>
      </w:pPr>
    </w:p>
    <w:p>
      <w:pPr>
        <w:sectPr>
          <w:pgSz w:w="11900" w:h="16838" w:orient="portrait"/>
          <w:cols w:equalWidth="0" w:num="2">
            <w:col w:w="2080" w:space="720"/>
            <w:col w:w="8440"/>
          </w:cols>
          <w:pgMar w:left="320" w:top="230" w:right="339" w:bottom="1440" w:gutter="0" w:footer="0" w:header="0"/>
          <w:type w:val="continuous"/>
        </w:sectPr>
      </w:pPr>
    </w:p>
    <w:p>
      <w:pPr>
        <w:ind w:left="5540"/>
        <w:spacing w:after="0"/>
        <w:rPr>
          <w:sz w:val="20"/>
          <w:szCs w:val="20"/>
          <w:color w:val="auto"/>
        </w:rPr>
      </w:pPr>
      <w:r>
        <w:rPr>
          <w:rFonts w:ascii="Arial" w:cs="Arial" w:eastAsia="Arial" w:hAnsi="Arial"/>
          <w:sz w:val="14"/>
          <w:szCs w:val="14"/>
          <w:color w:val="auto"/>
        </w:rPr>
        <w:t>$1,000 × Interest Rate × Day Count Fraction.</w:t>
      </w:r>
    </w:p>
    <w:p>
      <w:pPr>
        <w:sectPr>
          <w:pgSz w:w="11900" w:h="16838" w:orient="portrait"/>
          <w:cols w:equalWidth="0" w:num="1">
            <w:col w:w="11240"/>
          </w:cols>
          <w:pgMar w:left="320" w:top="230" w:right="339" w:bottom="1440" w:gutter="0" w:footer="0" w:header="0"/>
          <w:type w:val="continuous"/>
        </w:sectPr>
      </w:pPr>
    </w:p>
    <w:p>
      <w:pPr>
        <w:spacing w:after="0" w:line="54" w:lineRule="exact"/>
        <w:rPr>
          <w:sz w:val="24"/>
          <w:szCs w:val="24"/>
          <w:color w:val="auto"/>
        </w:rPr>
      </w:pPr>
    </w:p>
    <w:p>
      <w:pPr>
        <w:ind w:left="100"/>
        <w:spacing w:after="0"/>
        <w:rPr>
          <w:sz w:val="20"/>
          <w:szCs w:val="20"/>
          <w:color w:val="auto"/>
        </w:rPr>
      </w:pPr>
      <w:r>
        <w:rPr>
          <w:rFonts w:ascii="Arial" w:cs="Arial" w:eastAsia="Arial" w:hAnsi="Arial"/>
          <w:sz w:val="14"/>
          <w:szCs w:val="14"/>
          <w:color w:val="auto"/>
        </w:rPr>
        <w:t>Interest Periods: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right="340"/>
        <w:spacing w:after="0" w:line="256" w:lineRule="auto"/>
        <w:rPr>
          <w:sz w:val="20"/>
          <w:szCs w:val="20"/>
          <w:color w:val="auto"/>
        </w:rPr>
      </w:pPr>
      <w:r>
        <w:rPr>
          <w:rFonts w:ascii="Arial" w:cs="Arial" w:eastAsia="Arial" w:hAnsi="Arial"/>
          <w:sz w:val="14"/>
          <w:szCs w:val="14"/>
          <w:color w:val="auto"/>
        </w:rPr>
        <w:t>The period beginning on and including the Original Issue Date and ending on but excluding the first Interest Payment Date, and each successive period beginning on and including an Interest Payment Date and ending on but excluding the next succeeding Interest Payment Date, subject to any earlier redemption and the Interest Accrual Convention described below and in the accompanying product supplement</w:t>
      </w:r>
    </w:p>
    <w:p>
      <w:pPr>
        <w:spacing w:after="0" w:line="15" w:lineRule="exact"/>
        <w:rPr>
          <w:sz w:val="24"/>
          <w:szCs w:val="24"/>
          <w:color w:val="auto"/>
        </w:rPr>
      </w:pPr>
    </w:p>
    <w:p>
      <w:pPr>
        <w:sectPr>
          <w:pgSz w:w="11900" w:h="16838" w:orient="portrait"/>
          <w:cols w:equalWidth="0" w:num="2">
            <w:col w:w="2080" w:space="720"/>
            <w:col w:w="8440"/>
          </w:cols>
          <w:pgMar w:left="320" w:top="230"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Interest Payment Dates:</w:t>
      </w:r>
    </w:p>
    <w:p>
      <w:pPr>
        <w:spacing w:after="0" w:line="20" w:lineRule="exact"/>
        <w:rPr>
          <w:sz w:val="24"/>
          <w:szCs w:val="24"/>
          <w:color w:val="auto"/>
        </w:rPr>
      </w:pPr>
      <w:r>
        <w:rPr>
          <w:sz w:val="24"/>
          <w:szCs w:val="24"/>
          <w:color w:val="auto"/>
        </w:rPr>
        <w:br w:type="column"/>
      </w:r>
    </w:p>
    <w:p>
      <w:pPr>
        <w:ind w:right="280"/>
        <w:spacing w:after="0" w:line="263" w:lineRule="auto"/>
        <w:rPr>
          <w:sz w:val="20"/>
          <w:szCs w:val="20"/>
          <w:color w:val="auto"/>
        </w:rPr>
      </w:pPr>
      <w:r>
        <w:rPr>
          <w:rFonts w:ascii="Arial" w:cs="Arial" w:eastAsia="Arial" w:hAnsi="Arial"/>
          <w:sz w:val="14"/>
          <w:szCs w:val="14"/>
          <w:color w:val="auto"/>
        </w:rPr>
        <w:t>Interest on the notes will be payable in arrears on the last calendar day of May and November of each year, beginning on November 30, 2024 to and including the Maturity Date (each, an “Interest Payment Date”), subject to any earlier redemption and the Business Day Convention and Interest Accrual Convention described below and in the accompanying product supplement.</w:t>
      </w:r>
    </w:p>
    <w:p>
      <w:pPr>
        <w:spacing w:after="0" w:line="11" w:lineRule="exact"/>
        <w:rPr>
          <w:sz w:val="24"/>
          <w:szCs w:val="24"/>
          <w:color w:val="auto"/>
        </w:rPr>
      </w:pPr>
    </w:p>
    <w:p>
      <w:pPr>
        <w:sectPr>
          <w:pgSz w:w="11900" w:h="16838" w:orient="portrait"/>
          <w:cols w:equalWidth="0" w:num="2">
            <w:col w:w="2080" w:space="720"/>
            <w:col w:w="8440"/>
          </w:cols>
          <w:pgMar w:left="320" w:top="230"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5.35% per annum</w:t>
      </w:r>
    </w:p>
    <w:p>
      <w:pPr>
        <w:spacing w:after="0" w:line="55" w:lineRule="exact"/>
        <w:rPr>
          <w:sz w:val="24"/>
          <w:szCs w:val="24"/>
          <w:color w:val="auto"/>
        </w:rPr>
      </w:pPr>
    </w:p>
    <w:p>
      <w:pPr>
        <w:sectPr>
          <w:pgSz w:w="11900" w:h="16838" w:orient="portrait"/>
          <w:cols w:equalWidth="0" w:num="2">
            <w:col w:w="2080" w:space="720"/>
            <w:col w:w="8440"/>
          </w:cols>
          <w:pgMar w:left="320" w:top="230"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Pricing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May 29, 2024, subject to the Business Day Convention</w:t>
      </w:r>
    </w:p>
    <w:p>
      <w:pPr>
        <w:spacing w:after="0" w:line="55" w:lineRule="exact"/>
        <w:rPr>
          <w:sz w:val="24"/>
          <w:szCs w:val="24"/>
          <w:color w:val="auto"/>
        </w:rPr>
      </w:pPr>
    </w:p>
    <w:p>
      <w:pPr>
        <w:sectPr>
          <w:pgSz w:w="11900" w:h="16838" w:orient="portrait"/>
          <w:cols w:equalWidth="0" w:num="2">
            <w:col w:w="2080" w:space="720"/>
            <w:col w:w="8440"/>
          </w:cols>
          <w:pgMar w:left="320" w:top="230"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Original Issue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May 31, 2024, subject to the Business Day Convention (Settlement Date)</w:t>
      </w:r>
    </w:p>
    <w:p>
      <w:pPr>
        <w:spacing w:after="0" w:line="55" w:lineRule="exact"/>
        <w:rPr>
          <w:sz w:val="24"/>
          <w:szCs w:val="24"/>
          <w:color w:val="auto"/>
        </w:rPr>
      </w:pPr>
    </w:p>
    <w:p>
      <w:pPr>
        <w:sectPr>
          <w:pgSz w:w="11900" w:h="16838" w:orient="portrait"/>
          <w:cols w:equalWidth="0" w:num="2">
            <w:col w:w="2080" w:space="720"/>
            <w:col w:w="8440"/>
          </w:cols>
          <w:pgMar w:left="320" w:top="230"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May 31, 2029, subject to the Business Day Convention</w:t>
      </w:r>
    </w:p>
    <w:p>
      <w:pPr>
        <w:spacing w:after="0" w:line="55" w:lineRule="exact"/>
        <w:rPr>
          <w:sz w:val="24"/>
          <w:szCs w:val="24"/>
          <w:color w:val="auto"/>
        </w:rPr>
      </w:pPr>
    </w:p>
    <w:p>
      <w:pPr>
        <w:sectPr>
          <w:pgSz w:w="11900" w:h="16838" w:orient="portrait"/>
          <w:cols w:equalWidth="0" w:num="2">
            <w:col w:w="2080" w:space="720"/>
            <w:col w:w="8440"/>
          </w:cols>
          <w:pgMar w:left="320" w:top="230"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Business Day Convention: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Following</w:t>
      </w:r>
    </w:p>
    <w:p>
      <w:pPr>
        <w:spacing w:after="0" w:line="55" w:lineRule="exact"/>
        <w:rPr>
          <w:sz w:val="24"/>
          <w:szCs w:val="24"/>
          <w:color w:val="auto"/>
        </w:rPr>
      </w:pPr>
    </w:p>
    <w:p>
      <w:pPr>
        <w:sectPr>
          <w:pgSz w:w="11900" w:h="16838" w:orient="portrait"/>
          <w:cols w:equalWidth="0" w:num="2">
            <w:col w:w="2080" w:space="720"/>
            <w:col w:w="8440"/>
          </w:cols>
          <w:pgMar w:left="320" w:top="230"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Interest Accrual Convention: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Unadjusted</w:t>
      </w:r>
    </w:p>
    <w:p>
      <w:pPr>
        <w:spacing w:after="0" w:line="55" w:lineRule="exact"/>
        <w:rPr>
          <w:sz w:val="24"/>
          <w:szCs w:val="24"/>
          <w:color w:val="auto"/>
        </w:rPr>
      </w:pPr>
    </w:p>
    <w:p>
      <w:pPr>
        <w:sectPr>
          <w:pgSz w:w="11900" w:h="16838" w:orient="portrait"/>
          <w:cols w:equalWidth="0" w:num="2">
            <w:col w:w="2080" w:space="720"/>
            <w:col w:w="8440"/>
          </w:cols>
          <w:pgMar w:left="320" w:top="230"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Day Count Convention: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30/360</w:t>
      </w:r>
    </w:p>
    <w:p>
      <w:pPr>
        <w:spacing w:after="0" w:line="55" w:lineRule="exact"/>
        <w:rPr>
          <w:sz w:val="24"/>
          <w:szCs w:val="24"/>
          <w:color w:val="auto"/>
        </w:rPr>
      </w:pPr>
    </w:p>
    <w:p>
      <w:pPr>
        <w:sectPr>
          <w:pgSz w:w="11900" w:h="16838" w:orient="portrait"/>
          <w:cols w:equalWidth="0" w:num="2">
            <w:col w:w="2080" w:space="720"/>
            <w:col w:w="8440"/>
          </w:cols>
          <w:pgMar w:left="320" w:top="230" w:right="339" w:bottom="1440" w:gutter="0" w:footer="0" w:header="0"/>
          <w:type w:val="continuous"/>
        </w:sectPr>
      </w:pPr>
    </w:p>
    <w:p>
      <w:pPr>
        <w:ind w:left="100"/>
        <w:spacing w:after="0"/>
        <w:tabs>
          <w:tab w:leader="none" w:pos="2780" w:val="left"/>
        </w:tabs>
        <w:rPr>
          <w:sz w:val="20"/>
          <w:szCs w:val="20"/>
          <w:color w:val="auto"/>
        </w:rPr>
      </w:pPr>
      <w:r>
        <w:rPr>
          <w:rFonts w:ascii="Arial" w:cs="Arial" w:eastAsia="Arial" w:hAnsi="Arial"/>
          <w:sz w:val="14"/>
          <w:szCs w:val="14"/>
          <w:color w:val="auto"/>
        </w:rPr>
        <w:t>CUSIP:</w:t>
      </w:r>
      <w:r>
        <w:rPr>
          <w:sz w:val="20"/>
          <w:szCs w:val="20"/>
          <w:color w:val="auto"/>
        </w:rPr>
        <w:tab/>
      </w:r>
      <w:r>
        <w:rPr>
          <w:rFonts w:ascii="Arial" w:cs="Arial" w:eastAsia="Arial" w:hAnsi="Arial"/>
          <w:sz w:val="14"/>
          <w:szCs w:val="14"/>
          <w:color w:val="auto"/>
        </w:rPr>
        <w:t>48130CMK8</w:t>
      </w:r>
    </w:p>
    <w:p>
      <w:pPr>
        <w:spacing w:after="0" w:line="29" w:lineRule="exact"/>
        <w:rPr>
          <w:sz w:val="24"/>
          <w:szCs w:val="24"/>
          <w:color w:val="auto"/>
        </w:rPr>
      </w:pPr>
    </w:p>
    <w:p>
      <w:pPr>
        <w:ind w:right="220"/>
        <w:spacing w:after="0" w:line="252" w:lineRule="auto"/>
        <w:rPr>
          <w:sz w:val="20"/>
          <w:szCs w:val="20"/>
          <w:color w:val="auto"/>
        </w:rPr>
      </w:pPr>
      <w:r>
        <w:rPr>
          <w:rFonts w:ascii="Arial" w:cs="Arial" w:eastAsia="Arial" w:hAnsi="Arial"/>
          <w:sz w:val="14"/>
          <w:szCs w:val="14"/>
          <w:b w:val="1"/>
          <w:bCs w:val="1"/>
          <w:color w:val="auto"/>
        </w:rPr>
        <w:t xml:space="preserve">Investing in the notes involves a number of risks. See “Risk Factors” beginning on page S-2 of the accompanying prospectus supplement, “Risk Factors” beginning on page PS-11 of the accompanying product supplement and “Selected Risk Considerations” beginning on page PS-4 of this pricing supplement. </w:t>
      </w:r>
      <w:r>
        <w:rPr>
          <w:rFonts w:ascii="Arial" w:cs="Arial" w:eastAsia="Arial" w:hAnsi="Arial"/>
          <w:sz w:val="14"/>
          <w:szCs w:val="14"/>
          <w:color w:val="auto"/>
        </w:rPr>
        <w:t>Neither the Securities and Exchange Commission (the “SEC”) nor any state securities commission has approved or disapproved of the notes or passed upon the accuracy or the adequacy of this pricing supplement or the accompanying product supplement, prospectus supplement and prospectus. Any representation to the contrary is a criminal offense.</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520" w:type="dxa"/>
            <w:vAlign w:val="bottom"/>
            <w:tcBorders>
              <w:top w:val="single" w:sz="8" w:color="BFBFBF"/>
              <w:bottom w:val="single" w:sz="8" w:color="BFBFBF"/>
              <w:right w:val="single" w:sz="8" w:color="BFBFBF"/>
            </w:tcBorders>
          </w:tcPr>
          <w:p>
            <w:pPr>
              <w:spacing w:after="0"/>
              <w:rPr>
                <w:sz w:val="22"/>
                <w:szCs w:val="22"/>
                <w:color w:val="auto"/>
              </w:rPr>
            </w:pPr>
          </w:p>
        </w:tc>
        <w:tc>
          <w:tcPr>
            <w:tcW w:w="580" w:type="dxa"/>
            <w:vAlign w:val="bottom"/>
            <w:tcBorders>
              <w:top w:val="single" w:sz="8" w:color="BFBFBF"/>
              <w:bottom w:val="single" w:sz="8" w:color="BFBFBF"/>
            </w:tcBorders>
          </w:tcPr>
          <w:p>
            <w:pPr>
              <w:spacing w:after="0"/>
              <w:rPr>
                <w:sz w:val="22"/>
                <w:szCs w:val="22"/>
                <w:color w:val="auto"/>
              </w:rPr>
            </w:pPr>
          </w:p>
        </w:tc>
        <w:tc>
          <w:tcPr>
            <w:tcW w:w="2000" w:type="dxa"/>
            <w:vAlign w:val="bottom"/>
            <w:tcBorders>
              <w:top w:val="single" w:sz="8" w:color="BFBFBF"/>
              <w:bottom w:val="single" w:sz="8" w:color="BFBFBF"/>
              <w:right w:val="single" w:sz="8" w:color="BFBFBF"/>
            </w:tcBorders>
          </w:tcPr>
          <w:p>
            <w:pPr>
              <w:ind w:left="80"/>
              <w:spacing w:after="0"/>
              <w:rPr>
                <w:sz w:val="20"/>
                <w:szCs w:val="20"/>
                <w:color w:val="auto"/>
              </w:rPr>
            </w:pPr>
            <w:r>
              <w:rPr>
                <w:rFonts w:ascii="Arial" w:cs="Arial" w:eastAsia="Arial" w:hAnsi="Arial"/>
                <w:sz w:val="13"/>
                <w:szCs w:val="13"/>
                <w:b w:val="1"/>
                <w:bCs w:val="1"/>
                <w:color w:val="auto"/>
              </w:rPr>
              <w:t>Price to Public</w:t>
            </w:r>
            <w:r>
              <w:rPr>
                <w:rFonts w:ascii="Arial" w:cs="Arial" w:eastAsia="Arial" w:hAnsi="Arial"/>
                <w:sz w:val="22"/>
                <w:szCs w:val="22"/>
                <w:b w:val="1"/>
                <w:bCs w:val="1"/>
                <w:color w:val="auto"/>
                <w:vertAlign w:val="superscript"/>
              </w:rPr>
              <w:t>(1)(2)</w:t>
            </w:r>
          </w:p>
        </w:tc>
        <w:tc>
          <w:tcPr>
            <w:tcW w:w="280" w:type="dxa"/>
            <w:vAlign w:val="bottom"/>
            <w:tcBorders>
              <w:top w:val="single" w:sz="8" w:color="BFBFBF"/>
              <w:bottom w:val="single" w:sz="8" w:color="BFBFBF"/>
            </w:tcBorders>
          </w:tcPr>
          <w:p>
            <w:pPr>
              <w:spacing w:after="0"/>
              <w:rPr>
                <w:sz w:val="22"/>
                <w:szCs w:val="22"/>
                <w:color w:val="auto"/>
              </w:rPr>
            </w:pPr>
          </w:p>
        </w:tc>
        <w:tc>
          <w:tcPr>
            <w:tcW w:w="2300" w:type="dxa"/>
            <w:vAlign w:val="bottom"/>
            <w:tcBorders>
              <w:top w:val="single" w:sz="8" w:color="BFBFBF"/>
              <w:bottom w:val="single" w:sz="8" w:color="BFBFBF"/>
              <w:right w:val="single" w:sz="8" w:color="BFBFBF"/>
            </w:tcBorders>
          </w:tcPr>
          <w:p>
            <w:pPr>
              <w:ind w:left="100"/>
              <w:spacing w:after="0"/>
              <w:rPr>
                <w:sz w:val="20"/>
                <w:szCs w:val="20"/>
                <w:color w:val="auto"/>
              </w:rPr>
            </w:pPr>
            <w:r>
              <w:rPr>
                <w:rFonts w:ascii="Arial" w:cs="Arial" w:eastAsia="Arial" w:hAnsi="Arial"/>
                <w:sz w:val="13"/>
                <w:szCs w:val="13"/>
                <w:b w:val="1"/>
                <w:bCs w:val="1"/>
                <w:color w:val="auto"/>
              </w:rPr>
              <w:t>Fees and Commissions</w:t>
            </w:r>
            <w:r>
              <w:rPr>
                <w:rFonts w:ascii="Arial" w:cs="Arial" w:eastAsia="Arial" w:hAnsi="Arial"/>
                <w:sz w:val="22"/>
                <w:szCs w:val="22"/>
                <w:b w:val="1"/>
                <w:bCs w:val="1"/>
                <w:color w:val="auto"/>
                <w:vertAlign w:val="superscript"/>
              </w:rPr>
              <w:t>(2)(3)</w:t>
            </w:r>
          </w:p>
        </w:tc>
        <w:tc>
          <w:tcPr>
            <w:tcW w:w="2560" w:type="dxa"/>
            <w:vAlign w:val="bottom"/>
            <w:tcBorders>
              <w:top w:val="single" w:sz="8" w:color="BFBFBF"/>
              <w:bottom w:val="single" w:sz="8" w:color="BFBFBF"/>
            </w:tcBorders>
          </w:tcPr>
          <w:p>
            <w:pPr>
              <w:jc w:val="right"/>
              <w:ind w:right="613"/>
              <w:spacing w:after="0"/>
              <w:rPr>
                <w:sz w:val="20"/>
                <w:szCs w:val="20"/>
                <w:color w:val="auto"/>
              </w:rPr>
            </w:pPr>
            <w:r>
              <w:rPr>
                <w:rFonts w:ascii="Arial" w:cs="Arial" w:eastAsia="Arial" w:hAnsi="Arial"/>
                <w:sz w:val="13"/>
                <w:szCs w:val="13"/>
                <w:b w:val="1"/>
                <w:bCs w:val="1"/>
                <w:color w:val="auto"/>
              </w:rPr>
              <w:t>Proceeds to Issuer</w:t>
            </w:r>
          </w:p>
        </w:tc>
      </w:tr>
      <w:tr>
        <w:trPr>
          <w:trHeight w:val="196"/>
        </w:trPr>
        <w:tc>
          <w:tcPr>
            <w:tcW w:w="352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3"/>
                <w:szCs w:val="13"/>
                <w:b w:val="1"/>
                <w:bCs w:val="1"/>
                <w:color w:val="auto"/>
              </w:rPr>
              <w:t>Per note</w:t>
            </w:r>
          </w:p>
        </w:tc>
        <w:tc>
          <w:tcPr>
            <w:tcW w:w="580" w:type="dxa"/>
            <w:vAlign w:val="bottom"/>
            <w:tcBorders>
              <w:bottom w:val="single" w:sz="8" w:color="BFBFBF"/>
            </w:tcBorders>
          </w:tcPr>
          <w:p>
            <w:pPr>
              <w:ind w:left="80"/>
              <w:spacing w:after="0"/>
              <w:rPr>
                <w:sz w:val="20"/>
                <w:szCs w:val="20"/>
                <w:color w:val="auto"/>
              </w:rPr>
            </w:pPr>
            <w:r>
              <w:rPr>
                <w:rFonts w:ascii="Arial" w:cs="Arial" w:eastAsia="Arial" w:hAnsi="Arial"/>
                <w:sz w:val="13"/>
                <w:szCs w:val="13"/>
                <w:color w:val="auto"/>
              </w:rPr>
              <w:t>$1,000</w:t>
            </w:r>
          </w:p>
        </w:tc>
        <w:tc>
          <w:tcPr>
            <w:tcW w:w="2000" w:type="dxa"/>
            <w:vAlign w:val="bottom"/>
            <w:tcBorders>
              <w:bottom w:val="single" w:sz="8" w:color="BFBFBF"/>
              <w:right w:val="single" w:sz="8" w:color="BFBFBF"/>
            </w:tcBorders>
          </w:tcPr>
          <w:p>
            <w:pPr>
              <w:spacing w:after="0"/>
              <w:rPr>
                <w:sz w:val="17"/>
                <w:szCs w:val="17"/>
                <w:color w:val="auto"/>
              </w:rPr>
            </w:pPr>
          </w:p>
        </w:tc>
        <w:tc>
          <w:tcPr>
            <w:tcW w:w="280" w:type="dxa"/>
            <w:vAlign w:val="bottom"/>
            <w:tcBorders>
              <w:bottom w:val="single" w:sz="8" w:color="BFBFBF"/>
            </w:tcBorders>
          </w:tcPr>
          <w:p>
            <w:pPr>
              <w:jc w:val="right"/>
              <w:ind w:right="53"/>
              <w:spacing w:after="0"/>
              <w:rPr>
                <w:sz w:val="20"/>
                <w:szCs w:val="20"/>
                <w:color w:val="auto"/>
              </w:rPr>
            </w:pPr>
            <w:r>
              <w:rPr>
                <w:rFonts w:ascii="Arial" w:cs="Arial" w:eastAsia="Arial" w:hAnsi="Arial"/>
                <w:sz w:val="13"/>
                <w:szCs w:val="13"/>
                <w:color w:val="auto"/>
              </w:rPr>
              <w:t>$</w:t>
            </w:r>
          </w:p>
        </w:tc>
        <w:tc>
          <w:tcPr>
            <w:tcW w:w="2300" w:type="dxa"/>
            <w:vAlign w:val="bottom"/>
            <w:tcBorders>
              <w:bottom w:val="single" w:sz="8" w:color="BFBFBF"/>
              <w:right w:val="single" w:sz="8" w:color="BFBFBF"/>
            </w:tcBorders>
          </w:tcPr>
          <w:p>
            <w:pPr>
              <w:spacing w:after="0"/>
              <w:rPr>
                <w:sz w:val="17"/>
                <w:szCs w:val="17"/>
                <w:color w:val="auto"/>
              </w:rPr>
            </w:pPr>
          </w:p>
        </w:tc>
        <w:tc>
          <w:tcPr>
            <w:tcW w:w="2560" w:type="dxa"/>
            <w:vAlign w:val="bottom"/>
            <w:tcBorders>
              <w:bottom w:val="single" w:sz="8" w:color="BFBFBF"/>
            </w:tcBorders>
          </w:tcPr>
          <w:p>
            <w:pPr>
              <w:jc w:val="right"/>
              <w:ind w:right="2333"/>
              <w:spacing w:after="0"/>
              <w:rPr>
                <w:sz w:val="20"/>
                <w:szCs w:val="20"/>
                <w:color w:val="auto"/>
              </w:rPr>
            </w:pPr>
            <w:r>
              <w:rPr>
                <w:rFonts w:ascii="Arial" w:cs="Arial" w:eastAsia="Arial" w:hAnsi="Arial"/>
                <w:sz w:val="13"/>
                <w:szCs w:val="13"/>
                <w:color w:val="auto"/>
              </w:rPr>
              <w:t>$</w:t>
            </w:r>
          </w:p>
        </w:tc>
      </w:tr>
      <w:tr>
        <w:trPr>
          <w:trHeight w:val="196"/>
        </w:trPr>
        <w:tc>
          <w:tcPr>
            <w:tcW w:w="3520" w:type="dxa"/>
            <w:vAlign w:val="bottom"/>
            <w:tcBorders>
              <w:bottom w:val="single" w:sz="8" w:color="BFBFBF"/>
              <w:right w:val="single" w:sz="8" w:color="BFBFBF"/>
            </w:tcBorders>
          </w:tcPr>
          <w:p>
            <w:pPr>
              <w:ind w:left="100"/>
              <w:spacing w:after="0"/>
              <w:rPr>
                <w:sz w:val="20"/>
                <w:szCs w:val="20"/>
                <w:color w:val="auto"/>
              </w:rPr>
            </w:pPr>
            <w:r>
              <w:rPr>
                <w:rFonts w:ascii="Arial" w:cs="Arial" w:eastAsia="Arial" w:hAnsi="Arial"/>
                <w:sz w:val="13"/>
                <w:szCs w:val="13"/>
                <w:b w:val="1"/>
                <w:bCs w:val="1"/>
                <w:color w:val="auto"/>
              </w:rPr>
              <w:t>Total</w:t>
            </w:r>
          </w:p>
        </w:tc>
        <w:tc>
          <w:tcPr>
            <w:tcW w:w="580" w:type="dxa"/>
            <w:vAlign w:val="bottom"/>
            <w:tcBorders>
              <w:bottom w:val="single" w:sz="8" w:color="BFBFBF"/>
            </w:tcBorders>
          </w:tcPr>
          <w:p>
            <w:pPr>
              <w:ind w:left="80"/>
              <w:spacing w:after="0"/>
              <w:rPr>
                <w:sz w:val="20"/>
                <w:szCs w:val="20"/>
                <w:color w:val="auto"/>
              </w:rPr>
            </w:pPr>
            <w:r>
              <w:rPr>
                <w:rFonts w:ascii="Arial" w:cs="Arial" w:eastAsia="Arial" w:hAnsi="Arial"/>
                <w:sz w:val="13"/>
                <w:szCs w:val="13"/>
                <w:color w:val="auto"/>
              </w:rPr>
              <w:t>$</w:t>
            </w:r>
          </w:p>
        </w:tc>
        <w:tc>
          <w:tcPr>
            <w:tcW w:w="2000" w:type="dxa"/>
            <w:vAlign w:val="bottom"/>
            <w:tcBorders>
              <w:bottom w:val="single" w:sz="8" w:color="BFBFBF"/>
              <w:right w:val="single" w:sz="8" w:color="BFBFBF"/>
            </w:tcBorders>
          </w:tcPr>
          <w:p>
            <w:pPr>
              <w:spacing w:after="0"/>
              <w:rPr>
                <w:sz w:val="17"/>
                <w:szCs w:val="17"/>
                <w:color w:val="auto"/>
              </w:rPr>
            </w:pPr>
          </w:p>
        </w:tc>
        <w:tc>
          <w:tcPr>
            <w:tcW w:w="280" w:type="dxa"/>
            <w:vAlign w:val="bottom"/>
            <w:tcBorders>
              <w:bottom w:val="single" w:sz="8" w:color="BFBFBF"/>
            </w:tcBorders>
          </w:tcPr>
          <w:p>
            <w:pPr>
              <w:jc w:val="right"/>
              <w:ind w:right="53"/>
              <w:spacing w:after="0"/>
              <w:rPr>
                <w:sz w:val="20"/>
                <w:szCs w:val="20"/>
                <w:color w:val="auto"/>
              </w:rPr>
            </w:pPr>
            <w:r>
              <w:rPr>
                <w:rFonts w:ascii="Arial" w:cs="Arial" w:eastAsia="Arial" w:hAnsi="Arial"/>
                <w:sz w:val="13"/>
                <w:szCs w:val="13"/>
                <w:color w:val="auto"/>
              </w:rPr>
              <w:t>$</w:t>
            </w:r>
          </w:p>
        </w:tc>
        <w:tc>
          <w:tcPr>
            <w:tcW w:w="2300" w:type="dxa"/>
            <w:vAlign w:val="bottom"/>
            <w:tcBorders>
              <w:bottom w:val="single" w:sz="8" w:color="BFBFBF"/>
              <w:right w:val="single" w:sz="8" w:color="BFBFBF"/>
            </w:tcBorders>
          </w:tcPr>
          <w:p>
            <w:pPr>
              <w:spacing w:after="0"/>
              <w:rPr>
                <w:sz w:val="17"/>
                <w:szCs w:val="17"/>
                <w:color w:val="auto"/>
              </w:rPr>
            </w:pPr>
          </w:p>
        </w:tc>
        <w:tc>
          <w:tcPr>
            <w:tcW w:w="2560" w:type="dxa"/>
            <w:vAlign w:val="bottom"/>
            <w:tcBorders>
              <w:bottom w:val="single" w:sz="8" w:color="BFBFBF"/>
            </w:tcBorders>
          </w:tcPr>
          <w:p>
            <w:pPr>
              <w:jc w:val="right"/>
              <w:ind w:right="2333"/>
              <w:spacing w:after="0"/>
              <w:rPr>
                <w:sz w:val="20"/>
                <w:szCs w:val="20"/>
                <w:color w:val="auto"/>
              </w:rPr>
            </w:pPr>
            <w:r>
              <w:rPr>
                <w:rFonts w:ascii="Arial" w:cs="Arial" w:eastAsia="Arial" w:hAnsi="Arial"/>
                <w:sz w:val="13"/>
                <w:szCs w:val="13"/>
                <w:color w:val="auto"/>
              </w:rPr>
              <w:t>$</w:t>
            </w:r>
          </w:p>
        </w:tc>
      </w:tr>
    </w:tbl>
    <w:p>
      <w:pPr>
        <w:spacing w:after="0" w:line="193" w:lineRule="exact"/>
        <w:rPr>
          <w:sz w:val="24"/>
          <w:szCs w:val="2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price to the public includes the estimated cost of hedging our obligations under the notes through one or more of our affiliates.</w:t>
      </w:r>
    </w:p>
    <w:p>
      <w:pPr>
        <w:spacing w:after="0" w:line="55" w:lineRule="exact"/>
        <w:rPr>
          <w:rFonts w:ascii="Arial" w:cs="Arial" w:eastAsia="Arial" w:hAnsi="Arial"/>
          <w:sz w:val="14"/>
          <w:szCs w:val="14"/>
          <w:color w:val="auto"/>
        </w:rPr>
      </w:pPr>
    </w:p>
    <w:p>
      <w:pPr>
        <w:ind w:right="20" w:firstLine="8"/>
        <w:spacing w:after="0" w:line="256" w:lineRule="auto"/>
        <w:tabs>
          <w:tab w:leader="none" w:pos="216" w:val="left"/>
        </w:tabs>
        <w:numPr>
          <w:ilvl w:val="0"/>
          <w:numId w:val="2"/>
        </w:numPr>
        <w:rPr>
          <w:rFonts w:ascii="Arial" w:cs="Arial" w:eastAsia="Arial" w:hAnsi="Arial"/>
          <w:sz w:val="14"/>
          <w:szCs w:val="14"/>
          <w:color w:val="auto"/>
        </w:rPr>
      </w:pPr>
      <w:r>
        <w:rPr>
          <w:rFonts w:ascii="Arial" w:cs="Arial" w:eastAsia="Arial" w:hAnsi="Arial"/>
          <w:sz w:val="14"/>
          <w:szCs w:val="14"/>
          <w:color w:val="auto"/>
        </w:rPr>
        <w:t>With respect to notes sold to eligible institutional investors or fee-based advisory accounts for which an affiliated or unaffiliated broker-dealer is an investment adviser, the price to the public will not be lower than $987.60 or greater than $1,000 per $1,000 principal amount note. Broker-dealers who purchase the notes for these accounts may forgo some or all selling commissions related to these sales described in footnote (3) below. The per note price to the public in the table above assumes a price to the public of $1,000 per $1,000 principal amount note. See “Plan of Distribution (Conflicts of Interest)” in the accompanying product supplement.</w:t>
      </w:r>
    </w:p>
    <w:p>
      <w:pPr>
        <w:spacing w:after="0" w:line="15" w:lineRule="exact"/>
        <w:rPr>
          <w:rFonts w:ascii="Arial" w:cs="Arial" w:eastAsia="Arial" w:hAnsi="Arial"/>
          <w:sz w:val="14"/>
          <w:szCs w:val="14"/>
          <w:color w:val="auto"/>
        </w:rPr>
      </w:pPr>
    </w:p>
    <w:p>
      <w:pPr>
        <w:ind w:right="160" w:firstLine="8"/>
        <w:spacing w:after="0" w:line="256" w:lineRule="auto"/>
        <w:tabs>
          <w:tab w:leader="none" w:pos="216" w:val="left"/>
        </w:tabs>
        <w:numPr>
          <w:ilvl w:val="0"/>
          <w:numId w:val="2"/>
        </w:numPr>
        <w:rPr>
          <w:rFonts w:ascii="Arial" w:cs="Arial" w:eastAsia="Arial" w:hAnsi="Arial"/>
          <w:sz w:val="14"/>
          <w:szCs w:val="14"/>
          <w:color w:val="auto"/>
        </w:rPr>
      </w:pPr>
      <w:r>
        <w:rPr>
          <w:rFonts w:ascii="Arial" w:cs="Arial" w:eastAsia="Arial" w:hAnsi="Arial"/>
          <w:sz w:val="14"/>
          <w:szCs w:val="14"/>
          <w:color w:val="auto"/>
        </w:rPr>
        <w:t>J.P. Morgan Securities LLC, which we refer to as JPMS, acting as agent for JPMorgan Chase &amp; Co., will pay all of the selling commissions it receives from us to other affiliated or unaffiliated dealers. If the notes priced today, the selling commissions would be approximately $2.50 per $1,000 principal amount note and in no event will these selling commissions exceed $25.00 per $1,000 principal amount note. Broker-dealers who purchase the notes for sales to eligible institutional investors or fee-based advisory accounts may forgo some or all of these selling commissions. See “Plan of Distribution (Conflicts of Interest)” in the accompanying product supplement.</w:t>
      </w:r>
    </w:p>
    <w:p>
      <w:pPr>
        <w:spacing w:after="0" w:line="17" w:lineRule="exact"/>
        <w:rPr>
          <w:sz w:val="24"/>
          <w:szCs w:val="24"/>
          <w:color w:val="auto"/>
        </w:rPr>
      </w:pPr>
    </w:p>
    <w:p>
      <w:pPr>
        <w:ind w:right="120"/>
        <w:spacing w:after="0" w:line="282" w:lineRule="auto"/>
        <w:rPr>
          <w:sz w:val="20"/>
          <w:szCs w:val="20"/>
          <w:color w:val="auto"/>
        </w:rPr>
      </w:pPr>
      <w:r>
        <w:rPr>
          <w:rFonts w:ascii="Arial" w:cs="Arial" w:eastAsia="Arial" w:hAnsi="Arial"/>
          <w:sz w:val="14"/>
          <w:szCs w:val="14"/>
          <w:i w:val="1"/>
          <w:iCs w:val="1"/>
          <w:color w:val="auto"/>
        </w:rPr>
        <w:t>The notes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4445</wp:posOffset>
            </wp:positionV>
            <wp:extent cx="822960" cy="248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2960" cy="24828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4E8ABE"/>
        </w:rPr>
        <w:t>Additional Terms Specific to the Notes</w:t>
      </w:r>
    </w:p>
    <w:p>
      <w:pPr>
        <w:spacing w:after="0" w:line="50"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b w:val="1"/>
          <w:bCs w:val="1"/>
          <w:color w:val="auto"/>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You should read this pricing supplement together with the accompanying prospectus, as supplemented by the accompanying prospectus supplement relating to our Series E medium-term notes of which these notes are a part, and the more detailed information contained in the accompanying product supplement. This pricing supplement,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You should carefully consider, among other things, the matters set forth in the “Risk Factors” sections of the accompanying prospectus supplement and the accompanying product supplement, as the notes involve risks not associated with conventional debt securities. We urge you to consult your investment, legal, tax, accounting and other advisers before you invest in the notes.</w:t>
      </w:r>
    </w:p>
    <w:p>
      <w:pPr>
        <w:spacing w:after="0" w:line="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You may access these documents on the SEC website at www.sec.gov as follows (or if such address has changed, by reviewing our filings for the relevant date on the SEC website):</w:t>
      </w:r>
    </w:p>
    <w:p>
      <w:pPr>
        <w:ind w:left="340" w:right="3400" w:hanging="332"/>
        <w:spacing w:after="0" w:line="322" w:lineRule="auto"/>
        <w:tabs>
          <w:tab w:leader="none" w:pos="340" w:val="left"/>
        </w:tabs>
        <w:numPr>
          <w:ilvl w:val="0"/>
          <w:numId w:val="3"/>
        </w:numPr>
        <w:rPr>
          <w:rFonts w:ascii="Arial" w:cs="Arial" w:eastAsia="Arial" w:hAnsi="Arial"/>
          <w:sz w:val="17"/>
          <w:szCs w:val="17"/>
          <w:u w:val="single" w:color="auto"/>
          <w:color w:val="0000EE"/>
        </w:rPr>
      </w:pPr>
      <w:r>
        <w:rPr>
          <w:rFonts w:ascii="Arial" w:cs="Arial" w:eastAsia="Arial" w:hAnsi="Arial"/>
          <w:sz w:val="17"/>
          <w:szCs w:val="17"/>
          <w:color w:val="auto"/>
        </w:rPr>
        <w:t xml:space="preserve">Product supplement no. 1-I dated April 13, 2023: </w:t>
      </w:r>
      <w:hyperlink r:id="rId10">
        <w:r>
          <w:rPr>
            <w:rFonts w:ascii="Arial" w:cs="Arial" w:eastAsia="Arial" w:hAnsi="Arial"/>
            <w:sz w:val="17"/>
            <w:szCs w:val="17"/>
            <w:u w:val="single" w:color="auto"/>
            <w:color w:val="0000EE"/>
          </w:rPr>
          <w:t>http://www.sec.gov/Archives/edgar/data/1665650/000121390023029554/ea152829_424b2.pdf</w:t>
        </w:r>
      </w:hyperlink>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Prospectus supplement and prospectus, each dated April 13, 2023:</w:t>
      </w:r>
    </w:p>
    <w:p>
      <w:pPr>
        <w:spacing w:after="0" w:line="62" w:lineRule="exact"/>
        <w:rPr>
          <w:sz w:val="20"/>
          <w:szCs w:val="20"/>
          <w:color w:val="auto"/>
        </w:rPr>
      </w:pPr>
    </w:p>
    <w:p>
      <w:pPr>
        <w:ind w:left="340"/>
        <w:spacing w:after="0"/>
        <w:rPr>
          <w:rFonts w:ascii="Arial" w:cs="Arial" w:eastAsia="Arial" w:hAnsi="Arial"/>
          <w:sz w:val="18"/>
          <w:szCs w:val="18"/>
          <w:u w:val="single" w:color="auto"/>
          <w:color w:val="0000EE"/>
        </w:rPr>
      </w:pPr>
      <w:hyperlink r:id="rId11">
        <w:r>
          <w:rPr>
            <w:rFonts w:ascii="Arial" w:cs="Arial" w:eastAsia="Arial" w:hAnsi="Arial"/>
            <w:sz w:val="18"/>
            <w:szCs w:val="18"/>
            <w:u w:val="single" w:color="auto"/>
            <w:color w:val="0000EE"/>
          </w:rPr>
          <w:t>http://www.sec.gov/Archives/edgar/data/19617/000095010323005751/crt_dp192097-424b2.pdf</w:t>
        </w:r>
      </w:hyperlink>
    </w:p>
    <w:p>
      <w:pPr>
        <w:spacing w:after="0" w:line="50"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Our Central Index Key, or CIK, on the SEC website is 19617. As used in this pricing supplement, “we,” “us” and “our” refer to JPMorgan Chase &amp; Co.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Selected Purchase Considerations</w:t>
      </w:r>
    </w:p>
    <w:p>
      <w:pPr>
        <w:spacing w:after="0" w:line="50" w:lineRule="exact"/>
        <w:rPr>
          <w:sz w:val="20"/>
          <w:szCs w:val="20"/>
          <w:color w:val="auto"/>
        </w:rPr>
      </w:pPr>
    </w:p>
    <w:p>
      <w:pPr>
        <w:ind w:left="340" w:right="40" w:hanging="332"/>
        <w:spacing w:after="0" w:line="249" w:lineRule="auto"/>
        <w:tabs>
          <w:tab w:leader="none" w:pos="3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PRESERVATION OF CAPITAL AT MATURITY OR UPON REDEMPTION — </w:t>
      </w:r>
      <w:r>
        <w:rPr>
          <w:rFonts w:ascii="Arial" w:cs="Arial" w:eastAsia="Arial" w:hAnsi="Arial"/>
          <w:sz w:val="18"/>
          <w:szCs w:val="18"/>
          <w:color w:val="auto"/>
        </w:rPr>
        <w:t>We will pay you at least the principal amount of your notes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if you hold the notes to maturity or to the Redemption Date, if any, on which we elect to call the notes. </w:t>
      </w:r>
      <w:r>
        <w:rPr>
          <w:rFonts w:ascii="Arial" w:cs="Arial" w:eastAsia="Arial" w:hAnsi="Arial"/>
          <w:sz w:val="18"/>
          <w:szCs w:val="18"/>
          <w:b w:val="1"/>
          <w:bCs w:val="1"/>
          <w:color w:val="auto"/>
        </w:rPr>
        <w:t>Because the notes are our</w:t>
      </w:r>
      <w:r>
        <w:rPr>
          <w:rFonts w:ascii="Arial" w:cs="Arial" w:eastAsia="Arial" w:hAnsi="Arial"/>
          <w:sz w:val="18"/>
          <w:szCs w:val="18"/>
          <w:color w:val="auto"/>
        </w:rPr>
        <w:t xml:space="preserve"> </w:t>
      </w:r>
      <w:r>
        <w:rPr>
          <w:rFonts w:ascii="Arial" w:cs="Arial" w:eastAsia="Arial" w:hAnsi="Arial"/>
          <w:sz w:val="18"/>
          <w:szCs w:val="18"/>
          <w:b w:val="1"/>
          <w:bCs w:val="1"/>
          <w:color w:val="auto"/>
        </w:rPr>
        <w:t>unsecured and unsubordinated obligations, payment of any amount on the notes is subject to our ability to pay our obligations as they become due.</w:t>
      </w:r>
    </w:p>
    <w:p>
      <w:pPr>
        <w:spacing w:after="0" w:line="4" w:lineRule="exact"/>
        <w:rPr>
          <w:rFonts w:ascii="Times New Roman" w:cs="Times New Roman" w:eastAsia="Times New Roman" w:hAnsi="Times New Roman"/>
          <w:sz w:val="18"/>
          <w:szCs w:val="18"/>
          <w:color w:val="auto"/>
        </w:rPr>
      </w:pPr>
    </w:p>
    <w:p>
      <w:pPr>
        <w:ind w:left="340" w:right="60" w:hanging="332"/>
        <w:spacing w:after="0" w:line="243" w:lineRule="auto"/>
        <w:tabs>
          <w:tab w:leader="none" w:pos="3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PERIODIC INTEREST PAYMENTS — </w:t>
      </w:r>
      <w:r>
        <w:rPr>
          <w:rFonts w:ascii="Arial" w:cs="Arial" w:eastAsia="Arial" w:hAnsi="Arial"/>
          <w:sz w:val="18"/>
          <w:szCs w:val="18"/>
          <w:color w:val="auto"/>
        </w:rPr>
        <w:t>The notes offer periodic interest payments on each Interest Payment Date at the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earlier redemption. Interest, if any, will be paid in arrears on each Interest Payment Date to the holders of record at the close of business on the business day immediately preceding the applicable Interest Payment Date. The interest payments will be based on the Interest Rate listed on the cover of this pricing supplement. The yield on the notes may be less than the overall return you would receive from a conventional debt security that you could purchase today with the same maturity as the notes.</w:t>
      </w:r>
    </w:p>
    <w:p>
      <w:pPr>
        <w:spacing w:after="0" w:line="17" w:lineRule="exact"/>
        <w:rPr>
          <w:rFonts w:ascii="Times New Roman" w:cs="Times New Roman" w:eastAsia="Times New Roman" w:hAnsi="Times New Roman"/>
          <w:sz w:val="18"/>
          <w:szCs w:val="18"/>
          <w:color w:val="auto"/>
        </w:rPr>
      </w:pPr>
    </w:p>
    <w:p>
      <w:pPr>
        <w:ind w:left="340" w:right="6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POTENTIAL PERIODIC REDEMPTION BY US AT OUR OPTION — </w:t>
      </w:r>
      <w:r>
        <w:rPr>
          <w:rFonts w:ascii="Arial" w:cs="Arial" w:eastAsia="Arial" w:hAnsi="Arial"/>
          <w:sz w:val="18"/>
          <w:szCs w:val="18"/>
          <w:color w:val="auto"/>
        </w:rPr>
        <w:t>At our option, we may redeem the notes, in whole but not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any of the Redemption Dates set forth on the cover of this pricing supplement, at a price equal to the principal amount being redeemed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accrued and unpaid interest, subject to the Business Day Convention and the Interest Accrual Convention described on the cover of this pricing supplement and in the accompanying product supplement. Any accrued and unpaid interest on the notes redeemed will be paid to the person who is the holder of record of these notes at the close of business on the business day immediately preceding the applicable Redemption Date. Even in cases where the notes are called before maturity, noteholders are not entitled to any fees or commissions described on the front cover of this pricing supplement.</w:t>
      </w:r>
    </w:p>
    <w:p>
      <w:pPr>
        <w:spacing w:after="0" w:line="21" w:lineRule="exact"/>
        <w:rPr>
          <w:rFonts w:ascii="Times New Roman" w:cs="Times New Roman" w:eastAsia="Times New Roman" w:hAnsi="Times New Roman"/>
          <w:sz w:val="18"/>
          <w:szCs w:val="18"/>
          <w:color w:val="auto"/>
        </w:rPr>
      </w:pPr>
    </w:p>
    <w:p>
      <w:pPr>
        <w:ind w:left="340" w:right="40" w:hanging="332"/>
        <w:spacing w:after="0" w:line="259" w:lineRule="auto"/>
        <w:tabs>
          <w:tab w:leader="none" w:pos="3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INSOLVENCY AND RESOLUTION CONSIDERATIONS — </w:t>
      </w:r>
      <w:r>
        <w:rPr>
          <w:rFonts w:ascii="Arial" w:cs="Arial" w:eastAsia="Arial" w:hAnsi="Arial"/>
          <w:sz w:val="17"/>
          <w:szCs w:val="17"/>
          <w:color w:val="auto"/>
        </w:rPr>
        <w:t>The notes constitute “loss-absorbing capacity” within the meaning of the final</w:t>
      </w:r>
      <w:r>
        <w:rPr>
          <w:rFonts w:ascii="Arial" w:cs="Arial" w:eastAsia="Arial" w:hAnsi="Arial"/>
          <w:sz w:val="17"/>
          <w:szCs w:val="17"/>
          <w:b w:val="1"/>
          <w:bCs w:val="1"/>
          <w:color w:val="auto"/>
        </w:rPr>
        <w:t xml:space="preserve"> </w:t>
      </w:r>
      <w:r>
        <w:rPr>
          <w:rFonts w:ascii="Arial" w:cs="Arial" w:eastAsia="Arial" w:hAnsi="Arial"/>
          <w:sz w:val="17"/>
          <w:szCs w:val="17"/>
          <w:color w:val="auto"/>
        </w:rPr>
        <w:t>rules (the “TLAC rules”) issued by the Board of Governors of the Federal Reserve System (the “Federal Reserve”) on December 15,</w:t>
      </w:r>
    </w:p>
    <w:p>
      <w:pPr>
        <w:ind w:left="340"/>
        <w:spacing w:after="0" w:line="238" w:lineRule="auto"/>
        <w:rPr>
          <w:rFonts w:ascii="Times New Roman" w:cs="Times New Roman" w:eastAsia="Times New Roman" w:hAnsi="Times New Roman"/>
          <w:sz w:val="17"/>
          <w:szCs w:val="17"/>
          <w:color w:val="auto"/>
        </w:rPr>
      </w:pPr>
      <w:r>
        <w:rPr>
          <w:rFonts w:ascii="Arial" w:cs="Arial" w:eastAsia="Arial" w:hAnsi="Arial"/>
          <w:sz w:val="18"/>
          <w:szCs w:val="18"/>
          <w:color w:val="auto"/>
        </w:rPr>
        <w:t>2016 regarding, among other things, the minimum levels of unsecured external long-term debt and other loss-absorbing capacity that certain U.S. bank holding companies, including JPMorgan Chase &amp; Co., are required to maintain. Such debt must satisfy certain eligibility criteria under the TLAC rules. If JPMorgan Chase &amp; Co. were to enter into resolution, either in a proceeding under Chapter 11 of the U.S. Bankruptcy Code or in a receivership administered by the Federal Deposit Insurance Corporation (the “FDIC”) under Title II of the Dodd-Frank Wall Street Reform and Consumer Protection Act of 2010 (the “Dodd-Frank Act”), holders of the notes and other debt and equity securities of JPMorgan Chase &amp; Co. will absorb the losses of JPMorgan Chase &amp; Co. and its affiliates.</w:t>
      </w:r>
    </w:p>
    <w:p>
      <w:pPr>
        <w:spacing w:after="0" w:line="19" w:lineRule="exact"/>
        <w:rPr>
          <w:rFonts w:ascii="Times New Roman" w:cs="Times New Roman" w:eastAsia="Times New Roman" w:hAnsi="Times New Roman"/>
          <w:sz w:val="17"/>
          <w:szCs w:val="17"/>
          <w:color w:val="auto"/>
        </w:rPr>
      </w:pPr>
    </w:p>
    <w:p>
      <w:pPr>
        <w:ind w:left="340" w:right="100"/>
        <w:spacing w:after="0"/>
        <w:rPr>
          <w:rFonts w:ascii="Times New Roman" w:cs="Times New Roman" w:eastAsia="Times New Roman" w:hAnsi="Times New Roman"/>
          <w:sz w:val="17"/>
          <w:szCs w:val="17"/>
          <w:color w:val="auto"/>
        </w:rPr>
      </w:pPr>
      <w:r>
        <w:rPr>
          <w:rFonts w:ascii="Arial" w:cs="Arial" w:eastAsia="Arial" w:hAnsi="Arial"/>
          <w:sz w:val="18"/>
          <w:szCs w:val="18"/>
          <w:color w:val="auto"/>
        </w:rPr>
        <w:t>Under Title I of the Dodd-Frank Act and applicable rules of the Federal Reserve and the FDIC, JPMorgan Chase &amp; Co. is required to submit periodically to the Federal Reserve and the FDIC a detailed plan (the “resolution plan”) for the rapid and orderly resolution of JPMorgan Chase &amp; Co. and its material subsidiaries under the U.S. Bankruptcy Code and other applicable insolvency laws in the event of material financial distress or failure. JPMorgan Chase &amp; Co.’s preferred resolution strategy under its resolution plan contemplates that only JPMorgan Chase &amp; Co. would enter bankruptcy proceedings under Chapter 11 of the U.S. Bankruptcy Code pursuant to a “single point of entry” recapitalization strategy. JPMorgan Chase &amp; Co.’s subsidiaries would be recapitalized as needed so that they could continue normal operations or subsequently be wound down in an orderly manner. As a result, JPMorgan Chase &amp; Co.’s losses and any losses incurred by its subsidiaries would be imposed first on holders of JPMorgan Chase &amp; Co.’s equity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5" w:lineRule="exact"/>
        <w:rPr>
          <w:sz w:val="20"/>
          <w:szCs w:val="20"/>
          <w:color w:val="auto"/>
        </w:rPr>
      </w:pPr>
    </w:p>
    <w:p>
      <w:pPr>
        <w:ind w:left="100"/>
        <w:spacing w:after="0"/>
        <w:tabs>
          <w:tab w:leader="none" w:pos="10800" w:val="left"/>
        </w:tabs>
        <w:rPr>
          <w:sz w:val="20"/>
          <w:szCs w:val="20"/>
          <w:color w:val="auto"/>
        </w:rPr>
      </w:pPr>
      <w:r>
        <w:rPr>
          <w:rFonts w:ascii="Arial" w:cs="Arial" w:eastAsia="Arial" w:hAnsi="Arial"/>
          <w:sz w:val="14"/>
          <w:szCs w:val="14"/>
          <w:b w:val="1"/>
          <w:bCs w:val="1"/>
          <w:color w:val="532F1A"/>
        </w:rPr>
        <w:t>Callable Fixed Rate Notes</w:t>
      </w:r>
      <w:r>
        <w:rPr>
          <w:sz w:val="20"/>
          <w:szCs w:val="20"/>
          <w:color w:val="auto"/>
        </w:rPr>
        <w:tab/>
      </w:r>
      <w:r>
        <w:rPr>
          <w:rFonts w:ascii="Arial" w:cs="Arial" w:eastAsia="Arial" w:hAnsi="Arial"/>
          <w:sz w:val="14"/>
          <w:szCs w:val="14"/>
          <w:color w:val="532F1A"/>
        </w:rPr>
        <w:t>PS-2</w:t>
      </w:r>
    </w:p>
    <w:p>
      <w:pPr>
        <w:sectPr>
          <w:pgSz w:w="11900" w:h="16838" w:orient="portrait"/>
          <w:cols w:equalWidth="0" w:num="1">
            <w:col w:w="11240"/>
          </w:cols>
          <w:pgMar w:left="320" w:top="526" w:right="339" w:bottom="1440" w:gutter="0" w:footer="0" w:header="0"/>
        </w:sectPr>
      </w:pPr>
    </w:p>
    <w:bookmarkStart w:id="2" w:name="page3"/>
    <w:bookmarkEnd w:id="2"/>
    <w:p>
      <w:pPr>
        <w:ind w:left="240"/>
        <w:spacing w:after="0"/>
        <w:rPr>
          <w:sz w:val="20"/>
          <w:szCs w:val="20"/>
          <w:color w:val="auto"/>
        </w:rPr>
      </w:pPr>
      <w:r>
        <w:rPr>
          <w:rFonts w:ascii="Arial" w:cs="Arial" w:eastAsia="Arial" w:hAnsi="Arial"/>
          <w:sz w:val="18"/>
          <w:szCs w:val="18"/>
          <w:color w:val="auto"/>
        </w:rPr>
        <w:t>thereafter on unsecured creditors, including holders of the notes and other securities of JPMorgan Chase &amp; Co. Claims of holders of the notes and those other debt securities would have a junior position to the claims of creditors of JPMorgan Chase &amp; Co.’s subsidiaries and to the claims of priority (as determined by statute) and secured creditors of JPMorgan Chase &amp; Co. Accordingly, in a resolution of JPMorgan Chase &amp; Co. under Chapter 11 of the U.S. Bankruptcy Code, holders of the notes and other debt securities of JPMorgan Chase &amp; Co. would realize value only to the extent available to JPMorgan Chase &amp; Co. as a shareholder of JPMorgan Chase Bank, N.A. and its other subsidiaries and only after any claims of priority and secured creditors of JPMorgan Chase &amp; Co. have been fully repaid. If JPMorgan Chase &amp; Co. were to enter into a resolution, none of JPMorgan Chase &amp; Co., the Federal Reserve or the FDIC is obligated to follow JPMorgan Chase &amp; Co.’s preferred resolution strategy under its resolution plan.</w:t>
      </w:r>
    </w:p>
    <w:p>
      <w:pPr>
        <w:spacing w:after="0" w:line="18" w:lineRule="exact"/>
        <w:rPr>
          <w:sz w:val="20"/>
          <w:szCs w:val="20"/>
          <w:color w:val="auto"/>
        </w:rPr>
      </w:pPr>
    </w:p>
    <w:p>
      <w:pPr>
        <w:ind w:left="240" w:right="20"/>
        <w:spacing w:after="0" w:line="238" w:lineRule="auto"/>
        <w:rPr>
          <w:sz w:val="20"/>
          <w:szCs w:val="20"/>
          <w:color w:val="auto"/>
        </w:rPr>
      </w:pPr>
      <w:r>
        <w:rPr>
          <w:rFonts w:ascii="Arial" w:cs="Arial" w:eastAsia="Arial" w:hAnsi="Arial"/>
          <w:sz w:val="18"/>
          <w:szCs w:val="18"/>
          <w:color w:val="auto"/>
        </w:rPr>
        <w:t>The FDIC has similarly indicated that a single point of entry recapitalization model could be a desirable strategy to resolve a systemically important financial institution, such as JPMorgan Chase &amp; Co., under Title II of the Dodd-Frank Act (“Title II”). Pursuant to that strategy, the FDIC would use its power to create a “bridge entity” for JPMorgan Chase &amp; Co.; transfer the systemically important and viable parts of JPMorgan Chase &amp; Co.’s business, principally the stock of JPMorgan Chase &amp; Co.’s main operating subsidiaries and any intercompany claims against such subsidiaries, to the bridge entity; recapitalize those subsidiaries using assets of JPMorgan</w:t>
      </w:r>
    </w:p>
    <w:p>
      <w:pPr>
        <w:spacing w:after="0" w:line="4" w:lineRule="exact"/>
        <w:rPr>
          <w:sz w:val="20"/>
          <w:szCs w:val="20"/>
          <w:color w:val="auto"/>
        </w:rPr>
      </w:pPr>
    </w:p>
    <w:p>
      <w:pPr>
        <w:ind w:left="240" w:right="60"/>
        <w:spacing w:after="0" w:line="239" w:lineRule="auto"/>
        <w:rPr>
          <w:sz w:val="20"/>
          <w:szCs w:val="20"/>
          <w:color w:val="auto"/>
        </w:rPr>
      </w:pPr>
      <w:r>
        <w:rPr>
          <w:rFonts w:ascii="Arial" w:cs="Arial" w:eastAsia="Arial" w:hAnsi="Arial"/>
          <w:sz w:val="18"/>
          <w:szCs w:val="18"/>
          <w:color w:val="auto"/>
        </w:rPr>
        <w:t>Chase &amp; Co. that have been transferred to the bridge entity; and exchange external debt claims against JPMorgan Chase &amp; Co. for equity in the bridge entity. Under this Title II resolution strategy, the value of the stock of the bridge entity that would be redistributed to holders of the notes and other debt securities of JPMorgan Chase &amp; Co. may not be sufficient to repay all or part of the principal amount and interest on the notes and those other securities. To date, the FDIC has not formally adopted a single point of entry resolution strategy, and it is not obligated to follow such a strategy in a Title II resolution of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220345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p>
      <w:pPr>
        <w:spacing w:after="0"/>
        <w:tabs>
          <w:tab w:leader="none" w:pos="10700" w:val="left"/>
        </w:tabs>
        <w:rPr>
          <w:sz w:val="20"/>
          <w:szCs w:val="20"/>
          <w:color w:val="auto"/>
        </w:rPr>
      </w:pPr>
      <w:r>
        <w:rPr>
          <w:rFonts w:ascii="Arial" w:cs="Arial" w:eastAsia="Arial" w:hAnsi="Arial"/>
          <w:sz w:val="14"/>
          <w:szCs w:val="14"/>
          <w:b w:val="1"/>
          <w:bCs w:val="1"/>
          <w:color w:val="532F1A"/>
        </w:rPr>
        <w:t>Callable Fixed Rate Notes</w:t>
      </w:r>
      <w:r>
        <w:rPr>
          <w:sz w:val="20"/>
          <w:szCs w:val="20"/>
          <w:color w:val="auto"/>
        </w:rPr>
        <w:tab/>
      </w:r>
      <w:r>
        <w:rPr>
          <w:rFonts w:ascii="Arial" w:cs="Arial" w:eastAsia="Arial" w:hAnsi="Arial"/>
          <w:sz w:val="14"/>
          <w:szCs w:val="14"/>
          <w:color w:val="532F1A"/>
        </w:rPr>
        <w:t>PS-3</w:t>
      </w:r>
    </w:p>
    <w:p>
      <w:pPr>
        <w:sectPr>
          <w:pgSz w:w="11900" w:h="16838" w:orient="portrait"/>
          <w:cols w:equalWidth="0" w:num="1">
            <w:col w:w="11100"/>
          </w:cols>
          <w:pgMar w:left="420" w:top="580"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4E8ABE"/>
        </w:rPr>
        <w:t>Selected Risk Considerations</w:t>
      </w:r>
    </w:p>
    <w:p>
      <w:pPr>
        <w:spacing w:after="0" w:line="50" w:lineRule="exact"/>
        <w:rPr>
          <w:sz w:val="20"/>
          <w:szCs w:val="20"/>
          <w:color w:val="auto"/>
        </w:rPr>
      </w:pPr>
    </w:p>
    <w:p>
      <w:pPr>
        <w:ind w:right="1000"/>
        <w:spacing w:after="0" w:line="271" w:lineRule="auto"/>
        <w:rPr>
          <w:sz w:val="20"/>
          <w:szCs w:val="20"/>
          <w:color w:val="auto"/>
        </w:rPr>
      </w:pPr>
      <w:r>
        <w:rPr>
          <w:rFonts w:ascii="Arial" w:cs="Arial" w:eastAsia="Arial" w:hAnsi="Arial"/>
          <w:sz w:val="18"/>
          <w:szCs w:val="18"/>
          <w:color w:val="auto"/>
        </w:rPr>
        <w:t>An investment in the notes involves significant risks. These risks are explained in more detail in the “Risk Factors” sections of the accompanying prospectus supplement and the accompanying product supplement.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54301A"/>
        </w:rPr>
        <w:t>Risks Relating to the Notes Generally</w:t>
      </w:r>
    </w:p>
    <w:p>
      <w:pPr>
        <w:spacing w:after="0" w:line="104" w:lineRule="exact"/>
        <w:rPr>
          <w:sz w:val="20"/>
          <w:szCs w:val="20"/>
          <w:color w:val="auto"/>
        </w:rPr>
      </w:pPr>
    </w:p>
    <w:p>
      <w:pPr>
        <w:ind w:left="340" w:right="40" w:hanging="332"/>
        <w:spacing w:after="0" w:line="239" w:lineRule="auto"/>
        <w:tabs>
          <w:tab w:leader="none" w:pos="3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WE MAY CALL YOUR NOTES PRIOR TO THEIR SCHEDULED MATURITY DATE — </w:t>
      </w:r>
      <w:r>
        <w:rPr>
          <w:rFonts w:ascii="Arial" w:cs="Arial" w:eastAsia="Arial" w:hAnsi="Arial"/>
          <w:sz w:val="18"/>
          <w:szCs w:val="18"/>
          <w:color w:val="auto"/>
        </w:rPr>
        <w:t>We may choose to call the notes early or choose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to call the notes early on any Redemption Date in our sole discretion. If the notes are called early, you will receive the principal amount of your notes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accrued and unpaid interest to, but excluding, the applicable Redemption Date. The aggregate amount that you will receive through and including the applicable Redemption Date will be less than the aggregate amount that you would have received had the notes not been called early. If we call the notes early, your overall return may be less than the yield that the notes would have earned if you held your notes to maturity and you may not be able to reinvest your funds at the same rate as the original notes. We may choose to call the notes early, for example, if U.S. interest rates decrease or do not rise significantly or if volatility of U.S. interest rates decreases significantly.</w:t>
      </w:r>
    </w:p>
    <w:p>
      <w:pPr>
        <w:spacing w:after="0" w:line="24" w:lineRule="exact"/>
        <w:rPr>
          <w:rFonts w:ascii="Times New Roman" w:cs="Times New Roman" w:eastAsia="Times New Roman" w:hAnsi="Times New Roman"/>
          <w:sz w:val="18"/>
          <w:szCs w:val="18"/>
          <w:color w:val="auto"/>
        </w:rPr>
      </w:pPr>
    </w:p>
    <w:p>
      <w:pPr>
        <w:ind w:left="340" w:hanging="332"/>
        <w:spacing w:after="0" w:line="243" w:lineRule="auto"/>
        <w:tabs>
          <w:tab w:leader="none" w:pos="3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CREDIT RISK OF JPMORGAN CHASE &amp; CO. — </w:t>
      </w:r>
      <w:r>
        <w:rPr>
          <w:rFonts w:ascii="Arial" w:cs="Arial" w:eastAsia="Arial" w:hAnsi="Arial"/>
          <w:sz w:val="18"/>
          <w:szCs w:val="18"/>
          <w:color w:val="auto"/>
        </w:rPr>
        <w:t>The notes are subject to the credit risk of JPMorgan Chase &amp; Co., and our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credit spreads may adversely affect the market value of the notes. Investors are dependent on JPMorgan Chase &amp; Co.’s ability to pay all amounts due on the notes. Any actual or potential change in our creditworthiness or credit spreads, as determined by the market for taking our credit risk, is likely to adversely affect the value of the notes. If we were to default on our payment obligations, you may not receive any amounts owed to you under the notes and you could lose your entire investment.</w:t>
      </w:r>
    </w:p>
    <w:p>
      <w:pPr>
        <w:spacing w:after="0" w:line="17" w:lineRule="exact"/>
        <w:rPr>
          <w:rFonts w:ascii="Times New Roman" w:cs="Times New Roman" w:eastAsia="Times New Roman" w:hAnsi="Times New Roman"/>
          <w:sz w:val="18"/>
          <w:szCs w:val="18"/>
          <w:color w:val="auto"/>
        </w:rPr>
      </w:pPr>
    </w:p>
    <w:p>
      <w:pPr>
        <w:ind w:left="340" w:right="20" w:hanging="332"/>
        <w:spacing w:after="0" w:line="246" w:lineRule="auto"/>
        <w:tabs>
          <w:tab w:leader="none" w:pos="3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REINVESTMENT RISK — </w:t>
      </w:r>
      <w:r>
        <w:rPr>
          <w:rFonts w:ascii="Arial" w:cs="Arial" w:eastAsia="Arial" w:hAnsi="Arial"/>
          <w:sz w:val="18"/>
          <w:szCs w:val="18"/>
          <w:color w:val="auto"/>
        </w:rPr>
        <w:t>If we redeem the notes, the term of the notes may be reduced and you will not receive interest payments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Redemption Date. There is no guarantee that you would be able to reinvest the proceeds from an investment in the notes at a comparable return and/or with a comparable interest rate for a similar level of risk in the event the notes are redeemed prior to the Maturity Date.</w:t>
      </w:r>
    </w:p>
    <w:p>
      <w:pPr>
        <w:spacing w:after="0" w:line="14" w:lineRule="exact"/>
        <w:rPr>
          <w:rFonts w:ascii="Times New Roman" w:cs="Times New Roman" w:eastAsia="Times New Roman" w:hAnsi="Times New Roman"/>
          <w:sz w:val="18"/>
          <w:szCs w:val="18"/>
          <w:color w:val="auto"/>
        </w:rPr>
      </w:pPr>
    </w:p>
    <w:p>
      <w:pPr>
        <w:ind w:left="340" w:right="60" w:hanging="332"/>
        <w:spacing w:after="0" w:line="246" w:lineRule="auto"/>
        <w:tabs>
          <w:tab w:leader="none" w:pos="3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LACK OF LIQUIDITY — </w:t>
      </w:r>
      <w:r>
        <w:rPr>
          <w:rFonts w:ascii="Arial" w:cs="Arial" w:eastAsia="Arial" w:hAnsi="Arial"/>
          <w:sz w:val="18"/>
          <w:szCs w:val="18"/>
          <w:color w:val="auto"/>
        </w:rPr>
        <w:t>The notes will not be listed on any securities exchange. JPMS intends to offer to purchase the notes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market 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 is willing to buy the 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54301A"/>
        </w:rPr>
        <w:t>Risks Relating to Conflicts of Interest</w:t>
      </w:r>
    </w:p>
    <w:p>
      <w:pPr>
        <w:spacing w:after="0" w:line="104" w:lineRule="exact"/>
        <w:rPr>
          <w:sz w:val="20"/>
          <w:szCs w:val="20"/>
          <w:color w:val="auto"/>
        </w:rPr>
      </w:pPr>
    </w:p>
    <w:p>
      <w:pPr>
        <w:ind w:left="340" w:right="40" w:hanging="332"/>
        <w:spacing w:after="0" w:line="239" w:lineRule="auto"/>
        <w:tabs>
          <w:tab w:leader="none" w:pos="3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POTENTIAL CONFLICTS — </w:t>
      </w:r>
      <w:r>
        <w:rPr>
          <w:rFonts w:ascii="Arial" w:cs="Arial" w:eastAsia="Arial" w:hAnsi="Arial"/>
          <w:sz w:val="18"/>
          <w:szCs w:val="18"/>
          <w:color w:val="auto"/>
        </w:rPr>
        <w:t>We and our affiliates play a variety of roles in connection with the issuance of the notes, including acting as</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 agent and as an agent of the offering of the notes and hedging our obligations under the notes. In performing these duties, our economic interests and the economic interests of the calculation agent and other affiliates of ours are potentially adverse to your interests as an investor in the notes. In addition, our business activities, including hedging and trading activities for our own accounts or on behalf of customers, could cause our economic interests to be adverse to yours and could adversely affect any payment on the notes and the value of the notes. It is possible that hedging or trading activities of ours or our affiliates in connection with the notes could result in substantial returns for us or our affiliates while the value of the notes declines. Please refer to “Risk Factors — Risks Relating to Conflicts of Interest” in the accompanying product supplement for additional information about these risks.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54301A"/>
        </w:rPr>
        <w:t>Risks Relating to Secondary Market Prices of the Notes</w:t>
      </w:r>
    </w:p>
    <w:p>
      <w:pPr>
        <w:spacing w:after="0" w:line="104" w:lineRule="exact"/>
        <w:rPr>
          <w:sz w:val="20"/>
          <w:szCs w:val="20"/>
          <w:color w:val="auto"/>
        </w:rPr>
      </w:pPr>
    </w:p>
    <w:p>
      <w:pPr>
        <w:ind w:left="340" w:right="2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CERTAIN BUILT-IN COSTS ARE LIKELY TO AFFECT ADVERSELY THE VALUE OF THE NOTES PRIOR TO MATURITY — </w:t>
      </w:r>
      <w:r>
        <w:rPr>
          <w:rFonts w:ascii="Arial" w:cs="Arial" w:eastAsia="Arial" w:hAnsi="Arial"/>
          <w:sz w:val="18"/>
          <w:szCs w:val="18"/>
          <w:color w:val="auto"/>
        </w:rPr>
        <w:t>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at maturity described in this pricing supplement is based on the full principal amount of your notes, the original issue price of the notes includes the agent’s commission, if any, and the estimated cost of hedging our obligations under the notes through one or more of our affiliates. As a result, the price, if any, at which JPMS will be willing to purchase notes from you in secondary market transactions, if at all, will likely be lower than the original issue price and any sale prior to the Maturity Date could result in a substantial loss to you. This secondary market price will also be affected by a number of factors aside from the agent’s commission, if any, and hedging costs, including those referred to under “—Many Economic and Market Factors Will Impact the Value of the Notes” below.</w:t>
      </w:r>
    </w:p>
    <w:p>
      <w:pPr>
        <w:spacing w:after="0" w:line="21" w:lineRule="exact"/>
        <w:rPr>
          <w:rFonts w:ascii="Times New Roman" w:cs="Times New Roman" w:eastAsia="Times New Roman" w:hAnsi="Times New Roman"/>
          <w:sz w:val="18"/>
          <w:szCs w:val="18"/>
          <w:color w:val="auto"/>
        </w:rPr>
      </w:pPr>
    </w:p>
    <w:p>
      <w:pPr>
        <w:ind w:left="340" w:right="620"/>
        <w:spacing w:after="0" w:line="266" w:lineRule="auto"/>
        <w:rPr>
          <w:rFonts w:ascii="Times New Roman" w:cs="Times New Roman" w:eastAsia="Times New Roman" w:hAnsi="Times New Roman"/>
          <w:sz w:val="18"/>
          <w:szCs w:val="18"/>
          <w:color w:val="auto"/>
        </w:rPr>
      </w:pPr>
      <w:r>
        <w:rPr>
          <w:rFonts w:ascii="Arial" w:cs="Arial" w:eastAsia="Arial" w:hAnsi="Arial"/>
          <w:sz w:val="18"/>
          <w:szCs w:val="18"/>
          <w:color w:val="auto"/>
        </w:rPr>
        <w:t>The notes are not designed to be short-term trading instruments. Accordingly, you should be able and willing to hold your notes to maturity.</w:t>
      </w:r>
    </w:p>
    <w:p>
      <w:pPr>
        <w:ind w:left="340" w:right="160" w:hanging="332"/>
        <w:spacing w:after="0" w:line="244" w:lineRule="auto"/>
        <w:tabs>
          <w:tab w:leader="none" w:pos="3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MANY ECONOMIC AND MARKET FACTORS WILL IMPACT THE VALUE OF THE NOTES — </w:t>
      </w:r>
      <w:r>
        <w:rPr>
          <w:rFonts w:ascii="Arial" w:cs="Arial" w:eastAsia="Arial" w:hAnsi="Arial"/>
          <w:sz w:val="18"/>
          <w:szCs w:val="18"/>
          <w:color w:val="auto"/>
        </w:rPr>
        <w:t>The notes will be affected by a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economic and market factors that may either offset or magnify each other, including but not limited to:</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any actual or potential change in our creditworthiness or credit spreads;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time to maturity of the notes;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interest and yield rates in the market generally, as well as the volatility of those rates; and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likelihood, or expectation, that the notes will be redeemed by us, based on prevailing market interest rates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ind w:left="100"/>
        <w:spacing w:after="0"/>
        <w:tabs>
          <w:tab w:leader="none" w:pos="10800" w:val="left"/>
        </w:tabs>
        <w:rPr>
          <w:sz w:val="20"/>
          <w:szCs w:val="20"/>
          <w:color w:val="auto"/>
        </w:rPr>
      </w:pPr>
      <w:r>
        <w:rPr>
          <w:rFonts w:ascii="Arial" w:cs="Arial" w:eastAsia="Arial" w:hAnsi="Arial"/>
          <w:sz w:val="14"/>
          <w:szCs w:val="14"/>
          <w:b w:val="1"/>
          <w:bCs w:val="1"/>
          <w:color w:val="532F1A"/>
        </w:rPr>
        <w:t>Callable Fixed Rate Notes</w:t>
      </w:r>
      <w:r>
        <w:rPr>
          <w:sz w:val="20"/>
          <w:szCs w:val="20"/>
          <w:color w:val="auto"/>
        </w:rPr>
        <w:tab/>
      </w:r>
      <w:r>
        <w:rPr>
          <w:rFonts w:ascii="Arial" w:cs="Arial" w:eastAsia="Arial" w:hAnsi="Arial"/>
          <w:sz w:val="14"/>
          <w:szCs w:val="14"/>
          <w:color w:val="532F1A"/>
        </w:rPr>
        <w:t>PS-4</w:t>
      </w:r>
    </w:p>
    <w:p>
      <w:pPr>
        <w:sectPr>
          <w:pgSz w:w="11900" w:h="16838" w:orient="portrait"/>
          <w:cols w:equalWidth="0" w:num="1">
            <w:col w:w="11240"/>
          </w:cols>
          <w:pgMar w:left="320" w:top="58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4E8ABE"/>
        </w:rPr>
        <w:t>Tax Treatment</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You should review carefully the section in the accompanying product supplement no. 1-I entitled “Material U.S. Federal Income Tax Consequences,” focusing particularly on the section entitled “— Tax Consequences to U.S. Holders — Notes Treated as Debt Instruments and That Have a Term of More than One Year — Notes Treated as Debt Instruments But Not Contingent Payment Debt Instruments — Notes Treated as Debt Instruments That Provide for Fixed Interest Payments at a Single Rate and That Are Not Issued at a Discount.” The following, when read in combination with those sections, constitutes the full opinion of our special tax counsel, Davis Polk &amp; Wardwell LLP, regarding the material U.S. federal income tax consequences of owning and disposing of the notes. Our special tax counsel is of the opinion that the notes will be treated as fixed-rate debt instruments as defined and described therein.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Supplemental Plan of Distribution</w:t>
      </w:r>
    </w:p>
    <w:p>
      <w:pPr>
        <w:spacing w:after="0" w:line="5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With respect to notes sold to eligible institutional investors or fee-based advisory accounts for which an affiliated or unaffiliated broker-dealer is an investment adviser, the price to the public will not be lower than $987.60 or greater than $1,000 per $1,000 principal amount note. Broker-dealers who purchase the notes for these accounts may forgo some or all selling commissions related to these sales described below. See “Plan of Distribution (Conflicts of Interest)” in the accompanying product supplement.</w:t>
      </w:r>
    </w:p>
    <w:p>
      <w:pPr>
        <w:spacing w:after="0" w:line="1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JPMS, acting as agent for JPMorgan Chase &amp; Co., will pay all of the selling commissions it receives from us to other affiliated or unaffiliated dealers. If the notes priced today, the selling commissions would be approximately $2.50 per $1,000 principal amount note and in no event will these selling commissions exceed $25.00 per $1,000 principal amount note. Broker-dealers who purchase the notes for sales to eligible institutional investors or fee-based advisory accounts may forgo some or all of these selling commissions. See “Plan of Distribution (Conflicts of Interest)” in the accompanying product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7" w:lineRule="exact"/>
        <w:rPr>
          <w:sz w:val="20"/>
          <w:szCs w:val="20"/>
          <w:color w:val="auto"/>
        </w:rPr>
      </w:pPr>
    </w:p>
    <w:p>
      <w:pPr>
        <w:ind w:left="100"/>
        <w:spacing w:after="0"/>
        <w:tabs>
          <w:tab w:leader="none" w:pos="10800" w:val="left"/>
        </w:tabs>
        <w:rPr>
          <w:sz w:val="20"/>
          <w:szCs w:val="20"/>
          <w:color w:val="auto"/>
        </w:rPr>
      </w:pPr>
      <w:r>
        <w:rPr>
          <w:rFonts w:ascii="Arial" w:cs="Arial" w:eastAsia="Arial" w:hAnsi="Arial"/>
          <w:sz w:val="14"/>
          <w:szCs w:val="14"/>
          <w:b w:val="1"/>
          <w:bCs w:val="1"/>
          <w:color w:val="532F1A"/>
        </w:rPr>
        <w:t>Callable Fixed Rate Notes</w:t>
      </w:r>
      <w:r>
        <w:rPr>
          <w:sz w:val="20"/>
          <w:szCs w:val="20"/>
          <w:color w:val="auto"/>
        </w:rPr>
        <w:tab/>
      </w:r>
      <w:r>
        <w:rPr>
          <w:rFonts w:ascii="Arial" w:cs="Arial" w:eastAsia="Arial" w:hAnsi="Arial"/>
          <w:sz w:val="14"/>
          <w:szCs w:val="14"/>
          <w:color w:val="532F1A"/>
        </w:rPr>
        <w:t>PS-5</w:t>
      </w:r>
    </w:p>
    <w:sectPr>
      <w:pgSz w:w="11900" w:h="16838" w:orient="portrait"/>
      <w:cols w:equalWidth="0" w:num="1">
        <w:col w:w="11240"/>
      </w:cols>
      <w:pgMar w:left="320" w:top="6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Archives/edgar/data/1665650/000121390023029554/ea152829_424b2.pdf" TargetMode="External"/><Relationship Id="rId11" Type="http://schemas.openxmlformats.org/officeDocument/2006/relationships/hyperlink" Target="http://www.sec.gov/Archives/edgar/data/19617/000095010323005751/crt_dp192097-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2024-05-20T14:29:43Z</dcterms:created>
  <dcterms:modified xsi:type="dcterms:W3CDTF">2024-05-20T14:29:43Z</dcterms:modified>
</cp:coreProperties>
</file>