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141605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51"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SCHEDULE 14A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169545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2"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179"/>
        <w:spacing w:after="0"/>
        <w:tabs>
          <w:tab w:leader="none" w:pos="260" w:val="left"/>
        </w:tabs>
        <w:rPr>
          <w:sz w:val="20"/>
          <w:szCs w:val="20"/>
          <w:color w:val="auto"/>
        </w:rPr>
      </w:pPr>
      <w:r>
        <w:rPr>
          <w:rFonts w:ascii="Arial" w:cs="Arial" w:eastAsia="Arial" w:hAnsi="Arial"/>
          <w:sz w:val="19"/>
          <w:szCs w:val="19"/>
          <w:b w:val="1"/>
          <w:bCs w:val="1"/>
          <w:color w:val="auto"/>
        </w:rPr>
        <w:t>Securities Exchange Act of 1934 (Amendment No.</w:t>
      </w:r>
      <w:r>
        <w:rPr>
          <w:sz w:val="20"/>
          <w:szCs w:val="20"/>
          <w:color w:val="auto"/>
        </w:rPr>
        <w:tab/>
      </w:r>
      <w:r>
        <w:rPr>
          <w:rFonts w:ascii="Arial" w:cs="Arial" w:eastAsia="Arial" w:hAnsi="Arial"/>
          <w:sz w:val="18"/>
          <w:szCs w:val="18"/>
          <w:b w:val="1"/>
          <w:bCs w:val="1"/>
          <w:color w:val="auto"/>
        </w:rPr>
        <w:t>)</w:t>
      </w:r>
    </w:p>
    <w:p>
      <w:pPr>
        <w:spacing w:after="0" w:line="196" w:lineRule="exact"/>
        <w:rPr>
          <w:sz w:val="24"/>
          <w:szCs w:val="24"/>
          <w:color w:val="auto"/>
        </w:rPr>
      </w:pPr>
    </w:p>
    <w:p>
      <w:pPr>
        <w:ind w:left="120"/>
        <w:spacing w:after="0" w:line="253" w:lineRule="exact"/>
        <w:tabs>
          <w:tab w:leader="none" w:pos="3120" w:val="left"/>
        </w:tabs>
        <w:rPr>
          <w:sz w:val="20"/>
          <w:szCs w:val="20"/>
          <w:color w:val="auto"/>
        </w:rPr>
      </w:pPr>
      <w:r>
        <w:rPr>
          <w:rFonts w:ascii="Arial" w:cs="Arial" w:eastAsia="Arial" w:hAnsi="Arial"/>
          <w:sz w:val="22"/>
          <w:szCs w:val="22"/>
          <w:color w:val="auto"/>
        </w:rPr>
        <w:t xml:space="preserve">Filed by the Registrant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Filed by a Party other than the Registrant  </w:t>
      </w:r>
      <w:r>
        <w:rPr>
          <w:rFonts w:ascii="MS PGothic" w:cs="MS PGothic" w:eastAsia="MS PGothic" w:hAnsi="MS PGothic"/>
          <w:sz w:val="19"/>
          <w:szCs w:val="19"/>
          <w:color w:val="auto"/>
        </w:rPr>
        <w:t>☐</w:t>
      </w:r>
    </w:p>
    <w:p>
      <w:pPr>
        <w:spacing w:after="0" w:line="253" w:lineRule="exact"/>
        <w:rPr>
          <w:sz w:val="24"/>
          <w:szCs w:val="24"/>
          <w:color w:val="auto"/>
        </w:rPr>
      </w:pPr>
    </w:p>
    <w:p>
      <w:pPr>
        <w:ind w:left="120"/>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1080" w:hanging="532"/>
        <w:spacing w:after="0"/>
        <w:tabs>
          <w:tab w:leader="none" w:pos="10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30" w:lineRule="exact"/>
        <w:rPr>
          <w:rFonts w:ascii="MS PGothic" w:cs="MS PGothic" w:eastAsia="MS PGothic" w:hAnsi="MS PGothic"/>
          <w:sz w:val="18"/>
          <w:szCs w:val="18"/>
          <w:color w:val="auto"/>
        </w:rPr>
      </w:pPr>
    </w:p>
    <w:p>
      <w:pPr>
        <w:ind w:left="1080" w:hanging="532"/>
        <w:spacing w:after="0"/>
        <w:tabs>
          <w:tab w:leader="none" w:pos="10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131" w:lineRule="exact"/>
        <w:rPr>
          <w:sz w:val="24"/>
          <w:szCs w:val="24"/>
          <w:color w:val="auto"/>
        </w:rPr>
      </w:pPr>
    </w:p>
    <w:p>
      <w:pPr>
        <w:ind w:left="1080" w:hanging="532"/>
        <w:spacing w:after="0"/>
        <w:tabs>
          <w:tab w:leader="none" w:pos="10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31" w:lineRule="exact"/>
        <w:rPr>
          <w:sz w:val="24"/>
          <w:szCs w:val="24"/>
          <w:color w:val="auto"/>
        </w:rPr>
      </w:pPr>
    </w:p>
    <w:p>
      <w:pPr>
        <w:ind w:left="1080" w:hanging="532"/>
        <w:spacing w:after="0"/>
        <w:tabs>
          <w:tab w:leader="none" w:pos="10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30" w:lineRule="exact"/>
        <w:rPr>
          <w:rFonts w:ascii="MS PGothic" w:cs="MS PGothic" w:eastAsia="MS PGothic" w:hAnsi="MS PGothic"/>
          <w:sz w:val="18"/>
          <w:szCs w:val="18"/>
          <w:color w:val="auto"/>
        </w:rPr>
      </w:pPr>
    </w:p>
    <w:p>
      <w:pPr>
        <w:ind w:left="1080" w:hanging="532"/>
        <w:spacing w:after="0"/>
        <w:tabs>
          <w:tab w:leader="none" w:pos="10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 -12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160655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8" w:lineRule="exact"/>
        <w:rPr>
          <w:sz w:val="24"/>
          <w:szCs w:val="24"/>
          <w:color w:val="auto"/>
        </w:rPr>
      </w:pPr>
    </w:p>
    <w:p>
      <w:pPr>
        <w:jc w:val="center"/>
        <w:ind w:right="-179"/>
        <w:spacing w:after="0"/>
        <w:rPr>
          <w:sz w:val="20"/>
          <w:szCs w:val="20"/>
          <w:color w:val="auto"/>
        </w:rPr>
      </w:pPr>
      <w:r>
        <w:rPr>
          <w:rFonts w:ascii="Arial" w:cs="Arial" w:eastAsia="Arial" w:hAnsi="Arial"/>
          <w:sz w:val="43"/>
          <w:szCs w:val="43"/>
          <w:b w:val="1"/>
          <w:bCs w:val="1"/>
          <w:color w:val="auto"/>
        </w:rPr>
        <w:t>JPMorgan Chase &amp; Co.</w:t>
      </w:r>
    </w:p>
    <w:p>
      <w:pPr>
        <w:spacing w:after="0" w:line="50"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158750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1" w:lineRule="exact"/>
        <w:rPr>
          <w:sz w:val="24"/>
          <w:szCs w:val="24"/>
          <w:color w:val="auto"/>
        </w:rPr>
      </w:pPr>
    </w:p>
    <w:p>
      <w:pPr>
        <w:ind w:left="342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12" w:lineRule="exact"/>
        <w:rPr>
          <w:sz w:val="24"/>
          <w:szCs w:val="24"/>
          <w:color w:val="auto"/>
        </w:rPr>
      </w:pPr>
    </w:p>
    <w:p>
      <w:pPr>
        <w:ind w:left="120"/>
        <w:spacing w:after="0"/>
        <w:rPr>
          <w:sz w:val="20"/>
          <w:szCs w:val="20"/>
          <w:color w:val="auto"/>
        </w:rPr>
      </w:pPr>
      <w:r>
        <w:rPr>
          <w:rFonts w:ascii="Arial" w:cs="Arial" w:eastAsia="Arial" w:hAnsi="Arial"/>
          <w:sz w:val="18"/>
          <w:szCs w:val="18"/>
          <w:color w:val="auto"/>
        </w:rPr>
        <w:t>Payment of Filing Fee (Check the appropriate box):</w:t>
      </w:r>
    </w:p>
    <w:p>
      <w:pPr>
        <w:spacing w:after="0" w:line="131" w:lineRule="exact"/>
        <w:rPr>
          <w:sz w:val="24"/>
          <w:szCs w:val="24"/>
          <w:color w:val="auto"/>
        </w:rPr>
      </w:pPr>
    </w:p>
    <w:p>
      <w:pPr>
        <w:ind w:left="540" w:hanging="424"/>
        <w:spacing w:after="0"/>
        <w:tabs>
          <w:tab w:leader="none" w:pos="5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31" w:lineRule="exact"/>
        <w:rPr>
          <w:sz w:val="24"/>
          <w:szCs w:val="24"/>
          <w:color w:val="auto"/>
        </w:rPr>
      </w:pPr>
    </w:p>
    <w:p>
      <w:pPr>
        <w:ind w:left="540" w:hanging="424"/>
        <w:spacing w:after="0"/>
        <w:tabs>
          <w:tab w:leader="none" w:pos="5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30" w:lineRule="exact"/>
        <w:rPr>
          <w:rFonts w:ascii="MS PGothic" w:cs="MS PGothic" w:eastAsia="MS PGothic" w:hAnsi="MS PGothic"/>
          <w:sz w:val="18"/>
          <w:szCs w:val="18"/>
          <w:color w:val="auto"/>
        </w:rPr>
      </w:pPr>
    </w:p>
    <w:p>
      <w:pPr>
        <w:ind w:left="1080" w:hanging="532"/>
        <w:spacing w:after="0"/>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the transaction applies: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80" w:hanging="532"/>
        <w:spacing w:after="0"/>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the transaction applies: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80" w:right="160" w:hanging="532"/>
        <w:spacing w:after="0" w:line="277" w:lineRule="auto"/>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the transaction computed pursuant to Exchange Act Rule 0-11 (set forth the amount on which the filing fee is calculated and state how it was determined):</w:t>
      </w:r>
    </w:p>
    <w:p>
      <w:pPr>
        <w:spacing w:after="0" w:line="372" w:lineRule="exact"/>
        <w:rPr>
          <w:rFonts w:ascii="Arial" w:cs="Arial" w:eastAsia="Arial" w:hAnsi="Arial"/>
          <w:sz w:val="18"/>
          <w:szCs w:val="18"/>
          <w:color w:val="auto"/>
        </w:rPr>
      </w:pPr>
    </w:p>
    <w:p>
      <w:pPr>
        <w:ind w:left="1080" w:hanging="532"/>
        <w:spacing w:after="0"/>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the transaction:</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80" w:hanging="532"/>
        <w:spacing w:after="0"/>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540" w:hanging="424"/>
        <w:spacing w:after="0"/>
        <w:tabs>
          <w:tab w:leader="none" w:pos="5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540" w:hanging="424"/>
        <w:spacing w:after="0" w:line="308" w:lineRule="auto"/>
        <w:tabs>
          <w:tab w:leader="none" w:pos="54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51" w:lineRule="exact"/>
        <w:rPr>
          <w:rFonts w:ascii="MS PGothic" w:cs="MS PGothic" w:eastAsia="MS PGothic" w:hAnsi="MS PGothic"/>
          <w:sz w:val="17"/>
          <w:szCs w:val="17"/>
          <w:color w:val="auto"/>
        </w:rPr>
      </w:pPr>
    </w:p>
    <w:p>
      <w:pPr>
        <w:ind w:left="1080" w:hanging="532"/>
        <w:spacing w:after="0"/>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1080" w:hanging="532"/>
        <w:spacing w:after="0"/>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80" w:hanging="532"/>
        <w:spacing w:after="0"/>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80" w:hanging="532"/>
        <w:spacing w:after="0"/>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699135</wp:posOffset>
            </wp:positionH>
            <wp:positionV relativeFrom="paragraph">
              <wp:posOffset>-3876675</wp:posOffset>
            </wp:positionV>
            <wp:extent cx="63690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6905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wp:posOffset>
            </wp:positionH>
            <wp:positionV relativeFrom="paragraph">
              <wp:posOffset>-3465195</wp:posOffset>
            </wp:positionV>
            <wp:extent cx="65062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0621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wp:posOffset>
            </wp:positionH>
            <wp:positionV relativeFrom="paragraph">
              <wp:posOffset>-2916555</wp:posOffset>
            </wp:positionV>
            <wp:extent cx="65062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06210" cy="8890"/>
                    </a:xfrm>
                    <a:prstGeom prst="rect">
                      <a:avLst/>
                    </a:prstGeom>
                    <a:noFill/>
                  </pic:spPr>
                </pic:pic>
              </a:graphicData>
            </a:graphic>
          </wp:anchor>
        </w:drawing>
        <w:drawing>
          <wp:anchor simplePos="0" relativeHeight="251657728" behindDoc="1" locked="0" layoutInCell="0" allowOverlap="1">
            <wp:simplePos x="0" y="0"/>
            <wp:positionH relativeFrom="column">
              <wp:posOffset>561975</wp:posOffset>
            </wp:positionH>
            <wp:positionV relativeFrom="paragraph">
              <wp:posOffset>-2513330</wp:posOffset>
            </wp:positionV>
            <wp:extent cx="65062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06210" cy="8890"/>
                    </a:xfrm>
                    <a:prstGeom prst="rect">
                      <a:avLst/>
                    </a:prstGeom>
                    <a:noFill/>
                  </pic:spPr>
                </pic:pic>
              </a:graphicData>
            </a:graphic>
          </wp:anchor>
        </w:drawing>
        <w:drawing>
          <wp:anchor simplePos="0" relativeHeight="251657728" behindDoc="1" locked="0" layoutInCell="0" allowOverlap="1">
            <wp:simplePos x="0" y="0"/>
            <wp:positionH relativeFrom="column">
              <wp:posOffset>561975</wp:posOffset>
            </wp:positionH>
            <wp:positionV relativeFrom="paragraph">
              <wp:posOffset>-2101850</wp:posOffset>
            </wp:positionV>
            <wp:extent cx="65062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06210" cy="8890"/>
                    </a:xfrm>
                    <a:prstGeom prst="rect">
                      <a:avLst/>
                    </a:prstGeom>
                    <a:noFill/>
                  </pic:spPr>
                </pic:pic>
              </a:graphicData>
            </a:graphic>
          </wp:anchor>
        </w:drawing>
        <w:drawing>
          <wp:anchor simplePos="0" relativeHeight="251657728" behindDoc="1" locked="0" layoutInCell="0" allowOverlap="1">
            <wp:simplePos x="0" y="0"/>
            <wp:positionH relativeFrom="column">
              <wp:posOffset>561975</wp:posOffset>
            </wp:positionH>
            <wp:positionV relativeFrom="paragraph">
              <wp:posOffset>-1047750</wp:posOffset>
            </wp:positionV>
            <wp:extent cx="65062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06210" cy="8890"/>
                    </a:xfrm>
                    <a:prstGeom prst="rect">
                      <a:avLst/>
                    </a:prstGeom>
                    <a:noFill/>
                  </pic:spPr>
                </pic:pic>
              </a:graphicData>
            </a:graphic>
          </wp:anchor>
        </w:drawing>
        <w:drawing>
          <wp:anchor simplePos="0" relativeHeight="251657728" behindDoc="1" locked="0" layoutInCell="0" allowOverlap="1">
            <wp:simplePos x="0" y="0"/>
            <wp:positionH relativeFrom="column">
              <wp:posOffset>561975</wp:posOffset>
            </wp:positionH>
            <wp:positionV relativeFrom="paragraph">
              <wp:posOffset>-644525</wp:posOffset>
            </wp:positionV>
            <wp:extent cx="650621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06210" cy="8890"/>
                    </a:xfrm>
                    <a:prstGeom prst="rect">
                      <a:avLst/>
                    </a:prstGeom>
                    <a:noFill/>
                  </pic:spPr>
                </pic:pic>
              </a:graphicData>
            </a:graphic>
          </wp:anchor>
        </w:drawing>
        <w:drawing>
          <wp:anchor simplePos="0" relativeHeight="251657728" behindDoc="1" locked="0" layoutInCell="0" allowOverlap="1">
            <wp:simplePos x="0" y="0"/>
            <wp:positionH relativeFrom="column">
              <wp:posOffset>561975</wp:posOffset>
            </wp:positionH>
            <wp:positionV relativeFrom="paragraph">
              <wp:posOffset>-233045</wp:posOffset>
            </wp:positionV>
            <wp:extent cx="65062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0621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wp:posOffset>
            </wp:positionH>
            <wp:positionV relativeFrom="paragraph">
              <wp:posOffset>177800</wp:posOffset>
            </wp:positionV>
            <wp:extent cx="650621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0621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349250</wp:posOffset>
            </wp:positionV>
            <wp:extent cx="69951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391795</wp:posOffset>
            </wp:positionV>
            <wp:extent cx="69951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60"/>
          </w:cols>
          <w:pgMar w:left="320" w:top="230" w:right="519" w:bottom="497" w:gutter="0" w:footer="0" w:header="0"/>
        </w:sectPr>
      </w:pPr>
    </w:p>
    <w:bookmarkStart w:id="1" w:name="page2"/>
    <w:bookmarkEnd w:id="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220345</wp:posOffset>
            </wp:positionV>
            <wp:extent cx="6840855" cy="9155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40855" cy="915543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JPMorgan Chase &amp; Co.</w:t>
      </w:r>
    </w:p>
    <w:p>
      <w:pPr>
        <w:spacing w:after="0" w:line="10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383 Madison Avenue</w:t>
      </w:r>
    </w:p>
    <w:p>
      <w:pPr>
        <w:spacing w:after="0" w:line="10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New York, New York 10179-0001</w:t>
      </w:r>
    </w:p>
    <w:p>
      <w:pPr>
        <w:spacing w:after="0" w:line="32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April 6, 2020</w:t>
      </w:r>
    </w:p>
    <w:p>
      <w:pPr>
        <w:spacing w:after="0" w:line="10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Dear fellow shareholders:</w:t>
      </w:r>
    </w:p>
    <w:p>
      <w:pPr>
        <w:spacing w:after="0" w:line="9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We are pleased to invite you to attend the annual meeting of</w:t>
      </w:r>
    </w:p>
    <w:p>
      <w:pPr>
        <w:ind w:left="5620"/>
        <w:spacing w:after="0" w:line="234" w:lineRule="auto"/>
        <w:rPr>
          <w:sz w:val="20"/>
          <w:szCs w:val="20"/>
          <w:color w:val="auto"/>
        </w:rPr>
      </w:pPr>
      <w:r>
        <w:rPr>
          <w:rFonts w:ascii="Arial" w:cs="Arial" w:eastAsia="Arial" w:hAnsi="Arial"/>
          <w:sz w:val="18"/>
          <w:szCs w:val="18"/>
          <w:color w:val="auto"/>
        </w:rPr>
        <w:t>shareholders to be held in a virtual meeting format only, via the</w:t>
      </w:r>
    </w:p>
    <w:p>
      <w:pPr>
        <w:ind w:left="5620"/>
        <w:spacing w:after="0" w:line="235" w:lineRule="auto"/>
        <w:rPr>
          <w:sz w:val="20"/>
          <w:szCs w:val="20"/>
          <w:color w:val="auto"/>
        </w:rPr>
      </w:pPr>
      <w:r>
        <w:rPr>
          <w:rFonts w:ascii="Arial" w:cs="Arial" w:eastAsia="Arial" w:hAnsi="Arial"/>
          <w:sz w:val="18"/>
          <w:szCs w:val="18"/>
          <w:color w:val="auto"/>
        </w:rPr>
        <w:t>Internet, on May 19, 2020 at 10:00 a.m. Eastern Time. This forum</w:t>
      </w:r>
    </w:p>
    <w:p>
      <w:pPr>
        <w:ind w:left="5620"/>
        <w:spacing w:after="0" w:line="235" w:lineRule="auto"/>
        <w:rPr>
          <w:sz w:val="20"/>
          <w:szCs w:val="20"/>
          <w:color w:val="auto"/>
        </w:rPr>
      </w:pPr>
      <w:r>
        <w:rPr>
          <w:rFonts w:ascii="Arial" w:cs="Arial" w:eastAsia="Arial" w:hAnsi="Arial"/>
          <w:sz w:val="18"/>
          <w:szCs w:val="18"/>
          <w:color w:val="auto"/>
        </w:rPr>
        <w:t>provides shareholders with the opportunity to ask questions about</w:t>
      </w:r>
    </w:p>
    <w:p>
      <w:pPr>
        <w:ind w:left="5620"/>
        <w:spacing w:after="0" w:line="235" w:lineRule="auto"/>
        <w:rPr>
          <w:sz w:val="20"/>
          <w:szCs w:val="20"/>
          <w:color w:val="auto"/>
        </w:rPr>
      </w:pPr>
      <w:r>
        <w:rPr>
          <w:rFonts w:ascii="Arial" w:cs="Arial" w:eastAsia="Arial" w:hAnsi="Arial"/>
          <w:sz w:val="18"/>
          <w:szCs w:val="18"/>
          <w:color w:val="auto"/>
        </w:rPr>
        <w:t>topics of importance to the Firm’s business and affairs, to consider</w:t>
      </w:r>
    </w:p>
    <w:p>
      <w:pPr>
        <w:ind w:left="5620"/>
        <w:spacing w:after="0" w:line="235" w:lineRule="auto"/>
        <w:rPr>
          <w:sz w:val="20"/>
          <w:szCs w:val="20"/>
          <w:color w:val="auto"/>
        </w:rPr>
      </w:pPr>
      <w:r>
        <w:rPr>
          <w:rFonts w:ascii="Arial" w:cs="Arial" w:eastAsia="Arial" w:hAnsi="Arial"/>
          <w:sz w:val="18"/>
          <w:szCs w:val="18"/>
          <w:color w:val="auto"/>
        </w:rPr>
        <w:t>matters described in the proxy statement and to receive an update</w:t>
      </w:r>
    </w:p>
    <w:p>
      <w:pPr>
        <w:ind w:left="5620"/>
        <w:spacing w:after="0"/>
        <w:rPr>
          <w:sz w:val="20"/>
          <w:szCs w:val="20"/>
          <w:color w:val="auto"/>
        </w:rPr>
      </w:pPr>
      <w:r>
        <w:rPr>
          <w:rFonts w:ascii="Arial" w:cs="Arial" w:eastAsia="Arial" w:hAnsi="Arial"/>
          <w:sz w:val="18"/>
          <w:szCs w:val="18"/>
          <w:color w:val="auto"/>
        </w:rPr>
        <w:t>on the Firm’s activities and performance.</w:t>
      </w:r>
    </w:p>
    <w:p>
      <w:pPr>
        <w:spacing w:after="0" w:line="9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We hope that you will attend the meeting. We encourage you to</w:t>
      </w:r>
    </w:p>
    <w:p>
      <w:pPr>
        <w:ind w:left="5620"/>
        <w:spacing w:after="0" w:line="234" w:lineRule="auto"/>
        <w:rPr>
          <w:sz w:val="20"/>
          <w:szCs w:val="20"/>
          <w:color w:val="auto"/>
        </w:rPr>
      </w:pPr>
      <w:r>
        <w:rPr>
          <w:rFonts w:ascii="Arial" w:cs="Arial" w:eastAsia="Arial" w:hAnsi="Arial"/>
          <w:sz w:val="18"/>
          <w:szCs w:val="18"/>
          <w:color w:val="auto"/>
        </w:rPr>
        <w:t>designate the persons named as proxies on the proxy card to vote</w:t>
      </w:r>
    </w:p>
    <w:p>
      <w:pPr>
        <w:ind w:left="5620"/>
        <w:spacing w:after="0" w:line="235" w:lineRule="auto"/>
        <w:rPr>
          <w:sz w:val="20"/>
          <w:szCs w:val="20"/>
          <w:color w:val="auto"/>
        </w:rPr>
      </w:pPr>
      <w:r>
        <w:rPr>
          <w:rFonts w:ascii="Arial" w:cs="Arial" w:eastAsia="Arial" w:hAnsi="Arial"/>
          <w:sz w:val="18"/>
          <w:szCs w:val="18"/>
          <w:color w:val="auto"/>
        </w:rPr>
        <w:t>your shares even if you are planning to attend. This will ensure that</w:t>
      </w:r>
    </w:p>
    <w:p>
      <w:pPr>
        <w:spacing w:after="0" w:line="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your common stock is represented at the meeting.</w:t>
      </w:r>
    </w:p>
    <w:p>
      <w:pPr>
        <w:spacing w:after="0" w:line="104"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This proxy statement explains more about the matters to be voted on</w:t>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at the annual meeting, about proxy voting, and other information</w:t>
      </w:r>
    </w:p>
    <w:p>
      <w:pPr>
        <w:ind w:left="5620"/>
        <w:spacing w:after="0" w:line="234" w:lineRule="auto"/>
        <w:rPr>
          <w:sz w:val="20"/>
          <w:szCs w:val="20"/>
          <w:color w:val="auto"/>
        </w:rPr>
      </w:pPr>
      <w:r>
        <w:rPr>
          <w:rFonts w:ascii="Arial" w:cs="Arial" w:eastAsia="Arial" w:hAnsi="Arial"/>
          <w:sz w:val="18"/>
          <w:szCs w:val="18"/>
          <w:color w:val="auto"/>
        </w:rPr>
        <w:t>about how to participate. Please read it carefully. We look forward to</w:t>
      </w:r>
    </w:p>
    <w:p>
      <w:pPr>
        <w:spacing w:after="0" w:line="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your participation.</w:t>
      </w:r>
    </w:p>
    <w:p>
      <w:pPr>
        <w:spacing w:after="0" w:line="10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151765</wp:posOffset>
            </wp:positionV>
            <wp:extent cx="1714500" cy="7969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14500"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James Dimon</w:t>
      </w:r>
    </w:p>
    <w:p>
      <w:pPr>
        <w:spacing w:after="0" w:line="1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709295</wp:posOffset>
            </wp:positionV>
            <wp:extent cx="2442845" cy="1803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442845" cy="180340"/>
                    </a:xfrm>
                    <a:prstGeom prst="rect">
                      <a:avLst/>
                    </a:prstGeom>
                    <a:noFill/>
                  </pic:spPr>
                </pic:pic>
              </a:graphicData>
            </a:graphic>
          </wp:anchor>
        </w:drawing>
      </w:r>
    </w:p>
    <w:p>
      <w:pPr>
        <w:sectPr>
          <w:pgSz w:w="11900" w:h="16838" w:orient="portrait"/>
          <w:cols w:equalWidth="0" w:num="1">
            <w:col w:w="11100"/>
          </w:cols>
          <w:pgMar w:left="320" w:top="459" w:right="4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left="120" w:right="80"/>
        <w:spacing w:after="0" w:line="256" w:lineRule="auto"/>
        <w:rPr>
          <w:sz w:val="20"/>
          <w:szCs w:val="20"/>
          <w:color w:val="auto"/>
        </w:rPr>
      </w:pPr>
      <w:r>
        <w:rPr>
          <w:rFonts w:ascii="Arial" w:cs="Arial" w:eastAsia="Arial" w:hAnsi="Arial"/>
          <w:sz w:val="43"/>
          <w:szCs w:val="43"/>
          <w:color w:val="004876"/>
        </w:rPr>
        <w:t>A Letter from Jamie Dimon, Our Chairman and CEO, and Lee R. Raymond, Our Lead Independent Director</w:t>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Dear fellow shareholders:</w:t>
      </w:r>
    </w:p>
    <w:p>
      <w:pPr>
        <w:spacing w:after="0" w:line="185"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As the public health response to COVID-19 continues, our thoughts remain with the communities and individuals most deeply hit by the pandemic. The Board is overseeing the Firm’s work to help those who are most affected, at our company and in our communities. And, while the markets are volatile, our fortress balance sheet is built for times like these, and we remain steadfast in helping customers and clients in a rapidly changing market. And, recognizing the impact of this crisis on the communities we serve, the Firm recently made a $50 million philanthropic commitment to help those most vulnerable, including small businesses and underserved communities.</w:t>
      </w:r>
    </w:p>
    <w:p>
      <w:pPr>
        <w:spacing w:after="0" w:line="97"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As we respond to the immediate needs and the economic challenges posed by the global COVID-19 pandemic, the Board is also maintaining its focus on our long-term goals and key responsibilities. Looking back at 2019, we are pleased to report that it was a solid year for the Firm, where we achieved many records, including strong revenue and net income, and continued to invest in and grow our businesses and make large investments in products, people and technology. At the same time, the Firm maintained its strong, healthy culture, and continued to build long-term value for our shareholders. Throughout the year, your Board remained focused on these matters, a few of which we would like to highlight for you.</w:t>
      </w:r>
    </w:p>
    <w:p>
      <w:pPr>
        <w:spacing w:after="0" w:line="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 Great Team and Culture</w:t>
      </w:r>
    </w:p>
    <w:p>
      <w:pPr>
        <w:spacing w:after="0" w:line="126"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One of our highest priorities is having an excellent management team in place. Successful management succession planning and leadership development are key to ensuring a bright future for the Firm. The Board regularly reviews succession planning for the CEO and other members of the Operating Committee, and we meet formally and informally with many other high-potential members of senior management. In 2019, the Firm appointed Jennifer Piepszak Chief Financial Officer of the company and Marianne Lake CEO of Consumer Lending. In addition, over the past two years, Co-Presidents and Chief Operating Officers Daniel Pinto and Gordon Smith have been working hand-in-hand with Jamie and the Board. And, last month, the Board asked Daniel and Gordon to lead the company, as Jamie recuperated from heart surgery. These moves demonstrate the strength of our management team and our ongoing commitment to providing growth opportunities for our leaders.</w:t>
      </w:r>
    </w:p>
    <w:p>
      <w:pPr>
        <w:spacing w:after="0" w:line="20" w:lineRule="exact"/>
        <w:rPr>
          <w:sz w:val="20"/>
          <w:szCs w:val="20"/>
          <w:color w:val="auto"/>
        </w:rPr>
      </w:pPr>
      <w:r>
        <w:rPr>
          <w:sz w:val="20"/>
          <w:szCs w:val="20"/>
          <w:color w:val="auto"/>
        </w:rPr>
        <w:br w:type="column"/>
      </w:r>
    </w:p>
    <w:p>
      <w:pPr>
        <w:spacing w:after="0" w:line="28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 6, 2020</w:t>
      </w:r>
    </w:p>
    <w:p>
      <w:pPr>
        <w:spacing w:after="0" w:line="200" w:lineRule="exact"/>
        <w:rPr>
          <w:sz w:val="20"/>
          <w:szCs w:val="20"/>
          <w:color w:val="auto"/>
        </w:rPr>
      </w:pPr>
    </w:p>
    <w:p>
      <w:pPr>
        <w:spacing w:after="0" w:line="201" w:lineRule="exact"/>
        <w:rPr>
          <w:sz w:val="20"/>
          <w:szCs w:val="20"/>
          <w:color w:val="auto"/>
        </w:rPr>
      </w:pPr>
    </w:p>
    <w:p>
      <w:pPr>
        <w:ind w:left="6" w:right="100"/>
        <w:spacing w:after="0" w:line="248" w:lineRule="auto"/>
        <w:rPr>
          <w:sz w:val="20"/>
          <w:szCs w:val="20"/>
          <w:color w:val="auto"/>
        </w:rPr>
      </w:pPr>
      <w:r>
        <w:rPr>
          <w:rFonts w:ascii="Arial" w:cs="Arial" w:eastAsia="Arial" w:hAnsi="Arial"/>
          <w:sz w:val="17"/>
          <w:szCs w:val="17"/>
          <w:color w:val="auto"/>
        </w:rPr>
        <w:t>Oversight of the Firm’s culture and reputation are also key Board responsibilities. We are steadfast in our belief that we must be cultural guardians in everything we do for each of our stakeholders</w:t>
      </w:r>
    </w:p>
    <w:p>
      <w:pPr>
        <w:spacing w:after="0" w:line="2" w:lineRule="exact"/>
        <w:rPr>
          <w:sz w:val="20"/>
          <w:szCs w:val="20"/>
          <w:color w:val="auto"/>
        </w:rPr>
      </w:pPr>
    </w:p>
    <w:p>
      <w:pPr>
        <w:ind w:left="6" w:right="60" w:hanging="6"/>
        <w:spacing w:after="0" w:line="257" w:lineRule="auto"/>
        <w:tabs>
          <w:tab w:leader="none" w:pos="116"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clients and customers, employees, shareholders and the communities we serve. We also know we excel when we foster inclusive and diverse environments. We always strive to create a culture of respect, where discrimination in any form is not tolerated.</w:t>
      </w:r>
    </w:p>
    <w:p>
      <w:pPr>
        <w:spacing w:after="0" w:line="59"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Exceptional Client Service and Operational Excellence</w:t>
      </w:r>
    </w:p>
    <w:p>
      <w:pPr>
        <w:spacing w:after="0" w:line="126" w:lineRule="exact"/>
        <w:rPr>
          <w:sz w:val="20"/>
          <w:szCs w:val="20"/>
          <w:color w:val="auto"/>
        </w:rPr>
      </w:pPr>
    </w:p>
    <w:p>
      <w:pPr>
        <w:ind w:left="6" w:right="20"/>
        <w:spacing w:after="0" w:line="236" w:lineRule="auto"/>
        <w:rPr>
          <w:sz w:val="20"/>
          <w:szCs w:val="20"/>
          <w:color w:val="auto"/>
        </w:rPr>
      </w:pPr>
      <w:r>
        <w:rPr>
          <w:rFonts w:ascii="Arial" w:cs="Arial" w:eastAsia="Arial" w:hAnsi="Arial"/>
          <w:sz w:val="18"/>
          <w:szCs w:val="18"/>
          <w:color w:val="auto"/>
        </w:rPr>
        <w:t>The Board holds management accountable to prepare for the future by providing oversight of the strategy planning process. Guided by the Firm’s Business Principles, this year the Operating Committee deployed a Strategic Framework designed to reinforce the Firm’s drive to be complete, global, diversified and at scale, so we can best serve clients at home and across the globe. Within this framework, there is a strong focus on the technology that will be key to the Firm’s future success, including initiatives that will allow the Firm to reduce risk and fraud, upgrade customer service, make it easier to access products and services, improve underwriting and enhance resiliency.</w:t>
      </w:r>
    </w:p>
    <w:p>
      <w:pPr>
        <w:spacing w:after="0" w:line="97" w:lineRule="exact"/>
        <w:rPr>
          <w:sz w:val="20"/>
          <w:szCs w:val="20"/>
          <w:color w:val="auto"/>
        </w:rPr>
      </w:pPr>
    </w:p>
    <w:p>
      <w:pPr>
        <w:ind w:left="6" w:right="160"/>
        <w:spacing w:after="0" w:line="237" w:lineRule="auto"/>
        <w:rPr>
          <w:sz w:val="20"/>
          <w:szCs w:val="20"/>
          <w:color w:val="auto"/>
        </w:rPr>
      </w:pPr>
      <w:r>
        <w:rPr>
          <w:rFonts w:ascii="Arial" w:cs="Arial" w:eastAsia="Arial" w:hAnsi="Arial"/>
          <w:sz w:val="18"/>
          <w:szCs w:val="18"/>
          <w:color w:val="auto"/>
        </w:rPr>
        <w:t>With respect to resilience, the response to COVID-19 has tested the Firm’s resiliency plans. The Board is closely overseeing the Firm’s response, as we adjust to fluid circumstances. We are coordinating with clients, customers, vendors and industry parties, among others, and striving for seamless and consistent execution during times of increased uncertainty and volatility.</w:t>
      </w:r>
    </w:p>
    <w:p>
      <w:pPr>
        <w:spacing w:after="0" w:line="75"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Your Board</w:t>
      </w:r>
    </w:p>
    <w:p>
      <w:pPr>
        <w:spacing w:after="0" w:line="126" w:lineRule="exact"/>
        <w:rPr>
          <w:sz w:val="20"/>
          <w:szCs w:val="20"/>
          <w:color w:val="auto"/>
        </w:rPr>
      </w:pPr>
    </w:p>
    <w:p>
      <w:pPr>
        <w:ind w:left="6" w:right="60"/>
        <w:spacing w:after="0" w:line="257" w:lineRule="auto"/>
        <w:rPr>
          <w:sz w:val="20"/>
          <w:szCs w:val="20"/>
          <w:color w:val="auto"/>
        </w:rPr>
      </w:pPr>
      <w:r>
        <w:rPr>
          <w:rFonts w:ascii="Arial" w:cs="Arial" w:eastAsia="Arial" w:hAnsi="Arial"/>
          <w:sz w:val="17"/>
          <w:szCs w:val="17"/>
          <w:color w:val="auto"/>
        </w:rPr>
        <w:t>As always, the Board is also focused on its own succession planning and the need to have a Board that represents experience in executive fields relevant to the Firm’s businesses and operations and a diversity of experience, perspectives and viewpoints.</w:t>
      </w:r>
    </w:p>
    <w:p>
      <w:pPr>
        <w:spacing w:after="0" w:line="81" w:lineRule="exact"/>
        <w:rPr>
          <w:sz w:val="20"/>
          <w:szCs w:val="20"/>
          <w:color w:val="auto"/>
        </w:rPr>
      </w:pPr>
    </w:p>
    <w:p>
      <w:pPr>
        <w:ind w:left="6" w:right="60"/>
        <w:spacing w:after="0" w:line="237" w:lineRule="auto"/>
        <w:rPr>
          <w:sz w:val="20"/>
          <w:szCs w:val="20"/>
          <w:color w:val="auto"/>
        </w:rPr>
      </w:pPr>
      <w:r>
        <w:rPr>
          <w:rFonts w:ascii="Arial" w:cs="Arial" w:eastAsia="Arial" w:hAnsi="Arial"/>
          <w:sz w:val="18"/>
          <w:szCs w:val="18"/>
          <w:color w:val="auto"/>
        </w:rPr>
        <w:t>We would like to take this opportunity to thank James Bell and Laban Jackson who will be retiring from our Board immediately prior to the annual meeting. We have benefited greatly from their insights on financial and accounting matters and their respective service as Chair of the Audit Committee. Labe also made important contributions as a director of J.P. Morgan Securities plc.</w:t>
      </w:r>
    </w:p>
    <w:p>
      <w:pPr>
        <w:sectPr>
          <w:pgSz w:w="11900" w:h="16838" w:orient="portrait"/>
          <w:cols w:equalWidth="0" w:num="2">
            <w:col w:w="5400" w:space="334"/>
            <w:col w:w="5406"/>
          </w:cols>
          <w:pgMar w:left="320" w:top="459" w:right="4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77" w:lineRule="exact"/>
        <w:rPr>
          <w:sz w:val="20"/>
          <w:szCs w:val="20"/>
          <w:color w:val="auto"/>
        </w:rPr>
      </w:pPr>
    </w:p>
    <w:p>
      <w:pPr>
        <w:ind w:left="120" w:right="4819"/>
        <w:spacing w:after="0" w:line="246" w:lineRule="auto"/>
        <w:rPr>
          <w:sz w:val="20"/>
          <w:szCs w:val="20"/>
          <w:color w:val="auto"/>
        </w:rPr>
      </w:pPr>
      <w:r>
        <w:rPr>
          <w:rFonts w:ascii="Arial" w:cs="Arial" w:eastAsia="Arial" w:hAnsi="Arial"/>
          <w:sz w:val="18"/>
          <w:szCs w:val="18"/>
          <w:color w:val="auto"/>
        </w:rPr>
        <w:t>We will miss their perspective, commitment and all that they have to offer as directors, and trusted advisors.</w:t>
      </w:r>
    </w:p>
    <w:p>
      <w:pPr>
        <w:spacing w:after="0" w:line="89" w:lineRule="exact"/>
        <w:rPr>
          <w:sz w:val="20"/>
          <w:szCs w:val="20"/>
          <w:color w:val="auto"/>
        </w:rPr>
      </w:pPr>
    </w:p>
    <w:p>
      <w:pPr>
        <w:ind w:left="120" w:right="4739"/>
        <w:spacing w:after="0" w:line="238" w:lineRule="auto"/>
        <w:rPr>
          <w:sz w:val="20"/>
          <w:szCs w:val="20"/>
          <w:color w:val="auto"/>
        </w:rPr>
      </w:pPr>
      <w:r>
        <w:rPr>
          <w:rFonts w:ascii="Arial" w:cs="Arial" w:eastAsia="Arial" w:hAnsi="Arial"/>
          <w:sz w:val="18"/>
          <w:szCs w:val="18"/>
          <w:color w:val="auto"/>
        </w:rPr>
        <w:t>We also are pleased to nominate for election to the Board, Virginia Rometty, who will become Executive Chairman of IBM on April 6. We are confident she will bring to the Board an impressive combination of skills, experience and personal qualities that will serve our shareholders, the Firm and the Board well.</w:t>
      </w:r>
    </w:p>
    <w:p>
      <w:pPr>
        <w:spacing w:after="0" w:line="94" w:lineRule="exact"/>
        <w:rPr>
          <w:sz w:val="20"/>
          <w:szCs w:val="20"/>
          <w:color w:val="auto"/>
        </w:rPr>
      </w:pPr>
    </w:p>
    <w:p>
      <w:pPr>
        <w:ind w:left="120" w:right="4839"/>
        <w:spacing w:after="0" w:line="238" w:lineRule="auto"/>
        <w:rPr>
          <w:sz w:val="20"/>
          <w:szCs w:val="20"/>
          <w:color w:val="auto"/>
        </w:rPr>
      </w:pPr>
      <w:r>
        <w:rPr>
          <w:rFonts w:ascii="Arial" w:cs="Arial" w:eastAsia="Arial" w:hAnsi="Arial"/>
          <w:sz w:val="18"/>
          <w:szCs w:val="18"/>
          <w:color w:val="auto"/>
        </w:rPr>
        <w:t>Lastly, Lee has advised that, while it has been an honor to serve as the Board’s Lead Independent Director and he is continuing to serve in that role, he has asked the Board to start a formal process to identify his successor.</w:t>
      </w:r>
    </w:p>
    <w:p>
      <w:pPr>
        <w:spacing w:after="0" w:line="97" w:lineRule="exact"/>
        <w:rPr>
          <w:sz w:val="20"/>
          <w:szCs w:val="20"/>
          <w:color w:val="auto"/>
        </w:rPr>
      </w:pPr>
    </w:p>
    <w:p>
      <w:pPr>
        <w:ind w:left="120" w:right="4799"/>
        <w:spacing w:after="0" w:line="238" w:lineRule="auto"/>
        <w:rPr>
          <w:sz w:val="20"/>
          <w:szCs w:val="20"/>
          <w:color w:val="auto"/>
        </w:rPr>
      </w:pPr>
      <w:r>
        <w:rPr>
          <w:rFonts w:ascii="Arial" w:cs="Arial" w:eastAsia="Arial" w:hAnsi="Arial"/>
          <w:sz w:val="18"/>
          <w:szCs w:val="18"/>
          <w:color w:val="auto"/>
        </w:rPr>
        <w:t>We look forward to continuing to deliver value to our customers, shareholders and communities. On behalf of all our colleagues on the Board, we are grateful for your support of our Board and the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147955</wp:posOffset>
            </wp:positionV>
            <wp:extent cx="1714500" cy="7975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714500" cy="79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James Dimon</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314960</wp:posOffset>
            </wp:positionV>
            <wp:extent cx="2040255" cy="3003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04025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Lee R. Raymond</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Lead Independent Director</w:t>
      </w:r>
    </w:p>
    <w:p>
      <w:pPr>
        <w:sectPr>
          <w:pgSz w:w="11900" w:h="16838" w:orient="portrait"/>
          <w:cols w:equalWidth="0" w:num="1">
            <w:col w:w="10139"/>
          </w:cols>
          <w:pgMar w:left="320" w:top="459" w:right="1440"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left="120" w:right="1020"/>
        <w:spacing w:after="0" w:line="256" w:lineRule="auto"/>
        <w:rPr>
          <w:sz w:val="20"/>
          <w:szCs w:val="20"/>
          <w:color w:val="auto"/>
        </w:rPr>
      </w:pPr>
      <w:r>
        <w:rPr>
          <w:rFonts w:ascii="Arial" w:cs="Arial" w:eastAsia="Arial" w:hAnsi="Arial"/>
          <w:sz w:val="43"/>
          <w:szCs w:val="43"/>
          <w:color w:val="004876"/>
        </w:rPr>
        <w:t>Notice of 2020 Annual Meeting of Shareholders and Proxy Statement</w:t>
      </w:r>
    </w:p>
    <w:p>
      <w:pPr>
        <w:spacing w:after="0" w:line="162" w:lineRule="exact"/>
        <w:rPr>
          <w:sz w:val="20"/>
          <w:szCs w:val="20"/>
          <w:color w:val="auto"/>
        </w:rPr>
      </w:pPr>
    </w:p>
    <w:p>
      <w:pPr>
        <w:ind w:left="1100"/>
        <w:spacing w:after="0"/>
        <w:rPr>
          <w:sz w:val="20"/>
          <w:szCs w:val="20"/>
          <w:color w:val="auto"/>
        </w:rPr>
      </w:pPr>
      <w:r>
        <w:rPr>
          <w:rFonts w:ascii="Arial" w:cs="Arial" w:eastAsia="Arial" w:hAnsi="Arial"/>
          <w:sz w:val="17"/>
          <w:szCs w:val="17"/>
          <w:b w:val="1"/>
          <w:bCs w:val="1"/>
          <w:color w:val="auto"/>
        </w:rPr>
        <w:t xml:space="preserve">DATE </w:t>
      </w:r>
      <w:r>
        <w:rPr>
          <w:rFonts w:ascii="Arial" w:cs="Arial" w:eastAsia="Arial" w:hAnsi="Arial"/>
          <w:sz w:val="17"/>
          <w:szCs w:val="17"/>
          <w:color w:val="auto"/>
        </w:rPr>
        <w:t>Tuesday, May 19, 2020</w:t>
      </w:r>
    </w:p>
    <w:p>
      <w:pPr>
        <w:spacing w:after="0" w:line="102" w:lineRule="exact"/>
        <w:rPr>
          <w:sz w:val="20"/>
          <w:szCs w:val="20"/>
          <w:color w:val="auto"/>
        </w:rPr>
      </w:pPr>
    </w:p>
    <w:p>
      <w:pPr>
        <w:ind w:left="1160"/>
        <w:spacing w:after="0"/>
        <w:rPr>
          <w:sz w:val="20"/>
          <w:szCs w:val="20"/>
          <w:color w:val="auto"/>
        </w:rPr>
      </w:pPr>
      <w:r>
        <w:rPr>
          <w:rFonts w:ascii="Arial" w:cs="Arial" w:eastAsia="Arial" w:hAnsi="Arial"/>
          <w:sz w:val="17"/>
          <w:szCs w:val="17"/>
          <w:b w:val="1"/>
          <w:bCs w:val="1"/>
          <w:color w:val="auto"/>
        </w:rPr>
        <w:t xml:space="preserve">TIME </w:t>
      </w:r>
      <w:r>
        <w:rPr>
          <w:rFonts w:ascii="Arial" w:cs="Arial" w:eastAsia="Arial" w:hAnsi="Arial"/>
          <w:sz w:val="17"/>
          <w:szCs w:val="17"/>
          <w:color w:val="auto"/>
        </w:rPr>
        <w:t>10:00 a.m. Eastern Time</w:t>
      </w:r>
    </w:p>
    <w:p>
      <w:pPr>
        <w:spacing w:after="0" w:line="102" w:lineRule="exact"/>
        <w:rPr>
          <w:sz w:val="20"/>
          <w:szCs w:val="20"/>
          <w:color w:val="auto"/>
        </w:rPr>
      </w:pPr>
    </w:p>
    <w:p>
      <w:pPr>
        <w:ind w:left="1660" w:hanging="819"/>
        <w:spacing w:after="0" w:line="235" w:lineRule="auto"/>
        <w:tabs>
          <w:tab w:leader="none" w:pos="1640" w:val="left"/>
        </w:tabs>
        <w:rPr>
          <w:sz w:val="20"/>
          <w:szCs w:val="20"/>
          <w:color w:val="auto"/>
        </w:rPr>
      </w:pPr>
      <w:r>
        <w:rPr>
          <w:rFonts w:ascii="Arial" w:cs="Arial" w:eastAsia="Arial" w:hAnsi="Arial"/>
          <w:sz w:val="17"/>
          <w:szCs w:val="17"/>
          <w:b w:val="1"/>
          <w:bCs w:val="1"/>
          <w:color w:val="auto"/>
        </w:rPr>
        <w:t>ACCESS</w:t>
      </w:r>
      <w:r>
        <w:rPr>
          <w:sz w:val="20"/>
          <w:szCs w:val="20"/>
          <w:color w:val="auto"/>
        </w:rPr>
        <w:tab/>
      </w:r>
      <w:r>
        <w:rPr>
          <w:rFonts w:ascii="Arial" w:cs="Arial" w:eastAsia="Arial" w:hAnsi="Arial"/>
          <w:sz w:val="17"/>
          <w:szCs w:val="17"/>
          <w:color w:val="auto"/>
        </w:rPr>
        <w:t>In light of the coronavirus, or COVID-19, outbreak, for the safety of all of our people, including our shareholders, and taking into account recent federal, state and local guidance that has been issued, we have determined that the 2020 Annual Meeting will be held in a virtual meeting format only, via the Internet, with no physical in-person meeting. If you plan to participate in the virtual meeting, please see “Information about the annual shareholder meeting.” Shareholders will be able to attend, vote, examine the stockholders list, and submit questions (both before, and for a portion of, the meeting) from any location via the Internet. Shareholders may participate online by logging in at www.virtualshareholdermeeting.com/JPM2020.</w:t>
      </w:r>
    </w:p>
    <w:p>
      <w:pPr>
        <w:spacing w:after="0" w:line="92"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As always, we encourage you to submit your proxy prior to the annual meeting.</w:t>
      </w:r>
    </w:p>
    <w:p>
      <w:pPr>
        <w:spacing w:after="0" w:line="92"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 xml:space="preserve">RECORD DATE </w:t>
      </w:r>
      <w:r>
        <w:rPr>
          <w:rFonts w:ascii="Arial" w:cs="Arial" w:eastAsia="Arial" w:hAnsi="Arial"/>
          <w:sz w:val="17"/>
          <w:szCs w:val="17"/>
          <w:color w:val="auto"/>
        </w:rPr>
        <w:t>March 20, 2020</w:t>
      </w:r>
    </w:p>
    <w:p>
      <w:pPr>
        <w:spacing w:after="0" w:line="102"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 xml:space="preserve">MATTERS TO BE </w:t>
      </w:r>
      <w:r>
        <w:rPr>
          <w:rFonts w:ascii="Arial" w:cs="Arial" w:eastAsia="Arial" w:hAnsi="Arial"/>
          <w:sz w:val="17"/>
          <w:szCs w:val="17"/>
          <w:color w:val="004876"/>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Election of Directors</w:t>
      </w:r>
    </w:p>
    <w:p>
      <w:pPr>
        <w:spacing w:after="0" w:line="88"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 xml:space="preserve">VOTED ON </w:t>
      </w:r>
      <w:r>
        <w:rPr>
          <w:rFonts w:ascii="Arial" w:cs="Arial" w:eastAsia="Arial" w:hAnsi="Arial"/>
          <w:sz w:val="17"/>
          <w:szCs w:val="17"/>
          <w:color w:val="004876"/>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Advisory resolution to approve executive compensation</w:t>
      </w:r>
    </w:p>
    <w:p>
      <w:pPr>
        <w:spacing w:after="0" w:line="108" w:lineRule="exact"/>
        <w:rPr>
          <w:sz w:val="20"/>
          <w:szCs w:val="20"/>
          <w:color w:val="auto"/>
        </w:rPr>
      </w:pPr>
    </w:p>
    <w:p>
      <w:pPr>
        <w:ind w:left="1660"/>
        <w:spacing w:after="0"/>
        <w:rPr>
          <w:sz w:val="20"/>
          <w:szCs w:val="20"/>
          <w:color w:val="auto"/>
        </w:rPr>
      </w:pPr>
      <w:r>
        <w:rPr>
          <w:rFonts w:ascii="Arial" w:cs="Arial" w:eastAsia="Arial" w:hAnsi="Arial"/>
          <w:sz w:val="17"/>
          <w:szCs w:val="17"/>
          <w:color w:val="004876"/>
        </w:rPr>
        <w:t xml:space="preserve">• </w:t>
      </w:r>
      <w:r>
        <w:rPr>
          <w:rFonts w:ascii="Arial" w:cs="Arial" w:eastAsia="Arial" w:hAnsi="Arial"/>
          <w:sz w:val="17"/>
          <w:szCs w:val="17"/>
          <w:color w:val="000000"/>
        </w:rPr>
        <w:t>Ratification of PricewaterhouseCoopers LLP as our independent registered public accounting firm for 2020</w:t>
      </w:r>
    </w:p>
    <w:p>
      <w:pPr>
        <w:spacing w:after="0" w:line="88" w:lineRule="exact"/>
        <w:rPr>
          <w:sz w:val="20"/>
          <w:szCs w:val="20"/>
          <w:color w:val="auto"/>
        </w:rPr>
      </w:pPr>
    </w:p>
    <w:p>
      <w:pPr>
        <w:ind w:left="1660"/>
        <w:spacing w:after="0"/>
        <w:rPr>
          <w:sz w:val="20"/>
          <w:szCs w:val="20"/>
          <w:color w:val="auto"/>
        </w:rPr>
      </w:pPr>
      <w:r>
        <w:rPr>
          <w:rFonts w:ascii="Arial" w:cs="Arial" w:eastAsia="Arial" w:hAnsi="Arial"/>
          <w:sz w:val="17"/>
          <w:szCs w:val="17"/>
          <w:color w:val="004876"/>
        </w:rPr>
        <w:t xml:space="preserve">• </w:t>
      </w:r>
      <w:r>
        <w:rPr>
          <w:rFonts w:ascii="Arial" w:cs="Arial" w:eastAsia="Arial" w:hAnsi="Arial"/>
          <w:sz w:val="17"/>
          <w:szCs w:val="17"/>
          <w:color w:val="000000"/>
        </w:rPr>
        <w:t>Shareholder proposals, if they are properly introduced at the meeting</w:t>
      </w:r>
    </w:p>
    <w:p>
      <w:pPr>
        <w:spacing w:after="0" w:line="88" w:lineRule="exact"/>
        <w:rPr>
          <w:sz w:val="20"/>
          <w:szCs w:val="20"/>
          <w:color w:val="auto"/>
        </w:rPr>
      </w:pPr>
    </w:p>
    <w:p>
      <w:pPr>
        <w:ind w:left="1660"/>
        <w:spacing w:after="0"/>
        <w:rPr>
          <w:sz w:val="20"/>
          <w:szCs w:val="20"/>
          <w:color w:val="auto"/>
        </w:rPr>
      </w:pPr>
      <w:r>
        <w:rPr>
          <w:rFonts w:ascii="Arial" w:cs="Arial" w:eastAsia="Arial" w:hAnsi="Arial"/>
          <w:sz w:val="17"/>
          <w:szCs w:val="17"/>
          <w:color w:val="004876"/>
        </w:rPr>
        <w:t xml:space="preserve">• </w:t>
      </w:r>
      <w:r>
        <w:rPr>
          <w:rFonts w:ascii="Arial" w:cs="Arial" w:eastAsia="Arial" w:hAnsi="Arial"/>
          <w:sz w:val="17"/>
          <w:szCs w:val="17"/>
          <w:color w:val="000000"/>
        </w:rPr>
        <w:t>Any other matters that may properly be brought before the meeting</w:t>
      </w:r>
    </w:p>
    <w:p>
      <w:pPr>
        <w:spacing w:after="0" w:line="196" w:lineRule="exact"/>
        <w:rPr>
          <w:sz w:val="20"/>
          <w:szCs w:val="20"/>
          <w:color w:val="auto"/>
        </w:rPr>
      </w:pPr>
    </w:p>
    <w:p>
      <w:pPr>
        <w:ind w:left="1660"/>
        <w:spacing w:after="0"/>
        <w:rPr>
          <w:sz w:val="20"/>
          <w:szCs w:val="20"/>
          <w:color w:val="auto"/>
        </w:rPr>
      </w:pPr>
      <w:r>
        <w:rPr>
          <w:rFonts w:ascii="Arial" w:cs="Arial" w:eastAsia="Arial" w:hAnsi="Arial"/>
          <w:sz w:val="17"/>
          <w:szCs w:val="17"/>
          <w:color w:val="auto"/>
        </w:rPr>
        <w:t>By order of the Board of Directors</w:t>
      </w:r>
    </w:p>
    <w:p>
      <w:pPr>
        <w:spacing w:after="0" w:line="82" w:lineRule="exact"/>
        <w:rPr>
          <w:sz w:val="20"/>
          <w:szCs w:val="20"/>
          <w:color w:val="auto"/>
        </w:rPr>
      </w:pPr>
    </w:p>
    <w:p>
      <w:pPr>
        <w:ind w:left="1660"/>
        <w:spacing w:after="0"/>
        <w:rPr>
          <w:sz w:val="20"/>
          <w:szCs w:val="20"/>
          <w:color w:val="auto"/>
        </w:rPr>
      </w:pPr>
      <w:r>
        <w:rPr>
          <w:rFonts w:ascii="Arial" w:cs="Arial" w:eastAsia="Arial" w:hAnsi="Arial"/>
          <w:sz w:val="17"/>
          <w:szCs w:val="17"/>
          <w:b w:val="1"/>
          <w:bCs w:val="1"/>
          <w:color w:val="auto"/>
        </w:rPr>
        <w:t>Molly Carpenter</w:t>
      </w:r>
    </w:p>
    <w:p>
      <w:pPr>
        <w:spacing w:after="0" w:line="14" w:lineRule="exact"/>
        <w:rPr>
          <w:sz w:val="20"/>
          <w:szCs w:val="20"/>
          <w:color w:val="auto"/>
        </w:rPr>
      </w:pPr>
    </w:p>
    <w:p>
      <w:pPr>
        <w:ind w:left="1660"/>
        <w:spacing w:after="0"/>
        <w:rPr>
          <w:sz w:val="20"/>
          <w:szCs w:val="20"/>
          <w:color w:val="auto"/>
        </w:rPr>
      </w:pPr>
      <w:r>
        <w:rPr>
          <w:rFonts w:ascii="Arial" w:cs="Arial" w:eastAsia="Arial" w:hAnsi="Arial"/>
          <w:sz w:val="17"/>
          <w:szCs w:val="17"/>
          <w:color w:val="auto"/>
        </w:rPr>
        <w:t>Secretary</w:t>
      </w:r>
    </w:p>
    <w:p>
      <w:pPr>
        <w:spacing w:after="0" w:line="102" w:lineRule="exact"/>
        <w:rPr>
          <w:sz w:val="20"/>
          <w:szCs w:val="20"/>
          <w:color w:val="auto"/>
        </w:rPr>
      </w:pPr>
    </w:p>
    <w:p>
      <w:pPr>
        <w:ind w:left="1660"/>
        <w:spacing w:after="0"/>
        <w:rPr>
          <w:sz w:val="20"/>
          <w:szCs w:val="20"/>
          <w:color w:val="auto"/>
        </w:rPr>
      </w:pPr>
      <w:r>
        <w:rPr>
          <w:rFonts w:ascii="Arial" w:cs="Arial" w:eastAsia="Arial" w:hAnsi="Arial"/>
          <w:sz w:val="17"/>
          <w:szCs w:val="17"/>
          <w:color w:val="auto"/>
        </w:rPr>
        <w:t>April 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299720</wp:posOffset>
            </wp:positionV>
            <wp:extent cx="69951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20"/>
        <w:spacing w:after="0"/>
        <w:rPr>
          <w:sz w:val="20"/>
          <w:szCs w:val="20"/>
          <w:color w:val="auto"/>
        </w:rPr>
      </w:pPr>
      <w:r>
        <w:rPr>
          <w:rFonts w:ascii="Arial" w:cs="Arial" w:eastAsia="Arial" w:hAnsi="Arial"/>
          <w:sz w:val="29"/>
          <w:szCs w:val="29"/>
          <w:color w:val="004876"/>
        </w:rPr>
        <w:t>YOUR VOTE IS IMPORTANT TO US. PLEASE VOTE PROMPTLY.</w:t>
      </w:r>
    </w:p>
    <w:p>
      <w:pPr>
        <w:spacing w:after="0" w:line="115"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JPMorgan Chase &amp; Co. uses the Securities and Exchange Commission (“SEC”) rule permitting companies to furnish proxy materials to their shareholders on the Internet. In accordance with this rule, on or about April 6, 2020, we sent to shareholders of record at the close of business on March 20, 2020, a Notice of Internet Availability of Proxy Materials (“Notice”), which includes instructions on how to access our 2020 Proxy Statement and 2019 Annual Report online, and how to vote online for the 2020 Annual Shareholder Meeting.</w:t>
      </w:r>
    </w:p>
    <w:p>
      <w:pPr>
        <w:spacing w:after="0" w:line="97" w:lineRule="exact"/>
        <w:rPr>
          <w:sz w:val="20"/>
          <w:szCs w:val="20"/>
          <w:color w:val="auto"/>
        </w:rPr>
      </w:pPr>
    </w:p>
    <w:p>
      <w:pPr>
        <w:ind w:left="120" w:right="100"/>
        <w:spacing w:after="0" w:line="246" w:lineRule="auto"/>
        <w:rPr>
          <w:sz w:val="20"/>
          <w:szCs w:val="20"/>
          <w:color w:val="auto"/>
        </w:rPr>
      </w:pPr>
      <w:r>
        <w:rPr>
          <w:rFonts w:ascii="Arial" w:cs="Arial" w:eastAsia="Arial" w:hAnsi="Arial"/>
          <w:sz w:val="18"/>
          <w:szCs w:val="18"/>
          <w:color w:val="auto"/>
        </w:rPr>
        <w:t>If you received a Notice and would like to receive a printed copy of our proxy materials, please follow the instructions for requesting such materials included in the Notice.</w:t>
      </w:r>
    </w:p>
    <w:p>
      <w:pPr>
        <w:spacing w:after="0" w:line="89" w:lineRule="exact"/>
        <w:rPr>
          <w:sz w:val="20"/>
          <w:szCs w:val="20"/>
          <w:color w:val="auto"/>
        </w:rPr>
      </w:pPr>
    </w:p>
    <w:p>
      <w:pPr>
        <w:ind w:left="120" w:right="40"/>
        <w:spacing w:after="0" w:line="234" w:lineRule="auto"/>
        <w:rPr>
          <w:sz w:val="20"/>
          <w:szCs w:val="20"/>
          <w:color w:val="auto"/>
        </w:rPr>
      </w:pPr>
      <w:r>
        <w:rPr>
          <w:rFonts w:ascii="Arial" w:cs="Arial" w:eastAsia="Arial" w:hAnsi="Arial"/>
          <w:sz w:val="18"/>
          <w:szCs w:val="18"/>
          <w:color w:val="auto"/>
        </w:rPr>
        <w:t>To be admitted to the annual meeting at www.virtualshareholdermeeting.com/JPM2020, you must enter the control number found on your proxy card, voting instruction form or Notice you previously received. See “Information about the annual shareholder meeting” on</w:t>
      </w:r>
    </w:p>
    <w:p>
      <w:pPr>
        <w:spacing w:after="0" w:line="1" w:lineRule="exact"/>
        <w:rPr>
          <w:sz w:val="20"/>
          <w:szCs w:val="20"/>
          <w:color w:val="auto"/>
        </w:rPr>
      </w:pPr>
    </w:p>
    <w:p>
      <w:pPr>
        <w:ind w:left="120" w:right="240"/>
        <w:spacing w:after="0" w:line="246" w:lineRule="auto"/>
        <w:rPr>
          <w:sz w:val="20"/>
          <w:szCs w:val="20"/>
          <w:color w:val="auto"/>
        </w:rPr>
      </w:pPr>
      <w:r>
        <w:rPr>
          <w:rFonts w:ascii="Arial" w:cs="Arial" w:eastAsia="Arial" w:hAnsi="Arial"/>
          <w:sz w:val="18"/>
          <w:szCs w:val="18"/>
          <w:color w:val="auto"/>
        </w:rPr>
        <w:t>page 107. At the virtual meeting site, you may follow the instructions to vote, access the stockholders list, and ask questions during the meeting.</w:t>
      </w:r>
    </w:p>
    <w:p>
      <w:pPr>
        <w:spacing w:after="0" w:line="89"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If you hold your shares through a broker, your shares will not be voted unless (i) you provide voting instructions or (ii) the matter is one for which brokers have discretionary authority to vote. Of the matters to be voted on at the annual meeting, the only one for which brokers have discretionary authority to vote is Proposal 3, the ratification of the independent registered public accounting firm. See “What is the voting requirement to approve each of the proposals?” on page 110.</w:t>
      </w:r>
    </w:p>
    <w:p>
      <w:pPr>
        <w:sectPr>
          <w:pgSz w:w="11900" w:h="16838" w:orient="portrait"/>
          <w:cols w:equalWidth="0" w:num="1">
            <w:col w:w="11060"/>
          </w:cols>
          <w:pgMar w:left="320" w:top="459" w:right="5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left="120"/>
        <w:spacing w:after="0"/>
        <w:rPr>
          <w:sz w:val="20"/>
          <w:szCs w:val="20"/>
          <w:color w:val="auto"/>
        </w:rPr>
      </w:pPr>
      <w:r>
        <w:rPr>
          <w:rFonts w:ascii="Arial" w:cs="Arial" w:eastAsia="Arial" w:hAnsi="Arial"/>
          <w:sz w:val="43"/>
          <w:szCs w:val="43"/>
          <w:color w:val="004876"/>
        </w:rPr>
        <w:t>Table of Contents</w:t>
      </w:r>
    </w:p>
    <w:p>
      <w:pPr>
        <w:spacing w:after="0" w:line="285" w:lineRule="exact"/>
        <w:rPr>
          <w:sz w:val="20"/>
          <w:szCs w:val="20"/>
          <w:color w:val="auto"/>
        </w:rPr>
      </w:pPr>
    </w:p>
    <w:p>
      <w:pPr>
        <w:ind w:left="200"/>
        <w:spacing w:after="0"/>
        <w:rPr>
          <w:rFonts w:ascii="Arial" w:cs="Arial" w:eastAsia="Arial" w:hAnsi="Arial"/>
          <w:sz w:val="16"/>
          <w:szCs w:val="16"/>
          <w:b w:val="1"/>
          <w:bCs w:val="1"/>
          <w:u w:val="single" w:color="auto"/>
          <w:color w:val="0000EE"/>
        </w:rPr>
      </w:pPr>
      <w:hyperlink w:anchor="page8">
        <w:r>
          <w:rPr>
            <w:rFonts w:ascii="Arial" w:cs="Arial" w:eastAsia="Arial" w:hAnsi="Arial"/>
            <w:sz w:val="16"/>
            <w:szCs w:val="16"/>
            <w:b w:val="1"/>
            <w:bCs w:val="1"/>
            <w:u w:val="single" w:color="auto"/>
            <w:color w:val="0000EE"/>
          </w:rPr>
          <w:t>2020 Proxy summary</w:t>
        </w:r>
      </w:hyperlink>
    </w:p>
    <w:p>
      <w:pPr>
        <w:spacing w:after="0" w:line="107" w:lineRule="exact"/>
        <w:rPr>
          <w:sz w:val="20"/>
          <w:szCs w:val="20"/>
          <w:color w:val="auto"/>
        </w:rPr>
      </w:pPr>
    </w:p>
    <w:p>
      <w:pPr>
        <w:ind w:left="200"/>
        <w:spacing w:after="0"/>
        <w:rPr>
          <w:rFonts w:ascii="Arial" w:cs="Arial" w:eastAsia="Arial" w:hAnsi="Arial"/>
          <w:sz w:val="23"/>
          <w:szCs w:val="23"/>
          <w:b w:val="1"/>
          <w:bCs w:val="1"/>
          <w:u w:val="single" w:color="auto"/>
          <w:color w:val="0000EE"/>
        </w:rPr>
      </w:pPr>
      <w:hyperlink w:anchor="page17">
        <w:r>
          <w:rPr>
            <w:rFonts w:ascii="Arial" w:cs="Arial" w:eastAsia="Arial" w:hAnsi="Arial"/>
            <w:sz w:val="23"/>
            <w:szCs w:val="23"/>
            <w:b w:val="1"/>
            <w:bCs w:val="1"/>
            <w:u w:val="single" w:color="auto"/>
            <w:color w:val="0000EE"/>
          </w:rPr>
          <w:t>Corporate Governance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27305</wp:posOffset>
            </wp:positionV>
            <wp:extent cx="335153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2" w:lineRule="exact"/>
        <w:rPr>
          <w:sz w:val="20"/>
          <w:szCs w:val="20"/>
          <w:color w:val="auto"/>
        </w:rPr>
      </w:pPr>
    </w:p>
    <w:p>
      <w:pPr>
        <w:ind w:left="200"/>
        <w:spacing w:after="0"/>
        <w:rPr>
          <w:rFonts w:ascii="Arial" w:cs="Arial" w:eastAsia="Arial" w:hAnsi="Arial"/>
          <w:sz w:val="16"/>
          <w:szCs w:val="16"/>
          <w:b w:val="1"/>
          <w:bCs w:val="1"/>
          <w:u w:val="single" w:color="auto"/>
          <w:color w:val="0000EE"/>
        </w:rPr>
      </w:pPr>
      <w:hyperlink w:anchor="page17">
        <w:r>
          <w:rPr>
            <w:rFonts w:ascii="Arial" w:cs="Arial" w:eastAsia="Arial" w:hAnsi="Arial"/>
            <w:sz w:val="16"/>
            <w:szCs w:val="16"/>
            <w:b w:val="1"/>
            <w:bCs w:val="1"/>
            <w:u w:val="single" w:color="auto"/>
            <w:color w:val="0000EE"/>
          </w:rPr>
          <w:t>Proposal 1: Election of Directors</w:t>
        </w:r>
      </w:hyperlink>
    </w:p>
    <w:p>
      <w:pPr>
        <w:spacing w:after="0" w:line="66" w:lineRule="exact"/>
        <w:rPr>
          <w:sz w:val="20"/>
          <w:szCs w:val="20"/>
          <w:color w:val="auto"/>
        </w:rPr>
      </w:pPr>
    </w:p>
    <w:p>
      <w:pPr>
        <w:ind w:left="200" w:right="1440"/>
        <w:spacing w:after="0" w:line="308" w:lineRule="auto"/>
        <w:rPr>
          <w:rFonts w:ascii="Arial" w:cs="Arial" w:eastAsia="Arial" w:hAnsi="Arial"/>
          <w:sz w:val="16"/>
          <w:szCs w:val="16"/>
          <w:u w:val="single" w:color="auto"/>
          <w:color w:val="0000EE"/>
        </w:rPr>
      </w:pPr>
      <w:hyperlink w:anchor="page18">
        <w:r>
          <w:rPr>
            <w:rFonts w:ascii="Arial" w:cs="Arial" w:eastAsia="Arial" w:hAnsi="Arial"/>
            <w:sz w:val="16"/>
            <w:szCs w:val="16"/>
            <w:u w:val="single" w:color="auto"/>
            <w:color w:val="0000EE"/>
          </w:rPr>
          <w:t>Key factors for shareholder consideration</w:t>
        </w:r>
      </w:hyperlink>
      <w:r>
        <w:rPr>
          <w:rFonts w:ascii="Arial" w:cs="Arial" w:eastAsia="Arial" w:hAnsi="Arial"/>
          <w:sz w:val="16"/>
          <w:szCs w:val="16"/>
          <w:u w:val="single" w:color="auto"/>
          <w:color w:val="0000EE"/>
        </w:rPr>
        <w:t xml:space="preserve"> </w:t>
      </w:r>
      <w:hyperlink w:anchor="page19">
        <w:r>
          <w:rPr>
            <w:rFonts w:ascii="Arial" w:cs="Arial" w:eastAsia="Arial" w:hAnsi="Arial"/>
            <w:sz w:val="16"/>
            <w:szCs w:val="16"/>
            <w:u w:val="single" w:color="auto"/>
            <w:color w:val="0000EE"/>
          </w:rPr>
          <w:t>Director nominees</w:t>
        </w:r>
      </w:hyperlink>
    </w:p>
    <w:p>
      <w:pPr>
        <w:ind w:left="200"/>
        <w:spacing w:after="0"/>
        <w:rPr>
          <w:rFonts w:ascii="Arial" w:cs="Arial" w:eastAsia="Arial" w:hAnsi="Arial"/>
          <w:sz w:val="16"/>
          <w:szCs w:val="16"/>
          <w:u w:val="single" w:color="auto"/>
          <w:color w:val="0000EE"/>
        </w:rPr>
      </w:pPr>
      <w:hyperlink w:anchor="page29">
        <w:r>
          <w:rPr>
            <w:rFonts w:ascii="Arial" w:cs="Arial" w:eastAsia="Arial" w:hAnsi="Arial"/>
            <w:sz w:val="16"/>
            <w:szCs w:val="16"/>
            <w:u w:val="single" w:color="auto"/>
            <w:color w:val="0000EE"/>
          </w:rPr>
          <w:t>Board business</w:t>
        </w:r>
      </w:hyperlink>
    </w:p>
    <w:p>
      <w:pPr>
        <w:spacing w:after="0" w:line="59" w:lineRule="exact"/>
        <w:rPr>
          <w:sz w:val="20"/>
          <w:szCs w:val="20"/>
          <w:color w:val="auto"/>
        </w:rPr>
      </w:pPr>
    </w:p>
    <w:p>
      <w:pPr>
        <w:ind w:left="200"/>
        <w:spacing w:after="0"/>
        <w:rPr>
          <w:rFonts w:ascii="Arial" w:cs="Arial" w:eastAsia="Arial" w:hAnsi="Arial"/>
          <w:sz w:val="16"/>
          <w:szCs w:val="16"/>
          <w:u w:val="single" w:color="auto"/>
          <w:color w:val="0000EE"/>
        </w:rPr>
      </w:pPr>
      <w:hyperlink w:anchor="page35">
        <w:r>
          <w:rPr>
            <w:rFonts w:ascii="Arial" w:cs="Arial" w:eastAsia="Arial" w:hAnsi="Arial"/>
            <w:sz w:val="16"/>
            <w:szCs w:val="16"/>
            <w:u w:val="single" w:color="auto"/>
            <w:color w:val="0000EE"/>
          </w:rPr>
          <w:t>Board oversight</w:t>
        </w:r>
      </w:hyperlink>
    </w:p>
    <w:p>
      <w:pPr>
        <w:spacing w:after="0" w:line="59" w:lineRule="exact"/>
        <w:rPr>
          <w:sz w:val="20"/>
          <w:szCs w:val="20"/>
          <w:color w:val="auto"/>
        </w:rPr>
      </w:pPr>
    </w:p>
    <w:p>
      <w:pPr>
        <w:ind w:left="200"/>
        <w:spacing w:after="0"/>
        <w:rPr>
          <w:rFonts w:ascii="Arial" w:cs="Arial" w:eastAsia="Arial" w:hAnsi="Arial"/>
          <w:sz w:val="16"/>
          <w:szCs w:val="16"/>
          <w:u w:val="single" w:color="auto"/>
          <w:color w:val="0000EE"/>
        </w:rPr>
      </w:pPr>
      <w:hyperlink w:anchor="page37">
        <w:r>
          <w:rPr>
            <w:rFonts w:ascii="Arial" w:cs="Arial" w:eastAsia="Arial" w:hAnsi="Arial"/>
            <w:sz w:val="16"/>
            <w:szCs w:val="16"/>
            <w:u w:val="single" w:color="auto"/>
            <w:color w:val="0000EE"/>
          </w:rPr>
          <w:t>Board engagement</w:t>
        </w:r>
      </w:hyperlink>
    </w:p>
    <w:p>
      <w:pPr>
        <w:spacing w:after="0" w:line="59" w:lineRule="exact"/>
        <w:rPr>
          <w:sz w:val="20"/>
          <w:szCs w:val="20"/>
          <w:color w:val="auto"/>
        </w:rPr>
      </w:pPr>
    </w:p>
    <w:p>
      <w:pPr>
        <w:ind w:left="200"/>
        <w:spacing w:after="0"/>
        <w:rPr>
          <w:rFonts w:ascii="Arial" w:cs="Arial" w:eastAsia="Arial" w:hAnsi="Arial"/>
          <w:sz w:val="16"/>
          <w:szCs w:val="16"/>
          <w:u w:val="single" w:color="auto"/>
          <w:color w:val="0000EE"/>
        </w:rPr>
      </w:pPr>
      <w:hyperlink w:anchor="page39">
        <w:r>
          <w:rPr>
            <w:rFonts w:ascii="Arial" w:cs="Arial" w:eastAsia="Arial" w:hAnsi="Arial"/>
            <w:sz w:val="16"/>
            <w:szCs w:val="16"/>
            <w:u w:val="single" w:color="auto"/>
            <w:color w:val="0000EE"/>
          </w:rPr>
          <w:t>Director compensation</w:t>
        </w:r>
      </w:hyperlink>
    </w:p>
    <w:p>
      <w:pPr>
        <w:spacing w:after="0" w:line="59" w:lineRule="exact"/>
        <w:rPr>
          <w:sz w:val="20"/>
          <w:szCs w:val="20"/>
          <w:color w:val="auto"/>
        </w:rPr>
      </w:pPr>
    </w:p>
    <w:p>
      <w:pPr>
        <w:ind w:left="200"/>
        <w:spacing w:after="0"/>
        <w:rPr>
          <w:rFonts w:ascii="Arial" w:cs="Arial" w:eastAsia="Arial" w:hAnsi="Arial"/>
          <w:sz w:val="16"/>
          <w:szCs w:val="16"/>
          <w:u w:val="single" w:color="auto"/>
          <w:color w:val="0000EE"/>
        </w:rPr>
      </w:pPr>
      <w:hyperlink w:anchor="page41">
        <w:r>
          <w:rPr>
            <w:rFonts w:ascii="Arial" w:cs="Arial" w:eastAsia="Arial" w:hAnsi="Arial"/>
            <w:sz w:val="16"/>
            <w:szCs w:val="16"/>
            <w:u w:val="single" w:color="auto"/>
            <w:color w:val="0000EE"/>
          </w:rPr>
          <w:t>Other corporate governance policies and practices</w:t>
        </w:r>
      </w:hyperlink>
    </w:p>
    <w:p>
      <w:pPr>
        <w:spacing w:after="0" w:line="101" w:lineRule="exact"/>
        <w:rPr>
          <w:sz w:val="20"/>
          <w:szCs w:val="20"/>
          <w:color w:val="auto"/>
        </w:rPr>
      </w:pPr>
    </w:p>
    <w:p>
      <w:pPr>
        <w:ind w:left="200"/>
        <w:spacing w:after="0"/>
        <w:rPr>
          <w:rFonts w:ascii="Arial" w:cs="Arial" w:eastAsia="Arial" w:hAnsi="Arial"/>
          <w:sz w:val="23"/>
          <w:szCs w:val="23"/>
          <w:b w:val="1"/>
          <w:bCs w:val="1"/>
          <w:u w:val="single" w:color="auto"/>
          <w:color w:val="0000EE"/>
        </w:rPr>
      </w:pPr>
      <w:hyperlink w:anchor="page44">
        <w:r>
          <w:rPr>
            <w:rFonts w:ascii="Arial" w:cs="Arial" w:eastAsia="Arial" w:hAnsi="Arial"/>
            <w:sz w:val="23"/>
            <w:szCs w:val="23"/>
            <w:b w:val="1"/>
            <w:bCs w:val="1"/>
            <w:u w:val="single" w:color="auto"/>
            <w:color w:val="0000EE"/>
          </w:rPr>
          <w:t>Executive Compensation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27305</wp:posOffset>
            </wp:positionV>
            <wp:extent cx="335153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13" w:lineRule="exact"/>
        <w:rPr>
          <w:sz w:val="20"/>
          <w:szCs w:val="20"/>
          <w:color w:val="auto"/>
        </w:rPr>
      </w:pPr>
    </w:p>
    <w:p>
      <w:pPr>
        <w:ind w:left="300" w:right="1060" w:hanging="107"/>
        <w:spacing w:after="0" w:line="286" w:lineRule="auto"/>
        <w:rPr>
          <w:rFonts w:ascii="Arial" w:cs="Arial" w:eastAsia="Arial" w:hAnsi="Arial"/>
          <w:sz w:val="16"/>
          <w:szCs w:val="16"/>
          <w:b w:val="1"/>
          <w:bCs w:val="1"/>
          <w:u w:val="single" w:color="auto"/>
          <w:color w:val="0000EE"/>
        </w:rPr>
      </w:pPr>
      <w:hyperlink w:anchor="page44">
        <w:r>
          <w:rPr>
            <w:rFonts w:ascii="Arial" w:cs="Arial" w:eastAsia="Arial" w:hAnsi="Arial"/>
            <w:sz w:val="16"/>
            <w:szCs w:val="16"/>
            <w:b w:val="1"/>
            <w:bCs w:val="1"/>
            <w:u w:val="single" w:color="auto"/>
            <w:color w:val="0000EE"/>
          </w:rPr>
          <w:t>Proposal 2: Advisory resolution to approve</w:t>
        </w:r>
      </w:hyperlink>
      <w:r>
        <w:rPr>
          <w:rFonts w:ascii="Arial" w:cs="Arial" w:eastAsia="Arial" w:hAnsi="Arial"/>
          <w:sz w:val="16"/>
          <w:szCs w:val="16"/>
          <w:b w:val="1"/>
          <w:bCs w:val="1"/>
          <w:u w:val="single" w:color="auto"/>
          <w:color w:val="0000EE"/>
        </w:rPr>
        <w:t xml:space="preserve"> </w:t>
      </w:r>
      <w:hyperlink w:anchor="page44">
        <w:r>
          <w:rPr>
            <w:rFonts w:ascii="Arial" w:cs="Arial" w:eastAsia="Arial" w:hAnsi="Arial"/>
            <w:sz w:val="16"/>
            <w:szCs w:val="16"/>
            <w:b w:val="1"/>
            <w:bCs w:val="1"/>
            <w:u w:val="single" w:color="auto"/>
            <w:color w:val="0000EE"/>
          </w:rPr>
          <w:t>executive compensation</w:t>
        </w:r>
      </w:hyperlink>
    </w:p>
    <w:p>
      <w:pPr>
        <w:spacing w:after="0" w:line="14" w:lineRule="exact"/>
        <w:rPr>
          <w:sz w:val="20"/>
          <w:szCs w:val="20"/>
          <w:color w:val="auto"/>
        </w:rPr>
      </w:pPr>
    </w:p>
    <w:p>
      <w:pPr>
        <w:ind w:left="200"/>
        <w:spacing w:after="0"/>
        <w:rPr>
          <w:rFonts w:ascii="Arial" w:cs="Arial" w:eastAsia="Arial" w:hAnsi="Arial"/>
          <w:sz w:val="16"/>
          <w:szCs w:val="16"/>
          <w:u w:val="single" w:color="auto"/>
          <w:color w:val="0000EE"/>
        </w:rPr>
      </w:pPr>
      <w:hyperlink w:anchor="page45">
        <w:r>
          <w:rPr>
            <w:rFonts w:ascii="Arial" w:cs="Arial" w:eastAsia="Arial" w:hAnsi="Arial"/>
            <w:sz w:val="16"/>
            <w:szCs w:val="16"/>
            <w:u w:val="single" w:color="auto"/>
            <w:color w:val="0000EE"/>
          </w:rPr>
          <w:t>Executive summary</w:t>
        </w:r>
      </w:hyperlink>
    </w:p>
    <w:p>
      <w:pPr>
        <w:spacing w:after="0" w:line="59" w:lineRule="exact"/>
        <w:rPr>
          <w:sz w:val="20"/>
          <w:szCs w:val="20"/>
          <w:color w:val="auto"/>
        </w:rPr>
      </w:pPr>
    </w:p>
    <w:p>
      <w:pPr>
        <w:ind w:left="200" w:right="1020"/>
        <w:spacing w:after="0" w:line="316" w:lineRule="auto"/>
        <w:rPr>
          <w:rFonts w:ascii="Arial" w:cs="Arial" w:eastAsia="Arial" w:hAnsi="Arial"/>
          <w:sz w:val="16"/>
          <w:szCs w:val="16"/>
          <w:u w:val="single" w:color="auto"/>
          <w:color w:val="0000EE"/>
        </w:rPr>
      </w:pPr>
      <w:hyperlink w:anchor="page46">
        <w:r>
          <w:rPr>
            <w:rFonts w:ascii="Arial" w:cs="Arial" w:eastAsia="Arial" w:hAnsi="Arial"/>
            <w:sz w:val="16"/>
            <w:szCs w:val="16"/>
            <w:u w:val="single" w:color="auto"/>
            <w:color w:val="0000EE"/>
          </w:rPr>
          <w:t>2019 Say on pay and shareholder engagement</w:t>
        </w:r>
      </w:hyperlink>
      <w:r>
        <w:rPr>
          <w:rFonts w:ascii="Arial" w:cs="Arial" w:eastAsia="Arial" w:hAnsi="Arial"/>
          <w:sz w:val="16"/>
          <w:szCs w:val="16"/>
          <w:u w:val="single" w:color="auto"/>
          <w:color w:val="0000EE"/>
        </w:rPr>
        <w:t xml:space="preserve"> </w:t>
      </w:r>
      <w:hyperlink w:anchor="page47">
        <w:r>
          <w:rPr>
            <w:rFonts w:ascii="Arial" w:cs="Arial" w:eastAsia="Arial" w:hAnsi="Arial"/>
            <w:sz w:val="16"/>
            <w:szCs w:val="16"/>
            <w:u w:val="single" w:color="auto"/>
            <w:color w:val="0000EE"/>
          </w:rPr>
          <w:t>Compensation Discussion and Analysis</w:t>
        </w:r>
      </w:hyperlink>
    </w:p>
    <w:p>
      <w:pPr>
        <w:spacing w:after="0" w:line="2" w:lineRule="exact"/>
        <w:rPr>
          <w:sz w:val="20"/>
          <w:szCs w:val="20"/>
          <w:color w:val="auto"/>
        </w:rPr>
      </w:pPr>
    </w:p>
    <w:p>
      <w:pPr>
        <w:ind w:left="540" w:hanging="185"/>
        <w:spacing w:after="0"/>
        <w:tabs>
          <w:tab w:leader="none" w:pos="540" w:val="left"/>
        </w:tabs>
        <w:numPr>
          <w:ilvl w:val="0"/>
          <w:numId w:val="7"/>
        </w:numPr>
        <w:rPr>
          <w:rFonts w:ascii="Arial" w:cs="Arial" w:eastAsia="Arial" w:hAnsi="Arial"/>
          <w:sz w:val="16"/>
          <w:szCs w:val="16"/>
          <w:u w:val="single" w:color="auto"/>
          <w:color w:val="0000EE"/>
        </w:rPr>
      </w:pPr>
      <w:hyperlink w:anchor="page48">
        <w:r>
          <w:rPr>
            <w:rFonts w:ascii="Arial" w:cs="Arial" w:eastAsia="Arial" w:hAnsi="Arial"/>
            <w:sz w:val="16"/>
            <w:szCs w:val="16"/>
            <w:u w:val="single" w:color="auto"/>
            <w:color w:val="0000EE"/>
          </w:rPr>
          <w:t>How we think about pay decisions</w:t>
        </w:r>
      </w:hyperlink>
    </w:p>
    <w:p>
      <w:pPr>
        <w:spacing w:after="0" w:line="59" w:lineRule="exact"/>
        <w:rPr>
          <w:rFonts w:ascii="Arial" w:cs="Arial" w:eastAsia="Arial" w:hAnsi="Arial"/>
          <w:sz w:val="16"/>
          <w:szCs w:val="16"/>
          <w:u w:val="single" w:color="auto"/>
          <w:color w:val="0000EE"/>
        </w:rPr>
      </w:pPr>
    </w:p>
    <w:p>
      <w:pPr>
        <w:ind w:left="540" w:right="1160" w:hanging="185"/>
        <w:spacing w:after="0" w:line="260" w:lineRule="auto"/>
        <w:tabs>
          <w:tab w:leader="none" w:pos="540" w:val="left"/>
        </w:tabs>
        <w:numPr>
          <w:ilvl w:val="0"/>
          <w:numId w:val="7"/>
        </w:numPr>
        <w:rPr>
          <w:rFonts w:ascii="Arial" w:cs="Arial" w:eastAsia="Arial" w:hAnsi="Arial"/>
          <w:sz w:val="16"/>
          <w:szCs w:val="16"/>
          <w:u w:val="single" w:color="auto"/>
          <w:color w:val="0000EE"/>
        </w:rPr>
      </w:pPr>
      <w:hyperlink w:anchor="page61">
        <w:r>
          <w:rPr>
            <w:rFonts w:ascii="Arial" w:cs="Arial" w:eastAsia="Arial" w:hAnsi="Arial"/>
            <w:sz w:val="16"/>
            <w:szCs w:val="16"/>
            <w:u w:val="single" w:color="auto"/>
            <w:color w:val="0000EE"/>
          </w:rPr>
          <w:t>How we performed against our business</w:t>
        </w:r>
      </w:hyperlink>
      <w:r>
        <w:rPr>
          <w:rFonts w:ascii="Arial" w:cs="Arial" w:eastAsia="Arial" w:hAnsi="Arial"/>
          <w:sz w:val="16"/>
          <w:szCs w:val="16"/>
          <w:u w:val="single" w:color="auto"/>
          <w:color w:val="0000EE"/>
        </w:rPr>
        <w:t xml:space="preserve"> </w:t>
      </w:r>
      <w:hyperlink w:anchor="page61">
        <w:r>
          <w:rPr>
            <w:rFonts w:ascii="Arial" w:cs="Arial" w:eastAsia="Arial" w:hAnsi="Arial"/>
            <w:sz w:val="16"/>
            <w:szCs w:val="16"/>
            <w:u w:val="single" w:color="auto"/>
            <w:color w:val="0000EE"/>
          </w:rPr>
          <w:t>strategy</w:t>
        </w:r>
      </w:hyperlink>
    </w:p>
    <w:p>
      <w:pPr>
        <w:spacing w:after="0" w:line="33" w:lineRule="exact"/>
        <w:rPr>
          <w:rFonts w:ascii="Arial" w:cs="Arial" w:eastAsia="Arial" w:hAnsi="Arial"/>
          <w:sz w:val="16"/>
          <w:szCs w:val="16"/>
          <w:u w:val="single" w:color="auto"/>
          <w:color w:val="0000EE"/>
        </w:rPr>
      </w:pPr>
    </w:p>
    <w:p>
      <w:pPr>
        <w:ind w:left="540" w:hanging="185"/>
        <w:spacing w:after="0"/>
        <w:tabs>
          <w:tab w:leader="none" w:pos="540" w:val="left"/>
        </w:tabs>
        <w:numPr>
          <w:ilvl w:val="0"/>
          <w:numId w:val="7"/>
        </w:numPr>
        <w:rPr>
          <w:rFonts w:ascii="Arial" w:cs="Arial" w:eastAsia="Arial" w:hAnsi="Arial"/>
          <w:sz w:val="16"/>
          <w:szCs w:val="16"/>
          <w:u w:val="single" w:color="auto"/>
          <w:color w:val="0000EE"/>
        </w:rPr>
      </w:pPr>
      <w:hyperlink w:anchor="page72">
        <w:r>
          <w:rPr>
            <w:rFonts w:ascii="Arial" w:cs="Arial" w:eastAsia="Arial" w:hAnsi="Arial"/>
            <w:sz w:val="16"/>
            <w:szCs w:val="16"/>
            <w:u w:val="single" w:color="auto"/>
            <w:color w:val="0000EE"/>
          </w:rPr>
          <w:t>How performance determined pay in 2019</w:t>
        </w:r>
      </w:hyperlink>
    </w:p>
    <w:p>
      <w:pPr>
        <w:spacing w:after="0" w:line="59" w:lineRule="exact"/>
        <w:rPr>
          <w:rFonts w:ascii="Arial" w:cs="Arial" w:eastAsia="Arial" w:hAnsi="Arial"/>
          <w:sz w:val="16"/>
          <w:szCs w:val="16"/>
          <w:u w:val="single" w:color="auto"/>
          <w:color w:val="0000EE"/>
        </w:rPr>
      </w:pPr>
    </w:p>
    <w:p>
      <w:pPr>
        <w:ind w:left="200"/>
        <w:spacing w:after="0"/>
        <w:rPr>
          <w:rFonts w:ascii="Arial" w:cs="Arial" w:eastAsia="Arial" w:hAnsi="Arial"/>
          <w:sz w:val="16"/>
          <w:szCs w:val="16"/>
          <w:u w:val="single" w:color="auto"/>
          <w:color w:val="0000EE"/>
        </w:rPr>
      </w:pPr>
      <w:hyperlink w:anchor="page79">
        <w:r>
          <w:rPr>
            <w:rFonts w:ascii="Arial" w:cs="Arial" w:eastAsia="Arial" w:hAnsi="Arial"/>
            <w:sz w:val="16"/>
            <w:szCs w:val="16"/>
            <w:u w:val="single" w:color="auto"/>
            <w:color w:val="0000EE"/>
          </w:rPr>
          <w:t>Compensation &amp; Management Development</w:t>
        </w:r>
      </w:hyperlink>
    </w:p>
    <w:p>
      <w:pPr>
        <w:spacing w:after="0" w:line="5" w:lineRule="exact"/>
        <w:rPr>
          <w:rFonts w:ascii="Arial" w:cs="Arial" w:eastAsia="Arial" w:hAnsi="Arial"/>
          <w:sz w:val="16"/>
          <w:szCs w:val="16"/>
          <w:u w:val="single" w:color="auto"/>
          <w:color w:val="0000EE"/>
        </w:rPr>
      </w:pPr>
    </w:p>
    <w:p>
      <w:pPr>
        <w:ind w:left="300"/>
        <w:spacing w:after="0"/>
        <w:rPr>
          <w:rFonts w:ascii="Arial" w:cs="Arial" w:eastAsia="Arial" w:hAnsi="Arial"/>
          <w:sz w:val="16"/>
          <w:szCs w:val="16"/>
          <w:u w:val="single" w:color="auto"/>
          <w:color w:val="0000EE"/>
        </w:rPr>
      </w:pPr>
      <w:hyperlink w:anchor="page79">
        <w:r>
          <w:rPr>
            <w:rFonts w:ascii="Arial" w:cs="Arial" w:eastAsia="Arial" w:hAnsi="Arial"/>
            <w:sz w:val="16"/>
            <w:szCs w:val="16"/>
            <w:u w:val="single" w:color="auto"/>
            <w:color w:val="0000EE"/>
          </w:rPr>
          <w:t>Committee report</w:t>
        </w:r>
      </w:hyperlink>
    </w:p>
    <w:p>
      <w:pPr>
        <w:spacing w:after="0" w:line="59" w:lineRule="exact"/>
        <w:rPr>
          <w:rFonts w:ascii="Arial" w:cs="Arial" w:eastAsia="Arial" w:hAnsi="Arial"/>
          <w:sz w:val="16"/>
          <w:szCs w:val="16"/>
          <w:u w:val="single" w:color="auto"/>
          <w:color w:val="0000EE"/>
        </w:rPr>
      </w:pPr>
    </w:p>
    <w:p>
      <w:pPr>
        <w:ind w:left="200"/>
        <w:spacing w:after="0"/>
        <w:rPr>
          <w:rFonts w:ascii="Arial" w:cs="Arial" w:eastAsia="Arial" w:hAnsi="Arial"/>
          <w:sz w:val="16"/>
          <w:szCs w:val="16"/>
          <w:u w:val="single" w:color="auto"/>
          <w:color w:val="0000EE"/>
        </w:rPr>
      </w:pPr>
      <w:hyperlink w:anchor="page80">
        <w:r>
          <w:rPr>
            <w:rFonts w:ascii="Arial" w:cs="Arial" w:eastAsia="Arial" w:hAnsi="Arial"/>
            <w:sz w:val="16"/>
            <w:szCs w:val="16"/>
            <w:u w:val="single" w:color="auto"/>
            <w:color w:val="0000EE"/>
          </w:rPr>
          <w:t>Executive compensation tables</w:t>
        </w:r>
      </w:hyperlink>
    </w:p>
    <w:p>
      <w:pPr>
        <w:spacing w:after="0" w:line="59" w:lineRule="exact"/>
        <w:rPr>
          <w:rFonts w:ascii="Arial" w:cs="Arial" w:eastAsia="Arial" w:hAnsi="Arial"/>
          <w:sz w:val="16"/>
          <w:szCs w:val="16"/>
          <w:u w:val="single" w:color="auto"/>
          <w:color w:val="0000EE"/>
        </w:rPr>
      </w:pPr>
    </w:p>
    <w:p>
      <w:pPr>
        <w:ind w:left="360"/>
        <w:spacing w:after="0"/>
        <w:tabs>
          <w:tab w:leader="none" w:pos="580" w:val="left"/>
        </w:tabs>
        <w:rPr>
          <w:rFonts w:ascii="Arial" w:cs="Arial" w:eastAsia="Arial" w:hAnsi="Arial"/>
          <w:sz w:val="16"/>
          <w:szCs w:val="16"/>
          <w:u w:val="single" w:color="auto"/>
          <w:color w:val="0000EE"/>
        </w:rPr>
      </w:pPr>
      <w:hyperlink w:anchor="page80">
        <w:r>
          <w:rPr>
            <w:rFonts w:ascii="Arial" w:cs="Arial" w:eastAsia="Arial" w:hAnsi="Arial"/>
            <w:sz w:val="16"/>
            <w:szCs w:val="16"/>
            <w:color w:val="0000EE"/>
          </w:rPr>
          <w:t>I</w:t>
        </w:r>
        <w:r>
          <w:rPr>
            <w:rFonts w:ascii="Arial" w:cs="Arial" w:eastAsia="Arial" w:hAnsi="Arial"/>
            <w:sz w:val="16"/>
            <w:szCs w:val="16"/>
            <w:u w:val="single" w:color="auto"/>
            <w:color w:val="0000EE"/>
          </w:rPr>
          <w:t>.</w:t>
        </w:r>
      </w:hyperlink>
      <w:r>
        <w:rPr>
          <w:rFonts w:ascii="Arial" w:cs="Arial" w:eastAsia="Arial" w:hAnsi="Arial"/>
          <w:sz w:val="16"/>
          <w:szCs w:val="16"/>
          <w:color w:val="0000EE"/>
        </w:rPr>
        <w:tab/>
      </w:r>
      <w:hyperlink w:anchor="page80">
        <w:r>
          <w:rPr>
            <w:rFonts w:ascii="Arial" w:cs="Arial" w:eastAsia="Arial" w:hAnsi="Arial"/>
            <w:sz w:val="16"/>
            <w:szCs w:val="16"/>
            <w:u w:val="single" w:color="auto"/>
            <w:color w:val="0000EE"/>
          </w:rPr>
          <w:t>Summary compensation table</w:t>
        </w:r>
      </w:hyperlink>
    </w:p>
    <w:p>
      <w:pPr>
        <w:spacing w:after="0" w:line="59" w:lineRule="exact"/>
        <w:rPr>
          <w:sz w:val="20"/>
          <w:szCs w:val="20"/>
          <w:color w:val="auto"/>
        </w:rPr>
      </w:pPr>
    </w:p>
    <w:p>
      <w:pPr>
        <w:ind w:left="360"/>
        <w:spacing w:after="0"/>
        <w:rPr>
          <w:rFonts w:ascii="Arial" w:cs="Arial" w:eastAsia="Arial" w:hAnsi="Arial"/>
          <w:sz w:val="16"/>
          <w:szCs w:val="16"/>
          <w:u w:val="single" w:color="auto"/>
          <w:color w:val="0000EE"/>
        </w:rPr>
      </w:pPr>
      <w:hyperlink w:anchor="page82">
        <w:r>
          <w:rPr>
            <w:rFonts w:ascii="Arial" w:cs="Arial" w:eastAsia="Arial" w:hAnsi="Arial"/>
            <w:sz w:val="16"/>
            <w:szCs w:val="16"/>
            <w:u w:val="single" w:color="auto"/>
            <w:color w:val="0000EE"/>
          </w:rPr>
          <w:t>II.  2019 Grants of plan-based awards</w:t>
        </w:r>
      </w:hyperlink>
    </w:p>
    <w:p>
      <w:pPr>
        <w:spacing w:after="0" w:line="19" w:lineRule="exact"/>
        <w:rPr>
          <w:sz w:val="20"/>
          <w:szCs w:val="20"/>
          <w:color w:val="auto"/>
        </w:rPr>
      </w:pPr>
    </w:p>
    <w:p>
      <w:pPr>
        <w:ind w:left="360" w:right="380" w:hanging="6"/>
        <w:spacing w:after="0" w:line="308" w:lineRule="auto"/>
        <w:tabs>
          <w:tab w:leader="none" w:pos="605" w:val="left"/>
        </w:tabs>
        <w:numPr>
          <w:ilvl w:val="0"/>
          <w:numId w:val="8"/>
        </w:numPr>
        <w:rPr>
          <w:rFonts w:ascii="Arial" w:cs="Arial" w:eastAsia="Arial" w:hAnsi="Arial"/>
          <w:sz w:val="16"/>
          <w:szCs w:val="16"/>
          <w:u w:val="single" w:color="auto"/>
          <w:color w:val="0000EE"/>
        </w:rPr>
      </w:pPr>
      <w:hyperlink w:anchor="page83">
        <w:r>
          <w:rPr>
            <w:rFonts w:ascii="Arial" w:cs="Arial" w:eastAsia="Arial" w:hAnsi="Arial"/>
            <w:sz w:val="16"/>
            <w:szCs w:val="16"/>
            <w:u w:val="single" w:color="auto"/>
            <w:color w:val="0000EE"/>
          </w:rPr>
          <w:t>Outstanding equity awards at fiscal year-end 2019</w:t>
        </w:r>
      </w:hyperlink>
      <w:r>
        <w:rPr>
          <w:rFonts w:ascii="Arial" w:cs="Arial" w:eastAsia="Arial" w:hAnsi="Arial"/>
          <w:sz w:val="16"/>
          <w:szCs w:val="16"/>
          <w:u w:val="single" w:color="auto"/>
          <w:color w:val="0000EE"/>
        </w:rPr>
        <w:t xml:space="preserve"> </w:t>
      </w:r>
      <w:hyperlink w:anchor="page85">
        <w:r>
          <w:rPr>
            <w:rFonts w:ascii="Arial" w:cs="Arial" w:eastAsia="Arial" w:hAnsi="Arial"/>
            <w:sz w:val="16"/>
            <w:szCs w:val="16"/>
            <w:u w:val="single" w:color="auto"/>
            <w:color w:val="0000EE"/>
          </w:rPr>
          <w:t>IV. 2019 Option exercises and stock vested table</w:t>
        </w:r>
      </w:hyperlink>
    </w:p>
    <w:p>
      <w:pPr>
        <w:ind w:left="360"/>
        <w:spacing w:after="0"/>
        <w:rPr>
          <w:rFonts w:ascii="Arial" w:cs="Arial" w:eastAsia="Arial" w:hAnsi="Arial"/>
          <w:sz w:val="16"/>
          <w:szCs w:val="16"/>
          <w:u w:val="single" w:color="auto"/>
          <w:color w:val="0000EE"/>
        </w:rPr>
      </w:pPr>
      <w:hyperlink w:anchor="page85">
        <w:r>
          <w:rPr>
            <w:rFonts w:ascii="Arial" w:cs="Arial" w:eastAsia="Arial" w:hAnsi="Arial"/>
            <w:sz w:val="16"/>
            <w:szCs w:val="16"/>
            <w:u w:val="single" w:color="auto"/>
            <w:color w:val="0000EE"/>
          </w:rPr>
          <w:t>V.  2019 Pension benefits</w:t>
        </w:r>
      </w:hyperlink>
    </w:p>
    <w:p>
      <w:pPr>
        <w:spacing w:after="0" w:line="59" w:lineRule="exact"/>
        <w:rPr>
          <w:rFonts w:ascii="Arial" w:cs="Arial" w:eastAsia="Arial" w:hAnsi="Arial"/>
          <w:sz w:val="16"/>
          <w:szCs w:val="16"/>
          <w:u w:val="single" w:color="auto"/>
          <w:color w:val="0000EE"/>
        </w:rPr>
      </w:pPr>
    </w:p>
    <w:p>
      <w:pPr>
        <w:ind w:left="360"/>
        <w:spacing w:after="0"/>
        <w:rPr>
          <w:rFonts w:ascii="Arial" w:cs="Arial" w:eastAsia="Arial" w:hAnsi="Arial"/>
          <w:sz w:val="16"/>
          <w:szCs w:val="16"/>
          <w:u w:val="single" w:color="auto"/>
          <w:color w:val="0000EE"/>
        </w:rPr>
      </w:pPr>
      <w:hyperlink w:anchor="page86">
        <w:r>
          <w:rPr>
            <w:rFonts w:ascii="Arial" w:cs="Arial" w:eastAsia="Arial" w:hAnsi="Arial"/>
            <w:sz w:val="16"/>
            <w:szCs w:val="16"/>
            <w:u w:val="single" w:color="auto"/>
            <w:color w:val="0000EE"/>
          </w:rPr>
          <w:t>VI. 2019 Non-qualified deferred compensation</w:t>
        </w:r>
      </w:hyperlink>
    </w:p>
    <w:p>
      <w:pPr>
        <w:spacing w:after="0" w:line="59" w:lineRule="exact"/>
        <w:rPr>
          <w:rFonts w:ascii="Arial" w:cs="Arial" w:eastAsia="Arial" w:hAnsi="Arial"/>
          <w:sz w:val="16"/>
          <w:szCs w:val="16"/>
          <w:u w:val="single" w:color="auto"/>
          <w:color w:val="0000EE"/>
        </w:rPr>
      </w:pPr>
    </w:p>
    <w:p>
      <w:pPr>
        <w:ind w:left="600" w:hanging="252"/>
        <w:spacing w:after="0" w:line="260" w:lineRule="auto"/>
        <w:rPr>
          <w:rFonts w:ascii="Arial" w:cs="Arial" w:eastAsia="Arial" w:hAnsi="Arial"/>
          <w:sz w:val="16"/>
          <w:szCs w:val="16"/>
          <w:u w:val="single" w:color="auto"/>
          <w:color w:val="0000EE"/>
        </w:rPr>
      </w:pPr>
      <w:hyperlink w:anchor="page87">
        <w:r>
          <w:rPr>
            <w:rFonts w:ascii="Arial" w:cs="Arial" w:eastAsia="Arial" w:hAnsi="Arial"/>
            <w:sz w:val="16"/>
            <w:szCs w:val="16"/>
            <w:u w:val="single" w:color="auto"/>
            <w:color w:val="0000EE"/>
          </w:rPr>
          <w:t>VII. 2019 Potential payments upon termination or change in</w:t>
        </w:r>
      </w:hyperlink>
      <w:r>
        <w:rPr>
          <w:rFonts w:ascii="Arial" w:cs="Arial" w:eastAsia="Arial" w:hAnsi="Arial"/>
          <w:sz w:val="16"/>
          <w:szCs w:val="16"/>
          <w:u w:val="single" w:color="auto"/>
          <w:color w:val="0000EE"/>
        </w:rPr>
        <w:t xml:space="preserve"> </w:t>
      </w:r>
      <w:hyperlink w:anchor="page87">
        <w:r>
          <w:rPr>
            <w:rFonts w:ascii="Arial" w:cs="Arial" w:eastAsia="Arial" w:hAnsi="Arial"/>
            <w:sz w:val="16"/>
            <w:szCs w:val="16"/>
            <w:u w:val="single" w:color="auto"/>
            <w:color w:val="0000EE"/>
          </w:rPr>
          <w:t>control</w:t>
        </w:r>
      </w:hyperlink>
    </w:p>
    <w:p>
      <w:pPr>
        <w:spacing w:after="0" w:line="33" w:lineRule="exact"/>
        <w:rPr>
          <w:sz w:val="20"/>
          <w:szCs w:val="20"/>
          <w:color w:val="auto"/>
        </w:rPr>
      </w:pPr>
    </w:p>
    <w:p>
      <w:pPr>
        <w:ind w:left="200"/>
        <w:spacing w:after="0"/>
        <w:rPr>
          <w:rFonts w:ascii="Arial" w:cs="Arial" w:eastAsia="Arial" w:hAnsi="Arial"/>
          <w:sz w:val="16"/>
          <w:szCs w:val="16"/>
          <w:u w:val="single" w:color="auto"/>
          <w:color w:val="0000EE"/>
        </w:rPr>
      </w:pPr>
      <w:hyperlink w:anchor="page90">
        <w:r>
          <w:rPr>
            <w:rFonts w:ascii="Arial" w:cs="Arial" w:eastAsia="Arial" w:hAnsi="Arial"/>
            <w:sz w:val="16"/>
            <w:szCs w:val="16"/>
            <w:u w:val="single" w:color="auto"/>
            <w:color w:val="0000EE"/>
          </w:rPr>
          <w:t>CEO pay ratio disclosure</w:t>
        </w:r>
      </w:hyperlink>
    </w:p>
    <w:p>
      <w:pPr>
        <w:spacing w:after="0" w:line="59" w:lineRule="exact"/>
        <w:rPr>
          <w:sz w:val="20"/>
          <w:szCs w:val="20"/>
          <w:color w:val="auto"/>
        </w:rPr>
      </w:pPr>
    </w:p>
    <w:p>
      <w:pPr>
        <w:ind w:left="300" w:right="1120" w:hanging="107"/>
        <w:spacing w:after="0" w:line="260" w:lineRule="auto"/>
        <w:rPr>
          <w:rFonts w:ascii="Arial" w:cs="Arial" w:eastAsia="Arial" w:hAnsi="Arial"/>
          <w:sz w:val="16"/>
          <w:szCs w:val="16"/>
          <w:u w:val="single" w:color="auto"/>
          <w:color w:val="0000EE"/>
        </w:rPr>
      </w:pPr>
      <w:hyperlink w:anchor="page91">
        <w:r>
          <w:rPr>
            <w:rFonts w:ascii="Arial" w:cs="Arial" w:eastAsia="Arial" w:hAnsi="Arial"/>
            <w:sz w:val="16"/>
            <w:szCs w:val="16"/>
            <w:u w:val="single" w:color="auto"/>
            <w:color w:val="0000EE"/>
          </w:rPr>
          <w:t>Security ownership of directors and executive</w:t>
        </w:r>
      </w:hyperlink>
      <w:r>
        <w:rPr>
          <w:rFonts w:ascii="Arial" w:cs="Arial" w:eastAsia="Arial" w:hAnsi="Arial"/>
          <w:sz w:val="16"/>
          <w:szCs w:val="16"/>
          <w:u w:val="single" w:color="auto"/>
          <w:color w:val="0000EE"/>
        </w:rPr>
        <w:t xml:space="preserve"> </w:t>
      </w:r>
      <w:hyperlink w:anchor="page91">
        <w:r>
          <w:rPr>
            <w:rFonts w:ascii="Arial" w:cs="Arial" w:eastAsia="Arial" w:hAnsi="Arial"/>
            <w:sz w:val="16"/>
            <w:szCs w:val="16"/>
            <w:u w:val="single" w:color="auto"/>
            <w:color w:val="0000EE"/>
          </w:rPr>
          <w:t>officers</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293370</wp:posOffset>
            </wp:positionV>
            <wp:extent cx="137160"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716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color w:val="auto"/>
        </w:rPr>
        <w:t>11</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12</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22</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28</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30</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32</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422275</wp:posOffset>
            </wp:positionV>
            <wp:extent cx="137160" cy="145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7160"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color w:val="auto"/>
        </w:rPr>
        <w:t>38</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39</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40</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41</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54</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65</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72</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73</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73</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75</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76</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78</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78</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79</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80</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83</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500"/>
        <w:spacing w:after="0"/>
        <w:rPr>
          <w:sz w:val="20"/>
          <w:szCs w:val="20"/>
          <w:color w:val="auto"/>
        </w:rPr>
      </w:pPr>
      <w:r>
        <w:rPr>
          <w:rFonts w:ascii="Arial" w:cs="Arial" w:eastAsia="Arial" w:hAnsi="Arial"/>
          <w:sz w:val="20"/>
          <w:szCs w:val="20"/>
          <w:color w:val="004876"/>
        </w:rPr>
        <w:t>RECOMMENDATIONS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-837565</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column">
              <wp:posOffset>2995295</wp:posOffset>
            </wp:positionH>
            <wp:positionV relativeFrom="paragraph">
              <wp:posOffset>-177165</wp:posOffset>
            </wp:positionV>
            <wp:extent cx="137160" cy="145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7160" cy="145415"/>
                    </a:xfrm>
                    <a:prstGeom prst="rect">
                      <a:avLst/>
                    </a:prstGeom>
                    <a:noFill/>
                  </pic:spPr>
                </pic:pic>
              </a:graphicData>
            </a:graphic>
          </wp:anchor>
        </w:drawing>
        <w:drawing>
          <wp:anchor simplePos="0" relativeHeight="251657728" behindDoc="1" locked="0" layoutInCell="0" allowOverlap="1">
            <wp:simplePos x="0" y="0"/>
            <wp:positionH relativeFrom="column">
              <wp:posOffset>3286760</wp:posOffset>
            </wp:positionH>
            <wp:positionV relativeFrom="paragraph">
              <wp:posOffset>-177165</wp:posOffset>
            </wp:positionV>
            <wp:extent cx="137160" cy="145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7160" cy="145415"/>
                    </a:xfrm>
                    <a:prstGeom prst="rect">
                      <a:avLst/>
                    </a:prstGeom>
                    <a:noFill/>
                  </pic:spPr>
                </pic:pic>
              </a:graphicData>
            </a:graphic>
          </wp:anchor>
        </w:drawing>
      </w:r>
    </w:p>
    <w:p>
      <w:pPr>
        <w:spacing w:after="0" w:line="391" w:lineRule="exact"/>
        <w:rPr>
          <w:sz w:val="20"/>
          <w:szCs w:val="20"/>
          <w:color w:val="auto"/>
        </w:rPr>
      </w:pPr>
    </w:p>
    <w:p>
      <w:pPr>
        <w:ind w:left="80"/>
        <w:spacing w:after="0"/>
        <w:rPr>
          <w:rFonts w:ascii="Arial" w:cs="Arial" w:eastAsia="Arial" w:hAnsi="Arial"/>
          <w:sz w:val="23"/>
          <w:szCs w:val="23"/>
          <w:b w:val="1"/>
          <w:bCs w:val="1"/>
          <w:u w:val="single" w:color="auto"/>
          <w:color w:val="0000EE"/>
        </w:rPr>
      </w:pPr>
      <w:hyperlink w:anchor="page93">
        <w:r>
          <w:rPr>
            <w:rFonts w:ascii="Arial" w:cs="Arial" w:eastAsia="Arial" w:hAnsi="Arial"/>
            <w:sz w:val="23"/>
            <w:szCs w:val="23"/>
            <w:b w:val="1"/>
            <w:bCs w:val="1"/>
            <w:u w:val="single" w:color="auto"/>
            <w:color w:val="0000EE"/>
          </w:rPr>
          <w:t>Audit Matters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27305</wp:posOffset>
            </wp:positionV>
            <wp:extent cx="342011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109" w:lineRule="exact"/>
        <w:rPr>
          <w:sz w:val="20"/>
          <w:szCs w:val="20"/>
          <w:color w:val="auto"/>
        </w:rPr>
      </w:pPr>
    </w:p>
    <w:p>
      <w:pPr>
        <w:ind w:left="80"/>
        <w:spacing w:after="0"/>
        <w:rPr>
          <w:rFonts w:ascii="Arial" w:cs="Arial" w:eastAsia="Arial" w:hAnsi="Arial"/>
          <w:sz w:val="16"/>
          <w:szCs w:val="16"/>
          <w:b w:val="1"/>
          <w:bCs w:val="1"/>
          <w:color w:val="0000EE"/>
        </w:rPr>
      </w:pPr>
      <w:hyperlink w:anchor="page93">
        <w:r>
          <w:rPr>
            <w:rFonts w:ascii="Arial" w:cs="Arial" w:eastAsia="Arial" w:hAnsi="Arial"/>
            <w:sz w:val="16"/>
            <w:szCs w:val="16"/>
            <w:b w:val="1"/>
            <w:bCs w:val="1"/>
            <w:color w:val="0000EE"/>
          </w:rPr>
          <w:t>Proposal 3: Ratification of independent registered public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3243580</wp:posOffset>
            </wp:positionH>
            <wp:positionV relativeFrom="paragraph">
              <wp:posOffset>0</wp:posOffset>
            </wp:positionV>
            <wp:extent cx="137160" cy="145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7160" cy="1454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9"/>
        </w:trPr>
        <w:tc>
          <w:tcPr>
            <w:tcW w:w="80" w:type="dxa"/>
            <w:vAlign w:val="bottom"/>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1220" w:type="dxa"/>
            <w:vAlign w:val="bottom"/>
            <w:tcBorders>
              <w:top w:val="single" w:sz="8" w:color="0000EE"/>
              <w:bottom w:val="single" w:sz="8" w:color="0000EE"/>
            </w:tcBorders>
            <w:gridSpan w:val="4"/>
          </w:tcPr>
          <w:p>
            <w:pPr>
              <w:spacing w:after="0" w:line="169" w:lineRule="exact"/>
              <w:rPr>
                <w:rFonts w:ascii="Arial" w:cs="Arial" w:eastAsia="Arial" w:hAnsi="Arial"/>
                <w:sz w:val="16"/>
                <w:szCs w:val="16"/>
                <w:b w:val="1"/>
                <w:bCs w:val="1"/>
                <w:color w:val="0000EE"/>
                <w:w w:val="99"/>
              </w:rPr>
            </w:pPr>
            <w:hyperlink w:anchor="page93">
              <w:r>
                <w:rPr>
                  <w:rFonts w:ascii="Arial" w:cs="Arial" w:eastAsia="Arial" w:hAnsi="Arial"/>
                  <w:sz w:val="16"/>
                  <w:szCs w:val="16"/>
                  <w:b w:val="1"/>
                  <w:bCs w:val="1"/>
                  <w:color w:val="0000EE"/>
                  <w:w w:val="99"/>
                </w:rPr>
                <w:t>accounting firm</w:t>
              </w:r>
            </w:hyperlink>
          </w:p>
        </w:tc>
        <w:tc>
          <w:tcPr>
            <w:tcW w:w="3040" w:type="dxa"/>
            <w:vAlign w:val="bottom"/>
            <w:tcBorders>
              <w:top w:val="single" w:sz="8" w:color="0000EE"/>
            </w:tcBorders>
            <w:gridSpan w:val="4"/>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71"/>
        </w:trPr>
        <w:tc>
          <w:tcPr>
            <w:tcW w:w="4500" w:type="dxa"/>
            <w:vAlign w:val="bottom"/>
            <w:gridSpan w:val="11"/>
          </w:tcPr>
          <w:p>
            <w:pPr>
              <w:ind w:left="80"/>
              <w:spacing w:after="0"/>
              <w:rPr>
                <w:rFonts w:ascii="Arial" w:cs="Arial" w:eastAsia="Arial" w:hAnsi="Arial"/>
                <w:sz w:val="16"/>
                <w:szCs w:val="16"/>
                <w:u w:val="single" w:color="auto"/>
                <w:color w:val="0000EE"/>
              </w:rPr>
            </w:pPr>
            <w:hyperlink w:anchor="page94">
              <w:r>
                <w:rPr>
                  <w:rFonts w:ascii="Arial" w:cs="Arial" w:eastAsia="Arial" w:hAnsi="Arial"/>
                  <w:sz w:val="16"/>
                  <w:szCs w:val="16"/>
                  <w:u w:val="single" w:color="auto"/>
                  <w:color w:val="0000EE"/>
                </w:rPr>
                <w:t>Executive summary</w:t>
              </w:r>
            </w:hyperlink>
          </w:p>
        </w:tc>
        <w:tc>
          <w:tcPr>
            <w:tcW w:w="900" w:type="dxa"/>
            <w:vAlign w:val="bottom"/>
          </w:tcPr>
          <w:p>
            <w:pPr>
              <w:jc w:val="right"/>
              <w:spacing w:after="0"/>
              <w:rPr>
                <w:sz w:val="20"/>
                <w:szCs w:val="20"/>
                <w:color w:val="auto"/>
              </w:rPr>
            </w:pPr>
            <w:r>
              <w:rPr>
                <w:rFonts w:ascii="Arial" w:cs="Arial" w:eastAsia="Arial" w:hAnsi="Arial"/>
                <w:sz w:val="16"/>
                <w:szCs w:val="16"/>
                <w:color w:val="auto"/>
              </w:rPr>
              <w:t>87</w:t>
            </w:r>
          </w:p>
        </w:tc>
      </w:tr>
      <w:tr>
        <w:trPr>
          <w:trHeight w:val="243"/>
        </w:trPr>
        <w:tc>
          <w:tcPr>
            <w:tcW w:w="4500" w:type="dxa"/>
            <w:vAlign w:val="bottom"/>
            <w:gridSpan w:val="11"/>
          </w:tcPr>
          <w:p>
            <w:pPr>
              <w:ind w:left="80"/>
              <w:spacing w:after="0"/>
              <w:rPr>
                <w:rFonts w:ascii="Arial" w:cs="Arial" w:eastAsia="Arial" w:hAnsi="Arial"/>
                <w:sz w:val="16"/>
                <w:szCs w:val="16"/>
                <w:u w:val="single" w:color="auto"/>
                <w:color w:val="0000EE"/>
              </w:rPr>
            </w:pPr>
            <w:hyperlink w:anchor="page96">
              <w:r>
                <w:rPr>
                  <w:rFonts w:ascii="Arial" w:cs="Arial" w:eastAsia="Arial" w:hAnsi="Arial"/>
                  <w:sz w:val="16"/>
                  <w:szCs w:val="16"/>
                  <w:u w:val="single" w:color="auto"/>
                  <w:color w:val="0000EE"/>
                </w:rPr>
                <w:t>Audit Committee approval policies and procedures</w:t>
              </w:r>
            </w:hyperlink>
          </w:p>
        </w:tc>
        <w:tc>
          <w:tcPr>
            <w:tcW w:w="900" w:type="dxa"/>
            <w:vAlign w:val="bottom"/>
          </w:tcPr>
          <w:p>
            <w:pPr>
              <w:jc w:val="right"/>
              <w:spacing w:after="0"/>
              <w:rPr>
                <w:sz w:val="20"/>
                <w:szCs w:val="20"/>
                <w:color w:val="auto"/>
              </w:rPr>
            </w:pPr>
            <w:r>
              <w:rPr>
                <w:rFonts w:ascii="Arial" w:cs="Arial" w:eastAsia="Arial" w:hAnsi="Arial"/>
                <w:sz w:val="16"/>
                <w:szCs w:val="16"/>
                <w:color w:val="auto"/>
              </w:rPr>
              <w:t>89</w:t>
            </w:r>
          </w:p>
        </w:tc>
      </w:tr>
      <w:tr>
        <w:trPr>
          <w:trHeight w:val="243"/>
        </w:trPr>
        <w:tc>
          <w:tcPr>
            <w:tcW w:w="4500" w:type="dxa"/>
            <w:vAlign w:val="bottom"/>
            <w:gridSpan w:val="11"/>
          </w:tcPr>
          <w:p>
            <w:pPr>
              <w:ind w:left="80"/>
              <w:spacing w:after="0"/>
              <w:rPr>
                <w:rFonts w:ascii="Arial" w:cs="Arial" w:eastAsia="Arial" w:hAnsi="Arial"/>
                <w:sz w:val="16"/>
                <w:szCs w:val="16"/>
                <w:u w:val="single" w:color="auto"/>
                <w:color w:val="0000EE"/>
              </w:rPr>
            </w:pPr>
            <w:hyperlink w:anchor="page97">
              <w:r>
                <w:rPr>
                  <w:rFonts w:ascii="Arial" w:cs="Arial" w:eastAsia="Arial" w:hAnsi="Arial"/>
                  <w:sz w:val="16"/>
                  <w:szCs w:val="16"/>
                  <w:u w:val="single" w:color="auto"/>
                  <w:color w:val="0000EE"/>
                </w:rPr>
                <w:t>Audit Committee report</w:t>
              </w:r>
            </w:hyperlink>
          </w:p>
        </w:tc>
        <w:tc>
          <w:tcPr>
            <w:tcW w:w="900" w:type="dxa"/>
            <w:vAlign w:val="bottom"/>
          </w:tcPr>
          <w:p>
            <w:pPr>
              <w:jc w:val="right"/>
              <w:spacing w:after="0"/>
              <w:rPr>
                <w:sz w:val="20"/>
                <w:szCs w:val="20"/>
                <w:color w:val="auto"/>
              </w:rPr>
            </w:pPr>
            <w:r>
              <w:rPr>
                <w:rFonts w:ascii="Arial" w:cs="Arial" w:eastAsia="Arial" w:hAnsi="Arial"/>
                <w:sz w:val="16"/>
                <w:szCs w:val="16"/>
                <w:color w:val="auto"/>
              </w:rPr>
              <w:t>90</w:t>
            </w:r>
          </w:p>
        </w:tc>
      </w:tr>
      <w:tr>
        <w:trPr>
          <w:trHeight w:val="386"/>
        </w:trPr>
        <w:tc>
          <w:tcPr>
            <w:tcW w:w="80" w:type="dxa"/>
            <w:vAlign w:val="bottom"/>
          </w:tcPr>
          <w:p>
            <w:pPr>
              <w:spacing w:after="0"/>
              <w:rPr>
                <w:sz w:val="24"/>
                <w:szCs w:val="24"/>
                <w:color w:val="auto"/>
              </w:rPr>
            </w:pPr>
          </w:p>
        </w:tc>
        <w:tc>
          <w:tcPr>
            <w:tcW w:w="4420" w:type="dxa"/>
            <w:vAlign w:val="bottom"/>
            <w:gridSpan w:val="10"/>
          </w:tcPr>
          <w:p>
            <w:pPr>
              <w:spacing w:after="0"/>
              <w:rPr>
                <w:rFonts w:ascii="Arial" w:cs="Arial" w:eastAsia="Arial" w:hAnsi="Arial"/>
                <w:sz w:val="23"/>
                <w:szCs w:val="23"/>
                <w:b w:val="1"/>
                <w:bCs w:val="1"/>
                <w:u w:val="single" w:color="auto"/>
                <w:color w:val="0000EE"/>
              </w:rPr>
            </w:pPr>
            <w:hyperlink w:anchor="page99">
              <w:r>
                <w:rPr>
                  <w:rFonts w:ascii="Arial" w:cs="Arial" w:eastAsia="Arial" w:hAnsi="Arial"/>
                  <w:sz w:val="23"/>
                  <w:szCs w:val="23"/>
                  <w:b w:val="1"/>
                  <w:bCs w:val="1"/>
                  <w:u w:val="single" w:color="auto"/>
                  <w:color w:val="0000EE"/>
                </w:rPr>
                <w:t>Shareholder Proposals</w:t>
              </w:r>
            </w:hyperlink>
          </w:p>
        </w:tc>
        <w:tc>
          <w:tcPr>
            <w:tcW w:w="900" w:type="dxa"/>
            <w:vAlign w:val="bottom"/>
          </w:tcPr>
          <w:p>
            <w:pPr>
              <w:spacing w:after="0"/>
              <w:rPr>
                <w:sz w:val="24"/>
                <w:szCs w:val="24"/>
                <w:color w:val="auto"/>
              </w:rPr>
            </w:pPr>
          </w:p>
        </w:tc>
      </w:tr>
      <w:tr>
        <w:trPr>
          <w:trHeight w:val="38"/>
        </w:trPr>
        <w:tc>
          <w:tcPr>
            <w:tcW w:w="80" w:type="dxa"/>
            <w:vAlign w:val="bottom"/>
            <w:tcBorders>
              <w:bottom w:val="single" w:sz="8" w:color="004876"/>
            </w:tcBorders>
          </w:tcPr>
          <w:p>
            <w:pPr>
              <w:spacing w:after="0"/>
              <w:rPr>
                <w:sz w:val="3"/>
                <w:szCs w:val="3"/>
                <w:color w:val="auto"/>
              </w:rPr>
            </w:pPr>
          </w:p>
        </w:tc>
        <w:tc>
          <w:tcPr>
            <w:tcW w:w="100" w:type="dxa"/>
            <w:vAlign w:val="bottom"/>
            <w:tcBorders>
              <w:bottom w:val="single" w:sz="8" w:color="004876"/>
            </w:tcBorders>
          </w:tcPr>
          <w:p>
            <w:pPr>
              <w:spacing w:after="0"/>
              <w:rPr>
                <w:sz w:val="3"/>
                <w:szCs w:val="3"/>
                <w:color w:val="auto"/>
              </w:rPr>
            </w:pPr>
          </w:p>
        </w:tc>
        <w:tc>
          <w:tcPr>
            <w:tcW w:w="40" w:type="dxa"/>
            <w:vAlign w:val="bottom"/>
            <w:tcBorders>
              <w:bottom w:val="single" w:sz="8" w:color="004876"/>
            </w:tcBorders>
          </w:tcPr>
          <w:p>
            <w:pPr>
              <w:spacing w:after="0"/>
              <w:rPr>
                <w:sz w:val="3"/>
                <w:szCs w:val="3"/>
                <w:color w:val="auto"/>
              </w:rPr>
            </w:pPr>
          </w:p>
        </w:tc>
        <w:tc>
          <w:tcPr>
            <w:tcW w:w="180" w:type="dxa"/>
            <w:vAlign w:val="bottom"/>
            <w:tcBorders>
              <w:bottom w:val="single" w:sz="8" w:color="004876"/>
            </w:tcBorders>
          </w:tcPr>
          <w:p>
            <w:pPr>
              <w:spacing w:after="0"/>
              <w:rPr>
                <w:sz w:val="3"/>
                <w:szCs w:val="3"/>
                <w:color w:val="auto"/>
              </w:rPr>
            </w:pPr>
          </w:p>
        </w:tc>
        <w:tc>
          <w:tcPr>
            <w:tcW w:w="40" w:type="dxa"/>
            <w:vAlign w:val="bottom"/>
            <w:tcBorders>
              <w:bottom w:val="single" w:sz="8" w:color="004876"/>
            </w:tcBorders>
          </w:tcPr>
          <w:p>
            <w:pPr>
              <w:spacing w:after="0"/>
              <w:rPr>
                <w:sz w:val="3"/>
                <w:szCs w:val="3"/>
                <w:color w:val="auto"/>
              </w:rPr>
            </w:pPr>
          </w:p>
        </w:tc>
        <w:tc>
          <w:tcPr>
            <w:tcW w:w="960" w:type="dxa"/>
            <w:vAlign w:val="bottom"/>
            <w:tcBorders>
              <w:bottom w:val="single" w:sz="8" w:color="004876"/>
            </w:tcBorders>
          </w:tcPr>
          <w:p>
            <w:pPr>
              <w:spacing w:after="0"/>
              <w:rPr>
                <w:sz w:val="3"/>
                <w:szCs w:val="3"/>
                <w:color w:val="auto"/>
              </w:rPr>
            </w:pPr>
          </w:p>
        </w:tc>
        <w:tc>
          <w:tcPr>
            <w:tcW w:w="380" w:type="dxa"/>
            <w:vAlign w:val="bottom"/>
            <w:tcBorders>
              <w:bottom w:val="single" w:sz="8" w:color="004876"/>
            </w:tcBorders>
          </w:tcPr>
          <w:p>
            <w:pPr>
              <w:spacing w:after="0"/>
              <w:rPr>
                <w:sz w:val="3"/>
                <w:szCs w:val="3"/>
                <w:color w:val="auto"/>
              </w:rPr>
            </w:pPr>
          </w:p>
        </w:tc>
        <w:tc>
          <w:tcPr>
            <w:tcW w:w="1060" w:type="dxa"/>
            <w:vAlign w:val="bottom"/>
            <w:tcBorders>
              <w:bottom w:val="single" w:sz="8" w:color="004876"/>
            </w:tcBorders>
          </w:tcPr>
          <w:p>
            <w:pPr>
              <w:spacing w:after="0"/>
              <w:rPr>
                <w:sz w:val="3"/>
                <w:szCs w:val="3"/>
                <w:color w:val="auto"/>
              </w:rPr>
            </w:pPr>
          </w:p>
        </w:tc>
        <w:tc>
          <w:tcPr>
            <w:tcW w:w="880" w:type="dxa"/>
            <w:vAlign w:val="bottom"/>
            <w:tcBorders>
              <w:bottom w:val="single" w:sz="8" w:color="004876"/>
            </w:tcBorders>
          </w:tcPr>
          <w:p>
            <w:pPr>
              <w:spacing w:after="0"/>
              <w:rPr>
                <w:sz w:val="3"/>
                <w:szCs w:val="3"/>
                <w:color w:val="auto"/>
              </w:rPr>
            </w:pPr>
          </w:p>
        </w:tc>
        <w:tc>
          <w:tcPr>
            <w:tcW w:w="720" w:type="dxa"/>
            <w:vAlign w:val="bottom"/>
            <w:tcBorders>
              <w:bottom w:val="single" w:sz="8" w:color="004876"/>
            </w:tcBorders>
          </w:tcPr>
          <w:p>
            <w:pPr>
              <w:spacing w:after="0"/>
              <w:rPr>
                <w:sz w:val="3"/>
                <w:szCs w:val="3"/>
                <w:color w:val="auto"/>
              </w:rPr>
            </w:pPr>
          </w:p>
        </w:tc>
        <w:tc>
          <w:tcPr>
            <w:tcW w:w="60" w:type="dxa"/>
            <w:vAlign w:val="bottom"/>
            <w:tcBorders>
              <w:bottom w:val="single" w:sz="8" w:color="004876"/>
            </w:tcBorders>
          </w:tcPr>
          <w:p>
            <w:pPr>
              <w:spacing w:after="0"/>
              <w:rPr>
                <w:sz w:val="3"/>
                <w:szCs w:val="3"/>
                <w:color w:val="auto"/>
              </w:rPr>
            </w:pPr>
          </w:p>
        </w:tc>
        <w:tc>
          <w:tcPr>
            <w:tcW w:w="900" w:type="dxa"/>
            <w:vAlign w:val="bottom"/>
            <w:tcBorders>
              <w:bottom w:val="single" w:sz="8" w:color="004876"/>
            </w:tcBorders>
          </w:tcPr>
          <w:p>
            <w:pPr>
              <w:spacing w:after="0"/>
              <w:rPr>
                <w:sz w:val="3"/>
                <w:szCs w:val="3"/>
                <w:color w:val="auto"/>
              </w:rPr>
            </w:pPr>
          </w:p>
        </w:tc>
      </w:tr>
      <w:tr>
        <w:trPr>
          <w:trHeight w:val="244"/>
        </w:trPr>
        <w:tc>
          <w:tcPr>
            <w:tcW w:w="400" w:type="dxa"/>
            <w:vAlign w:val="bottom"/>
            <w:gridSpan w:val="4"/>
          </w:tcPr>
          <w:p>
            <w:pPr>
              <w:ind w:left="220"/>
              <w:spacing w:after="0"/>
              <w:rPr>
                <w:rFonts w:ascii="Arial" w:cs="Arial" w:eastAsia="Arial" w:hAnsi="Arial"/>
                <w:sz w:val="16"/>
                <w:szCs w:val="16"/>
                <w:u w:val="single" w:color="auto"/>
                <w:color w:val="0000EE"/>
              </w:rPr>
            </w:pPr>
            <w:hyperlink w:anchor="page100">
              <w:r>
                <w:rPr>
                  <w:rFonts w:ascii="Arial" w:cs="Arial" w:eastAsia="Arial" w:hAnsi="Arial"/>
                  <w:sz w:val="16"/>
                  <w:szCs w:val="16"/>
                  <w:u w:val="single" w:color="auto"/>
                  <w:color w:val="0000EE"/>
                </w:rPr>
                <w:t>4.</w:t>
              </w:r>
            </w:hyperlink>
          </w:p>
        </w:tc>
        <w:tc>
          <w:tcPr>
            <w:tcW w:w="40" w:type="dxa"/>
            <w:vAlign w:val="bottom"/>
          </w:tcPr>
          <w:p>
            <w:pPr>
              <w:spacing w:after="0"/>
              <w:rPr>
                <w:sz w:val="21"/>
                <w:szCs w:val="21"/>
                <w:color w:val="auto"/>
              </w:rPr>
            </w:pPr>
          </w:p>
        </w:tc>
        <w:tc>
          <w:tcPr>
            <w:tcW w:w="4060" w:type="dxa"/>
            <w:vAlign w:val="bottom"/>
            <w:gridSpan w:val="6"/>
          </w:tcPr>
          <w:p>
            <w:pPr>
              <w:spacing w:after="0"/>
              <w:rPr>
                <w:rFonts w:ascii="Arial" w:cs="Arial" w:eastAsia="Arial" w:hAnsi="Arial"/>
                <w:sz w:val="16"/>
                <w:szCs w:val="16"/>
                <w:u w:val="single" w:color="auto"/>
                <w:color w:val="0000EE"/>
              </w:rPr>
            </w:pPr>
            <w:hyperlink w:anchor="page100">
              <w:r>
                <w:rPr>
                  <w:rFonts w:ascii="Arial" w:cs="Arial" w:eastAsia="Arial" w:hAnsi="Arial"/>
                  <w:sz w:val="16"/>
                  <w:szCs w:val="16"/>
                  <w:u w:val="single" w:color="auto"/>
                  <w:color w:val="0000EE"/>
                </w:rPr>
                <w:t>Independent board chairman</w:t>
              </w:r>
            </w:hyperlink>
          </w:p>
        </w:tc>
        <w:tc>
          <w:tcPr>
            <w:tcW w:w="900" w:type="dxa"/>
            <w:vAlign w:val="bottom"/>
          </w:tcPr>
          <w:p>
            <w:pPr>
              <w:jc w:val="right"/>
              <w:spacing w:after="0"/>
              <w:rPr>
                <w:sz w:val="20"/>
                <w:szCs w:val="20"/>
                <w:color w:val="auto"/>
              </w:rPr>
            </w:pPr>
            <w:r>
              <w:rPr>
                <w:rFonts w:ascii="Arial" w:cs="Arial" w:eastAsia="Arial" w:hAnsi="Arial"/>
                <w:sz w:val="16"/>
                <w:szCs w:val="16"/>
                <w:color w:val="auto"/>
              </w:rPr>
              <w:t>93</w:t>
            </w:r>
          </w:p>
        </w:tc>
      </w:tr>
      <w:tr>
        <w:trPr>
          <w:trHeight w:val="195"/>
        </w:trPr>
        <w:tc>
          <w:tcPr>
            <w:tcW w:w="400" w:type="dxa"/>
            <w:vAlign w:val="bottom"/>
            <w:gridSpan w:val="4"/>
          </w:tcPr>
          <w:p>
            <w:pPr>
              <w:ind w:left="220"/>
              <w:spacing w:after="0"/>
              <w:rPr>
                <w:rFonts w:ascii="Arial" w:cs="Arial" w:eastAsia="Arial" w:hAnsi="Arial"/>
                <w:sz w:val="16"/>
                <w:szCs w:val="16"/>
                <w:color w:val="0000EE"/>
              </w:rPr>
            </w:pPr>
            <w:hyperlink w:anchor="page102">
              <w:r>
                <w:rPr>
                  <w:rFonts w:ascii="Arial" w:cs="Arial" w:eastAsia="Arial" w:hAnsi="Arial"/>
                  <w:sz w:val="16"/>
                  <w:szCs w:val="16"/>
                  <w:color w:val="0000EE"/>
                </w:rPr>
                <w:t>5.</w:t>
              </w:r>
            </w:hyperlink>
          </w:p>
        </w:tc>
        <w:tc>
          <w:tcPr>
            <w:tcW w:w="40" w:type="dxa"/>
            <w:vAlign w:val="bottom"/>
          </w:tcPr>
          <w:p>
            <w:pPr>
              <w:spacing w:after="0"/>
              <w:rPr>
                <w:sz w:val="16"/>
                <w:szCs w:val="16"/>
                <w:color w:val="auto"/>
              </w:rPr>
            </w:pPr>
          </w:p>
        </w:tc>
        <w:tc>
          <w:tcPr>
            <w:tcW w:w="4060" w:type="dxa"/>
            <w:vAlign w:val="bottom"/>
            <w:gridSpan w:val="6"/>
          </w:tcPr>
          <w:p>
            <w:pPr>
              <w:spacing w:after="0"/>
              <w:rPr>
                <w:rFonts w:ascii="Arial" w:cs="Arial" w:eastAsia="Arial" w:hAnsi="Arial"/>
                <w:sz w:val="16"/>
                <w:szCs w:val="16"/>
                <w:color w:val="0000EE"/>
              </w:rPr>
            </w:pPr>
            <w:hyperlink w:anchor="page102">
              <w:r>
                <w:rPr>
                  <w:rFonts w:ascii="Arial" w:cs="Arial" w:eastAsia="Arial" w:hAnsi="Arial"/>
                  <w:sz w:val="16"/>
                  <w:szCs w:val="16"/>
                  <w:color w:val="0000EE"/>
                </w:rPr>
                <w:t>Oil and gas company and project financing related to the</w:t>
              </w:r>
            </w:hyperlink>
          </w:p>
        </w:tc>
        <w:tc>
          <w:tcPr>
            <w:tcW w:w="900" w:type="dxa"/>
            <w:vAlign w:val="bottom"/>
          </w:tcPr>
          <w:p>
            <w:pPr>
              <w:spacing w:after="0"/>
              <w:rPr>
                <w:sz w:val="16"/>
                <w:szCs w:val="16"/>
                <w:color w:val="auto"/>
              </w:rPr>
            </w:pPr>
          </w:p>
        </w:tc>
      </w:tr>
      <w:tr>
        <w:trPr>
          <w:trHeight w:val="169"/>
        </w:trPr>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4100" w:type="dxa"/>
            <w:vAlign w:val="bottom"/>
            <w:tcBorders>
              <w:top w:val="single" w:sz="8" w:color="0000EE"/>
            </w:tcBorders>
            <w:gridSpan w:val="7"/>
          </w:tcPr>
          <w:p>
            <w:pPr>
              <w:ind w:left="40"/>
              <w:spacing w:after="0" w:line="155" w:lineRule="exact"/>
              <w:rPr>
                <w:rFonts w:ascii="Arial" w:cs="Arial" w:eastAsia="Arial" w:hAnsi="Arial"/>
                <w:sz w:val="16"/>
                <w:szCs w:val="16"/>
                <w:color w:val="0000EE"/>
              </w:rPr>
            </w:pPr>
            <w:hyperlink w:anchor="page102">
              <w:r>
                <w:rPr>
                  <w:rFonts w:ascii="Arial" w:cs="Arial" w:eastAsia="Arial" w:hAnsi="Arial"/>
                  <w:sz w:val="16"/>
                  <w:szCs w:val="16"/>
                  <w:color w:val="0000EE"/>
                </w:rPr>
                <w:t>Arctic and the Canadian oil sands</w:t>
              </w:r>
            </w:hyperlink>
          </w:p>
        </w:tc>
        <w:tc>
          <w:tcPr>
            <w:tcW w:w="900" w:type="dxa"/>
            <w:vAlign w:val="bottom"/>
          </w:tcPr>
          <w:p>
            <w:pPr>
              <w:jc w:val="right"/>
              <w:spacing w:after="0" w:line="155" w:lineRule="exact"/>
              <w:rPr>
                <w:sz w:val="20"/>
                <w:szCs w:val="20"/>
                <w:color w:val="auto"/>
              </w:rPr>
            </w:pPr>
            <w:r>
              <w:rPr>
                <w:rFonts w:ascii="Arial" w:cs="Arial" w:eastAsia="Arial" w:hAnsi="Arial"/>
                <w:sz w:val="16"/>
                <w:szCs w:val="16"/>
                <w:color w:val="auto"/>
              </w:rPr>
              <w:t>95</w:t>
            </w:r>
          </w:p>
        </w:tc>
      </w:tr>
      <w:tr>
        <w:trPr>
          <w:trHeight w:val="271"/>
        </w:trPr>
        <w:tc>
          <w:tcPr>
            <w:tcW w:w="400" w:type="dxa"/>
            <w:vAlign w:val="bottom"/>
            <w:gridSpan w:val="4"/>
          </w:tcPr>
          <w:p>
            <w:pPr>
              <w:ind w:left="220"/>
              <w:spacing w:after="0"/>
              <w:rPr>
                <w:rFonts w:ascii="Arial" w:cs="Arial" w:eastAsia="Arial" w:hAnsi="Arial"/>
                <w:sz w:val="16"/>
                <w:szCs w:val="16"/>
                <w:u w:val="single" w:color="auto"/>
                <w:color w:val="0000EE"/>
              </w:rPr>
            </w:pPr>
            <w:hyperlink w:anchor="page104">
              <w:r>
                <w:rPr>
                  <w:rFonts w:ascii="Arial" w:cs="Arial" w:eastAsia="Arial" w:hAnsi="Arial"/>
                  <w:sz w:val="16"/>
                  <w:szCs w:val="16"/>
                  <w:u w:val="single" w:color="auto"/>
                  <w:color w:val="0000EE"/>
                </w:rPr>
                <w:t>6.</w:t>
              </w:r>
            </w:hyperlink>
          </w:p>
        </w:tc>
        <w:tc>
          <w:tcPr>
            <w:tcW w:w="40" w:type="dxa"/>
            <w:vAlign w:val="bottom"/>
          </w:tcPr>
          <w:p>
            <w:pPr>
              <w:spacing w:after="0"/>
              <w:rPr>
                <w:sz w:val="23"/>
                <w:szCs w:val="23"/>
                <w:color w:val="auto"/>
              </w:rPr>
            </w:pPr>
          </w:p>
        </w:tc>
        <w:tc>
          <w:tcPr>
            <w:tcW w:w="2400" w:type="dxa"/>
            <w:vAlign w:val="bottom"/>
            <w:tcBorders>
              <w:top w:val="single" w:sz="8" w:color="0000EE"/>
            </w:tcBorders>
            <w:gridSpan w:val="3"/>
          </w:tcPr>
          <w:p>
            <w:pPr>
              <w:spacing w:after="0"/>
              <w:rPr>
                <w:rFonts w:ascii="Arial" w:cs="Arial" w:eastAsia="Arial" w:hAnsi="Arial"/>
                <w:sz w:val="16"/>
                <w:szCs w:val="16"/>
                <w:u w:val="single" w:color="auto"/>
                <w:color w:val="0000EE"/>
              </w:rPr>
            </w:pPr>
            <w:hyperlink w:anchor="page104">
              <w:r>
                <w:rPr>
                  <w:rFonts w:ascii="Arial" w:cs="Arial" w:eastAsia="Arial" w:hAnsi="Arial"/>
                  <w:sz w:val="16"/>
                  <w:szCs w:val="16"/>
                  <w:u w:val="single" w:color="auto"/>
                  <w:color w:val="0000EE"/>
                </w:rPr>
                <w:t>Climate change risk reporting</w:t>
              </w:r>
            </w:hyperlink>
          </w:p>
        </w:tc>
        <w:tc>
          <w:tcPr>
            <w:tcW w:w="1660" w:type="dxa"/>
            <w:vAlign w:val="bottom"/>
            <w:gridSpan w:val="3"/>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97</w:t>
            </w:r>
          </w:p>
        </w:tc>
      </w:tr>
      <w:tr>
        <w:trPr>
          <w:trHeight w:val="243"/>
        </w:trPr>
        <w:tc>
          <w:tcPr>
            <w:tcW w:w="400" w:type="dxa"/>
            <w:vAlign w:val="bottom"/>
            <w:gridSpan w:val="4"/>
          </w:tcPr>
          <w:p>
            <w:pPr>
              <w:ind w:left="220"/>
              <w:spacing w:after="0"/>
              <w:rPr>
                <w:rFonts w:ascii="Arial" w:cs="Arial" w:eastAsia="Arial" w:hAnsi="Arial"/>
                <w:sz w:val="16"/>
                <w:szCs w:val="16"/>
                <w:u w:val="single" w:color="auto"/>
                <w:color w:val="0000EE"/>
              </w:rPr>
            </w:pPr>
            <w:hyperlink w:anchor="page107">
              <w:r>
                <w:rPr>
                  <w:rFonts w:ascii="Arial" w:cs="Arial" w:eastAsia="Arial" w:hAnsi="Arial"/>
                  <w:sz w:val="16"/>
                  <w:szCs w:val="16"/>
                  <w:u w:val="single" w:color="auto"/>
                  <w:color w:val="0000EE"/>
                </w:rPr>
                <w:t>7.</w:t>
              </w:r>
            </w:hyperlink>
          </w:p>
        </w:tc>
        <w:tc>
          <w:tcPr>
            <w:tcW w:w="40" w:type="dxa"/>
            <w:vAlign w:val="bottom"/>
          </w:tcPr>
          <w:p>
            <w:pPr>
              <w:spacing w:after="0"/>
              <w:rPr>
                <w:sz w:val="21"/>
                <w:szCs w:val="21"/>
                <w:color w:val="auto"/>
              </w:rPr>
            </w:pPr>
          </w:p>
        </w:tc>
        <w:tc>
          <w:tcPr>
            <w:tcW w:w="4060" w:type="dxa"/>
            <w:vAlign w:val="bottom"/>
            <w:gridSpan w:val="6"/>
          </w:tcPr>
          <w:p>
            <w:pPr>
              <w:spacing w:after="0"/>
              <w:rPr>
                <w:rFonts w:ascii="Arial" w:cs="Arial" w:eastAsia="Arial" w:hAnsi="Arial"/>
                <w:sz w:val="16"/>
                <w:szCs w:val="16"/>
                <w:u w:val="single" w:color="auto"/>
                <w:color w:val="0000EE"/>
              </w:rPr>
            </w:pPr>
            <w:hyperlink w:anchor="page107">
              <w:r>
                <w:rPr>
                  <w:rFonts w:ascii="Arial" w:cs="Arial" w:eastAsia="Arial" w:hAnsi="Arial"/>
                  <w:sz w:val="16"/>
                  <w:szCs w:val="16"/>
                  <w:u w:val="single" w:color="auto"/>
                  <w:color w:val="0000EE"/>
                </w:rPr>
                <w:t>Amend shareholder written consent provisions</w:t>
              </w:r>
            </w:hyperlink>
          </w:p>
        </w:tc>
        <w:tc>
          <w:tcPr>
            <w:tcW w:w="90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43"/>
        </w:trPr>
        <w:tc>
          <w:tcPr>
            <w:tcW w:w="400" w:type="dxa"/>
            <w:vAlign w:val="bottom"/>
            <w:gridSpan w:val="4"/>
          </w:tcPr>
          <w:p>
            <w:pPr>
              <w:ind w:left="220"/>
              <w:spacing w:after="0"/>
              <w:rPr>
                <w:rFonts w:ascii="Arial" w:cs="Arial" w:eastAsia="Arial" w:hAnsi="Arial"/>
                <w:sz w:val="16"/>
                <w:szCs w:val="16"/>
                <w:u w:val="single" w:color="auto"/>
                <w:color w:val="0000EE"/>
              </w:rPr>
            </w:pPr>
            <w:hyperlink w:anchor="page109">
              <w:r>
                <w:rPr>
                  <w:rFonts w:ascii="Arial" w:cs="Arial" w:eastAsia="Arial" w:hAnsi="Arial"/>
                  <w:sz w:val="16"/>
                  <w:szCs w:val="16"/>
                  <w:u w:val="single" w:color="auto"/>
                  <w:color w:val="0000EE"/>
                </w:rPr>
                <w:t>8.</w:t>
              </w:r>
            </w:hyperlink>
          </w:p>
        </w:tc>
        <w:tc>
          <w:tcPr>
            <w:tcW w:w="40" w:type="dxa"/>
            <w:vAlign w:val="bottom"/>
          </w:tcPr>
          <w:p>
            <w:pPr>
              <w:spacing w:after="0"/>
              <w:rPr>
                <w:sz w:val="21"/>
                <w:szCs w:val="21"/>
                <w:color w:val="auto"/>
              </w:rPr>
            </w:pPr>
          </w:p>
        </w:tc>
        <w:tc>
          <w:tcPr>
            <w:tcW w:w="4060" w:type="dxa"/>
            <w:vAlign w:val="bottom"/>
            <w:gridSpan w:val="6"/>
          </w:tcPr>
          <w:p>
            <w:pPr>
              <w:spacing w:after="0"/>
              <w:rPr>
                <w:rFonts w:ascii="Arial" w:cs="Arial" w:eastAsia="Arial" w:hAnsi="Arial"/>
                <w:sz w:val="16"/>
                <w:szCs w:val="16"/>
                <w:u w:val="single" w:color="auto"/>
                <w:color w:val="0000EE"/>
              </w:rPr>
            </w:pPr>
            <w:hyperlink w:anchor="page109">
              <w:r>
                <w:rPr>
                  <w:rFonts w:ascii="Arial" w:cs="Arial" w:eastAsia="Arial" w:hAnsi="Arial"/>
                  <w:sz w:val="16"/>
                  <w:szCs w:val="16"/>
                  <w:u w:val="single" w:color="auto"/>
                  <w:color w:val="0000EE"/>
                </w:rPr>
                <w:t>Charitable contributions disclosure</w:t>
              </w:r>
            </w:hyperlink>
          </w:p>
        </w:tc>
        <w:tc>
          <w:tcPr>
            <w:tcW w:w="900" w:type="dxa"/>
            <w:vAlign w:val="bottom"/>
          </w:tcPr>
          <w:p>
            <w:pPr>
              <w:jc w:val="right"/>
              <w:spacing w:after="0"/>
              <w:rPr>
                <w:sz w:val="20"/>
                <w:szCs w:val="20"/>
                <w:color w:val="auto"/>
              </w:rPr>
            </w:pPr>
            <w:r>
              <w:rPr>
                <w:rFonts w:ascii="Arial" w:cs="Arial" w:eastAsia="Arial" w:hAnsi="Arial"/>
                <w:sz w:val="16"/>
                <w:szCs w:val="16"/>
                <w:color w:val="auto"/>
              </w:rPr>
              <w:t>102</w:t>
            </w:r>
          </w:p>
        </w:tc>
      </w:tr>
      <w:tr>
        <w:trPr>
          <w:trHeight w:val="243"/>
        </w:trPr>
        <w:tc>
          <w:tcPr>
            <w:tcW w:w="400" w:type="dxa"/>
            <w:vAlign w:val="bottom"/>
            <w:gridSpan w:val="4"/>
          </w:tcPr>
          <w:p>
            <w:pPr>
              <w:ind w:left="220"/>
              <w:spacing w:after="0"/>
              <w:rPr>
                <w:rFonts w:ascii="Arial" w:cs="Arial" w:eastAsia="Arial" w:hAnsi="Arial"/>
                <w:sz w:val="16"/>
                <w:szCs w:val="16"/>
                <w:u w:val="single" w:color="auto"/>
                <w:color w:val="0000EE"/>
              </w:rPr>
            </w:pPr>
            <w:hyperlink w:anchor="page111">
              <w:r>
                <w:rPr>
                  <w:rFonts w:ascii="Arial" w:cs="Arial" w:eastAsia="Arial" w:hAnsi="Arial"/>
                  <w:sz w:val="16"/>
                  <w:szCs w:val="16"/>
                  <w:u w:val="single" w:color="auto"/>
                  <w:color w:val="0000EE"/>
                </w:rPr>
                <w:t>9.</w:t>
              </w:r>
            </w:hyperlink>
          </w:p>
        </w:tc>
        <w:tc>
          <w:tcPr>
            <w:tcW w:w="40" w:type="dxa"/>
            <w:vAlign w:val="bottom"/>
          </w:tcPr>
          <w:p>
            <w:pPr>
              <w:spacing w:after="0"/>
              <w:rPr>
                <w:sz w:val="21"/>
                <w:szCs w:val="21"/>
                <w:color w:val="auto"/>
              </w:rPr>
            </w:pPr>
          </w:p>
        </w:tc>
        <w:tc>
          <w:tcPr>
            <w:tcW w:w="4060" w:type="dxa"/>
            <w:vAlign w:val="bottom"/>
            <w:gridSpan w:val="6"/>
          </w:tcPr>
          <w:p>
            <w:pPr>
              <w:spacing w:after="0"/>
              <w:rPr>
                <w:rFonts w:ascii="Arial" w:cs="Arial" w:eastAsia="Arial" w:hAnsi="Arial"/>
                <w:sz w:val="16"/>
                <w:szCs w:val="16"/>
                <w:u w:val="single" w:color="auto"/>
                <w:color w:val="0000EE"/>
              </w:rPr>
            </w:pPr>
            <w:hyperlink w:anchor="page111">
              <w:r>
                <w:rPr>
                  <w:rFonts w:ascii="Arial" w:cs="Arial" w:eastAsia="Arial" w:hAnsi="Arial"/>
                  <w:sz w:val="16"/>
                  <w:szCs w:val="16"/>
                  <w:u w:val="single" w:color="auto"/>
                  <w:color w:val="0000EE"/>
                </w:rPr>
                <w:t>Gender/Racial pay equity</w:t>
              </w:r>
            </w:hyperlink>
          </w:p>
        </w:tc>
        <w:tc>
          <w:tcPr>
            <w:tcW w:w="900" w:type="dxa"/>
            <w:vAlign w:val="bottom"/>
          </w:tcPr>
          <w:p>
            <w:pPr>
              <w:jc w:val="right"/>
              <w:spacing w:after="0"/>
              <w:rPr>
                <w:sz w:val="20"/>
                <w:szCs w:val="20"/>
                <w:color w:val="auto"/>
              </w:rPr>
            </w:pPr>
            <w:r>
              <w:rPr>
                <w:rFonts w:ascii="Arial" w:cs="Arial" w:eastAsia="Arial" w:hAnsi="Arial"/>
                <w:sz w:val="16"/>
                <w:szCs w:val="16"/>
                <w:color w:val="auto"/>
              </w:rPr>
              <w:t>104</w:t>
            </w:r>
          </w:p>
        </w:tc>
      </w:tr>
      <w:tr>
        <w:trPr>
          <w:trHeight w:val="257"/>
        </w:trPr>
        <w:tc>
          <w:tcPr>
            <w:tcW w:w="4500" w:type="dxa"/>
            <w:vAlign w:val="bottom"/>
            <w:gridSpan w:val="11"/>
          </w:tcPr>
          <w:p>
            <w:pPr>
              <w:ind w:left="80"/>
              <w:spacing w:after="0"/>
              <w:rPr>
                <w:rFonts w:ascii="Arial" w:cs="Arial" w:eastAsia="Arial" w:hAnsi="Arial"/>
                <w:sz w:val="16"/>
                <w:szCs w:val="16"/>
                <w:b w:val="1"/>
                <w:bCs w:val="1"/>
                <w:u w:val="single" w:color="auto"/>
                <w:color w:val="0000EE"/>
              </w:rPr>
            </w:pPr>
            <w:hyperlink w:anchor="page114">
              <w:r>
                <w:rPr>
                  <w:rFonts w:ascii="Arial" w:cs="Arial" w:eastAsia="Arial" w:hAnsi="Arial"/>
                  <w:sz w:val="16"/>
                  <w:szCs w:val="16"/>
                  <w:b w:val="1"/>
                  <w:bCs w:val="1"/>
                  <w:u w:val="single" w:color="auto"/>
                  <w:color w:val="0000EE"/>
                </w:rPr>
                <w:t>Information about the annual shareholder meeting</w:t>
              </w:r>
            </w:hyperlink>
          </w:p>
        </w:tc>
        <w:tc>
          <w:tcPr>
            <w:tcW w:w="900" w:type="dxa"/>
            <w:vAlign w:val="bottom"/>
          </w:tcPr>
          <w:p>
            <w:pPr>
              <w:jc w:val="right"/>
              <w:spacing w:after="0"/>
              <w:rPr>
                <w:sz w:val="20"/>
                <w:szCs w:val="20"/>
                <w:color w:val="auto"/>
              </w:rPr>
            </w:pPr>
            <w:r>
              <w:rPr>
                <w:rFonts w:ascii="Arial" w:cs="Arial" w:eastAsia="Arial" w:hAnsi="Arial"/>
                <w:sz w:val="16"/>
                <w:szCs w:val="16"/>
                <w:color w:val="auto"/>
              </w:rPr>
              <w:t>107</w:t>
            </w:r>
          </w:p>
        </w:tc>
      </w:tr>
      <w:tr>
        <w:trPr>
          <w:trHeight w:val="222"/>
        </w:trPr>
        <w:tc>
          <w:tcPr>
            <w:tcW w:w="4500" w:type="dxa"/>
            <w:vAlign w:val="bottom"/>
            <w:gridSpan w:val="11"/>
          </w:tcPr>
          <w:p>
            <w:pPr>
              <w:ind w:left="80"/>
              <w:spacing w:after="0"/>
              <w:rPr>
                <w:rFonts w:ascii="Arial" w:cs="Arial" w:eastAsia="Arial" w:hAnsi="Arial"/>
                <w:sz w:val="16"/>
                <w:szCs w:val="16"/>
                <w:b w:val="1"/>
                <w:bCs w:val="1"/>
                <w:color w:val="0000EE"/>
              </w:rPr>
            </w:pPr>
            <w:hyperlink w:anchor="page119">
              <w:r>
                <w:rPr>
                  <w:rFonts w:ascii="Arial" w:cs="Arial" w:eastAsia="Arial" w:hAnsi="Arial"/>
                  <w:sz w:val="16"/>
                  <w:szCs w:val="16"/>
                  <w:b w:val="1"/>
                  <w:bCs w:val="1"/>
                  <w:color w:val="0000EE"/>
                </w:rPr>
                <w:t>Shareholder proposals and nominations for the</w:t>
              </w:r>
            </w:hyperlink>
          </w:p>
        </w:tc>
        <w:tc>
          <w:tcPr>
            <w:tcW w:w="900" w:type="dxa"/>
            <w:vAlign w:val="bottom"/>
          </w:tcPr>
          <w:p>
            <w:pPr>
              <w:spacing w:after="0"/>
              <w:rPr>
                <w:sz w:val="19"/>
                <w:szCs w:val="19"/>
                <w:color w:val="auto"/>
              </w:rPr>
            </w:pPr>
          </w:p>
        </w:tc>
      </w:tr>
      <w:tr>
        <w:trPr>
          <w:trHeight w:val="169"/>
        </w:trPr>
        <w:tc>
          <w:tcPr>
            <w:tcW w:w="80" w:type="dxa"/>
            <w:vAlign w:val="bottom"/>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1600" w:type="dxa"/>
            <w:vAlign w:val="bottom"/>
            <w:tcBorders>
              <w:top w:val="single" w:sz="8" w:color="0000EE"/>
              <w:bottom w:val="single" w:sz="8" w:color="0000EE"/>
            </w:tcBorders>
            <w:gridSpan w:val="5"/>
          </w:tcPr>
          <w:p>
            <w:pPr>
              <w:spacing w:after="0" w:line="169" w:lineRule="exact"/>
              <w:rPr>
                <w:rFonts w:ascii="Arial" w:cs="Arial" w:eastAsia="Arial" w:hAnsi="Arial"/>
                <w:sz w:val="16"/>
                <w:szCs w:val="16"/>
                <w:b w:val="1"/>
                <w:bCs w:val="1"/>
                <w:color w:val="0000EE"/>
              </w:rPr>
            </w:pPr>
            <w:hyperlink w:anchor="page119">
              <w:r>
                <w:rPr>
                  <w:rFonts w:ascii="Arial" w:cs="Arial" w:eastAsia="Arial" w:hAnsi="Arial"/>
                  <w:sz w:val="16"/>
                  <w:szCs w:val="16"/>
                  <w:b w:val="1"/>
                  <w:bCs w:val="1"/>
                  <w:color w:val="0000EE"/>
                </w:rPr>
                <w:t>2021 annual meeting</w:t>
              </w:r>
            </w:hyperlink>
          </w:p>
        </w:tc>
        <w:tc>
          <w:tcPr>
            <w:tcW w:w="1940" w:type="dxa"/>
            <w:vAlign w:val="bottom"/>
            <w:tcBorders>
              <w:top w:val="single" w:sz="8" w:color="0000EE"/>
            </w:tcBorders>
            <w:gridSpan w:val="2"/>
          </w:tcPr>
          <w:p>
            <w:pPr>
              <w:spacing w:after="0"/>
              <w:rPr>
                <w:sz w:val="14"/>
                <w:szCs w:val="14"/>
                <w:color w:val="auto"/>
              </w:rPr>
            </w:pPr>
          </w:p>
        </w:tc>
        <w:tc>
          <w:tcPr>
            <w:tcW w:w="780" w:type="dxa"/>
            <w:vAlign w:val="bottom"/>
            <w:gridSpan w:val="2"/>
          </w:tcPr>
          <w:p>
            <w:pPr>
              <w:spacing w:after="0"/>
              <w:rPr>
                <w:sz w:val="14"/>
                <w:szCs w:val="14"/>
                <w:color w:val="auto"/>
              </w:rPr>
            </w:pPr>
          </w:p>
        </w:tc>
        <w:tc>
          <w:tcPr>
            <w:tcW w:w="900" w:type="dxa"/>
            <w:vAlign w:val="bottom"/>
          </w:tcPr>
          <w:p>
            <w:pPr>
              <w:jc w:val="right"/>
              <w:spacing w:after="0" w:line="169" w:lineRule="exact"/>
              <w:rPr>
                <w:sz w:val="20"/>
                <w:szCs w:val="20"/>
                <w:color w:val="auto"/>
              </w:rPr>
            </w:pPr>
            <w:r>
              <w:rPr>
                <w:rFonts w:ascii="Arial" w:cs="Arial" w:eastAsia="Arial" w:hAnsi="Arial"/>
                <w:sz w:val="16"/>
                <w:szCs w:val="16"/>
                <w:color w:val="auto"/>
              </w:rPr>
              <w:t>112</w:t>
            </w:r>
          </w:p>
        </w:tc>
      </w:tr>
      <w:tr>
        <w:trPr>
          <w:trHeight w:val="325"/>
        </w:trPr>
        <w:tc>
          <w:tcPr>
            <w:tcW w:w="4500" w:type="dxa"/>
            <w:vAlign w:val="bottom"/>
            <w:gridSpan w:val="11"/>
          </w:tcPr>
          <w:p>
            <w:pPr>
              <w:ind w:left="80"/>
              <w:spacing w:after="0"/>
              <w:rPr>
                <w:rFonts w:ascii="Arial" w:cs="Arial" w:eastAsia="Arial" w:hAnsi="Arial"/>
                <w:sz w:val="16"/>
                <w:szCs w:val="16"/>
                <w:b w:val="1"/>
                <w:bCs w:val="1"/>
                <w:u w:val="single" w:color="auto"/>
                <w:color w:val="0000EE"/>
              </w:rPr>
            </w:pPr>
            <w:hyperlink w:anchor="page121">
              <w:r>
                <w:rPr>
                  <w:rFonts w:ascii="Arial" w:cs="Arial" w:eastAsia="Arial" w:hAnsi="Arial"/>
                  <w:sz w:val="16"/>
                  <w:szCs w:val="16"/>
                  <w:b w:val="1"/>
                  <w:bCs w:val="1"/>
                  <w:u w:val="single" w:color="auto"/>
                  <w:color w:val="0000EE"/>
                </w:rPr>
                <w:t>Notes on Non-GAAP financial measures</w:t>
              </w:r>
            </w:hyperlink>
          </w:p>
        </w:tc>
        <w:tc>
          <w:tcPr>
            <w:tcW w:w="900" w:type="dxa"/>
            <w:vAlign w:val="bottom"/>
          </w:tcPr>
          <w:p>
            <w:pPr>
              <w:jc w:val="right"/>
              <w:spacing w:after="0"/>
              <w:rPr>
                <w:sz w:val="20"/>
                <w:szCs w:val="20"/>
                <w:color w:val="auto"/>
              </w:rPr>
            </w:pPr>
            <w:r>
              <w:rPr>
                <w:rFonts w:ascii="Arial" w:cs="Arial" w:eastAsia="Arial" w:hAnsi="Arial"/>
                <w:sz w:val="16"/>
                <w:szCs w:val="16"/>
                <w:color w:val="auto"/>
              </w:rPr>
              <w:t>114</w:t>
            </w:r>
          </w:p>
        </w:tc>
      </w:tr>
      <w:tr>
        <w:trPr>
          <w:trHeight w:val="310"/>
        </w:trPr>
        <w:tc>
          <w:tcPr>
            <w:tcW w:w="4500" w:type="dxa"/>
            <w:vAlign w:val="bottom"/>
            <w:gridSpan w:val="11"/>
          </w:tcPr>
          <w:p>
            <w:pPr>
              <w:ind w:left="80"/>
              <w:spacing w:after="0"/>
              <w:rPr>
                <w:rFonts w:ascii="Arial" w:cs="Arial" w:eastAsia="Arial" w:hAnsi="Arial"/>
                <w:sz w:val="16"/>
                <w:szCs w:val="16"/>
                <w:b w:val="1"/>
                <w:bCs w:val="1"/>
                <w:u w:val="single" w:color="auto"/>
                <w:color w:val="0000EE"/>
              </w:rPr>
            </w:pPr>
            <w:hyperlink w:anchor="page123">
              <w:r>
                <w:rPr>
                  <w:rFonts w:ascii="Arial" w:cs="Arial" w:eastAsia="Arial" w:hAnsi="Arial"/>
                  <w:sz w:val="16"/>
                  <w:szCs w:val="16"/>
                  <w:b w:val="1"/>
                  <w:bCs w:val="1"/>
                  <w:u w:val="single" w:color="auto"/>
                  <w:color w:val="0000EE"/>
                </w:rPr>
                <w:t>Glossary of selected terms and acronyms</w:t>
              </w:r>
            </w:hyperlink>
          </w:p>
        </w:tc>
        <w:tc>
          <w:tcPr>
            <w:tcW w:w="900" w:type="dxa"/>
            <w:vAlign w:val="bottom"/>
          </w:tcPr>
          <w:p>
            <w:pPr>
              <w:jc w:val="right"/>
              <w:spacing w:after="0"/>
              <w:rPr>
                <w:sz w:val="20"/>
                <w:szCs w:val="20"/>
                <w:color w:val="auto"/>
              </w:rPr>
            </w:pPr>
            <w:r>
              <w:rPr>
                <w:rFonts w:ascii="Arial" w:cs="Arial" w:eastAsia="Arial" w:hAnsi="Arial"/>
                <w:sz w:val="16"/>
                <w:szCs w:val="16"/>
                <w:color w:val="auto"/>
              </w:rPr>
              <w:t>116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3243580</wp:posOffset>
            </wp:positionH>
            <wp:positionV relativeFrom="paragraph">
              <wp:posOffset>-2052955</wp:posOffset>
            </wp:positionV>
            <wp:extent cx="137160" cy="145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7160" cy="145415"/>
                    </a:xfrm>
                    <a:prstGeom prst="rect">
                      <a:avLst/>
                    </a:prstGeom>
                    <a:noFill/>
                  </pic:spPr>
                </pic:pic>
              </a:graphicData>
            </a:graphic>
          </wp:anchor>
        </w:drawing>
      </w:r>
    </w:p>
    <w:p>
      <w:pPr>
        <w:spacing w:after="0" w:line="3414" w:lineRule="exact"/>
        <w:rPr>
          <w:sz w:val="20"/>
          <w:szCs w:val="20"/>
          <w:color w:val="auto"/>
        </w:rPr>
      </w:pPr>
    </w:p>
    <w:p>
      <w:pPr>
        <w:sectPr>
          <w:pgSz w:w="11900" w:h="16838" w:orient="portrait"/>
          <w:cols w:equalWidth="0" w:num="3">
            <w:col w:w="4580" w:space="580"/>
            <w:col w:w="180" w:space="400"/>
            <w:col w:w="5400"/>
          </w:cols>
          <w:pgMar w:left="320" w:top="459" w:right="439" w:bottom="1440" w:gutter="0" w:footer="0" w:header="0"/>
        </w:sectPr>
      </w:pPr>
    </w:p>
    <w:p>
      <w:pPr>
        <w:spacing w:after="0" w:line="137" w:lineRule="exact"/>
        <w:rPr>
          <w:sz w:val="20"/>
          <w:szCs w:val="20"/>
          <w:color w:val="auto"/>
        </w:rPr>
      </w:pPr>
    </w:p>
    <w:p>
      <w:pPr>
        <w:ind w:left="120" w:right="80"/>
        <w:spacing w:after="0" w:line="239" w:lineRule="auto"/>
        <w:rPr>
          <w:sz w:val="20"/>
          <w:szCs w:val="20"/>
          <w:color w:val="auto"/>
        </w:rPr>
      </w:pPr>
      <w:r>
        <w:rPr>
          <w:rFonts w:ascii="Arial" w:cs="Arial" w:eastAsia="Arial" w:hAnsi="Arial"/>
          <w:sz w:val="18"/>
          <w:szCs w:val="18"/>
          <w:i w:val="1"/>
          <w:iCs w:val="1"/>
          <w:color w:val="auto"/>
        </w:rPr>
        <w:t>This proxy statement contains forward-looking statements. These statements can be identified by the fact that they do not relate strictly to historical or current facts. Forward-looking statements often use words such as “anticipate,” “target,” “expect,” “estimate,” “intend,” “plan,” “goal,” “believe” or other words of similar meaning. Forward-looking statements provide JPMorgan Chase &amp; Co.’s (“JPMorgan Chase” or the “Firm”) current expectations or forecasts of future events, circumstances, results or aspirations, and are subject to significant risks and uncertainties. These risks and uncertainties could cause the Firm’s actual results to differ materially from those set forth in such forward-looking statements. Certain of such risks and uncertainties are described in JPMorgan Chase’s Annual Report on Form 10-K for the year ended December 31, 2019. JPMorgan Chase does not undertake to update the forward-looking statements included in this proxy statement to reflect the impact of circumstances or events that may arise after the date the forward-looking statements were made.</w:t>
      </w:r>
    </w:p>
    <w:p>
      <w:pPr>
        <w:spacing w:after="0" w:line="79" w:lineRule="exact"/>
        <w:rPr>
          <w:sz w:val="20"/>
          <w:szCs w:val="20"/>
          <w:color w:val="auto"/>
        </w:rPr>
      </w:pPr>
    </w:p>
    <w:p>
      <w:pPr>
        <w:ind w:left="120" w:right="280"/>
        <w:spacing w:after="0" w:line="267" w:lineRule="auto"/>
        <w:rPr>
          <w:sz w:val="20"/>
          <w:szCs w:val="20"/>
          <w:color w:val="auto"/>
        </w:rPr>
      </w:pPr>
      <w:r>
        <w:rPr>
          <w:rFonts w:ascii="Arial" w:cs="Arial" w:eastAsia="Arial" w:hAnsi="Arial"/>
          <w:sz w:val="18"/>
          <w:szCs w:val="18"/>
          <w:i w:val="1"/>
          <w:iCs w:val="1"/>
          <w:color w:val="auto"/>
        </w:rPr>
        <w:t>No websites that are cited or referred to in this proxy statement shall be deemed to form part of, or to be incorporated by reference into, this proxy statement.</w:t>
      </w:r>
    </w:p>
    <w:p>
      <w:pPr>
        <w:sectPr>
          <w:pgSz w:w="11900" w:h="16838" w:orient="portrait"/>
          <w:cols w:equalWidth="0" w:num="1">
            <w:col w:w="11140"/>
          </w:cols>
          <w:pgMar w:left="320" w:top="459" w:right="4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04876"/>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12" w:lineRule="exact"/>
        <w:rPr>
          <w:sz w:val="20"/>
          <w:szCs w:val="20"/>
          <w:color w:val="auto"/>
        </w:rPr>
      </w:pPr>
    </w:p>
    <w:p>
      <w:pPr>
        <w:ind w:left="120"/>
        <w:spacing w:after="0"/>
        <w:rPr>
          <w:sz w:val="20"/>
          <w:szCs w:val="20"/>
          <w:color w:val="auto"/>
        </w:rPr>
      </w:pPr>
      <w:r>
        <w:rPr>
          <w:rFonts w:ascii="Arial" w:cs="Arial" w:eastAsia="Arial" w:hAnsi="Arial"/>
          <w:sz w:val="43"/>
          <w:szCs w:val="43"/>
          <w:color w:val="004876"/>
        </w:rPr>
        <w:t>2020 Proxy summary</w:t>
      </w:r>
    </w:p>
    <w:p>
      <w:pPr>
        <w:spacing w:after="0" w:line="96" w:lineRule="exact"/>
        <w:rPr>
          <w:sz w:val="20"/>
          <w:szCs w:val="20"/>
          <w:color w:val="auto"/>
        </w:rPr>
      </w:pPr>
    </w:p>
    <w:p>
      <w:pPr>
        <w:ind w:left="120" w:right="140"/>
        <w:spacing w:after="0" w:line="250" w:lineRule="auto"/>
        <w:rPr>
          <w:sz w:val="20"/>
          <w:szCs w:val="20"/>
          <w:color w:val="auto"/>
        </w:rPr>
      </w:pPr>
      <w:r>
        <w:rPr>
          <w:rFonts w:ascii="Arial" w:cs="Arial" w:eastAsia="Arial" w:hAnsi="Arial"/>
          <w:sz w:val="18"/>
          <w:szCs w:val="18"/>
          <w:i w:val="1"/>
          <w:iCs w:val="1"/>
          <w:color w:val="auto"/>
        </w:rPr>
        <w:t>This summary highlights information in this proxy statement. This summary does not contain all the information you should consider, and you should read the entire proxy statement carefully before voting. Terms not defined in the text of this proxy statement can be found in the “Glossary of selected terms and acronyms” on page 116.</w:t>
      </w:r>
    </w:p>
    <w:p>
      <w:pPr>
        <w:spacing w:after="0" w:line="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Your vote is important. For more information on voting and attending the annual meeting, see “Information about the annual shareholder meeting” on page 107. This proxy statement has been prepared by our management and approved by the Board of Directors, and is being sent or made available to our shareholders on or about April 6, 2020.</w:t>
      </w:r>
    </w:p>
    <w:p>
      <w:pPr>
        <w:spacing w:after="0" w:line="199" w:lineRule="exact"/>
        <w:rPr>
          <w:sz w:val="20"/>
          <w:szCs w:val="20"/>
          <w:color w:val="auto"/>
        </w:rPr>
      </w:pPr>
    </w:p>
    <w:p>
      <w:pPr>
        <w:ind w:left="120"/>
        <w:spacing w:after="0"/>
        <w:rPr>
          <w:sz w:val="20"/>
          <w:szCs w:val="20"/>
          <w:color w:val="auto"/>
        </w:rPr>
      </w:pPr>
      <w:r>
        <w:rPr>
          <w:rFonts w:ascii="Arial" w:cs="Arial" w:eastAsia="Arial" w:hAnsi="Arial"/>
          <w:sz w:val="29"/>
          <w:szCs w:val="29"/>
          <w:color w:val="004876"/>
        </w:rPr>
        <w:t>Annual meeting overview: Matters to be voted on</w:t>
      </w:r>
    </w:p>
    <w:p>
      <w:pPr>
        <w:spacing w:after="0" w:line="234" w:lineRule="exact"/>
        <w:rPr>
          <w:sz w:val="20"/>
          <w:szCs w:val="20"/>
          <w:color w:val="auto"/>
        </w:rPr>
      </w:pPr>
    </w:p>
    <w:p>
      <w:pPr>
        <w:ind w:left="120"/>
        <w:spacing w:after="0"/>
        <w:rPr>
          <w:sz w:val="20"/>
          <w:szCs w:val="20"/>
          <w:color w:val="auto"/>
        </w:rPr>
      </w:pPr>
      <w:r>
        <w:rPr>
          <w:sz w:val="1"/>
          <w:szCs w:val="1"/>
          <w:color w:val="auto"/>
        </w:rPr>
        <w:drawing>
          <wp:inline distT="0" distB="0" distL="0" distR="0">
            <wp:extent cx="137160" cy="145415"/>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7160" cy="145415"/>
                    </a:xfrm>
                    <a:prstGeom prst="rect">
                      <a:avLst/>
                    </a:prstGeom>
                    <a:noFill/>
                    <a:ln>
                      <a:noFill/>
                    </a:ln>
                  </pic:spPr>
                </pic:pic>
              </a:graphicData>
            </a:graphic>
          </wp:inline>
        </w:drawing>
      </w:r>
      <w:r>
        <w:rPr>
          <w:rFonts w:ascii="Arial" w:cs="Arial" w:eastAsia="Arial" w:hAnsi="Arial"/>
          <w:sz w:val="20"/>
          <w:szCs w:val="20"/>
          <w:color w:val="004876"/>
        </w:rPr>
        <w:t xml:space="preserve"> MANAGEMENT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104140</wp:posOffset>
            </wp:positionV>
            <wp:extent cx="6995160" cy="3683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368300"/>
                    </a:xfrm>
                    <a:prstGeom prst="rect">
                      <a:avLst/>
                    </a:prstGeom>
                    <a:noFill/>
                  </pic:spPr>
                </pic:pic>
              </a:graphicData>
            </a:graphic>
          </wp:anchor>
        </w:drawing>
      </w:r>
    </w:p>
    <w:p>
      <w:pPr>
        <w:spacing w:after="0" w:line="202" w:lineRule="exact"/>
        <w:rPr>
          <w:sz w:val="20"/>
          <w:szCs w:val="20"/>
          <w:color w:val="auto"/>
        </w:rPr>
      </w:pPr>
    </w:p>
    <w:p>
      <w:pPr>
        <w:ind w:left="180" w:right="1760"/>
        <w:spacing w:after="0" w:line="271" w:lineRule="auto"/>
        <w:rPr>
          <w:sz w:val="20"/>
          <w:szCs w:val="20"/>
          <w:color w:val="auto"/>
        </w:rPr>
      </w:pPr>
      <w:r>
        <w:rPr>
          <w:rFonts w:ascii="Arial" w:cs="Arial" w:eastAsia="Arial" w:hAnsi="Arial"/>
          <w:sz w:val="18"/>
          <w:szCs w:val="18"/>
          <w:b w:val="1"/>
          <w:bCs w:val="1"/>
          <w:color w:val="004876"/>
        </w:rPr>
        <w:t xml:space="preserve">The Board of Directors recommends you vote </w:t>
      </w:r>
      <w:r>
        <w:rPr>
          <w:rFonts w:ascii="Arial" w:cs="Arial" w:eastAsia="Arial" w:hAnsi="Arial"/>
          <w:sz w:val="18"/>
          <w:szCs w:val="18"/>
          <w:b w:val="1"/>
          <w:bCs w:val="1"/>
          <w:u w:val="single" w:color="auto"/>
          <w:color w:val="004876"/>
        </w:rPr>
        <w:t>FOR</w:t>
      </w:r>
      <w:r>
        <w:rPr>
          <w:rFonts w:ascii="Arial" w:cs="Arial" w:eastAsia="Arial" w:hAnsi="Arial"/>
          <w:sz w:val="18"/>
          <w:szCs w:val="18"/>
          <w:b w:val="1"/>
          <w:bCs w:val="1"/>
          <w:color w:val="004876"/>
        </w:rPr>
        <w:t xml:space="preserve"> each director nominee and </w:t>
      </w:r>
      <w:r>
        <w:rPr>
          <w:rFonts w:ascii="Arial" w:cs="Arial" w:eastAsia="Arial" w:hAnsi="Arial"/>
          <w:sz w:val="18"/>
          <w:szCs w:val="18"/>
          <w:b w:val="1"/>
          <w:bCs w:val="1"/>
          <w:u w:val="single" w:color="auto"/>
          <w:color w:val="004876"/>
        </w:rPr>
        <w:t>FOR</w:t>
      </w:r>
      <w:r>
        <w:rPr>
          <w:rFonts w:ascii="Arial" w:cs="Arial" w:eastAsia="Arial" w:hAnsi="Arial"/>
          <w:sz w:val="18"/>
          <w:szCs w:val="18"/>
          <w:b w:val="1"/>
          <w:bCs w:val="1"/>
          <w:color w:val="004876"/>
        </w:rPr>
        <w:t xml:space="preserve"> the following proposals </w:t>
      </w:r>
      <w:r>
        <w:rPr>
          <w:rFonts w:ascii="Arial" w:cs="Arial" w:eastAsia="Arial" w:hAnsi="Arial"/>
          <w:sz w:val="18"/>
          <w:szCs w:val="18"/>
          <w:color w:val="004876"/>
        </w:rPr>
        <w:t>(for more information see page referenced):</w:t>
      </w:r>
    </w:p>
    <w:p>
      <w:pPr>
        <w:spacing w:after="0" w:line="122" w:lineRule="exact"/>
        <w:rPr>
          <w:sz w:val="20"/>
          <w:szCs w:val="20"/>
          <w:color w:val="auto"/>
        </w:rPr>
      </w:pPr>
    </w:p>
    <w:tbl>
      <w:tblPr>
        <w:tblLayout w:type="fixed"/>
        <w:tblInd w:w="300" w:type="dxa"/>
        <w:tblCellMar>
          <w:top w:w="0" w:type="dxa"/>
          <w:left w:w="0" w:type="dxa"/>
          <w:bottom w:w="0" w:type="dxa"/>
          <w:right w:w="0" w:type="dxa"/>
        </w:tblCellMar>
      </w:tblPr>
      <w:tr>
        <w:trPr>
          <w:trHeight w:val="217"/>
        </w:trPr>
        <w:tc>
          <w:tcPr>
            <w:tcW w:w="260" w:type="dxa"/>
            <w:vAlign w:val="bottom"/>
          </w:tcPr>
          <w:p>
            <w:pPr>
              <w:jc w:val="right"/>
              <w:ind w:right="30"/>
              <w:spacing w:after="0"/>
              <w:rPr>
                <w:sz w:val="20"/>
                <w:szCs w:val="20"/>
                <w:color w:val="auto"/>
              </w:rPr>
            </w:pPr>
            <w:r>
              <w:rPr>
                <w:rFonts w:ascii="Arial" w:cs="Arial" w:eastAsia="Arial" w:hAnsi="Arial"/>
                <w:sz w:val="18"/>
                <w:szCs w:val="18"/>
                <w:color w:val="auto"/>
                <w:w w:val="79"/>
              </w:rPr>
              <w:t>1.</w:t>
            </w:r>
          </w:p>
        </w:tc>
        <w:tc>
          <w:tcPr>
            <w:tcW w:w="7580" w:type="dxa"/>
            <w:vAlign w:val="bottom"/>
          </w:tcPr>
          <w:p>
            <w:pPr>
              <w:ind w:left="120"/>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Election of Directors</w:t>
              </w:r>
            </w:hyperlink>
          </w:p>
        </w:tc>
        <w:tc>
          <w:tcPr>
            <w:tcW w:w="29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97"/>
        </w:trPr>
        <w:tc>
          <w:tcPr>
            <w:tcW w:w="260" w:type="dxa"/>
            <w:vAlign w:val="bottom"/>
          </w:tcPr>
          <w:p>
            <w:pPr>
              <w:jc w:val="right"/>
              <w:ind w:right="30"/>
              <w:spacing w:after="0"/>
              <w:rPr>
                <w:sz w:val="20"/>
                <w:szCs w:val="20"/>
                <w:color w:val="auto"/>
              </w:rPr>
            </w:pPr>
            <w:r>
              <w:rPr>
                <w:rFonts w:ascii="Arial" w:cs="Arial" w:eastAsia="Arial" w:hAnsi="Arial"/>
                <w:sz w:val="18"/>
                <w:szCs w:val="18"/>
                <w:color w:val="auto"/>
                <w:w w:val="79"/>
              </w:rPr>
              <w:t>2.</w:t>
            </w:r>
          </w:p>
        </w:tc>
        <w:tc>
          <w:tcPr>
            <w:tcW w:w="7580" w:type="dxa"/>
            <w:vAlign w:val="bottom"/>
          </w:tcPr>
          <w:p>
            <w:pPr>
              <w:ind w:left="12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Advisory resolution to approve executive compensation</w:t>
              </w:r>
            </w:hyperlink>
          </w:p>
        </w:tc>
        <w:tc>
          <w:tcPr>
            <w:tcW w:w="29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97"/>
        </w:trPr>
        <w:tc>
          <w:tcPr>
            <w:tcW w:w="260" w:type="dxa"/>
            <w:vAlign w:val="bottom"/>
          </w:tcPr>
          <w:p>
            <w:pPr>
              <w:jc w:val="right"/>
              <w:ind w:right="30"/>
              <w:spacing w:after="0"/>
              <w:rPr>
                <w:sz w:val="20"/>
                <w:szCs w:val="20"/>
                <w:color w:val="auto"/>
              </w:rPr>
            </w:pPr>
            <w:r>
              <w:rPr>
                <w:rFonts w:ascii="Arial" w:cs="Arial" w:eastAsia="Arial" w:hAnsi="Arial"/>
                <w:sz w:val="18"/>
                <w:szCs w:val="18"/>
                <w:color w:val="auto"/>
                <w:w w:val="79"/>
              </w:rPr>
              <w:t>3.</w:t>
            </w:r>
          </w:p>
        </w:tc>
        <w:tc>
          <w:tcPr>
            <w:tcW w:w="7580" w:type="dxa"/>
            <w:vAlign w:val="bottom"/>
          </w:tcPr>
          <w:p>
            <w:pPr>
              <w:ind w:left="120"/>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Ratification of independent registered public accounting firm</w:t>
              </w:r>
            </w:hyperlink>
          </w:p>
        </w:tc>
        <w:tc>
          <w:tcPr>
            <w:tcW w:w="2900" w:type="dxa"/>
            <w:vAlign w:val="bottom"/>
          </w:tcPr>
          <w:p>
            <w:pPr>
              <w:jc w:val="right"/>
              <w:spacing w:after="0"/>
              <w:rPr>
                <w:sz w:val="20"/>
                <w:szCs w:val="20"/>
                <w:color w:val="auto"/>
              </w:rPr>
            </w:pPr>
            <w:r>
              <w:rPr>
                <w:rFonts w:ascii="Arial" w:cs="Arial" w:eastAsia="Arial" w:hAnsi="Arial"/>
                <w:sz w:val="18"/>
                <w:szCs w:val="18"/>
                <w:color w:val="auto"/>
              </w:rPr>
              <w:t>86</w:t>
            </w:r>
          </w:p>
        </w:tc>
      </w:tr>
    </w:tbl>
    <w:p>
      <w:pPr>
        <w:spacing w:after="0" w:line="212" w:lineRule="exact"/>
        <w:rPr>
          <w:sz w:val="20"/>
          <w:szCs w:val="20"/>
          <w:color w:val="auto"/>
        </w:rPr>
      </w:pPr>
    </w:p>
    <w:p>
      <w:pPr>
        <w:ind w:left="540"/>
        <w:spacing w:after="0"/>
        <w:rPr>
          <w:sz w:val="20"/>
          <w:szCs w:val="20"/>
          <w:color w:val="auto"/>
        </w:rPr>
      </w:pPr>
      <w:r>
        <w:rPr>
          <w:rFonts w:ascii="Arial" w:cs="Arial" w:eastAsia="Arial" w:hAnsi="Arial"/>
          <w:sz w:val="20"/>
          <w:szCs w:val="20"/>
          <w:color w:val="004876"/>
        </w:rPr>
        <w:t>SHAREHOLDER PROPOSALS (if they are properly introduced at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113665</wp:posOffset>
            </wp:positionV>
            <wp:extent cx="6995160" cy="3683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368300"/>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-91440</wp:posOffset>
            </wp:positionV>
            <wp:extent cx="137160" cy="146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7160" cy="146050"/>
                    </a:xfrm>
                    <a:prstGeom prst="rect">
                      <a:avLst/>
                    </a:prstGeom>
                    <a:noFill/>
                  </pic:spPr>
                </pic:pic>
              </a:graphicData>
            </a:graphic>
          </wp:anchor>
        </w:drawing>
      </w:r>
    </w:p>
    <w:p>
      <w:pPr>
        <w:spacing w:after="0" w:line="217" w:lineRule="exact"/>
        <w:rPr>
          <w:sz w:val="20"/>
          <w:szCs w:val="20"/>
          <w:color w:val="auto"/>
        </w:rPr>
      </w:pPr>
    </w:p>
    <w:p>
      <w:pPr>
        <w:ind w:left="180" w:right="2340"/>
        <w:spacing w:after="0" w:line="271" w:lineRule="auto"/>
        <w:rPr>
          <w:sz w:val="20"/>
          <w:szCs w:val="20"/>
          <w:color w:val="auto"/>
        </w:rPr>
      </w:pPr>
      <w:r>
        <w:rPr>
          <w:rFonts w:ascii="Arial" w:cs="Arial" w:eastAsia="Arial" w:hAnsi="Arial"/>
          <w:sz w:val="18"/>
          <w:szCs w:val="18"/>
          <w:b w:val="1"/>
          <w:bCs w:val="1"/>
          <w:color w:val="004876"/>
        </w:rPr>
        <w:t xml:space="preserve">The Board of Directors recommends you vote </w:t>
      </w:r>
      <w:r>
        <w:rPr>
          <w:rFonts w:ascii="Arial" w:cs="Arial" w:eastAsia="Arial" w:hAnsi="Arial"/>
          <w:sz w:val="18"/>
          <w:szCs w:val="18"/>
          <w:b w:val="1"/>
          <w:bCs w:val="1"/>
          <w:u w:val="single" w:color="auto"/>
          <w:color w:val="004876"/>
        </w:rPr>
        <w:t>AGAINST</w:t>
      </w:r>
      <w:r>
        <w:rPr>
          <w:rFonts w:ascii="Arial" w:cs="Arial" w:eastAsia="Arial" w:hAnsi="Arial"/>
          <w:sz w:val="18"/>
          <w:szCs w:val="18"/>
          <w:b w:val="1"/>
          <w:bCs w:val="1"/>
          <w:color w:val="004876"/>
        </w:rPr>
        <w:t xml:space="preserve"> each of the following shareholder proposals </w:t>
      </w:r>
      <w:r>
        <w:rPr>
          <w:rFonts w:ascii="Arial" w:cs="Arial" w:eastAsia="Arial" w:hAnsi="Arial"/>
          <w:sz w:val="18"/>
          <w:szCs w:val="18"/>
          <w:color w:val="004876"/>
        </w:rPr>
        <w:t>(for more information see page referenced):</w:t>
      </w:r>
    </w:p>
    <w:p>
      <w:pPr>
        <w:spacing w:after="0" w:line="122" w:lineRule="exact"/>
        <w:rPr>
          <w:sz w:val="20"/>
          <w:szCs w:val="20"/>
          <w:color w:val="auto"/>
        </w:rPr>
      </w:pPr>
    </w:p>
    <w:tbl>
      <w:tblPr>
        <w:tblLayout w:type="fixed"/>
        <w:tblInd w:w="240" w:type="dxa"/>
        <w:tblCellMar>
          <w:top w:w="0" w:type="dxa"/>
          <w:left w:w="0" w:type="dxa"/>
          <w:bottom w:w="0" w:type="dxa"/>
          <w:right w:w="0" w:type="dxa"/>
        </w:tblCellMar>
      </w:tblPr>
      <w:tr>
        <w:trPr>
          <w:trHeight w:val="244"/>
        </w:trPr>
        <w:tc>
          <w:tcPr>
            <w:tcW w:w="260" w:type="dxa"/>
            <w:vAlign w:val="bottom"/>
          </w:tcPr>
          <w:p>
            <w:pPr>
              <w:jc w:val="right"/>
              <w:ind w:right="10"/>
              <w:spacing w:after="0"/>
              <w:rPr>
                <w:sz w:val="20"/>
                <w:szCs w:val="20"/>
                <w:color w:val="auto"/>
              </w:rPr>
            </w:pPr>
            <w:r>
              <w:rPr>
                <w:rFonts w:ascii="Arial" w:cs="Arial" w:eastAsia="Arial" w:hAnsi="Arial"/>
                <w:sz w:val="18"/>
                <w:szCs w:val="18"/>
                <w:color w:val="auto"/>
                <w:w w:val="92"/>
              </w:rPr>
              <w:t>4.</w:t>
            </w:r>
          </w:p>
        </w:tc>
        <w:tc>
          <w:tcPr>
            <w:tcW w:w="8780" w:type="dxa"/>
            <w:vAlign w:val="bottom"/>
          </w:tcPr>
          <w:p>
            <w:pPr>
              <w:ind w:left="120"/>
              <w:spacing w:after="0"/>
              <w:rPr>
                <w:rFonts w:ascii="Arial" w:cs="Arial" w:eastAsia="Arial" w:hAnsi="Arial"/>
                <w:sz w:val="18"/>
                <w:szCs w:val="18"/>
                <w:u w:val="single" w:color="auto"/>
                <w:color w:val="0000EE"/>
              </w:rPr>
            </w:pPr>
            <w:hyperlink w:anchor="page100">
              <w:r>
                <w:rPr>
                  <w:rFonts w:ascii="Arial" w:cs="Arial" w:eastAsia="Arial" w:hAnsi="Arial"/>
                  <w:sz w:val="18"/>
                  <w:szCs w:val="18"/>
                  <w:u w:val="single" w:color="auto"/>
                  <w:color w:val="0000EE"/>
                </w:rPr>
                <w:t>Independent board chairman</w:t>
              </w:r>
            </w:hyperlink>
          </w:p>
        </w:tc>
        <w:tc>
          <w:tcPr>
            <w:tcW w:w="174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97"/>
        </w:trPr>
        <w:tc>
          <w:tcPr>
            <w:tcW w:w="260" w:type="dxa"/>
            <w:vAlign w:val="bottom"/>
          </w:tcPr>
          <w:p>
            <w:pPr>
              <w:jc w:val="right"/>
              <w:ind w:right="10"/>
              <w:spacing w:after="0"/>
              <w:rPr>
                <w:sz w:val="20"/>
                <w:szCs w:val="20"/>
                <w:color w:val="auto"/>
              </w:rPr>
            </w:pPr>
            <w:r>
              <w:rPr>
                <w:rFonts w:ascii="Arial" w:cs="Arial" w:eastAsia="Arial" w:hAnsi="Arial"/>
                <w:sz w:val="18"/>
                <w:szCs w:val="18"/>
                <w:color w:val="auto"/>
                <w:w w:val="92"/>
              </w:rPr>
              <w:t>5.</w:t>
            </w:r>
          </w:p>
        </w:tc>
        <w:tc>
          <w:tcPr>
            <w:tcW w:w="8780" w:type="dxa"/>
            <w:vAlign w:val="bottom"/>
          </w:tcPr>
          <w:p>
            <w:pPr>
              <w:ind w:left="120"/>
              <w:spacing w:after="0"/>
              <w:rPr>
                <w:rFonts w:ascii="Arial" w:cs="Arial" w:eastAsia="Arial" w:hAnsi="Arial"/>
                <w:sz w:val="18"/>
                <w:szCs w:val="18"/>
                <w:u w:val="single" w:color="auto"/>
                <w:color w:val="0000EE"/>
              </w:rPr>
            </w:pPr>
            <w:hyperlink w:anchor="page102">
              <w:r>
                <w:rPr>
                  <w:rFonts w:ascii="Arial" w:cs="Arial" w:eastAsia="Arial" w:hAnsi="Arial"/>
                  <w:sz w:val="18"/>
                  <w:szCs w:val="18"/>
                  <w:u w:val="single" w:color="auto"/>
                  <w:color w:val="0000EE"/>
                </w:rPr>
                <w:t>Oil and gas company and project financing related to the Arctic and the Canadian oil sands</w:t>
              </w:r>
            </w:hyperlink>
          </w:p>
        </w:tc>
        <w:tc>
          <w:tcPr>
            <w:tcW w:w="174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97"/>
        </w:trPr>
        <w:tc>
          <w:tcPr>
            <w:tcW w:w="260" w:type="dxa"/>
            <w:vAlign w:val="bottom"/>
          </w:tcPr>
          <w:p>
            <w:pPr>
              <w:jc w:val="right"/>
              <w:ind w:right="10"/>
              <w:spacing w:after="0"/>
              <w:rPr>
                <w:sz w:val="20"/>
                <w:szCs w:val="20"/>
                <w:color w:val="auto"/>
              </w:rPr>
            </w:pPr>
            <w:r>
              <w:rPr>
                <w:rFonts w:ascii="Arial" w:cs="Arial" w:eastAsia="Arial" w:hAnsi="Arial"/>
                <w:sz w:val="18"/>
                <w:szCs w:val="18"/>
                <w:color w:val="auto"/>
                <w:w w:val="92"/>
              </w:rPr>
              <w:t>6.</w:t>
            </w:r>
          </w:p>
        </w:tc>
        <w:tc>
          <w:tcPr>
            <w:tcW w:w="8780" w:type="dxa"/>
            <w:vAlign w:val="bottom"/>
          </w:tcPr>
          <w:p>
            <w:pPr>
              <w:ind w:left="120"/>
              <w:spacing w:after="0"/>
              <w:rPr>
                <w:rFonts w:ascii="Arial" w:cs="Arial" w:eastAsia="Arial" w:hAnsi="Arial"/>
                <w:sz w:val="18"/>
                <w:szCs w:val="18"/>
                <w:u w:val="single" w:color="auto"/>
                <w:color w:val="0000EE"/>
              </w:rPr>
            </w:pPr>
            <w:hyperlink w:anchor="page104">
              <w:r>
                <w:rPr>
                  <w:rFonts w:ascii="Arial" w:cs="Arial" w:eastAsia="Arial" w:hAnsi="Arial"/>
                  <w:sz w:val="18"/>
                  <w:szCs w:val="18"/>
                  <w:u w:val="single" w:color="auto"/>
                  <w:color w:val="0000EE"/>
                </w:rPr>
                <w:t>Climate change risk reporting</w:t>
              </w:r>
            </w:hyperlink>
          </w:p>
        </w:tc>
        <w:tc>
          <w:tcPr>
            <w:tcW w:w="174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97"/>
        </w:trPr>
        <w:tc>
          <w:tcPr>
            <w:tcW w:w="260" w:type="dxa"/>
            <w:vAlign w:val="bottom"/>
          </w:tcPr>
          <w:p>
            <w:pPr>
              <w:jc w:val="right"/>
              <w:ind w:right="10"/>
              <w:spacing w:after="0"/>
              <w:rPr>
                <w:sz w:val="20"/>
                <w:szCs w:val="20"/>
                <w:color w:val="auto"/>
              </w:rPr>
            </w:pPr>
            <w:r>
              <w:rPr>
                <w:rFonts w:ascii="Arial" w:cs="Arial" w:eastAsia="Arial" w:hAnsi="Arial"/>
                <w:sz w:val="18"/>
                <w:szCs w:val="18"/>
                <w:color w:val="auto"/>
                <w:w w:val="92"/>
              </w:rPr>
              <w:t>7.</w:t>
            </w:r>
          </w:p>
        </w:tc>
        <w:tc>
          <w:tcPr>
            <w:tcW w:w="8780" w:type="dxa"/>
            <w:vAlign w:val="bottom"/>
          </w:tcPr>
          <w:p>
            <w:pPr>
              <w:ind w:left="120"/>
              <w:spacing w:after="0"/>
              <w:rPr>
                <w:rFonts w:ascii="Arial" w:cs="Arial" w:eastAsia="Arial" w:hAnsi="Arial"/>
                <w:sz w:val="18"/>
                <w:szCs w:val="18"/>
                <w:u w:val="single" w:color="auto"/>
                <w:color w:val="0000EE"/>
              </w:rPr>
            </w:pPr>
            <w:hyperlink w:anchor="page107">
              <w:r>
                <w:rPr>
                  <w:rFonts w:ascii="Arial" w:cs="Arial" w:eastAsia="Arial" w:hAnsi="Arial"/>
                  <w:sz w:val="18"/>
                  <w:szCs w:val="18"/>
                  <w:u w:val="single" w:color="auto"/>
                  <w:color w:val="0000EE"/>
                </w:rPr>
                <w:t>Amend shareholder written consent provisions</w:t>
              </w:r>
            </w:hyperlink>
          </w:p>
        </w:tc>
        <w:tc>
          <w:tcPr>
            <w:tcW w:w="174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97"/>
        </w:trPr>
        <w:tc>
          <w:tcPr>
            <w:tcW w:w="260" w:type="dxa"/>
            <w:vAlign w:val="bottom"/>
          </w:tcPr>
          <w:p>
            <w:pPr>
              <w:jc w:val="right"/>
              <w:ind w:right="10"/>
              <w:spacing w:after="0"/>
              <w:rPr>
                <w:sz w:val="20"/>
                <w:szCs w:val="20"/>
                <w:color w:val="auto"/>
              </w:rPr>
            </w:pPr>
            <w:r>
              <w:rPr>
                <w:rFonts w:ascii="Arial" w:cs="Arial" w:eastAsia="Arial" w:hAnsi="Arial"/>
                <w:sz w:val="18"/>
                <w:szCs w:val="18"/>
                <w:color w:val="auto"/>
                <w:w w:val="92"/>
              </w:rPr>
              <w:t>8.</w:t>
            </w:r>
          </w:p>
        </w:tc>
        <w:tc>
          <w:tcPr>
            <w:tcW w:w="8780" w:type="dxa"/>
            <w:vAlign w:val="bottom"/>
          </w:tcPr>
          <w:p>
            <w:pPr>
              <w:ind w:left="120"/>
              <w:spacing w:after="0"/>
              <w:rPr>
                <w:rFonts w:ascii="Arial" w:cs="Arial" w:eastAsia="Arial" w:hAnsi="Arial"/>
                <w:sz w:val="18"/>
                <w:szCs w:val="18"/>
                <w:u w:val="single" w:color="auto"/>
                <w:color w:val="0000EE"/>
              </w:rPr>
            </w:pPr>
            <w:hyperlink w:anchor="page109">
              <w:r>
                <w:rPr>
                  <w:rFonts w:ascii="Arial" w:cs="Arial" w:eastAsia="Arial" w:hAnsi="Arial"/>
                  <w:sz w:val="18"/>
                  <w:szCs w:val="18"/>
                  <w:u w:val="single" w:color="auto"/>
                  <w:color w:val="0000EE"/>
                </w:rPr>
                <w:t>Charitable contributions disclosure</w:t>
              </w:r>
            </w:hyperlink>
          </w:p>
        </w:tc>
        <w:tc>
          <w:tcPr>
            <w:tcW w:w="174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97"/>
        </w:trPr>
        <w:tc>
          <w:tcPr>
            <w:tcW w:w="260" w:type="dxa"/>
            <w:vAlign w:val="bottom"/>
          </w:tcPr>
          <w:p>
            <w:pPr>
              <w:jc w:val="right"/>
              <w:ind w:right="10"/>
              <w:spacing w:after="0"/>
              <w:rPr>
                <w:sz w:val="20"/>
                <w:szCs w:val="20"/>
                <w:color w:val="auto"/>
              </w:rPr>
            </w:pPr>
            <w:r>
              <w:rPr>
                <w:rFonts w:ascii="Arial" w:cs="Arial" w:eastAsia="Arial" w:hAnsi="Arial"/>
                <w:sz w:val="18"/>
                <w:szCs w:val="18"/>
                <w:color w:val="auto"/>
                <w:w w:val="92"/>
              </w:rPr>
              <w:t>9.</w:t>
            </w:r>
          </w:p>
        </w:tc>
        <w:tc>
          <w:tcPr>
            <w:tcW w:w="8780" w:type="dxa"/>
            <w:vAlign w:val="bottom"/>
          </w:tcPr>
          <w:p>
            <w:pPr>
              <w:ind w:left="120"/>
              <w:spacing w:after="0"/>
              <w:rPr>
                <w:rFonts w:ascii="Arial" w:cs="Arial" w:eastAsia="Arial" w:hAnsi="Arial"/>
                <w:sz w:val="18"/>
                <w:szCs w:val="18"/>
                <w:u w:val="single" w:color="auto"/>
                <w:color w:val="0000EE"/>
              </w:rPr>
            </w:pPr>
            <w:hyperlink w:anchor="page111">
              <w:r>
                <w:rPr>
                  <w:rFonts w:ascii="Arial" w:cs="Arial" w:eastAsia="Arial" w:hAnsi="Arial"/>
                  <w:sz w:val="18"/>
                  <w:szCs w:val="18"/>
                  <w:u w:val="single" w:color="auto"/>
                  <w:color w:val="0000EE"/>
                </w:rPr>
                <w:t>Gender/Racial pay equity</w:t>
              </w:r>
            </w:hyperlink>
          </w:p>
        </w:tc>
        <w:tc>
          <w:tcPr>
            <w:tcW w:w="174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877"/>
        </w:trPr>
        <w:tc>
          <w:tcPr>
            <w:tcW w:w="260" w:type="dxa"/>
            <w:vAlign w:val="bottom"/>
          </w:tcPr>
          <w:p>
            <w:pPr>
              <w:spacing w:after="0"/>
              <w:rPr>
                <w:sz w:val="24"/>
                <w:szCs w:val="24"/>
                <w:color w:val="auto"/>
              </w:rPr>
            </w:pPr>
          </w:p>
        </w:tc>
        <w:tc>
          <w:tcPr>
            <w:tcW w:w="8780" w:type="dxa"/>
            <w:vAlign w:val="bottom"/>
          </w:tcPr>
          <w:p>
            <w:pPr>
              <w:ind w:left="5080"/>
              <w:spacing w:after="0"/>
              <w:rPr>
                <w:sz w:val="20"/>
                <w:szCs w:val="20"/>
                <w:color w:val="auto"/>
              </w:rPr>
            </w:pPr>
            <w:r>
              <w:rPr>
                <w:rFonts w:ascii="Arial" w:cs="Arial" w:eastAsia="Arial" w:hAnsi="Arial"/>
                <w:sz w:val="13"/>
                <w:szCs w:val="13"/>
                <w:b w:val="1"/>
                <w:bCs w:val="1"/>
                <w:color w:val="004876"/>
              </w:rPr>
              <w:t>1</w:t>
            </w:r>
          </w:p>
        </w:tc>
        <w:tc>
          <w:tcPr>
            <w:tcW w:w="17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-161925</wp:posOffset>
            </wp:positionV>
            <wp:extent cx="7029450" cy="1968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29450" cy="196850"/>
                    </a:xfrm>
                    <a:prstGeom prst="rect">
                      <a:avLst/>
                    </a:prstGeom>
                    <a:noFill/>
                  </pic:spPr>
                </pic:pic>
              </a:graphicData>
            </a:graphic>
          </wp:anchor>
        </w:drawing>
      </w:r>
    </w:p>
    <w:p>
      <w:pPr>
        <w:sectPr>
          <w:pgSz w:w="11900" w:h="16838" w:orient="portrait"/>
          <w:cols w:equalWidth="0" w:num="1">
            <w:col w:w="11100"/>
          </w:cols>
          <w:pgMar w:left="320" w:top="459" w:right="4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4876"/>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443230</wp:posOffset>
            </wp:positionV>
            <wp:extent cx="6995160" cy="2311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004876"/>
        </w:rPr>
        <w:t>The Firm demonstrated strong financial performance in 2019</w:t>
      </w:r>
    </w:p>
    <w:p>
      <w:pPr>
        <w:spacing w:after="0" w:line="143" w:lineRule="exact"/>
        <w:rPr>
          <w:sz w:val="20"/>
          <w:szCs w:val="20"/>
          <w:color w:val="auto"/>
        </w:rPr>
      </w:pPr>
    </w:p>
    <w:p>
      <w:pPr>
        <w:ind w:left="120" w:right="180"/>
        <w:spacing w:after="0" w:line="238" w:lineRule="auto"/>
        <w:rPr>
          <w:sz w:val="20"/>
          <w:szCs w:val="20"/>
          <w:color w:val="auto"/>
        </w:rPr>
      </w:pPr>
      <w:r>
        <w:rPr>
          <w:rFonts w:ascii="Arial" w:cs="Arial" w:eastAsia="Arial" w:hAnsi="Arial"/>
          <w:sz w:val="18"/>
          <w:szCs w:val="18"/>
          <w:color w:val="auto"/>
        </w:rPr>
        <w:t>In 2019, the Firm reported record net income of $ 36.4 billion, or $10.72 per share, with return on common equity (“ROE”) of 15% and return on tangible common equity (“ROTCE”)</w:t>
      </w:r>
      <w:r>
        <w:rPr>
          <w:rFonts w:ascii="Arial" w:cs="Arial" w:eastAsia="Arial" w:hAnsi="Arial"/>
          <w:sz w:val="15"/>
          <w:szCs w:val="15"/>
          <w:color w:val="auto"/>
        </w:rPr>
        <w:t>1</w:t>
      </w:r>
      <w:r>
        <w:rPr>
          <w:rFonts w:ascii="Arial" w:cs="Arial" w:eastAsia="Arial" w:hAnsi="Arial"/>
          <w:sz w:val="18"/>
          <w:szCs w:val="18"/>
          <w:color w:val="auto"/>
        </w:rPr>
        <w:t xml:space="preserve"> of 19%, and returned capital to shareholders of $ 34.0 billion (including common dividends and net share repurchases). We gained market share in many of our businesses, demonstrated strong expense discipline, continued to achieve high customer satisfaction scores, and maintained a fortress balance sheet.</w:t>
      </w:r>
    </w:p>
    <w:p>
      <w:pPr>
        <w:spacing w:after="0" w:line="231" w:lineRule="exact"/>
        <w:rPr>
          <w:sz w:val="20"/>
          <w:szCs w:val="20"/>
          <w:color w:val="auto"/>
        </w:rPr>
      </w:pPr>
    </w:p>
    <w:p>
      <w:pPr>
        <w:ind w:left="3060"/>
        <w:spacing w:after="0"/>
        <w:rPr>
          <w:sz w:val="20"/>
          <w:szCs w:val="20"/>
          <w:color w:val="auto"/>
        </w:rPr>
      </w:pPr>
      <w:r>
        <w:rPr>
          <w:rFonts w:ascii="Arial" w:cs="Arial" w:eastAsia="Arial" w:hAnsi="Arial"/>
          <w:sz w:val="43"/>
          <w:szCs w:val="43"/>
          <w:color w:val="004876"/>
        </w:rPr>
        <w:t>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-312420</wp:posOffset>
            </wp:positionV>
            <wp:extent cx="6995160" cy="13633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36334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70" w:lineRule="exact"/>
        <w:rPr>
          <w:sz w:val="20"/>
          <w:szCs w:val="20"/>
          <w:color w:val="auto"/>
        </w:rPr>
      </w:pPr>
    </w:p>
    <w:tbl>
      <w:tblPr>
        <w:tblLayout w:type="fixed"/>
        <w:tblInd w:w="480" w:type="dxa"/>
        <w:tblCellMar>
          <w:top w:w="0" w:type="dxa"/>
          <w:left w:w="0" w:type="dxa"/>
          <w:bottom w:w="0" w:type="dxa"/>
          <w:right w:w="0" w:type="dxa"/>
        </w:tblCellMar>
      </w:tblPr>
      <w:tr>
        <w:trPr>
          <w:trHeight w:val="598"/>
        </w:trPr>
        <w:tc>
          <w:tcPr>
            <w:tcW w:w="1060" w:type="dxa"/>
            <w:vAlign w:val="bottom"/>
          </w:tcPr>
          <w:p>
            <w:pPr>
              <w:jc w:val="center"/>
              <w:ind w:right="63"/>
              <w:spacing w:after="0"/>
              <w:rPr>
                <w:sz w:val="20"/>
                <w:szCs w:val="20"/>
                <w:color w:val="auto"/>
              </w:rPr>
            </w:pPr>
            <w:r>
              <w:rPr>
                <w:rFonts w:ascii="Arial" w:cs="Arial" w:eastAsia="Arial" w:hAnsi="Arial"/>
                <w:sz w:val="52"/>
                <w:szCs w:val="52"/>
                <w:color w:val="004876"/>
                <w:w w:val="94"/>
                <w:vertAlign w:val="superscript"/>
              </w:rPr>
              <w:t>$</w:t>
            </w:r>
            <w:r>
              <w:rPr>
                <w:rFonts w:ascii="Arial" w:cs="Arial" w:eastAsia="Arial" w:hAnsi="Arial"/>
                <w:sz w:val="31"/>
                <w:szCs w:val="31"/>
                <w:color w:val="004876"/>
                <w:w w:val="94"/>
              </w:rPr>
              <w:t>36.4</w:t>
            </w:r>
            <w:r>
              <w:rPr>
                <w:rFonts w:ascii="Arial" w:cs="Arial" w:eastAsia="Arial" w:hAnsi="Arial"/>
                <w:sz w:val="23"/>
                <w:szCs w:val="23"/>
                <w:color w:val="004876"/>
                <w:w w:val="94"/>
              </w:rPr>
              <w:t>B</w:t>
            </w:r>
          </w:p>
        </w:tc>
        <w:tc>
          <w:tcPr>
            <w:tcW w:w="200" w:type="dxa"/>
            <w:vAlign w:val="bottom"/>
            <w:shd w:val="clear" w:color="auto" w:fill="EDEDED"/>
          </w:tcPr>
          <w:p>
            <w:pPr>
              <w:spacing w:after="0"/>
              <w:rPr>
                <w:sz w:val="24"/>
                <w:szCs w:val="24"/>
                <w:color w:val="auto"/>
              </w:rPr>
            </w:pPr>
          </w:p>
        </w:tc>
        <w:tc>
          <w:tcPr>
            <w:tcW w:w="1980" w:type="dxa"/>
            <w:vAlign w:val="bottom"/>
          </w:tcPr>
          <w:p>
            <w:pPr>
              <w:jc w:val="center"/>
              <w:ind w:left="23"/>
              <w:spacing w:after="0"/>
              <w:rPr>
                <w:sz w:val="20"/>
                <w:szCs w:val="20"/>
                <w:color w:val="auto"/>
              </w:rPr>
            </w:pPr>
            <w:r>
              <w:rPr>
                <w:rFonts w:ascii="Arial" w:cs="Arial" w:eastAsia="Arial" w:hAnsi="Arial"/>
                <w:sz w:val="52"/>
                <w:szCs w:val="52"/>
                <w:color w:val="004876"/>
                <w:w w:val="92"/>
                <w:vertAlign w:val="superscript"/>
              </w:rPr>
              <w:t>$</w:t>
            </w:r>
            <w:r>
              <w:rPr>
                <w:rFonts w:ascii="Arial" w:cs="Arial" w:eastAsia="Arial" w:hAnsi="Arial"/>
                <w:sz w:val="31"/>
                <w:szCs w:val="31"/>
                <w:color w:val="004876"/>
                <w:w w:val="92"/>
              </w:rPr>
              <w:t>10.72</w:t>
            </w:r>
          </w:p>
        </w:tc>
        <w:tc>
          <w:tcPr>
            <w:tcW w:w="220" w:type="dxa"/>
            <w:vAlign w:val="bottom"/>
            <w:shd w:val="clear" w:color="auto" w:fill="EDEDED"/>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31"/>
                <w:szCs w:val="31"/>
                <w:color w:val="004876"/>
              </w:rPr>
              <w:t>15</w:t>
            </w:r>
            <w:r>
              <w:rPr>
                <w:rFonts w:ascii="Arial" w:cs="Arial" w:eastAsia="Arial" w:hAnsi="Arial"/>
                <w:sz w:val="52"/>
                <w:szCs w:val="52"/>
                <w:color w:val="004876"/>
                <w:vertAlign w:val="superscript"/>
              </w:rPr>
              <w:t>%</w:t>
            </w:r>
          </w:p>
        </w:tc>
      </w:tr>
      <w:tr>
        <w:trPr>
          <w:trHeight w:val="162"/>
        </w:trPr>
        <w:tc>
          <w:tcPr>
            <w:tcW w:w="1060" w:type="dxa"/>
            <w:vAlign w:val="bottom"/>
          </w:tcPr>
          <w:p>
            <w:pPr>
              <w:jc w:val="center"/>
              <w:ind w:right="63"/>
              <w:spacing w:after="0"/>
              <w:rPr>
                <w:sz w:val="20"/>
                <w:szCs w:val="20"/>
                <w:color w:val="auto"/>
              </w:rPr>
            </w:pPr>
            <w:r>
              <w:rPr>
                <w:rFonts w:ascii="Arial" w:cs="Arial" w:eastAsia="Arial" w:hAnsi="Arial"/>
                <w:sz w:val="14"/>
                <w:szCs w:val="14"/>
                <w:b w:val="1"/>
                <w:bCs w:val="1"/>
                <w:color w:val="auto"/>
              </w:rPr>
              <w:t>RECORD</w:t>
            </w:r>
          </w:p>
        </w:tc>
        <w:tc>
          <w:tcPr>
            <w:tcW w:w="200" w:type="dxa"/>
            <w:vAlign w:val="bottom"/>
            <w:shd w:val="clear" w:color="auto" w:fill="EDEDED"/>
          </w:tcPr>
          <w:p>
            <w:pPr>
              <w:spacing w:after="0"/>
              <w:rPr>
                <w:sz w:val="14"/>
                <w:szCs w:val="14"/>
                <w:color w:val="auto"/>
              </w:rPr>
            </w:pPr>
          </w:p>
        </w:tc>
        <w:tc>
          <w:tcPr>
            <w:tcW w:w="1980" w:type="dxa"/>
            <w:vAlign w:val="bottom"/>
          </w:tcPr>
          <w:p>
            <w:pPr>
              <w:jc w:val="center"/>
              <w:ind w:left="23"/>
              <w:spacing w:after="0"/>
              <w:rPr>
                <w:sz w:val="20"/>
                <w:szCs w:val="20"/>
                <w:color w:val="auto"/>
              </w:rPr>
            </w:pPr>
            <w:r>
              <w:rPr>
                <w:rFonts w:ascii="Arial" w:cs="Arial" w:eastAsia="Arial" w:hAnsi="Arial"/>
                <w:sz w:val="14"/>
                <w:szCs w:val="14"/>
                <w:b w:val="1"/>
                <w:bCs w:val="1"/>
                <w:color w:val="auto"/>
              </w:rPr>
              <w:t>RECORD EARNINGS</w:t>
            </w:r>
          </w:p>
        </w:tc>
        <w:tc>
          <w:tcPr>
            <w:tcW w:w="220" w:type="dxa"/>
            <w:vAlign w:val="bottom"/>
            <w:shd w:val="clear" w:color="auto" w:fill="EDEDED"/>
          </w:tcPr>
          <w:p>
            <w:pPr>
              <w:spacing w:after="0"/>
              <w:rPr>
                <w:sz w:val="14"/>
                <w:szCs w:val="14"/>
                <w:color w:val="auto"/>
              </w:rPr>
            </w:pPr>
          </w:p>
        </w:tc>
        <w:tc>
          <w:tcPr>
            <w:tcW w:w="880" w:type="dxa"/>
            <w:vAlign w:val="bottom"/>
          </w:tcPr>
          <w:p>
            <w:pPr>
              <w:jc w:val="center"/>
              <w:ind w:left="208"/>
              <w:spacing w:after="0"/>
              <w:rPr>
                <w:sz w:val="20"/>
                <w:szCs w:val="20"/>
                <w:color w:val="auto"/>
              </w:rPr>
            </w:pPr>
            <w:r>
              <w:rPr>
                <w:rFonts w:ascii="Arial" w:cs="Arial" w:eastAsia="Arial" w:hAnsi="Arial"/>
                <w:sz w:val="14"/>
                <w:szCs w:val="14"/>
                <w:b w:val="1"/>
                <w:bCs w:val="1"/>
                <w:color w:val="auto"/>
              </w:rPr>
              <w:t>ROE</w:t>
            </w:r>
          </w:p>
        </w:tc>
      </w:tr>
      <w:tr>
        <w:trPr>
          <w:trHeight w:val="148"/>
        </w:trPr>
        <w:tc>
          <w:tcPr>
            <w:tcW w:w="1060" w:type="dxa"/>
            <w:vAlign w:val="bottom"/>
          </w:tcPr>
          <w:p>
            <w:pPr>
              <w:jc w:val="center"/>
              <w:ind w:right="63"/>
              <w:spacing w:after="0" w:line="148" w:lineRule="exact"/>
              <w:rPr>
                <w:sz w:val="20"/>
                <w:szCs w:val="20"/>
                <w:color w:val="auto"/>
              </w:rPr>
            </w:pPr>
            <w:r>
              <w:rPr>
                <w:rFonts w:ascii="Arial" w:cs="Arial" w:eastAsia="Arial" w:hAnsi="Arial"/>
                <w:sz w:val="14"/>
                <w:szCs w:val="14"/>
                <w:b w:val="1"/>
                <w:bCs w:val="1"/>
                <w:color w:val="auto"/>
              </w:rPr>
              <w:t>NET INCOME</w:t>
            </w:r>
          </w:p>
        </w:tc>
        <w:tc>
          <w:tcPr>
            <w:tcW w:w="200" w:type="dxa"/>
            <w:vAlign w:val="bottom"/>
            <w:shd w:val="clear" w:color="auto" w:fill="EDEDED"/>
          </w:tcPr>
          <w:p>
            <w:pPr>
              <w:spacing w:after="0"/>
              <w:rPr>
                <w:sz w:val="12"/>
                <w:szCs w:val="12"/>
                <w:color w:val="auto"/>
              </w:rPr>
            </w:pPr>
          </w:p>
        </w:tc>
        <w:tc>
          <w:tcPr>
            <w:tcW w:w="1980" w:type="dxa"/>
            <w:vAlign w:val="bottom"/>
          </w:tcPr>
          <w:p>
            <w:pPr>
              <w:jc w:val="center"/>
              <w:ind w:left="23"/>
              <w:spacing w:after="0" w:line="148" w:lineRule="exact"/>
              <w:rPr>
                <w:sz w:val="20"/>
                <w:szCs w:val="20"/>
                <w:color w:val="auto"/>
              </w:rPr>
            </w:pPr>
            <w:r>
              <w:rPr>
                <w:rFonts w:ascii="Arial" w:cs="Arial" w:eastAsia="Arial" w:hAnsi="Arial"/>
                <w:sz w:val="14"/>
                <w:szCs w:val="14"/>
                <w:b w:val="1"/>
                <w:bCs w:val="1"/>
                <w:color w:val="auto"/>
              </w:rPr>
              <w:t>PER SHARE (“EPS”)</w:t>
            </w:r>
          </w:p>
        </w:tc>
        <w:tc>
          <w:tcPr>
            <w:tcW w:w="220" w:type="dxa"/>
            <w:vAlign w:val="bottom"/>
            <w:shd w:val="clear" w:color="auto" w:fill="EDEDED"/>
          </w:tcPr>
          <w:p>
            <w:pPr>
              <w:spacing w:after="0"/>
              <w:rPr>
                <w:sz w:val="12"/>
                <w:szCs w:val="12"/>
                <w:color w:val="auto"/>
              </w:rPr>
            </w:pPr>
          </w:p>
        </w:tc>
        <w:tc>
          <w:tcPr>
            <w:tcW w:w="880" w:type="dxa"/>
            <w:vAlign w:val="bottom"/>
          </w:tcPr>
          <w:p>
            <w:pPr>
              <w:spacing w:after="0"/>
              <w:rPr>
                <w:sz w:val="12"/>
                <w:szCs w:val="12"/>
                <w:color w:val="auto"/>
              </w:rPr>
            </w:pPr>
          </w:p>
        </w:tc>
      </w:tr>
      <w:tr>
        <w:trPr>
          <w:trHeight w:val="285"/>
        </w:trPr>
        <w:tc>
          <w:tcPr>
            <w:tcW w:w="1060" w:type="dxa"/>
            <w:vAlign w:val="bottom"/>
          </w:tcPr>
          <w:p>
            <w:pPr>
              <w:jc w:val="center"/>
              <w:ind w:right="43"/>
              <w:spacing w:after="0"/>
              <w:rPr>
                <w:sz w:val="20"/>
                <w:szCs w:val="20"/>
                <w:color w:val="auto"/>
              </w:rPr>
            </w:pPr>
            <w:r>
              <w:rPr>
                <w:rFonts w:ascii="Arial" w:cs="Arial" w:eastAsia="Arial" w:hAnsi="Arial"/>
                <w:sz w:val="18"/>
                <w:szCs w:val="18"/>
                <w:b w:val="1"/>
                <w:bCs w:val="1"/>
                <w:color w:val="42683C"/>
              </w:rPr>
              <w:t xml:space="preserve">p </w:t>
            </w:r>
            <w:r>
              <w:rPr>
                <w:rFonts w:ascii="Arial" w:cs="Arial" w:eastAsia="Arial" w:hAnsi="Arial"/>
                <w:sz w:val="21"/>
                <w:szCs w:val="21"/>
                <w:b w:val="1"/>
                <w:bCs w:val="1"/>
                <w:color w:val="42683C"/>
              </w:rPr>
              <w:t>12</w:t>
            </w:r>
            <w:r>
              <w:rPr>
                <w:rFonts w:ascii="Arial" w:cs="Arial" w:eastAsia="Arial" w:hAnsi="Arial"/>
                <w:sz w:val="18"/>
                <w:szCs w:val="18"/>
                <w:b w:val="1"/>
                <w:bCs w:val="1"/>
                <w:color w:val="42683C"/>
              </w:rPr>
              <w:t>%</w:t>
            </w:r>
          </w:p>
        </w:tc>
        <w:tc>
          <w:tcPr>
            <w:tcW w:w="200" w:type="dxa"/>
            <w:vAlign w:val="bottom"/>
            <w:shd w:val="clear" w:color="auto" w:fill="EDEDED"/>
          </w:tcPr>
          <w:p>
            <w:pPr>
              <w:spacing w:after="0"/>
              <w:rPr>
                <w:sz w:val="24"/>
                <w:szCs w:val="24"/>
                <w:color w:val="auto"/>
              </w:rPr>
            </w:pPr>
          </w:p>
        </w:tc>
        <w:tc>
          <w:tcPr>
            <w:tcW w:w="1980" w:type="dxa"/>
            <w:vAlign w:val="bottom"/>
          </w:tcPr>
          <w:p>
            <w:pPr>
              <w:jc w:val="center"/>
              <w:ind w:left="23"/>
              <w:spacing w:after="0"/>
              <w:rPr>
                <w:sz w:val="20"/>
                <w:szCs w:val="20"/>
                <w:color w:val="auto"/>
              </w:rPr>
            </w:pPr>
            <w:r>
              <w:rPr>
                <w:rFonts w:ascii="Arial" w:cs="Arial" w:eastAsia="Arial" w:hAnsi="Arial"/>
                <w:sz w:val="18"/>
                <w:szCs w:val="18"/>
                <w:b w:val="1"/>
                <w:bCs w:val="1"/>
                <w:color w:val="42683C"/>
              </w:rPr>
              <w:t xml:space="preserve">p </w:t>
            </w:r>
            <w:r>
              <w:rPr>
                <w:rFonts w:ascii="Arial" w:cs="Arial" w:eastAsia="Arial" w:hAnsi="Arial"/>
                <w:sz w:val="21"/>
                <w:szCs w:val="21"/>
                <w:b w:val="1"/>
                <w:bCs w:val="1"/>
                <w:color w:val="42683C"/>
              </w:rPr>
              <w:t>19</w:t>
            </w:r>
            <w:r>
              <w:rPr>
                <w:rFonts w:ascii="Arial" w:cs="Arial" w:eastAsia="Arial" w:hAnsi="Arial"/>
                <w:sz w:val="18"/>
                <w:szCs w:val="18"/>
                <w:b w:val="1"/>
                <w:bCs w:val="1"/>
                <w:color w:val="42683C"/>
              </w:rPr>
              <w:t>%</w:t>
            </w:r>
          </w:p>
        </w:tc>
        <w:tc>
          <w:tcPr>
            <w:tcW w:w="220" w:type="dxa"/>
            <w:vAlign w:val="bottom"/>
            <w:shd w:val="clear" w:color="auto" w:fill="EDEDED"/>
          </w:tcPr>
          <w:p>
            <w:pPr>
              <w:spacing w:after="0"/>
              <w:rPr>
                <w:sz w:val="24"/>
                <w:szCs w:val="24"/>
                <w:color w:val="auto"/>
              </w:rPr>
            </w:pPr>
          </w:p>
        </w:tc>
        <w:tc>
          <w:tcPr>
            <w:tcW w:w="880" w:type="dxa"/>
            <w:vAlign w:val="bottom"/>
          </w:tcPr>
          <w:p>
            <w:pPr>
              <w:spacing w:after="0"/>
              <w:rPr>
                <w:sz w:val="24"/>
                <w:szCs w:val="24"/>
                <w:color w:val="auto"/>
              </w:rPr>
            </w:pPr>
          </w:p>
        </w:tc>
      </w:tr>
      <w:tr>
        <w:trPr>
          <w:trHeight w:val="201"/>
        </w:trPr>
        <w:tc>
          <w:tcPr>
            <w:tcW w:w="1060" w:type="dxa"/>
            <w:vAlign w:val="bottom"/>
          </w:tcPr>
          <w:p>
            <w:pPr>
              <w:spacing w:after="0"/>
              <w:rPr>
                <w:sz w:val="17"/>
                <w:szCs w:val="17"/>
                <w:color w:val="auto"/>
              </w:rPr>
            </w:pPr>
          </w:p>
        </w:tc>
        <w:tc>
          <w:tcPr>
            <w:tcW w:w="200" w:type="dxa"/>
            <w:vAlign w:val="bottom"/>
            <w:shd w:val="clear" w:color="auto" w:fill="EDEDED"/>
          </w:tcPr>
          <w:p>
            <w:pPr>
              <w:spacing w:after="0"/>
              <w:rPr>
                <w:sz w:val="17"/>
                <w:szCs w:val="17"/>
                <w:color w:val="auto"/>
              </w:rPr>
            </w:pPr>
          </w:p>
        </w:tc>
        <w:tc>
          <w:tcPr>
            <w:tcW w:w="1980" w:type="dxa"/>
            <w:vAlign w:val="bottom"/>
          </w:tcPr>
          <w:p>
            <w:pPr>
              <w:spacing w:after="0"/>
              <w:rPr>
                <w:sz w:val="17"/>
                <w:szCs w:val="17"/>
                <w:color w:val="auto"/>
              </w:rPr>
            </w:pPr>
          </w:p>
        </w:tc>
        <w:tc>
          <w:tcPr>
            <w:tcW w:w="220" w:type="dxa"/>
            <w:vAlign w:val="bottom"/>
            <w:shd w:val="clear" w:color="auto" w:fill="EDEDED"/>
          </w:tcPr>
          <w:p>
            <w:pPr>
              <w:spacing w:after="0"/>
              <w:rPr>
                <w:sz w:val="17"/>
                <w:szCs w:val="17"/>
                <w:color w:val="auto"/>
              </w:rPr>
            </w:pPr>
          </w:p>
        </w:tc>
        <w:tc>
          <w:tcPr>
            <w:tcW w:w="88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tabs>
          <w:tab w:leader="none" w:pos="1200" w:val="left"/>
        </w:tabs>
        <w:rPr>
          <w:sz w:val="20"/>
          <w:szCs w:val="20"/>
          <w:color w:val="auto"/>
        </w:rPr>
      </w:pPr>
      <w:r>
        <w:rPr>
          <w:rFonts w:ascii="Arial" w:cs="Arial" w:eastAsia="Arial" w:hAnsi="Arial"/>
          <w:sz w:val="31"/>
          <w:szCs w:val="31"/>
          <w:color w:val="004876"/>
        </w:rPr>
        <w:t>19</w:t>
      </w:r>
      <w:r>
        <w:rPr>
          <w:rFonts w:ascii="Arial" w:cs="Arial" w:eastAsia="Arial" w:hAnsi="Arial"/>
          <w:sz w:val="52"/>
          <w:szCs w:val="52"/>
          <w:color w:val="004876"/>
          <w:vertAlign w:val="superscript"/>
        </w:rPr>
        <w:t>%</w:t>
      </w:r>
      <w:r>
        <w:rPr>
          <w:sz w:val="20"/>
          <w:szCs w:val="20"/>
          <w:color w:val="auto"/>
        </w:rPr>
        <w:tab/>
      </w:r>
      <w:r>
        <w:rPr>
          <w:rFonts w:ascii="Arial" w:cs="Arial" w:eastAsia="Arial" w:hAnsi="Arial"/>
          <w:sz w:val="50"/>
          <w:szCs w:val="50"/>
          <w:color w:val="004876"/>
          <w:vertAlign w:val="superscript"/>
        </w:rPr>
        <w:t>$</w:t>
      </w:r>
      <w:r>
        <w:rPr>
          <w:rFonts w:ascii="Arial" w:cs="Arial" w:eastAsia="Arial" w:hAnsi="Arial"/>
          <w:sz w:val="29"/>
          <w:szCs w:val="29"/>
          <w:color w:val="004876"/>
        </w:rPr>
        <w:t>75.98</w:t>
      </w:r>
    </w:p>
    <w:p>
      <w:pPr>
        <w:jc w:val="center"/>
        <w:spacing w:after="0"/>
        <w:tabs>
          <w:tab w:leader="none" w:pos="600" w:val="left"/>
        </w:tabs>
        <w:rPr>
          <w:sz w:val="20"/>
          <w:szCs w:val="20"/>
          <w:color w:val="auto"/>
        </w:rPr>
      </w:pPr>
      <w:r>
        <w:rPr>
          <w:rFonts w:ascii="Arial" w:cs="Arial" w:eastAsia="Arial" w:hAnsi="Arial"/>
          <w:sz w:val="12"/>
          <w:szCs w:val="12"/>
          <w:b w:val="1"/>
          <w:bCs w:val="1"/>
          <w:color w:val="auto"/>
        </w:rPr>
        <w:t>ROTCE</w:t>
      </w:r>
      <w:r>
        <w:rPr>
          <w:rFonts w:ascii="Arial" w:cs="Arial" w:eastAsia="Arial" w:hAnsi="Arial"/>
          <w:sz w:val="19"/>
          <w:szCs w:val="19"/>
          <w:b w:val="1"/>
          <w:bCs w:val="1"/>
          <w:color w:val="auto"/>
          <w:vertAlign w:val="superscript"/>
        </w:rPr>
        <w:t>1</w:t>
      </w:r>
      <w:r>
        <w:rPr>
          <w:sz w:val="20"/>
          <w:szCs w:val="20"/>
          <w:color w:val="auto"/>
        </w:rPr>
        <w:tab/>
      </w:r>
      <w:r>
        <w:rPr>
          <w:rFonts w:ascii="Arial" w:cs="Arial" w:eastAsia="Arial" w:hAnsi="Arial"/>
          <w:sz w:val="14"/>
          <w:szCs w:val="14"/>
          <w:b w:val="1"/>
          <w:bCs w:val="1"/>
          <w:color w:val="auto"/>
        </w:rPr>
        <w:t>BOOK VALUE</w:t>
      </w:r>
    </w:p>
    <w:p>
      <w:pPr>
        <w:jc w:val="center"/>
        <w:ind w:left="-1199"/>
        <w:spacing w:after="0"/>
        <w:rPr>
          <w:sz w:val="20"/>
          <w:szCs w:val="20"/>
          <w:color w:val="auto"/>
        </w:rPr>
      </w:pPr>
      <w:r>
        <w:rPr>
          <w:rFonts w:ascii="Arial" w:cs="Arial" w:eastAsia="Arial" w:hAnsi="Arial"/>
          <w:sz w:val="14"/>
          <w:szCs w:val="14"/>
          <w:b w:val="1"/>
          <w:bCs w:val="1"/>
          <w:color w:val="auto"/>
        </w:rPr>
        <w:t>PER SHARE</w:t>
      </w:r>
    </w:p>
    <w:p>
      <w:pPr>
        <w:spacing w:after="0" w:line="1" w:lineRule="exact"/>
        <w:rPr>
          <w:sz w:val="20"/>
          <w:szCs w:val="20"/>
          <w:color w:val="auto"/>
        </w:rPr>
      </w:pPr>
    </w:p>
    <w:p>
      <w:pPr>
        <w:jc w:val="center"/>
        <w:ind w:left="-1199"/>
        <w:spacing w:after="0"/>
        <w:rPr>
          <w:sz w:val="20"/>
          <w:szCs w:val="20"/>
          <w:color w:val="auto"/>
        </w:rPr>
      </w:pPr>
      <w:r>
        <w:rPr>
          <w:rFonts w:ascii="Arial" w:cs="Arial" w:eastAsia="Arial" w:hAnsi="Arial"/>
          <w:sz w:val="14"/>
          <w:szCs w:val="14"/>
          <w:b w:val="1"/>
          <w:bCs w:val="1"/>
          <w:color w:val="auto"/>
        </w:rPr>
        <w:t>(“BVPS”)</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598"/>
        </w:trPr>
        <w:tc>
          <w:tcPr>
            <w:tcW w:w="1040" w:type="dxa"/>
            <w:vAlign w:val="bottom"/>
          </w:tcPr>
          <w:p>
            <w:pPr>
              <w:jc w:val="center"/>
              <w:spacing w:after="0"/>
              <w:rPr>
                <w:sz w:val="20"/>
                <w:szCs w:val="20"/>
                <w:color w:val="auto"/>
              </w:rPr>
            </w:pPr>
            <w:r>
              <w:rPr>
                <w:rFonts w:ascii="Arial" w:cs="Arial" w:eastAsia="Arial" w:hAnsi="Arial"/>
                <w:sz w:val="52"/>
                <w:szCs w:val="52"/>
                <w:color w:val="004876"/>
                <w:w w:val="94"/>
                <w:vertAlign w:val="superscript"/>
              </w:rPr>
              <w:t>$</w:t>
            </w:r>
            <w:r>
              <w:rPr>
                <w:rFonts w:ascii="Arial" w:cs="Arial" w:eastAsia="Arial" w:hAnsi="Arial"/>
                <w:sz w:val="31"/>
                <w:szCs w:val="31"/>
                <w:color w:val="004876"/>
                <w:w w:val="94"/>
              </w:rPr>
              <w:t>60.98</w:t>
            </w:r>
          </w:p>
        </w:tc>
        <w:tc>
          <w:tcPr>
            <w:tcW w:w="200" w:type="dxa"/>
            <w:vAlign w:val="bottom"/>
            <w:shd w:val="clear" w:color="auto" w:fill="EDEDED"/>
          </w:tcPr>
          <w:p>
            <w:pPr>
              <w:spacing w:after="0"/>
              <w:rPr>
                <w:sz w:val="24"/>
                <w:szCs w:val="24"/>
                <w:color w:val="auto"/>
              </w:rPr>
            </w:pPr>
          </w:p>
        </w:tc>
        <w:tc>
          <w:tcPr>
            <w:tcW w:w="1580" w:type="dxa"/>
            <w:vAlign w:val="bottom"/>
          </w:tcPr>
          <w:p>
            <w:pPr>
              <w:jc w:val="center"/>
              <w:ind w:left="305"/>
              <w:spacing w:after="0"/>
              <w:rPr>
                <w:sz w:val="20"/>
                <w:szCs w:val="20"/>
                <w:color w:val="auto"/>
              </w:rPr>
            </w:pPr>
            <w:r>
              <w:rPr>
                <w:rFonts w:ascii="Arial" w:cs="Arial" w:eastAsia="Arial" w:hAnsi="Arial"/>
                <w:sz w:val="52"/>
                <w:szCs w:val="52"/>
                <w:color w:val="004876"/>
                <w:w w:val="94"/>
                <w:vertAlign w:val="superscript"/>
              </w:rPr>
              <w:t>$</w:t>
            </w:r>
            <w:r>
              <w:rPr>
                <w:rFonts w:ascii="Arial" w:cs="Arial" w:eastAsia="Arial" w:hAnsi="Arial"/>
                <w:sz w:val="31"/>
                <w:szCs w:val="31"/>
                <w:color w:val="004876"/>
                <w:w w:val="94"/>
              </w:rPr>
              <w:t>34.0</w:t>
            </w:r>
            <w:r>
              <w:rPr>
                <w:rFonts w:ascii="Arial" w:cs="Arial" w:eastAsia="Arial" w:hAnsi="Arial"/>
                <w:sz w:val="23"/>
                <w:szCs w:val="23"/>
                <w:color w:val="004876"/>
                <w:w w:val="94"/>
              </w:rPr>
              <w:t>B</w:t>
            </w:r>
          </w:p>
        </w:tc>
      </w:tr>
      <w:tr>
        <w:trPr>
          <w:trHeight w:val="159"/>
        </w:trPr>
        <w:tc>
          <w:tcPr>
            <w:tcW w:w="104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TANGIBLE</w:t>
            </w:r>
          </w:p>
        </w:tc>
        <w:tc>
          <w:tcPr>
            <w:tcW w:w="200" w:type="dxa"/>
            <w:vAlign w:val="bottom"/>
            <w:shd w:val="clear" w:color="auto" w:fill="EDEDED"/>
          </w:tcPr>
          <w:p>
            <w:pPr>
              <w:spacing w:after="0"/>
              <w:rPr>
                <w:sz w:val="13"/>
                <w:szCs w:val="13"/>
                <w:color w:val="auto"/>
              </w:rPr>
            </w:pPr>
          </w:p>
        </w:tc>
        <w:tc>
          <w:tcPr>
            <w:tcW w:w="1580" w:type="dxa"/>
            <w:vAlign w:val="bottom"/>
          </w:tcPr>
          <w:p>
            <w:pPr>
              <w:jc w:val="center"/>
              <w:ind w:left="305"/>
              <w:spacing w:after="0" w:line="159" w:lineRule="exact"/>
              <w:rPr>
                <w:sz w:val="20"/>
                <w:szCs w:val="20"/>
                <w:color w:val="auto"/>
              </w:rPr>
            </w:pPr>
            <w:r>
              <w:rPr>
                <w:rFonts w:ascii="Arial" w:cs="Arial" w:eastAsia="Arial" w:hAnsi="Arial"/>
                <w:sz w:val="14"/>
                <w:szCs w:val="14"/>
                <w:b w:val="1"/>
                <w:bCs w:val="1"/>
                <w:color w:val="auto"/>
              </w:rPr>
              <w:t>NET CAPITAL</w:t>
            </w:r>
          </w:p>
        </w:tc>
      </w:tr>
      <w:tr>
        <w:trPr>
          <w:trHeight w:val="165"/>
        </w:trPr>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BOOK VALUE</w:t>
            </w:r>
          </w:p>
        </w:tc>
        <w:tc>
          <w:tcPr>
            <w:tcW w:w="200" w:type="dxa"/>
            <w:vAlign w:val="bottom"/>
            <w:shd w:val="clear" w:color="auto" w:fill="EDEDED"/>
          </w:tcPr>
          <w:p>
            <w:pPr>
              <w:spacing w:after="0"/>
              <w:rPr>
                <w:sz w:val="14"/>
                <w:szCs w:val="14"/>
                <w:color w:val="auto"/>
              </w:rPr>
            </w:pPr>
          </w:p>
        </w:tc>
        <w:tc>
          <w:tcPr>
            <w:tcW w:w="1580" w:type="dxa"/>
            <w:vAlign w:val="bottom"/>
          </w:tcPr>
          <w:p>
            <w:pPr>
              <w:jc w:val="center"/>
              <w:ind w:left="305"/>
              <w:spacing w:after="0" w:line="165" w:lineRule="exact"/>
              <w:rPr>
                <w:sz w:val="20"/>
                <w:szCs w:val="20"/>
                <w:color w:val="auto"/>
              </w:rPr>
            </w:pPr>
            <w:r>
              <w:rPr>
                <w:rFonts w:ascii="Arial" w:cs="Arial" w:eastAsia="Arial" w:hAnsi="Arial"/>
                <w:sz w:val="12"/>
                <w:szCs w:val="12"/>
                <w:b w:val="1"/>
                <w:bCs w:val="1"/>
                <w:color w:val="auto"/>
              </w:rPr>
              <w:t>DISTRIBUTIONS</w:t>
            </w:r>
            <w:r>
              <w:rPr>
                <w:rFonts w:ascii="Arial" w:cs="Arial" w:eastAsia="Arial" w:hAnsi="Arial"/>
                <w:sz w:val="19"/>
                <w:szCs w:val="19"/>
                <w:b w:val="1"/>
                <w:bCs w:val="1"/>
                <w:color w:val="auto"/>
                <w:vertAlign w:val="superscript"/>
              </w:rPr>
              <w:t>2</w:t>
            </w:r>
          </w:p>
        </w:tc>
      </w:tr>
      <w:tr>
        <w:trPr>
          <w:trHeight w:val="159"/>
        </w:trPr>
        <w:tc>
          <w:tcPr>
            <w:tcW w:w="104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PER SHARE</w:t>
            </w:r>
          </w:p>
        </w:tc>
        <w:tc>
          <w:tcPr>
            <w:tcW w:w="200" w:type="dxa"/>
            <w:vAlign w:val="bottom"/>
            <w:shd w:val="clear" w:color="auto" w:fill="EDEDED"/>
          </w:tcPr>
          <w:p>
            <w:pPr>
              <w:spacing w:after="0"/>
              <w:rPr>
                <w:sz w:val="13"/>
                <w:szCs w:val="13"/>
                <w:color w:val="auto"/>
              </w:rPr>
            </w:pPr>
          </w:p>
        </w:tc>
        <w:tc>
          <w:tcPr>
            <w:tcW w:w="1580" w:type="dxa"/>
            <w:vAlign w:val="bottom"/>
          </w:tcPr>
          <w:p>
            <w:pPr>
              <w:spacing w:after="0"/>
              <w:rPr>
                <w:sz w:val="13"/>
                <w:szCs w:val="13"/>
                <w:color w:val="auto"/>
              </w:rPr>
            </w:pPr>
          </w:p>
        </w:tc>
      </w:tr>
      <w:tr>
        <w:trPr>
          <w:trHeight w:val="314"/>
        </w:trPr>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8"/>
              </w:rPr>
              <w:t>(“TBVPS”)</w:t>
            </w:r>
            <w:r>
              <w:rPr>
                <w:rFonts w:ascii="Arial" w:cs="Arial" w:eastAsia="Arial" w:hAnsi="Arial"/>
                <w:sz w:val="24"/>
                <w:szCs w:val="24"/>
                <w:b w:val="1"/>
                <w:bCs w:val="1"/>
                <w:color w:val="auto"/>
                <w:w w:val="98"/>
                <w:vertAlign w:val="superscript"/>
              </w:rPr>
              <w:t>1</w:t>
            </w:r>
          </w:p>
        </w:tc>
        <w:tc>
          <w:tcPr>
            <w:tcW w:w="200" w:type="dxa"/>
            <w:vAlign w:val="bottom"/>
            <w:shd w:val="clear" w:color="auto" w:fill="EDEDED"/>
          </w:tcPr>
          <w:p>
            <w:pPr>
              <w:spacing w:after="0"/>
              <w:rPr>
                <w:sz w:val="24"/>
                <w:szCs w:val="24"/>
                <w:color w:val="auto"/>
              </w:rPr>
            </w:pPr>
          </w:p>
        </w:tc>
        <w:tc>
          <w:tcPr>
            <w:tcW w:w="158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3">
            <w:col w:w="4820" w:space="520"/>
            <w:col w:w="2160" w:space="320"/>
            <w:col w:w="3320"/>
          </w:cols>
          <w:pgMar w:left="320" w:top="459" w:right="439" w:bottom="1440" w:gutter="0" w:footer="0" w:header="0"/>
          <w:type w:val="continuous"/>
        </w:sectPr>
      </w:pPr>
    </w:p>
    <w:p>
      <w:pPr>
        <w:spacing w:after="0" w:line="94" w:lineRule="exact"/>
        <w:rPr>
          <w:sz w:val="20"/>
          <w:szCs w:val="20"/>
          <w:color w:val="auto"/>
        </w:rPr>
      </w:pPr>
    </w:p>
    <w:p>
      <w:pPr>
        <w:jc w:val="center"/>
        <w:ind w:left="160"/>
        <w:spacing w:after="0"/>
        <w:rPr>
          <w:sz w:val="20"/>
          <w:szCs w:val="20"/>
          <w:color w:val="auto"/>
        </w:rPr>
      </w:pPr>
      <w:r>
        <w:rPr>
          <w:rFonts w:ascii="Arial" w:cs="Arial" w:eastAsia="Arial" w:hAnsi="Arial"/>
          <w:sz w:val="22"/>
          <w:szCs w:val="22"/>
          <w:color w:val="004876"/>
        </w:rPr>
        <w:t>CONSUMER &amp;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-149860</wp:posOffset>
            </wp:positionV>
            <wp:extent cx="1551305" cy="24599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551305" cy="2459990"/>
                    </a:xfrm>
                    <a:prstGeom prst="rect">
                      <a:avLst/>
                    </a:prstGeom>
                    <a:noFill/>
                  </pic:spPr>
                </pic:pic>
              </a:graphicData>
            </a:graphic>
          </wp:anchor>
        </w:drawing>
      </w:r>
    </w:p>
    <w:p>
      <w:pPr>
        <w:jc w:val="center"/>
        <w:ind w:left="160"/>
        <w:spacing w:after="0"/>
        <w:rPr>
          <w:sz w:val="20"/>
          <w:szCs w:val="20"/>
          <w:color w:val="auto"/>
        </w:rPr>
      </w:pPr>
      <w:r>
        <w:rPr>
          <w:rFonts w:ascii="Arial" w:cs="Arial" w:eastAsia="Arial" w:hAnsi="Arial"/>
          <w:sz w:val="21"/>
          <w:szCs w:val="21"/>
          <w:color w:val="004876"/>
        </w:rPr>
        <w:t>COMMUNITY BANKING</w:t>
      </w:r>
    </w:p>
    <w:p>
      <w:pPr>
        <w:ind w:left="160"/>
        <w:spacing w:after="0" w:line="189" w:lineRule="auto"/>
        <w:tabs>
          <w:tab w:leader="none" w:pos="1600" w:val="left"/>
        </w:tabs>
        <w:rPr>
          <w:sz w:val="20"/>
          <w:szCs w:val="20"/>
          <w:color w:val="auto"/>
        </w:rPr>
      </w:pPr>
      <w:r>
        <w:rPr>
          <w:rFonts w:ascii="Arial" w:cs="Arial" w:eastAsia="Arial" w:hAnsi="Arial"/>
          <w:sz w:val="45"/>
          <w:szCs w:val="45"/>
          <w:color w:val="004876"/>
          <w:vertAlign w:val="superscript"/>
        </w:rPr>
        <w:t>$</w:t>
      </w:r>
      <w:r>
        <w:rPr>
          <w:rFonts w:ascii="Arial" w:cs="Arial" w:eastAsia="Arial" w:hAnsi="Arial"/>
          <w:sz w:val="27"/>
          <w:szCs w:val="27"/>
          <w:color w:val="004876"/>
        </w:rPr>
        <w:t>16.6</w:t>
      </w:r>
      <w:r>
        <w:rPr>
          <w:rFonts w:ascii="Arial" w:cs="Arial" w:eastAsia="Arial" w:hAnsi="Arial"/>
          <w:sz w:val="21"/>
          <w:szCs w:val="21"/>
          <w:color w:val="004876"/>
        </w:rPr>
        <w:t>B</w:t>
      </w:r>
      <w:r>
        <w:rPr>
          <w:sz w:val="20"/>
          <w:szCs w:val="20"/>
          <w:color w:val="auto"/>
        </w:rPr>
        <w:tab/>
      </w:r>
      <w:r>
        <w:rPr>
          <w:rFonts w:ascii="Arial" w:cs="Arial" w:eastAsia="Arial" w:hAnsi="Arial"/>
          <w:sz w:val="26"/>
          <w:szCs w:val="26"/>
          <w:color w:val="004876"/>
        </w:rPr>
        <w:t>31</w:t>
      </w:r>
      <w:r>
        <w:rPr>
          <w:rFonts w:ascii="Arial" w:cs="Arial" w:eastAsia="Arial" w:hAnsi="Arial"/>
          <w:sz w:val="43"/>
          <w:szCs w:val="43"/>
          <w:color w:val="004876"/>
          <w:vertAlign w:val="superscript"/>
        </w:rPr>
        <w:t>%</w:t>
      </w:r>
    </w:p>
    <w:tbl>
      <w:tblPr>
        <w:tblLayout w:type="fixed"/>
        <w:tblInd w:w="160" w:type="dxa"/>
        <w:tblCellMar>
          <w:top w:w="0" w:type="dxa"/>
          <w:left w:w="0" w:type="dxa"/>
          <w:bottom w:w="0" w:type="dxa"/>
          <w:right w:w="0" w:type="dxa"/>
        </w:tblCellMar>
      </w:tblPr>
      <w:tr>
        <w:trPr>
          <w:trHeight w:val="190"/>
        </w:trPr>
        <w:tc>
          <w:tcPr>
            <w:tcW w:w="1240" w:type="dxa"/>
            <w:vAlign w:val="bottom"/>
          </w:tcPr>
          <w:p>
            <w:pPr>
              <w:spacing w:after="0"/>
              <w:rPr>
                <w:sz w:val="20"/>
                <w:szCs w:val="20"/>
                <w:color w:val="auto"/>
              </w:rPr>
            </w:pPr>
            <w:r>
              <w:rPr>
                <w:rFonts w:ascii="Arial" w:cs="Arial" w:eastAsia="Arial" w:hAnsi="Arial"/>
                <w:sz w:val="14"/>
                <w:szCs w:val="14"/>
                <w:b w:val="1"/>
                <w:bCs w:val="1"/>
                <w:color w:val="auto"/>
              </w:rPr>
              <w:t>NET INCOME</w:t>
            </w:r>
          </w:p>
        </w:tc>
        <w:tc>
          <w:tcPr>
            <w:tcW w:w="660" w:type="dxa"/>
            <w:vAlign w:val="bottom"/>
          </w:tcPr>
          <w:p>
            <w:pPr>
              <w:ind w:left="340"/>
              <w:spacing w:after="0"/>
              <w:rPr>
                <w:sz w:val="20"/>
                <w:szCs w:val="20"/>
                <w:color w:val="auto"/>
              </w:rPr>
            </w:pPr>
            <w:r>
              <w:rPr>
                <w:rFonts w:ascii="Arial" w:cs="Arial" w:eastAsia="Arial" w:hAnsi="Arial"/>
                <w:sz w:val="14"/>
                <w:szCs w:val="14"/>
                <w:b w:val="1"/>
                <w:bCs w:val="1"/>
                <w:color w:val="auto"/>
                <w:w w:val="98"/>
              </w:rPr>
              <w:t>ROE</w:t>
            </w:r>
          </w:p>
        </w:tc>
      </w:tr>
    </w:tbl>
    <w:p>
      <w:pPr>
        <w:spacing w:after="0" w:line="4" w:lineRule="exact"/>
        <w:rPr>
          <w:sz w:val="20"/>
          <w:szCs w:val="20"/>
          <w:color w:val="auto"/>
        </w:rPr>
      </w:pPr>
    </w:p>
    <w:p>
      <w:pPr>
        <w:ind w:left="400" w:right="620" w:hanging="140"/>
        <w:spacing w:after="0" w:line="242" w:lineRule="auto"/>
        <w:tabs>
          <w:tab w:leader="none" w:pos="396" w:val="left"/>
        </w:tabs>
        <w:numPr>
          <w:ilvl w:val="0"/>
          <w:numId w:val="9"/>
        </w:numPr>
        <w:rPr>
          <w:rFonts w:ascii="Arial" w:cs="Arial" w:eastAsia="Arial" w:hAnsi="Arial"/>
          <w:sz w:val="15"/>
          <w:szCs w:val="15"/>
          <w:color w:val="004876"/>
        </w:rPr>
      </w:pPr>
      <w:r>
        <w:rPr>
          <w:rFonts w:ascii="Arial" w:cs="Arial" w:eastAsia="Arial" w:hAnsi="Arial"/>
          <w:sz w:val="15"/>
          <w:szCs w:val="15"/>
          <w:color w:val="auto"/>
        </w:rPr>
        <w:t>Record net income on revenue</w:t>
      </w:r>
      <w:r>
        <w:rPr>
          <w:rFonts w:ascii="Arial" w:cs="Arial" w:eastAsia="Arial" w:hAnsi="Arial"/>
          <w:sz w:val="13"/>
          <w:szCs w:val="13"/>
          <w:color w:val="auto"/>
        </w:rPr>
        <w:t>3</w:t>
      </w:r>
      <w:r>
        <w:rPr>
          <w:rFonts w:ascii="Arial" w:cs="Arial" w:eastAsia="Arial" w:hAnsi="Arial"/>
          <w:sz w:val="15"/>
          <w:szCs w:val="15"/>
          <w:color w:val="auto"/>
        </w:rPr>
        <w:t xml:space="preserve"> of $55.9B</w:t>
      </w:r>
    </w:p>
    <w:p>
      <w:pPr>
        <w:spacing w:after="0" w:line="138" w:lineRule="exact"/>
        <w:rPr>
          <w:rFonts w:ascii="Arial" w:cs="Arial" w:eastAsia="Arial" w:hAnsi="Arial"/>
          <w:sz w:val="15"/>
          <w:szCs w:val="15"/>
          <w:color w:val="004876"/>
        </w:rPr>
      </w:pPr>
    </w:p>
    <w:p>
      <w:pPr>
        <w:ind w:left="400" w:right="160" w:hanging="140"/>
        <w:spacing w:after="0" w:line="235" w:lineRule="auto"/>
        <w:tabs>
          <w:tab w:leader="none" w:pos="387" w:val="left"/>
        </w:tabs>
        <w:numPr>
          <w:ilvl w:val="0"/>
          <w:numId w:val="9"/>
        </w:numPr>
        <w:rPr>
          <w:rFonts w:ascii="Arial" w:cs="Arial" w:eastAsia="Arial" w:hAnsi="Arial"/>
          <w:sz w:val="15"/>
          <w:szCs w:val="15"/>
          <w:color w:val="004876"/>
        </w:rPr>
      </w:pPr>
      <w:r>
        <w:rPr>
          <w:rFonts w:ascii="Arial" w:cs="Arial" w:eastAsia="Arial" w:hAnsi="Arial"/>
          <w:sz w:val="15"/>
          <w:szCs w:val="15"/>
          <w:color w:val="auto"/>
        </w:rPr>
        <w:t>Average deposits of $693.6B (up 3%); average loans of $464.3B (down 3%)</w:t>
      </w:r>
    </w:p>
    <w:p>
      <w:pPr>
        <w:spacing w:after="0" w:line="141" w:lineRule="exact"/>
        <w:rPr>
          <w:rFonts w:ascii="Arial" w:cs="Arial" w:eastAsia="Arial" w:hAnsi="Arial"/>
          <w:sz w:val="15"/>
          <w:szCs w:val="15"/>
          <w:color w:val="004876"/>
        </w:rPr>
      </w:pPr>
    </w:p>
    <w:p>
      <w:pPr>
        <w:ind w:left="400" w:right="180" w:hanging="140"/>
        <w:spacing w:after="0" w:line="235" w:lineRule="auto"/>
        <w:tabs>
          <w:tab w:leader="none" w:pos="396" w:val="left"/>
        </w:tabs>
        <w:numPr>
          <w:ilvl w:val="0"/>
          <w:numId w:val="9"/>
        </w:numPr>
        <w:rPr>
          <w:rFonts w:ascii="Arial" w:cs="Arial" w:eastAsia="Arial" w:hAnsi="Arial"/>
          <w:sz w:val="15"/>
          <w:szCs w:val="15"/>
          <w:color w:val="004876"/>
        </w:rPr>
      </w:pPr>
      <w:r>
        <w:rPr>
          <w:rFonts w:ascii="Arial" w:cs="Arial" w:eastAsia="Arial" w:hAnsi="Arial"/>
          <w:sz w:val="15"/>
          <w:szCs w:val="15"/>
          <w:color w:val="auto"/>
        </w:rPr>
        <w:t>#1 in U.S. card sales volume and #1 in credit card outstandings</w:t>
      </w:r>
    </w:p>
    <w:p>
      <w:pPr>
        <w:spacing w:after="0" w:line="141" w:lineRule="exact"/>
        <w:rPr>
          <w:rFonts w:ascii="Arial" w:cs="Arial" w:eastAsia="Arial" w:hAnsi="Arial"/>
          <w:sz w:val="15"/>
          <w:szCs w:val="15"/>
          <w:color w:val="004876"/>
        </w:rPr>
      </w:pPr>
    </w:p>
    <w:p>
      <w:pPr>
        <w:ind w:left="400" w:right="240" w:hanging="140"/>
        <w:spacing w:after="0" w:line="231" w:lineRule="auto"/>
        <w:tabs>
          <w:tab w:leader="none" w:pos="396" w:val="left"/>
        </w:tabs>
        <w:numPr>
          <w:ilvl w:val="0"/>
          <w:numId w:val="9"/>
        </w:numPr>
        <w:rPr>
          <w:rFonts w:ascii="Arial" w:cs="Arial" w:eastAsia="Arial" w:hAnsi="Arial"/>
          <w:sz w:val="15"/>
          <w:szCs w:val="15"/>
          <w:color w:val="004876"/>
        </w:rPr>
      </w:pPr>
      <w:r>
        <w:rPr>
          <w:rFonts w:ascii="Arial" w:cs="Arial" w:eastAsia="Arial" w:hAnsi="Arial"/>
          <w:sz w:val="15"/>
          <w:szCs w:val="15"/>
          <w:color w:val="auto"/>
        </w:rPr>
        <w:t>Continued credit outperformance with Consumer Lending 30+ day delinquency rates well below industry benchmarks</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jc w:val="center"/>
        <w:ind w:left="-111"/>
        <w:spacing w:after="0"/>
        <w:rPr>
          <w:sz w:val="20"/>
          <w:szCs w:val="20"/>
          <w:color w:val="auto"/>
        </w:rPr>
      </w:pPr>
      <w:r>
        <w:rPr>
          <w:rFonts w:ascii="Arial" w:cs="Arial" w:eastAsia="Arial" w:hAnsi="Arial"/>
          <w:sz w:val="22"/>
          <w:szCs w:val="22"/>
          <w:color w:val="004876"/>
        </w:rPr>
        <w:t>CORPORATE &amp;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-149860</wp:posOffset>
            </wp:positionV>
            <wp:extent cx="1688465" cy="6597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688465" cy="659765"/>
                    </a:xfrm>
                    <a:prstGeom prst="rect">
                      <a:avLst/>
                    </a:prstGeom>
                    <a:noFill/>
                  </pic:spPr>
                </pic:pic>
              </a:graphicData>
            </a:graphic>
          </wp:anchor>
        </w:drawing>
      </w:r>
    </w:p>
    <w:p>
      <w:pPr>
        <w:jc w:val="center"/>
        <w:ind w:left="-111"/>
        <w:spacing w:after="0"/>
        <w:rPr>
          <w:sz w:val="20"/>
          <w:szCs w:val="20"/>
          <w:color w:val="auto"/>
        </w:rPr>
      </w:pPr>
      <w:r>
        <w:rPr>
          <w:rFonts w:ascii="Arial" w:cs="Arial" w:eastAsia="Arial" w:hAnsi="Arial"/>
          <w:sz w:val="21"/>
          <w:szCs w:val="21"/>
          <w:color w:val="004876"/>
        </w:rPr>
        <w:t>INVESTMENT BANK</w:t>
      </w:r>
    </w:p>
    <w:p>
      <w:pPr>
        <w:ind w:left="12"/>
        <w:spacing w:after="0" w:line="189" w:lineRule="auto"/>
        <w:tabs>
          <w:tab w:leader="none" w:pos="1492" w:val="left"/>
        </w:tabs>
        <w:rPr>
          <w:sz w:val="20"/>
          <w:szCs w:val="20"/>
          <w:color w:val="auto"/>
        </w:rPr>
      </w:pPr>
      <w:r>
        <w:rPr>
          <w:rFonts w:ascii="Arial" w:cs="Arial" w:eastAsia="Arial" w:hAnsi="Arial"/>
          <w:sz w:val="45"/>
          <w:szCs w:val="45"/>
          <w:color w:val="004876"/>
          <w:vertAlign w:val="superscript"/>
        </w:rPr>
        <w:t>$</w:t>
      </w:r>
      <w:r>
        <w:rPr>
          <w:rFonts w:ascii="Arial" w:cs="Arial" w:eastAsia="Arial" w:hAnsi="Arial"/>
          <w:sz w:val="27"/>
          <w:szCs w:val="27"/>
          <w:color w:val="004876"/>
        </w:rPr>
        <w:t>11.9</w:t>
      </w:r>
      <w:r>
        <w:rPr>
          <w:rFonts w:ascii="Arial" w:cs="Arial" w:eastAsia="Arial" w:hAnsi="Arial"/>
          <w:sz w:val="21"/>
          <w:szCs w:val="21"/>
          <w:color w:val="004876"/>
        </w:rPr>
        <w:t>B</w:t>
      </w:r>
      <w:r>
        <w:rPr>
          <w:sz w:val="20"/>
          <w:szCs w:val="20"/>
          <w:color w:val="auto"/>
        </w:rPr>
        <w:tab/>
      </w:r>
      <w:r>
        <w:rPr>
          <w:rFonts w:ascii="Arial" w:cs="Arial" w:eastAsia="Arial" w:hAnsi="Arial"/>
          <w:sz w:val="26"/>
          <w:szCs w:val="26"/>
          <w:color w:val="004876"/>
        </w:rPr>
        <w:t>14</w:t>
      </w:r>
      <w:r>
        <w:rPr>
          <w:rFonts w:ascii="Arial" w:cs="Arial" w:eastAsia="Arial" w:hAnsi="Arial"/>
          <w:sz w:val="43"/>
          <w:szCs w:val="43"/>
          <w:color w:val="004876"/>
          <w:vertAlign w:val="superscript"/>
        </w:rPr>
        <w:t>%</w:t>
      </w:r>
    </w:p>
    <w:tbl>
      <w:tblPr>
        <w:tblLayout w:type="fixed"/>
        <w:tblInd w:w="12" w:type="dxa"/>
        <w:tblCellMar>
          <w:top w:w="0" w:type="dxa"/>
          <w:left w:w="0" w:type="dxa"/>
          <w:bottom w:w="0" w:type="dxa"/>
          <w:right w:w="0" w:type="dxa"/>
        </w:tblCellMar>
      </w:tblPr>
      <w:tr>
        <w:trPr>
          <w:trHeight w:val="190"/>
        </w:trPr>
        <w:tc>
          <w:tcPr>
            <w:tcW w:w="1260" w:type="dxa"/>
            <w:vAlign w:val="bottom"/>
          </w:tcPr>
          <w:p>
            <w:pPr>
              <w:spacing w:after="0"/>
              <w:rPr>
                <w:sz w:val="20"/>
                <w:szCs w:val="20"/>
                <w:color w:val="auto"/>
              </w:rPr>
            </w:pPr>
            <w:r>
              <w:rPr>
                <w:rFonts w:ascii="Arial" w:cs="Arial" w:eastAsia="Arial" w:hAnsi="Arial"/>
                <w:sz w:val="14"/>
                <w:szCs w:val="14"/>
                <w:b w:val="1"/>
                <w:bCs w:val="1"/>
                <w:color w:val="auto"/>
              </w:rPr>
              <w:t>NET INCOME</w:t>
            </w:r>
          </w:p>
        </w:tc>
        <w:tc>
          <w:tcPr>
            <w:tcW w:w="680" w:type="dxa"/>
            <w:vAlign w:val="bottom"/>
          </w:tcPr>
          <w:p>
            <w:pPr>
              <w:ind w:left="360"/>
              <w:spacing w:after="0"/>
              <w:rPr>
                <w:sz w:val="20"/>
                <w:szCs w:val="20"/>
                <w:color w:val="auto"/>
              </w:rPr>
            </w:pPr>
            <w:r>
              <w:rPr>
                <w:rFonts w:ascii="Arial" w:cs="Arial" w:eastAsia="Arial" w:hAnsi="Arial"/>
                <w:sz w:val="14"/>
                <w:szCs w:val="14"/>
                <w:b w:val="1"/>
                <w:bCs w:val="1"/>
                <w:color w:val="auto"/>
                <w:w w:val="98"/>
              </w:rPr>
              <w:t>ROE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-12065</wp:posOffset>
            </wp:positionV>
            <wp:extent cx="1688465" cy="18002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688465" cy="1800225"/>
                    </a:xfrm>
                    <a:prstGeom prst="rect">
                      <a:avLst/>
                    </a:prstGeom>
                    <a:noFill/>
                  </pic:spPr>
                </pic:pic>
              </a:graphicData>
            </a:graphic>
          </wp:anchor>
        </w:drawing>
      </w:r>
    </w:p>
    <w:p>
      <w:pPr>
        <w:ind w:left="152" w:right="40" w:hanging="152"/>
        <w:spacing w:after="0" w:line="242" w:lineRule="auto"/>
        <w:tabs>
          <w:tab w:leader="none" w:pos="148" w:val="left"/>
        </w:tabs>
        <w:numPr>
          <w:ilvl w:val="0"/>
          <w:numId w:val="10"/>
        </w:numPr>
        <w:rPr>
          <w:rFonts w:ascii="Arial" w:cs="Arial" w:eastAsia="Arial" w:hAnsi="Arial"/>
          <w:sz w:val="15"/>
          <w:szCs w:val="15"/>
          <w:color w:val="004876"/>
        </w:rPr>
      </w:pPr>
      <w:r>
        <w:rPr>
          <w:rFonts w:ascii="Arial" w:cs="Arial" w:eastAsia="Arial" w:hAnsi="Arial"/>
          <w:sz w:val="15"/>
          <w:szCs w:val="15"/>
          <w:color w:val="auto"/>
        </w:rPr>
        <w:t>Record net income on record revenue</w:t>
      </w:r>
      <w:r>
        <w:rPr>
          <w:rFonts w:ascii="Arial" w:cs="Arial" w:eastAsia="Arial" w:hAnsi="Arial"/>
          <w:sz w:val="13"/>
          <w:szCs w:val="13"/>
          <w:color w:val="auto"/>
        </w:rPr>
        <w:t>3</w:t>
      </w:r>
      <w:r>
        <w:rPr>
          <w:rFonts w:ascii="Arial" w:cs="Arial" w:eastAsia="Arial" w:hAnsi="Arial"/>
          <w:sz w:val="15"/>
          <w:szCs w:val="15"/>
          <w:color w:val="auto"/>
        </w:rPr>
        <w:t xml:space="preserve"> of $38.3B</w:t>
      </w:r>
    </w:p>
    <w:p>
      <w:pPr>
        <w:spacing w:after="0" w:line="219" w:lineRule="exact"/>
        <w:rPr>
          <w:rFonts w:ascii="Arial" w:cs="Arial" w:eastAsia="Arial" w:hAnsi="Arial"/>
          <w:sz w:val="15"/>
          <w:szCs w:val="15"/>
          <w:color w:val="004876"/>
        </w:rPr>
      </w:pPr>
    </w:p>
    <w:p>
      <w:pPr>
        <w:ind w:left="152" w:hanging="152"/>
        <w:spacing w:after="0" w:line="233" w:lineRule="auto"/>
        <w:tabs>
          <w:tab w:leader="none" w:pos="148" w:val="left"/>
        </w:tabs>
        <w:numPr>
          <w:ilvl w:val="0"/>
          <w:numId w:val="10"/>
        </w:numPr>
        <w:rPr>
          <w:rFonts w:ascii="Arial" w:cs="Arial" w:eastAsia="Arial" w:hAnsi="Arial"/>
          <w:sz w:val="15"/>
          <w:szCs w:val="15"/>
          <w:color w:val="004876"/>
        </w:rPr>
      </w:pPr>
      <w:r>
        <w:rPr>
          <w:rFonts w:ascii="Arial" w:cs="Arial" w:eastAsia="Arial" w:hAnsi="Arial"/>
          <w:sz w:val="15"/>
          <w:szCs w:val="15"/>
          <w:color w:val="auto"/>
        </w:rPr>
        <w:t>#1 in global Markets revenue; #1 in global Investment Banking (“IB”) fees for 11 consecutive years</w:t>
      </w:r>
    </w:p>
    <w:p>
      <w:pPr>
        <w:spacing w:after="0" w:line="221" w:lineRule="exact"/>
        <w:rPr>
          <w:rFonts w:ascii="Arial" w:cs="Arial" w:eastAsia="Arial" w:hAnsi="Arial"/>
          <w:sz w:val="15"/>
          <w:szCs w:val="15"/>
          <w:color w:val="004876"/>
        </w:rPr>
      </w:pPr>
    </w:p>
    <w:p>
      <w:pPr>
        <w:ind w:left="152" w:right="20" w:hanging="152"/>
        <w:spacing w:after="0" w:line="235" w:lineRule="auto"/>
        <w:tabs>
          <w:tab w:leader="none" w:pos="148" w:val="left"/>
        </w:tabs>
        <w:numPr>
          <w:ilvl w:val="0"/>
          <w:numId w:val="10"/>
        </w:numPr>
        <w:rPr>
          <w:rFonts w:ascii="Arial" w:cs="Arial" w:eastAsia="Arial" w:hAnsi="Arial"/>
          <w:sz w:val="15"/>
          <w:szCs w:val="15"/>
          <w:color w:val="004876"/>
        </w:rPr>
      </w:pPr>
      <w:r>
        <w:rPr>
          <w:rFonts w:ascii="Arial" w:cs="Arial" w:eastAsia="Arial" w:hAnsi="Arial"/>
          <w:sz w:val="15"/>
          <w:szCs w:val="15"/>
          <w:color w:val="auto"/>
        </w:rPr>
        <w:t>#2 custodian globally with $27T in assets under custody (“AUC”), up 16%</w:t>
      </w:r>
    </w:p>
    <w:p>
      <w:pPr>
        <w:spacing w:after="0" w:line="222" w:lineRule="exact"/>
        <w:rPr>
          <w:rFonts w:ascii="Arial" w:cs="Arial" w:eastAsia="Arial" w:hAnsi="Arial"/>
          <w:sz w:val="15"/>
          <w:szCs w:val="15"/>
          <w:color w:val="004876"/>
        </w:rPr>
      </w:pPr>
    </w:p>
    <w:p>
      <w:pPr>
        <w:ind w:left="132" w:hanging="132"/>
        <w:spacing w:after="0"/>
        <w:tabs>
          <w:tab w:leader="none" w:pos="132" w:val="left"/>
        </w:tabs>
        <w:numPr>
          <w:ilvl w:val="0"/>
          <w:numId w:val="10"/>
        </w:numPr>
        <w:rPr>
          <w:rFonts w:ascii="Arial" w:cs="Arial" w:eastAsia="Arial" w:hAnsi="Arial"/>
          <w:sz w:val="15"/>
          <w:szCs w:val="15"/>
          <w:color w:val="004876"/>
        </w:rPr>
      </w:pPr>
      <w:r>
        <w:rPr>
          <w:rFonts w:ascii="Arial" w:cs="Arial" w:eastAsia="Arial" w:hAnsi="Arial"/>
          <w:sz w:val="15"/>
          <w:szCs w:val="15"/>
          <w:color w:val="auto"/>
        </w:rPr>
        <w:t>#1 in USD Payments volume</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004876"/>
        </w:rPr>
        <w:t>COMMERCIAL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-153035</wp:posOffset>
            </wp:positionH>
            <wp:positionV relativeFrom="paragraph">
              <wp:posOffset>-149860</wp:posOffset>
            </wp:positionV>
            <wp:extent cx="1663065" cy="6597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663065" cy="659765"/>
                    </a:xfrm>
                    <a:prstGeom prst="rect">
                      <a:avLst/>
                    </a:prstGeom>
                    <a:noFill/>
                  </pic:spPr>
                </pic:pic>
              </a:graphicData>
            </a:graphic>
          </wp:anchor>
        </w:drawing>
      </w:r>
    </w:p>
    <w:p>
      <w:pPr>
        <w:jc w:val="center"/>
        <w:ind w:right="120"/>
        <w:spacing w:after="0"/>
        <w:rPr>
          <w:sz w:val="20"/>
          <w:szCs w:val="20"/>
          <w:color w:val="auto"/>
        </w:rPr>
      </w:pPr>
      <w:r>
        <w:rPr>
          <w:rFonts w:ascii="Arial" w:cs="Arial" w:eastAsia="Arial" w:hAnsi="Arial"/>
          <w:sz w:val="22"/>
          <w:szCs w:val="22"/>
          <w:color w:val="004876"/>
        </w:rPr>
        <w:t>BANKING</w:t>
      </w:r>
    </w:p>
    <w:p>
      <w:pPr>
        <w:ind w:left="100"/>
        <w:spacing w:after="0" w:line="184" w:lineRule="auto"/>
        <w:tabs>
          <w:tab w:leader="none" w:pos="1480" w:val="left"/>
        </w:tabs>
        <w:rPr>
          <w:sz w:val="20"/>
          <w:szCs w:val="20"/>
          <w:color w:val="auto"/>
        </w:rPr>
      </w:pPr>
      <w:r>
        <w:rPr>
          <w:rFonts w:ascii="Arial" w:cs="Arial" w:eastAsia="Arial" w:hAnsi="Arial"/>
          <w:sz w:val="43"/>
          <w:szCs w:val="43"/>
          <w:color w:val="004876"/>
          <w:vertAlign w:val="superscript"/>
        </w:rPr>
        <w:t>$</w:t>
      </w:r>
      <w:r>
        <w:rPr>
          <w:rFonts w:ascii="Arial" w:cs="Arial" w:eastAsia="Arial" w:hAnsi="Arial"/>
          <w:sz w:val="26"/>
          <w:szCs w:val="26"/>
          <w:color w:val="004876"/>
        </w:rPr>
        <w:t>3.9</w:t>
      </w:r>
      <w:r>
        <w:rPr>
          <w:rFonts w:ascii="Arial" w:cs="Arial" w:eastAsia="Arial" w:hAnsi="Arial"/>
          <w:sz w:val="21"/>
          <w:szCs w:val="21"/>
          <w:color w:val="004876"/>
        </w:rPr>
        <w:t>B</w:t>
      </w:r>
      <w:r>
        <w:rPr>
          <w:sz w:val="20"/>
          <w:szCs w:val="20"/>
          <w:color w:val="auto"/>
        </w:rPr>
        <w:tab/>
      </w:r>
      <w:r>
        <w:rPr>
          <w:rFonts w:ascii="Arial" w:cs="Arial" w:eastAsia="Arial" w:hAnsi="Arial"/>
          <w:sz w:val="26"/>
          <w:szCs w:val="26"/>
          <w:color w:val="004876"/>
        </w:rPr>
        <w:t>17</w:t>
      </w:r>
      <w:r>
        <w:rPr>
          <w:rFonts w:ascii="Arial" w:cs="Arial" w:eastAsia="Arial" w:hAnsi="Arial"/>
          <w:sz w:val="43"/>
          <w:szCs w:val="43"/>
          <w:color w:val="004876"/>
          <w:vertAlign w:val="superscript"/>
        </w:rPr>
        <w:t>%</w:t>
      </w:r>
    </w:p>
    <w:tbl>
      <w:tblPr>
        <w:tblLayout w:type="fixed"/>
        <w:tblInd w:w="20" w:type="dxa"/>
        <w:tblCellMar>
          <w:top w:w="0" w:type="dxa"/>
          <w:left w:w="0" w:type="dxa"/>
          <w:bottom w:w="0" w:type="dxa"/>
          <w:right w:w="0" w:type="dxa"/>
        </w:tblCellMar>
      </w:tblPr>
      <w:tr>
        <w:trPr>
          <w:trHeight w:val="190"/>
        </w:trPr>
        <w:tc>
          <w:tcPr>
            <w:tcW w:w="1240" w:type="dxa"/>
            <w:vAlign w:val="bottom"/>
          </w:tcPr>
          <w:p>
            <w:pPr>
              <w:spacing w:after="0"/>
              <w:rPr>
                <w:sz w:val="20"/>
                <w:szCs w:val="20"/>
                <w:color w:val="auto"/>
              </w:rPr>
            </w:pPr>
            <w:r>
              <w:rPr>
                <w:rFonts w:ascii="Arial" w:cs="Arial" w:eastAsia="Arial" w:hAnsi="Arial"/>
                <w:sz w:val="14"/>
                <w:szCs w:val="14"/>
                <w:b w:val="1"/>
                <w:bCs w:val="1"/>
                <w:color w:val="auto"/>
              </w:rPr>
              <w:t>NET INCOME</w:t>
            </w:r>
          </w:p>
        </w:tc>
        <w:tc>
          <w:tcPr>
            <w:tcW w:w="680" w:type="dxa"/>
            <w:vAlign w:val="bottom"/>
          </w:tcPr>
          <w:p>
            <w:pPr>
              <w:ind w:left="360"/>
              <w:spacing w:after="0"/>
              <w:rPr>
                <w:sz w:val="20"/>
                <w:szCs w:val="20"/>
                <w:color w:val="auto"/>
              </w:rPr>
            </w:pPr>
            <w:r>
              <w:rPr>
                <w:rFonts w:ascii="Arial" w:cs="Arial" w:eastAsia="Arial" w:hAnsi="Arial"/>
                <w:sz w:val="14"/>
                <w:szCs w:val="14"/>
                <w:b w:val="1"/>
                <w:bCs w:val="1"/>
                <w:color w:val="auto"/>
                <w:w w:val="98"/>
              </w:rPr>
              <w:t>ROE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-153035</wp:posOffset>
            </wp:positionH>
            <wp:positionV relativeFrom="paragraph">
              <wp:posOffset>-12065</wp:posOffset>
            </wp:positionV>
            <wp:extent cx="1663065" cy="18002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663065" cy="1800225"/>
                    </a:xfrm>
                    <a:prstGeom prst="rect">
                      <a:avLst/>
                    </a:prstGeom>
                    <a:noFill/>
                  </pic:spPr>
                </pic:pic>
              </a:graphicData>
            </a:graphic>
          </wp:anchor>
        </w:drawing>
      </w:r>
    </w:p>
    <w:p>
      <w:pPr>
        <w:ind w:left="140" w:hanging="130"/>
        <w:spacing w:after="0"/>
        <w:tabs>
          <w:tab w:leader="none" w:pos="140" w:val="left"/>
        </w:tabs>
        <w:numPr>
          <w:ilvl w:val="0"/>
          <w:numId w:val="11"/>
        </w:numPr>
        <w:rPr>
          <w:rFonts w:ascii="Arial" w:cs="Arial" w:eastAsia="Arial" w:hAnsi="Arial"/>
          <w:sz w:val="15"/>
          <w:szCs w:val="15"/>
          <w:color w:val="004876"/>
        </w:rPr>
      </w:pPr>
      <w:r>
        <w:rPr>
          <w:rFonts w:ascii="Arial" w:cs="Arial" w:eastAsia="Arial" w:hAnsi="Arial"/>
          <w:sz w:val="15"/>
          <w:szCs w:val="15"/>
          <w:color w:val="auto"/>
        </w:rPr>
        <w:t>Revenue</w:t>
      </w:r>
      <w:r>
        <w:rPr>
          <w:rFonts w:ascii="Arial" w:cs="Arial" w:eastAsia="Arial" w:hAnsi="Arial"/>
          <w:sz w:val="13"/>
          <w:szCs w:val="13"/>
          <w:color w:val="auto"/>
        </w:rPr>
        <w:t>3</w:t>
      </w:r>
      <w:r>
        <w:rPr>
          <w:rFonts w:ascii="Arial" w:cs="Arial" w:eastAsia="Arial" w:hAnsi="Arial"/>
          <w:sz w:val="15"/>
          <w:szCs w:val="15"/>
          <w:color w:val="auto"/>
        </w:rPr>
        <w:t xml:space="preserve"> of $9.0B</w:t>
      </w:r>
    </w:p>
    <w:p>
      <w:pPr>
        <w:spacing w:after="0" w:line="111" w:lineRule="exact"/>
        <w:rPr>
          <w:rFonts w:ascii="Arial" w:cs="Arial" w:eastAsia="Arial" w:hAnsi="Arial"/>
          <w:sz w:val="15"/>
          <w:szCs w:val="15"/>
          <w:color w:val="004876"/>
        </w:rPr>
      </w:pPr>
    </w:p>
    <w:p>
      <w:pPr>
        <w:ind w:left="160" w:hanging="150"/>
        <w:spacing w:after="0" w:line="229" w:lineRule="auto"/>
        <w:tabs>
          <w:tab w:leader="none" w:pos="156" w:val="left"/>
        </w:tabs>
        <w:numPr>
          <w:ilvl w:val="0"/>
          <w:numId w:val="11"/>
        </w:numPr>
        <w:rPr>
          <w:rFonts w:ascii="Arial" w:cs="Arial" w:eastAsia="Arial" w:hAnsi="Arial"/>
          <w:sz w:val="15"/>
          <w:szCs w:val="15"/>
          <w:color w:val="004876"/>
        </w:rPr>
      </w:pPr>
      <w:r>
        <w:rPr>
          <w:rFonts w:ascii="Arial" w:cs="Arial" w:eastAsia="Arial" w:hAnsi="Arial"/>
          <w:sz w:val="15"/>
          <w:szCs w:val="15"/>
          <w:color w:val="auto"/>
        </w:rPr>
        <w:t>Record gross IB revenue of $2.7B (up 10%), including record years for both Middle Market Banking &amp; Specialized Industries (“MMBSI”) and Corporate Client Banking &amp; Specialized Industries (“CCBSI”)</w:t>
      </w:r>
    </w:p>
    <w:p>
      <w:pPr>
        <w:spacing w:after="0" w:line="103" w:lineRule="exact"/>
        <w:rPr>
          <w:rFonts w:ascii="Arial" w:cs="Arial" w:eastAsia="Arial" w:hAnsi="Arial"/>
          <w:sz w:val="15"/>
          <w:szCs w:val="15"/>
          <w:color w:val="004876"/>
        </w:rPr>
      </w:pPr>
    </w:p>
    <w:p>
      <w:pPr>
        <w:ind w:left="160" w:right="240" w:hanging="150"/>
        <w:spacing w:after="0" w:line="235" w:lineRule="auto"/>
        <w:tabs>
          <w:tab w:leader="none" w:pos="156" w:val="left"/>
        </w:tabs>
        <w:numPr>
          <w:ilvl w:val="0"/>
          <w:numId w:val="11"/>
        </w:numPr>
        <w:rPr>
          <w:rFonts w:ascii="Arial" w:cs="Arial" w:eastAsia="Arial" w:hAnsi="Arial"/>
          <w:sz w:val="15"/>
          <w:szCs w:val="15"/>
          <w:color w:val="004876"/>
        </w:rPr>
      </w:pPr>
      <w:r>
        <w:rPr>
          <w:rFonts w:ascii="Arial" w:cs="Arial" w:eastAsia="Arial" w:hAnsi="Arial"/>
          <w:sz w:val="15"/>
          <w:szCs w:val="15"/>
          <w:color w:val="auto"/>
        </w:rPr>
        <w:t>Record Middle Market expansion market revenue of $723M (up 12%)</w:t>
      </w:r>
    </w:p>
    <w:p>
      <w:pPr>
        <w:spacing w:after="0" w:line="100" w:lineRule="exact"/>
        <w:rPr>
          <w:rFonts w:ascii="Arial" w:cs="Arial" w:eastAsia="Arial" w:hAnsi="Arial"/>
          <w:sz w:val="15"/>
          <w:szCs w:val="15"/>
          <w:color w:val="004876"/>
        </w:rPr>
      </w:pPr>
    </w:p>
    <w:p>
      <w:pPr>
        <w:jc w:val="both"/>
        <w:ind w:left="160" w:right="120" w:hanging="150"/>
        <w:spacing w:after="0" w:line="242" w:lineRule="auto"/>
        <w:tabs>
          <w:tab w:leader="none" w:pos="156" w:val="left"/>
        </w:tabs>
        <w:numPr>
          <w:ilvl w:val="0"/>
          <w:numId w:val="11"/>
        </w:numPr>
        <w:rPr>
          <w:rFonts w:ascii="Arial" w:cs="Arial" w:eastAsia="Arial" w:hAnsi="Arial"/>
          <w:sz w:val="15"/>
          <w:szCs w:val="15"/>
          <w:color w:val="004876"/>
        </w:rPr>
      </w:pPr>
      <w:r>
        <w:rPr>
          <w:rFonts w:ascii="Arial" w:cs="Arial" w:eastAsia="Arial" w:hAnsi="Arial"/>
          <w:sz w:val="15"/>
          <w:szCs w:val="15"/>
          <w:color w:val="auto"/>
        </w:rPr>
        <w:t>Strong credit performance with a net charge-off ratio of 0.08%</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jc w:val="center"/>
        <w:ind w:right="160"/>
        <w:spacing w:after="0"/>
        <w:rPr>
          <w:sz w:val="20"/>
          <w:szCs w:val="20"/>
          <w:color w:val="auto"/>
        </w:rPr>
      </w:pPr>
      <w:r>
        <w:rPr>
          <w:rFonts w:ascii="Arial" w:cs="Arial" w:eastAsia="Arial" w:hAnsi="Arial"/>
          <w:sz w:val="22"/>
          <w:szCs w:val="22"/>
          <w:color w:val="004876"/>
        </w:rPr>
        <w:t>ASSET &amp; WEALTH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wp:posOffset>
            </wp:positionH>
            <wp:positionV relativeFrom="paragraph">
              <wp:posOffset>-149860</wp:posOffset>
            </wp:positionV>
            <wp:extent cx="1663065" cy="6597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663065" cy="659765"/>
                    </a:xfrm>
                    <a:prstGeom prst="rect">
                      <a:avLst/>
                    </a:prstGeom>
                    <a:noFill/>
                  </pic:spPr>
                </pic:pic>
              </a:graphicData>
            </a:graphic>
          </wp:anchor>
        </w:drawing>
      </w:r>
    </w:p>
    <w:p>
      <w:pPr>
        <w:jc w:val="center"/>
        <w:ind w:right="160"/>
        <w:spacing w:after="0"/>
        <w:rPr>
          <w:sz w:val="20"/>
          <w:szCs w:val="20"/>
          <w:color w:val="auto"/>
        </w:rPr>
      </w:pPr>
      <w:r>
        <w:rPr>
          <w:rFonts w:ascii="Arial" w:cs="Arial" w:eastAsia="Arial" w:hAnsi="Arial"/>
          <w:sz w:val="22"/>
          <w:szCs w:val="22"/>
          <w:color w:val="004876"/>
        </w:rPr>
        <w:t>MANAGEMENT</w:t>
      </w:r>
    </w:p>
    <w:p>
      <w:pPr>
        <w:ind w:left="100"/>
        <w:spacing w:after="0" w:line="184" w:lineRule="auto"/>
        <w:tabs>
          <w:tab w:leader="none" w:pos="1460" w:val="left"/>
        </w:tabs>
        <w:rPr>
          <w:sz w:val="20"/>
          <w:szCs w:val="20"/>
          <w:color w:val="auto"/>
        </w:rPr>
      </w:pPr>
      <w:r>
        <w:rPr>
          <w:rFonts w:ascii="Arial" w:cs="Arial" w:eastAsia="Arial" w:hAnsi="Arial"/>
          <w:sz w:val="43"/>
          <w:szCs w:val="43"/>
          <w:color w:val="004876"/>
          <w:vertAlign w:val="superscript"/>
        </w:rPr>
        <w:t>$</w:t>
      </w:r>
      <w:r>
        <w:rPr>
          <w:rFonts w:ascii="Arial" w:cs="Arial" w:eastAsia="Arial" w:hAnsi="Arial"/>
          <w:sz w:val="26"/>
          <w:szCs w:val="26"/>
          <w:color w:val="004876"/>
        </w:rPr>
        <w:t>2.8</w:t>
      </w:r>
      <w:r>
        <w:rPr>
          <w:rFonts w:ascii="Arial" w:cs="Arial" w:eastAsia="Arial" w:hAnsi="Arial"/>
          <w:sz w:val="21"/>
          <w:szCs w:val="21"/>
          <w:color w:val="004876"/>
        </w:rPr>
        <w:t>B</w:t>
      </w:r>
      <w:r>
        <w:rPr>
          <w:sz w:val="20"/>
          <w:szCs w:val="20"/>
          <w:color w:val="auto"/>
        </w:rPr>
        <w:tab/>
      </w:r>
      <w:r>
        <w:rPr>
          <w:rFonts w:ascii="Arial" w:cs="Arial" w:eastAsia="Arial" w:hAnsi="Arial"/>
          <w:sz w:val="26"/>
          <w:szCs w:val="26"/>
          <w:color w:val="004876"/>
        </w:rPr>
        <w:t>26</w:t>
      </w:r>
      <w:r>
        <w:rPr>
          <w:rFonts w:ascii="Arial" w:cs="Arial" w:eastAsia="Arial" w:hAnsi="Arial"/>
          <w:sz w:val="43"/>
          <w:szCs w:val="43"/>
          <w:color w:val="004876"/>
          <w:vertAlign w:val="superscript"/>
        </w:rPr>
        <w:t>%</w:t>
      </w:r>
    </w:p>
    <w:tbl>
      <w:tblPr>
        <w:tblLayout w:type="fixed"/>
        <w:tblInd w:w="20" w:type="dxa"/>
        <w:tblCellMar>
          <w:top w:w="0" w:type="dxa"/>
          <w:left w:w="0" w:type="dxa"/>
          <w:bottom w:w="0" w:type="dxa"/>
          <w:right w:w="0" w:type="dxa"/>
        </w:tblCellMar>
      </w:tblPr>
      <w:tr>
        <w:trPr>
          <w:trHeight w:val="190"/>
        </w:trPr>
        <w:tc>
          <w:tcPr>
            <w:tcW w:w="1240" w:type="dxa"/>
            <w:vAlign w:val="bottom"/>
          </w:tcPr>
          <w:p>
            <w:pPr>
              <w:spacing w:after="0"/>
              <w:rPr>
                <w:sz w:val="20"/>
                <w:szCs w:val="20"/>
                <w:color w:val="auto"/>
              </w:rPr>
            </w:pPr>
            <w:r>
              <w:rPr>
                <w:rFonts w:ascii="Arial" w:cs="Arial" w:eastAsia="Arial" w:hAnsi="Arial"/>
                <w:sz w:val="14"/>
                <w:szCs w:val="14"/>
                <w:b w:val="1"/>
                <w:bCs w:val="1"/>
                <w:color w:val="auto"/>
              </w:rPr>
              <w:t>NET INCOME</w:t>
            </w:r>
          </w:p>
        </w:tc>
        <w:tc>
          <w:tcPr>
            <w:tcW w:w="660" w:type="dxa"/>
            <w:vAlign w:val="bottom"/>
          </w:tcPr>
          <w:p>
            <w:pPr>
              <w:ind w:left="360"/>
              <w:spacing w:after="0"/>
              <w:rPr>
                <w:sz w:val="20"/>
                <w:szCs w:val="20"/>
                <w:color w:val="auto"/>
              </w:rPr>
            </w:pPr>
            <w:r>
              <w:rPr>
                <w:rFonts w:ascii="Arial" w:cs="Arial" w:eastAsia="Arial" w:hAnsi="Arial"/>
                <w:sz w:val="14"/>
                <w:szCs w:val="14"/>
                <w:b w:val="1"/>
                <w:bCs w:val="1"/>
                <w:color w:val="auto"/>
                <w:w w:val="92"/>
              </w:rPr>
              <w:t>ROE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wp:posOffset>
            </wp:positionH>
            <wp:positionV relativeFrom="paragraph">
              <wp:posOffset>-12065</wp:posOffset>
            </wp:positionV>
            <wp:extent cx="1663065" cy="18002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663065" cy="1800225"/>
                    </a:xfrm>
                    <a:prstGeom prst="rect">
                      <a:avLst/>
                    </a:prstGeom>
                    <a:noFill/>
                  </pic:spPr>
                </pic:pic>
              </a:graphicData>
            </a:graphic>
          </wp:anchor>
        </w:drawing>
      </w:r>
    </w:p>
    <w:p>
      <w:pPr>
        <w:ind w:left="140" w:right="340" w:hanging="135"/>
        <w:spacing w:after="0" w:line="242" w:lineRule="auto"/>
        <w:tabs>
          <w:tab w:leader="none" w:pos="136" w:val="left"/>
        </w:tabs>
        <w:numPr>
          <w:ilvl w:val="0"/>
          <w:numId w:val="12"/>
        </w:numPr>
        <w:rPr>
          <w:rFonts w:ascii="Arial" w:cs="Arial" w:eastAsia="Arial" w:hAnsi="Arial"/>
          <w:sz w:val="15"/>
          <w:szCs w:val="15"/>
          <w:color w:val="004876"/>
        </w:rPr>
      </w:pPr>
      <w:r>
        <w:rPr>
          <w:rFonts w:ascii="Arial" w:cs="Arial" w:eastAsia="Arial" w:hAnsi="Arial"/>
          <w:sz w:val="15"/>
          <w:szCs w:val="15"/>
          <w:color w:val="auto"/>
        </w:rPr>
        <w:t>Record revenue</w:t>
      </w:r>
      <w:r>
        <w:rPr>
          <w:rFonts w:ascii="Arial" w:cs="Arial" w:eastAsia="Arial" w:hAnsi="Arial"/>
          <w:sz w:val="13"/>
          <w:szCs w:val="13"/>
          <w:color w:val="auto"/>
        </w:rPr>
        <w:t>3</w:t>
      </w:r>
      <w:r>
        <w:rPr>
          <w:rFonts w:ascii="Arial" w:cs="Arial" w:eastAsia="Arial" w:hAnsi="Arial"/>
          <w:sz w:val="15"/>
          <w:szCs w:val="15"/>
          <w:color w:val="auto"/>
        </w:rPr>
        <w:t xml:space="preserve"> of $14.3B; pre-tax margin of 26%</w:t>
      </w:r>
    </w:p>
    <w:p>
      <w:pPr>
        <w:spacing w:after="0" w:line="219" w:lineRule="exact"/>
        <w:rPr>
          <w:rFonts w:ascii="Arial" w:cs="Arial" w:eastAsia="Arial" w:hAnsi="Arial"/>
          <w:sz w:val="15"/>
          <w:szCs w:val="15"/>
          <w:color w:val="004876"/>
        </w:rPr>
      </w:pPr>
    </w:p>
    <w:p>
      <w:pPr>
        <w:ind w:left="140" w:right="300" w:hanging="135"/>
        <w:spacing w:after="0" w:line="233" w:lineRule="auto"/>
        <w:tabs>
          <w:tab w:leader="none" w:pos="127" w:val="left"/>
        </w:tabs>
        <w:numPr>
          <w:ilvl w:val="0"/>
          <w:numId w:val="12"/>
        </w:numPr>
        <w:rPr>
          <w:rFonts w:ascii="Arial" w:cs="Arial" w:eastAsia="Arial" w:hAnsi="Arial"/>
          <w:sz w:val="15"/>
          <w:szCs w:val="15"/>
          <w:color w:val="004876"/>
        </w:rPr>
      </w:pPr>
      <w:r>
        <w:rPr>
          <w:rFonts w:ascii="Arial" w:cs="Arial" w:eastAsia="Arial" w:hAnsi="Arial"/>
          <w:sz w:val="15"/>
          <w:szCs w:val="15"/>
          <w:color w:val="auto"/>
        </w:rPr>
        <w:t>Assets under management (“AUM”) of $2.4T and client assets of $3.2T, up 19% and 18% respectively</w:t>
      </w:r>
    </w:p>
    <w:p>
      <w:pPr>
        <w:spacing w:after="0" w:line="221" w:lineRule="exact"/>
        <w:rPr>
          <w:rFonts w:ascii="Arial" w:cs="Arial" w:eastAsia="Arial" w:hAnsi="Arial"/>
          <w:sz w:val="15"/>
          <w:szCs w:val="15"/>
          <w:color w:val="004876"/>
        </w:rPr>
      </w:pPr>
    </w:p>
    <w:p>
      <w:pPr>
        <w:ind w:left="140" w:hanging="135"/>
        <w:spacing w:after="0" w:line="235" w:lineRule="auto"/>
        <w:tabs>
          <w:tab w:leader="none" w:pos="136" w:val="left"/>
        </w:tabs>
        <w:numPr>
          <w:ilvl w:val="0"/>
          <w:numId w:val="12"/>
        </w:numPr>
        <w:rPr>
          <w:rFonts w:ascii="Arial" w:cs="Arial" w:eastAsia="Arial" w:hAnsi="Arial"/>
          <w:sz w:val="15"/>
          <w:szCs w:val="15"/>
          <w:color w:val="004876"/>
        </w:rPr>
      </w:pPr>
      <w:r>
        <w:rPr>
          <w:rFonts w:ascii="Arial" w:cs="Arial" w:eastAsia="Arial" w:hAnsi="Arial"/>
          <w:sz w:val="15"/>
          <w:szCs w:val="15"/>
          <w:color w:val="auto"/>
        </w:rPr>
        <w:t>88% of 10-year long-term mutual fund AUM performing above peer median</w:t>
      </w:r>
    </w:p>
    <w:p>
      <w:pPr>
        <w:spacing w:after="0" w:line="222" w:lineRule="exact"/>
        <w:rPr>
          <w:rFonts w:ascii="Arial" w:cs="Arial" w:eastAsia="Arial" w:hAnsi="Arial"/>
          <w:sz w:val="15"/>
          <w:szCs w:val="15"/>
          <w:color w:val="004876"/>
        </w:rPr>
      </w:pPr>
    </w:p>
    <w:p>
      <w:pPr>
        <w:ind w:left="140" w:right="180" w:hanging="135"/>
        <w:spacing w:after="0" w:line="235" w:lineRule="auto"/>
        <w:tabs>
          <w:tab w:leader="none" w:pos="127" w:val="left"/>
        </w:tabs>
        <w:numPr>
          <w:ilvl w:val="0"/>
          <w:numId w:val="12"/>
        </w:numPr>
        <w:rPr>
          <w:rFonts w:ascii="Arial" w:cs="Arial" w:eastAsia="Arial" w:hAnsi="Arial"/>
          <w:sz w:val="15"/>
          <w:szCs w:val="15"/>
          <w:color w:val="004876"/>
        </w:rPr>
      </w:pPr>
      <w:r>
        <w:rPr>
          <w:rFonts w:ascii="Arial" w:cs="Arial" w:eastAsia="Arial" w:hAnsi="Arial"/>
          <w:sz w:val="15"/>
          <w:szCs w:val="15"/>
          <w:color w:val="auto"/>
        </w:rPr>
        <w:t>Average deposits of $140B (up 2%); record average loans of $150B (up 8%)</w:t>
      </w:r>
    </w:p>
    <w:p>
      <w:pPr>
        <w:spacing w:after="0" w:line="200" w:lineRule="exact"/>
        <w:rPr>
          <w:sz w:val="20"/>
          <w:szCs w:val="20"/>
          <w:color w:val="auto"/>
        </w:rPr>
      </w:pPr>
    </w:p>
    <w:p>
      <w:pPr>
        <w:sectPr>
          <w:pgSz w:w="11900" w:h="16838" w:orient="portrait"/>
          <w:cols w:equalWidth="0" w:num="4">
            <w:col w:w="2520" w:space="548"/>
            <w:col w:w="2152" w:space="700"/>
            <w:col w:w="2360" w:space="480"/>
            <w:col w:w="2380"/>
          </w:cols>
          <w:pgMar w:left="320" w:top="459" w:right="439" w:bottom="1440" w:gutter="0" w:footer="0" w:header="0"/>
          <w:type w:val="continuous"/>
        </w:sectPr>
      </w:pPr>
    </w:p>
    <w:p>
      <w:pPr>
        <w:spacing w:after="0" w:line="39"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80" w:type="dxa"/>
            <w:vAlign w:val="bottom"/>
            <w:shd w:val="clear" w:color="auto" w:fill="EDEDED"/>
          </w:tcPr>
          <w:p>
            <w:pPr>
              <w:spacing w:after="0"/>
              <w:rPr>
                <w:sz w:val="16"/>
                <w:szCs w:val="16"/>
                <w:color w:val="auto"/>
              </w:rPr>
            </w:pPr>
          </w:p>
        </w:tc>
        <w:tc>
          <w:tcPr>
            <w:tcW w:w="3360" w:type="dxa"/>
            <w:vAlign w:val="bottom"/>
            <w:shd w:val="clear" w:color="auto" w:fill="EDEDED"/>
          </w:tcPr>
          <w:p>
            <w:pPr>
              <w:spacing w:after="0"/>
              <w:rPr>
                <w:sz w:val="16"/>
                <w:szCs w:val="16"/>
                <w:color w:val="auto"/>
              </w:rPr>
            </w:pPr>
          </w:p>
        </w:tc>
        <w:tc>
          <w:tcPr>
            <w:tcW w:w="220" w:type="dxa"/>
            <w:vAlign w:val="bottom"/>
            <w:shd w:val="clear" w:color="auto" w:fill="EDEDED"/>
          </w:tcPr>
          <w:p>
            <w:pPr>
              <w:spacing w:after="0"/>
              <w:rPr>
                <w:sz w:val="16"/>
                <w:szCs w:val="16"/>
                <w:color w:val="auto"/>
              </w:rPr>
            </w:pPr>
          </w:p>
        </w:tc>
        <w:tc>
          <w:tcPr>
            <w:tcW w:w="3600" w:type="dxa"/>
            <w:vAlign w:val="bottom"/>
            <w:shd w:val="clear" w:color="auto" w:fill="EDEDED"/>
          </w:tcPr>
          <w:p>
            <w:pPr>
              <w:spacing w:after="0"/>
              <w:rPr>
                <w:sz w:val="16"/>
                <w:szCs w:val="16"/>
                <w:color w:val="auto"/>
              </w:rPr>
            </w:pPr>
          </w:p>
        </w:tc>
        <w:tc>
          <w:tcPr>
            <w:tcW w:w="220" w:type="dxa"/>
            <w:vAlign w:val="bottom"/>
            <w:shd w:val="clear" w:color="auto" w:fill="EDEDED"/>
          </w:tcPr>
          <w:p>
            <w:pPr>
              <w:spacing w:after="0"/>
              <w:rPr>
                <w:sz w:val="16"/>
                <w:szCs w:val="16"/>
                <w:color w:val="auto"/>
              </w:rPr>
            </w:pPr>
          </w:p>
        </w:tc>
        <w:tc>
          <w:tcPr>
            <w:tcW w:w="3320" w:type="dxa"/>
            <w:vAlign w:val="bottom"/>
            <w:shd w:val="clear" w:color="auto" w:fill="EDEDED"/>
          </w:tcPr>
          <w:p>
            <w:pPr>
              <w:spacing w:after="0"/>
              <w:rPr>
                <w:sz w:val="16"/>
                <w:szCs w:val="16"/>
                <w:color w:val="auto"/>
              </w:rPr>
            </w:pPr>
          </w:p>
        </w:tc>
        <w:tc>
          <w:tcPr>
            <w:tcW w:w="220" w:type="dxa"/>
            <w:vAlign w:val="bottom"/>
            <w:shd w:val="clear" w:color="auto" w:fill="EDEDED"/>
          </w:tcPr>
          <w:p>
            <w:pPr>
              <w:spacing w:after="0"/>
              <w:rPr>
                <w:sz w:val="16"/>
                <w:szCs w:val="16"/>
                <w:color w:val="auto"/>
              </w:rPr>
            </w:pPr>
          </w:p>
        </w:tc>
      </w:tr>
      <w:tr>
        <w:trPr>
          <w:trHeight w:val="256"/>
        </w:trPr>
        <w:tc>
          <w:tcPr>
            <w:tcW w:w="80" w:type="dxa"/>
            <w:vAlign w:val="bottom"/>
            <w:shd w:val="clear" w:color="auto" w:fill="EDEDED"/>
          </w:tcPr>
          <w:p>
            <w:pPr>
              <w:spacing w:after="0"/>
              <w:rPr>
                <w:sz w:val="22"/>
                <w:szCs w:val="22"/>
                <w:color w:val="auto"/>
              </w:rPr>
            </w:pPr>
          </w:p>
        </w:tc>
        <w:tc>
          <w:tcPr>
            <w:tcW w:w="3360" w:type="dxa"/>
            <w:vAlign w:val="bottom"/>
            <w:shd w:val="clear" w:color="auto" w:fill="004876"/>
          </w:tcPr>
          <w:p>
            <w:pPr>
              <w:ind w:left="300"/>
              <w:spacing w:after="0"/>
              <w:rPr>
                <w:sz w:val="20"/>
                <w:szCs w:val="20"/>
                <w:color w:val="auto"/>
              </w:rPr>
            </w:pPr>
            <w:r>
              <w:rPr>
                <w:rFonts w:ascii="Arial" w:cs="Arial" w:eastAsia="Arial" w:hAnsi="Arial"/>
                <w:sz w:val="16"/>
                <w:szCs w:val="16"/>
                <w:b w:val="1"/>
                <w:bCs w:val="1"/>
                <w:color w:val="FFFFFF"/>
              </w:rPr>
              <w:t>EXCEPTIONAL CLIENT FRANCHISES</w:t>
            </w:r>
          </w:p>
        </w:tc>
        <w:tc>
          <w:tcPr>
            <w:tcW w:w="220" w:type="dxa"/>
            <w:vAlign w:val="bottom"/>
            <w:shd w:val="clear" w:color="auto" w:fill="EDEDED"/>
          </w:tcPr>
          <w:p>
            <w:pPr>
              <w:spacing w:after="0"/>
              <w:rPr>
                <w:sz w:val="22"/>
                <w:szCs w:val="22"/>
                <w:color w:val="auto"/>
              </w:rPr>
            </w:pPr>
          </w:p>
        </w:tc>
        <w:tc>
          <w:tcPr>
            <w:tcW w:w="3600" w:type="dxa"/>
            <w:vAlign w:val="bottom"/>
            <w:shd w:val="clear" w:color="auto" w:fill="004876"/>
          </w:tcPr>
          <w:p>
            <w:pPr>
              <w:ind w:left="100"/>
              <w:spacing w:after="0"/>
              <w:rPr>
                <w:sz w:val="20"/>
                <w:szCs w:val="20"/>
                <w:color w:val="auto"/>
              </w:rPr>
            </w:pPr>
            <w:r>
              <w:rPr>
                <w:rFonts w:ascii="Arial" w:cs="Arial" w:eastAsia="Arial" w:hAnsi="Arial"/>
                <w:sz w:val="16"/>
                <w:szCs w:val="16"/>
                <w:b w:val="1"/>
                <w:bCs w:val="1"/>
                <w:color w:val="FFFFFF"/>
                <w:shd w:val="clear" w:color="auto" w:fill="004876"/>
              </w:rPr>
              <w:t>FORTRESS BALANCE SHEET &amp; PRINCIPLES</w:t>
            </w:r>
          </w:p>
        </w:tc>
        <w:tc>
          <w:tcPr>
            <w:tcW w:w="220" w:type="dxa"/>
            <w:vAlign w:val="bottom"/>
            <w:shd w:val="clear" w:color="auto" w:fill="EDEDED"/>
          </w:tcPr>
          <w:p>
            <w:pPr>
              <w:spacing w:after="0"/>
              <w:rPr>
                <w:sz w:val="22"/>
                <w:szCs w:val="22"/>
                <w:color w:val="auto"/>
              </w:rPr>
            </w:pPr>
          </w:p>
        </w:tc>
        <w:tc>
          <w:tcPr>
            <w:tcW w:w="3320" w:type="dxa"/>
            <w:vAlign w:val="bottom"/>
            <w:shd w:val="clear" w:color="auto" w:fill="004876"/>
          </w:tcPr>
          <w:p>
            <w:pPr>
              <w:ind w:left="280"/>
              <w:spacing w:after="0"/>
              <w:rPr>
                <w:sz w:val="20"/>
                <w:szCs w:val="20"/>
                <w:color w:val="auto"/>
              </w:rPr>
            </w:pPr>
            <w:r>
              <w:rPr>
                <w:rFonts w:ascii="Arial" w:cs="Arial" w:eastAsia="Arial" w:hAnsi="Arial"/>
                <w:sz w:val="16"/>
                <w:szCs w:val="16"/>
                <w:b w:val="1"/>
                <w:bCs w:val="1"/>
                <w:color w:val="FFFFFF"/>
              </w:rPr>
              <w:t>LONG-TERM SHAREHOLDER VALUE</w:t>
            </w:r>
          </w:p>
        </w:tc>
        <w:tc>
          <w:tcPr>
            <w:tcW w:w="220" w:type="dxa"/>
            <w:vAlign w:val="bottom"/>
            <w:shd w:val="clear" w:color="auto" w:fill="EDEDED"/>
          </w:tcPr>
          <w:p>
            <w:pPr>
              <w:spacing w:after="0"/>
              <w:rPr>
                <w:sz w:val="22"/>
                <w:szCs w:val="22"/>
                <w:color w:val="auto"/>
              </w:rPr>
            </w:pPr>
          </w:p>
        </w:tc>
      </w:tr>
      <w:tr>
        <w:trPr>
          <w:trHeight w:val="189"/>
        </w:trPr>
        <w:tc>
          <w:tcPr>
            <w:tcW w:w="80" w:type="dxa"/>
            <w:vAlign w:val="bottom"/>
            <w:shd w:val="clear" w:color="auto" w:fill="EDEDED"/>
          </w:tcPr>
          <w:p>
            <w:pPr>
              <w:spacing w:after="0"/>
              <w:rPr>
                <w:sz w:val="16"/>
                <w:szCs w:val="16"/>
                <w:color w:val="auto"/>
              </w:rPr>
            </w:pPr>
          </w:p>
        </w:tc>
        <w:tc>
          <w:tcPr>
            <w:tcW w:w="3360" w:type="dxa"/>
            <w:vAlign w:val="bottom"/>
            <w:shd w:val="clear" w:color="auto" w:fill="EDEDED"/>
          </w:tcPr>
          <w:p>
            <w:pPr>
              <w:spacing w:after="0"/>
              <w:rPr>
                <w:sz w:val="16"/>
                <w:szCs w:val="16"/>
                <w:color w:val="auto"/>
              </w:rPr>
            </w:pPr>
          </w:p>
        </w:tc>
        <w:tc>
          <w:tcPr>
            <w:tcW w:w="220" w:type="dxa"/>
            <w:vAlign w:val="bottom"/>
            <w:shd w:val="clear" w:color="auto" w:fill="EDEDED"/>
          </w:tcPr>
          <w:p>
            <w:pPr>
              <w:spacing w:after="0"/>
              <w:rPr>
                <w:sz w:val="16"/>
                <w:szCs w:val="16"/>
                <w:color w:val="auto"/>
              </w:rPr>
            </w:pPr>
          </w:p>
        </w:tc>
        <w:tc>
          <w:tcPr>
            <w:tcW w:w="3600" w:type="dxa"/>
            <w:vAlign w:val="bottom"/>
            <w:shd w:val="clear" w:color="auto" w:fill="EDEDED"/>
          </w:tcPr>
          <w:p>
            <w:pPr>
              <w:spacing w:after="0"/>
              <w:rPr>
                <w:sz w:val="16"/>
                <w:szCs w:val="16"/>
                <w:color w:val="auto"/>
              </w:rPr>
            </w:pPr>
          </w:p>
        </w:tc>
        <w:tc>
          <w:tcPr>
            <w:tcW w:w="220" w:type="dxa"/>
            <w:vAlign w:val="bottom"/>
            <w:shd w:val="clear" w:color="auto" w:fill="EDEDED"/>
          </w:tcPr>
          <w:p>
            <w:pPr>
              <w:spacing w:after="0"/>
              <w:rPr>
                <w:sz w:val="16"/>
                <w:szCs w:val="16"/>
                <w:color w:val="auto"/>
              </w:rPr>
            </w:pPr>
          </w:p>
        </w:tc>
        <w:tc>
          <w:tcPr>
            <w:tcW w:w="3320" w:type="dxa"/>
            <w:vAlign w:val="bottom"/>
            <w:shd w:val="clear" w:color="auto" w:fill="EDEDED"/>
          </w:tcPr>
          <w:p>
            <w:pPr>
              <w:spacing w:after="0"/>
              <w:rPr>
                <w:sz w:val="16"/>
                <w:szCs w:val="16"/>
                <w:color w:val="auto"/>
              </w:rPr>
            </w:pPr>
          </w:p>
        </w:tc>
        <w:tc>
          <w:tcPr>
            <w:tcW w:w="220" w:type="dxa"/>
            <w:vAlign w:val="bottom"/>
            <w:shd w:val="clear" w:color="auto" w:fill="EDEDED"/>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40" w:hanging="210"/>
        <w:spacing w:after="0"/>
        <w:tabs>
          <w:tab w:leader="none" w:pos="340" w:val="left"/>
        </w:tabs>
        <w:numPr>
          <w:ilvl w:val="0"/>
          <w:numId w:val="13"/>
        </w:numPr>
        <w:rPr>
          <w:rFonts w:ascii="Arial" w:cs="Arial" w:eastAsia="Arial" w:hAnsi="Arial"/>
          <w:sz w:val="11"/>
          <w:szCs w:val="11"/>
          <w:color w:val="auto"/>
        </w:rPr>
      </w:pPr>
      <w:r>
        <w:rPr>
          <w:rFonts w:ascii="Arial" w:cs="Arial" w:eastAsia="Arial" w:hAnsi="Arial"/>
          <w:sz w:val="13"/>
          <w:szCs w:val="13"/>
          <w:color w:val="auto"/>
        </w:rPr>
        <w:t>ROTCE and TBVPS are each non-GAAP financial measures; refer to Note 1 on page 114 for a further discussion of these measures.</w:t>
      </w:r>
    </w:p>
    <w:p>
      <w:pPr>
        <w:spacing w:after="0" w:line="12" w:lineRule="exact"/>
        <w:rPr>
          <w:rFonts w:ascii="Arial" w:cs="Arial" w:eastAsia="Arial" w:hAnsi="Arial"/>
          <w:sz w:val="11"/>
          <w:szCs w:val="11"/>
          <w:color w:val="auto"/>
        </w:rPr>
      </w:pPr>
    </w:p>
    <w:p>
      <w:pPr>
        <w:ind w:left="140"/>
        <w:spacing w:after="0"/>
        <w:rPr>
          <w:rFonts w:ascii="Arial" w:cs="Arial" w:eastAsia="Arial" w:hAnsi="Arial"/>
          <w:sz w:val="11"/>
          <w:szCs w:val="11"/>
          <w:color w:val="auto"/>
        </w:rPr>
      </w:pPr>
      <w:r>
        <w:rPr>
          <w:rFonts w:ascii="Arial" w:cs="Arial" w:eastAsia="Arial" w:hAnsi="Arial"/>
          <w:sz w:val="11"/>
          <w:szCs w:val="11"/>
          <w:color w:val="auto"/>
        </w:rPr>
        <w:t xml:space="preserve">2   </w:t>
      </w:r>
      <w:r>
        <w:rPr>
          <w:rFonts w:ascii="Arial" w:cs="Arial" w:eastAsia="Arial" w:hAnsi="Arial"/>
          <w:sz w:val="12"/>
          <w:szCs w:val="12"/>
          <w:color w:val="auto"/>
        </w:rPr>
        <w:t>Refer to Note 2 on page 40.</w:t>
      </w:r>
    </w:p>
    <w:p>
      <w:pPr>
        <w:spacing w:after="0" w:line="24" w:lineRule="exact"/>
        <w:rPr>
          <w:rFonts w:ascii="Arial" w:cs="Arial" w:eastAsia="Arial" w:hAnsi="Arial"/>
          <w:sz w:val="11"/>
          <w:szCs w:val="11"/>
          <w:color w:val="auto"/>
        </w:rPr>
      </w:pPr>
    </w:p>
    <w:p>
      <w:pPr>
        <w:ind w:left="140"/>
        <w:spacing w:after="0"/>
        <w:rPr>
          <w:rFonts w:ascii="Arial" w:cs="Arial" w:eastAsia="Arial" w:hAnsi="Arial"/>
          <w:sz w:val="11"/>
          <w:szCs w:val="11"/>
          <w:color w:val="auto"/>
        </w:rPr>
      </w:pPr>
      <w:r>
        <w:rPr>
          <w:rFonts w:ascii="Arial" w:cs="Arial" w:eastAsia="Arial" w:hAnsi="Arial"/>
          <w:sz w:val="11"/>
          <w:szCs w:val="11"/>
          <w:color w:val="auto"/>
        </w:rPr>
        <w:t xml:space="preserve">3   </w:t>
      </w:r>
      <w:r>
        <w:rPr>
          <w:rFonts w:ascii="Arial" w:cs="Arial" w:eastAsia="Arial" w:hAnsi="Arial"/>
          <w:sz w:val="12"/>
          <w:szCs w:val="12"/>
          <w:color w:val="auto"/>
        </w:rPr>
        <w:t>The Firm reviews the results of the lines of business on a managed basis. Refer to Additional notes, Note 1, on page 115 for a definition of managed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267335</wp:posOffset>
            </wp:positionV>
            <wp:extent cx="7029450" cy="1968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29450" cy="19685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p>
      <w:pPr>
        <w:spacing w:after="0" w:line="200" w:lineRule="exact"/>
        <w:rPr>
          <w:sz w:val="20"/>
          <w:szCs w:val="20"/>
          <w:color w:val="auto"/>
        </w:rPr>
      </w:pPr>
    </w:p>
    <w:p>
      <w:pPr>
        <w:spacing w:after="0" w:line="299" w:lineRule="exact"/>
        <w:rPr>
          <w:sz w:val="20"/>
          <w:szCs w:val="20"/>
          <w:color w:val="auto"/>
        </w:rPr>
      </w:pPr>
    </w:p>
    <w:p>
      <w:pPr>
        <w:jc w:val="center"/>
        <w:ind w:right="-99"/>
        <w:spacing w:after="0"/>
        <w:rPr>
          <w:sz w:val="20"/>
          <w:szCs w:val="20"/>
          <w:color w:val="auto"/>
        </w:rPr>
      </w:pPr>
      <w:r>
        <w:rPr>
          <w:rFonts w:ascii="Arial" w:cs="Arial" w:eastAsia="Arial" w:hAnsi="Arial"/>
          <w:sz w:val="13"/>
          <w:szCs w:val="13"/>
          <w:b w:val="1"/>
          <w:bCs w:val="1"/>
          <w:color w:val="004876"/>
        </w:rPr>
        <w:t>2</w:t>
      </w:r>
    </w:p>
    <w:p>
      <w:pPr>
        <w:sectPr>
          <w:pgSz w:w="11900" w:h="16838" w:orient="portrait"/>
          <w:cols w:equalWidth="0" w:num="1">
            <w:col w:w="11140"/>
          </w:cols>
          <w:pgMar w:left="320" w:top="459" w:right="4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04876"/>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212090</wp:posOffset>
            </wp:positionV>
            <wp:extent cx="6995160" cy="2317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231775"/>
                    </a:xfrm>
                    <a:prstGeom prst="rect">
                      <a:avLst/>
                    </a:prstGeom>
                    <a:noFill/>
                  </pic:spPr>
                </pic:pic>
              </a:graphicData>
            </a:graphic>
          </wp:anchor>
        </w:drawing>
      </w:r>
    </w:p>
    <w:p>
      <w:pPr>
        <w:spacing w:after="0" w:line="335"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004876"/>
        </w:rPr>
        <w:t>The Firm has demonstrated sustained, strong financial performance over time</w:t>
      </w:r>
    </w:p>
    <w:p>
      <w:pPr>
        <w:spacing w:after="0" w:line="143"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We have generated strong financial results over time, more than doubling net income over the past 10 years while adding substantial capital. Over this period we increased average common equity by over 40% to $233 billion and average tangible common equity (“TCE”)</w:t>
      </w:r>
      <w:r>
        <w:rPr>
          <w:rFonts w:ascii="Arial" w:cs="Arial" w:eastAsia="Arial" w:hAnsi="Arial"/>
          <w:sz w:val="15"/>
          <w:szCs w:val="15"/>
          <w:color w:val="auto"/>
        </w:rPr>
        <w:t>1</w:t>
      </w:r>
      <w:r>
        <w:rPr>
          <w:rFonts w:ascii="Arial" w:cs="Arial" w:eastAsia="Arial" w:hAnsi="Arial"/>
          <w:sz w:val="18"/>
          <w:szCs w:val="18"/>
          <w:color w:val="auto"/>
        </w:rPr>
        <w:t xml:space="preserve"> by over 65% to $187 billion to support growth in the businesses and maintain a fortress balance sheet. With our net income growth outpacing capital growth, we have maintained strong ROE and ROTCE</w:t>
      </w:r>
      <w:r>
        <w:rPr>
          <w:rFonts w:ascii="Arial" w:cs="Arial" w:eastAsia="Arial" w:hAnsi="Arial"/>
          <w:sz w:val="15"/>
          <w:szCs w:val="15"/>
          <w:color w:val="auto"/>
        </w:rPr>
        <w:t>1</w:t>
      </w:r>
      <w:r>
        <w:rPr>
          <w:rFonts w:ascii="Arial" w:cs="Arial" w:eastAsia="Arial" w:hAnsi="Arial"/>
          <w:sz w:val="18"/>
          <w:szCs w:val="18"/>
          <w:color w:val="auto"/>
        </w:rPr>
        <w:t xml:space="preserve"> over time, including peer-leading results in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147955</wp:posOffset>
            </wp:positionV>
            <wp:extent cx="7029450" cy="41916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29450" cy="4191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20"/>
        <w:spacing w:after="0" w:line="249" w:lineRule="auto"/>
        <w:rPr>
          <w:sz w:val="20"/>
          <w:szCs w:val="20"/>
          <w:color w:val="auto"/>
        </w:rPr>
      </w:pPr>
      <w:r>
        <w:rPr>
          <w:rFonts w:ascii="Arial" w:cs="Arial" w:eastAsia="Arial" w:hAnsi="Arial"/>
          <w:sz w:val="18"/>
          <w:szCs w:val="18"/>
          <w:color w:val="auto"/>
        </w:rPr>
        <w:t>We have also delivered sustained growth in EPS, BVPS, and TBVPS</w:t>
      </w:r>
      <w:r>
        <w:rPr>
          <w:rFonts w:ascii="Arial" w:cs="Arial" w:eastAsia="Arial" w:hAnsi="Arial"/>
          <w:sz w:val="15"/>
          <w:szCs w:val="15"/>
          <w:color w:val="auto"/>
        </w:rPr>
        <w:t>1</w:t>
      </w:r>
      <w:r>
        <w:rPr>
          <w:rFonts w:ascii="Arial" w:cs="Arial" w:eastAsia="Arial" w:hAnsi="Arial"/>
          <w:sz w:val="18"/>
          <w:szCs w:val="18"/>
          <w:color w:val="auto"/>
        </w:rPr>
        <w:t xml:space="preserve"> over the past 10 years, reflecting compound annual growth rates of 12%, 7% and 8%, respectively over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140970</wp:posOffset>
            </wp:positionV>
            <wp:extent cx="7029450" cy="25971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029450" cy="2597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0" w:hanging="210"/>
        <w:spacing w:after="0"/>
        <w:tabs>
          <w:tab w:leader="none" w:pos="340" w:val="left"/>
        </w:tabs>
        <w:numPr>
          <w:ilvl w:val="0"/>
          <w:numId w:val="14"/>
        </w:numPr>
        <w:rPr>
          <w:rFonts w:ascii="Arial" w:cs="Arial" w:eastAsia="Arial" w:hAnsi="Arial"/>
          <w:sz w:val="11"/>
          <w:szCs w:val="11"/>
          <w:color w:val="auto"/>
        </w:rPr>
      </w:pPr>
      <w:r>
        <w:rPr>
          <w:rFonts w:ascii="Arial" w:cs="Arial" w:eastAsia="Arial" w:hAnsi="Arial"/>
          <w:sz w:val="13"/>
          <w:szCs w:val="13"/>
          <w:color w:val="auto"/>
        </w:rPr>
        <w:t>Average TCE, ROTCE, and TBVPS are each non-GAAP financial measures; refer to Note 1 on page 114 for a further discussion of these measures.</w:t>
      </w:r>
    </w:p>
    <w:p>
      <w:pPr>
        <w:spacing w:after="0" w:line="13" w:lineRule="exact"/>
        <w:rPr>
          <w:sz w:val="20"/>
          <w:szCs w:val="20"/>
          <w:color w:val="auto"/>
        </w:rPr>
      </w:pPr>
    </w:p>
    <w:p>
      <w:pPr>
        <w:ind w:left="340" w:right="120" w:hanging="210"/>
        <w:spacing w:after="0" w:line="225" w:lineRule="auto"/>
        <w:tabs>
          <w:tab w:leader="none" w:pos="340" w:val="left"/>
        </w:tabs>
        <w:numPr>
          <w:ilvl w:val="0"/>
          <w:numId w:val="15"/>
        </w:numPr>
        <w:rPr>
          <w:rFonts w:ascii="Arial" w:cs="Arial" w:eastAsia="Arial" w:hAnsi="Arial"/>
          <w:sz w:val="11"/>
          <w:szCs w:val="11"/>
          <w:color w:val="auto"/>
        </w:rPr>
      </w:pPr>
      <w:r>
        <w:rPr>
          <w:rFonts w:ascii="Arial" w:cs="Arial" w:eastAsia="Arial" w:hAnsi="Arial"/>
          <w:sz w:val="13"/>
          <w:szCs w:val="13"/>
          <w:color w:val="auto"/>
        </w:rPr>
        <w:t>Excluding the impact of the enactment of the Tax Cuts and Jobs Act (“TCJA”) of $(2.4) billion and a legal benefit of $406 million (after-tax) in 2017, adjusted net income would have been $26.5 billion, adjusted ROTCE would have been 13% and adjusted EPS would have been $6.87. Adjusted net income, adjusted ROTCE and adjusted EPS are each non-GAAP financial measures; refer to Notes on non-GAAP financial measures, Note 2, on page 114 for a further discussion of these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242570</wp:posOffset>
            </wp:positionV>
            <wp:extent cx="7029450" cy="1968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029450" cy="196850"/>
                    </a:xfrm>
                    <a:prstGeom prst="rect">
                      <a:avLst/>
                    </a:prstGeom>
                    <a:noFill/>
                  </pic:spPr>
                </pic:pic>
              </a:graphicData>
            </a:graphic>
          </wp:anchor>
        </w:drawing>
      </w:r>
    </w:p>
    <w:p>
      <w:pPr>
        <w:sectPr>
          <w:pgSz w:w="11900" w:h="16838" w:orient="portrait"/>
          <w:cols w:equalWidth="0" w:num="1">
            <w:col w:w="11080"/>
          </w:cols>
          <w:pgMar w:left="320" w:top="459" w:right="499" w:bottom="449" w:gutter="0" w:footer="0" w:header="0"/>
        </w:sectPr>
      </w:pPr>
    </w:p>
    <w:p>
      <w:pPr>
        <w:spacing w:after="0" w:line="200" w:lineRule="exact"/>
        <w:rPr>
          <w:sz w:val="20"/>
          <w:szCs w:val="20"/>
          <w:color w:val="auto"/>
        </w:rPr>
      </w:pPr>
    </w:p>
    <w:p>
      <w:pPr>
        <w:spacing w:after="0" w:line="260" w:lineRule="exact"/>
        <w:rPr>
          <w:sz w:val="20"/>
          <w:szCs w:val="20"/>
          <w:color w:val="auto"/>
        </w:rPr>
      </w:pPr>
    </w:p>
    <w:p>
      <w:pPr>
        <w:jc w:val="center"/>
        <w:ind w:right="-159"/>
        <w:spacing w:after="0"/>
        <w:rPr>
          <w:sz w:val="20"/>
          <w:szCs w:val="20"/>
          <w:color w:val="auto"/>
        </w:rPr>
      </w:pPr>
      <w:r>
        <w:rPr>
          <w:rFonts w:ascii="Arial" w:cs="Arial" w:eastAsia="Arial" w:hAnsi="Arial"/>
          <w:sz w:val="13"/>
          <w:szCs w:val="13"/>
          <w:b w:val="1"/>
          <w:bCs w:val="1"/>
          <w:color w:val="004876"/>
        </w:rPr>
        <w:t>3</w:t>
      </w:r>
    </w:p>
    <w:p>
      <w:pPr>
        <w:sectPr>
          <w:pgSz w:w="11900" w:h="16838" w:orient="portrait"/>
          <w:cols w:equalWidth="0" w:num="1">
            <w:col w:w="11080"/>
          </w:cols>
          <w:pgMar w:left="320" w:top="459" w:right="499" w:bottom="449"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4876"/>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212090</wp:posOffset>
            </wp:positionV>
            <wp:extent cx="6995160" cy="2317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231775"/>
                    </a:xfrm>
                    <a:prstGeom prst="rect">
                      <a:avLst/>
                    </a:prstGeom>
                    <a:noFill/>
                  </pic:spPr>
                </pic:pic>
              </a:graphicData>
            </a:graphic>
          </wp:anchor>
        </w:drawing>
      </w:r>
    </w:p>
    <w:p>
      <w:pPr>
        <w:spacing w:after="0" w:line="335"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004876"/>
        </w:rPr>
        <w:t>Total shareholder return (“TSR”)</w:t>
      </w:r>
    </w:p>
    <w:p>
      <w:pPr>
        <w:spacing w:after="0" w:line="141" w:lineRule="exact"/>
        <w:rPr>
          <w:sz w:val="20"/>
          <w:szCs w:val="20"/>
          <w:color w:val="auto"/>
        </w:rPr>
      </w:pPr>
    </w:p>
    <w:p>
      <w:pPr>
        <w:ind w:left="120" w:right="160"/>
        <w:spacing w:after="0" w:line="239" w:lineRule="auto"/>
        <w:rPr>
          <w:sz w:val="20"/>
          <w:szCs w:val="20"/>
          <w:color w:val="auto"/>
        </w:rPr>
      </w:pPr>
      <w:r>
        <w:rPr>
          <w:rFonts w:ascii="Arial" w:cs="Arial" w:eastAsia="Arial" w:hAnsi="Arial"/>
          <w:sz w:val="18"/>
          <w:szCs w:val="18"/>
          <w:color w:val="auto"/>
        </w:rPr>
        <w:t>TSR</w:t>
      </w:r>
      <w:r>
        <w:rPr>
          <w:rFonts w:ascii="Arial" w:cs="Arial" w:eastAsia="Arial" w:hAnsi="Arial"/>
          <w:sz w:val="15"/>
          <w:szCs w:val="15"/>
          <w:color w:val="auto"/>
        </w:rPr>
        <w:t>1</w:t>
      </w:r>
      <w:r>
        <w:rPr>
          <w:rFonts w:ascii="Arial" w:cs="Arial" w:eastAsia="Arial" w:hAnsi="Arial"/>
          <w:sz w:val="18"/>
          <w:szCs w:val="18"/>
          <w:color w:val="auto"/>
        </w:rPr>
        <w:t xml:space="preserve"> was 47% in 2019, following a TSR of (7)% in 2018 and 27% in 2017, for a combined three-year TSR of 74%. The graph below shows our TSR expressed as the cumulative return to shareholders over the past decade. As illustrated, a $100 investment in JPMorgan Chase common stock on December 31, 2009 would be valued at $426 as of December 31, 2019, which significantly outperformed the financial services industry over the period, as measured by the S&amp;P Financials Index and the KBW Bank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147320</wp:posOffset>
            </wp:positionV>
            <wp:extent cx="7029450" cy="40201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029450" cy="4020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40" w:hanging="210"/>
        <w:spacing w:after="0"/>
        <w:tabs>
          <w:tab w:leader="none" w:pos="340" w:val="left"/>
        </w:tabs>
        <w:numPr>
          <w:ilvl w:val="0"/>
          <w:numId w:val="16"/>
        </w:numPr>
        <w:rPr>
          <w:rFonts w:ascii="Arial" w:cs="Arial" w:eastAsia="Arial" w:hAnsi="Arial"/>
          <w:sz w:val="11"/>
          <w:szCs w:val="11"/>
          <w:color w:val="auto"/>
        </w:rPr>
      </w:pPr>
      <w:r>
        <w:rPr>
          <w:rFonts w:ascii="Arial" w:cs="Arial" w:eastAsia="Arial" w:hAnsi="Arial"/>
          <w:sz w:val="13"/>
          <w:szCs w:val="13"/>
          <w:color w:val="auto"/>
        </w:rPr>
        <w:t>TSR shows the actual return of the stock price, with dividends reinvested.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337185</wp:posOffset>
            </wp:positionV>
            <wp:extent cx="7029450" cy="1968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029450" cy="196850"/>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jc w:val="center"/>
        <w:ind w:right="-119"/>
        <w:spacing w:after="0"/>
        <w:rPr>
          <w:sz w:val="20"/>
          <w:szCs w:val="20"/>
          <w:color w:val="auto"/>
        </w:rPr>
      </w:pPr>
      <w:r>
        <w:rPr>
          <w:rFonts w:ascii="Arial" w:cs="Arial" w:eastAsia="Arial" w:hAnsi="Arial"/>
          <w:sz w:val="13"/>
          <w:szCs w:val="13"/>
          <w:b w:val="1"/>
          <w:bCs w:val="1"/>
          <w:color w:val="004876"/>
        </w:rPr>
        <w:t>4</w:t>
      </w:r>
    </w:p>
    <w:p>
      <w:pPr>
        <w:sectPr>
          <w:pgSz w:w="11900" w:h="16838" w:orient="portrait"/>
          <w:cols w:equalWidth="0" w:num="1">
            <w:col w:w="11140"/>
          </w:cols>
          <w:pgMar w:left="32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04876"/>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212090</wp:posOffset>
            </wp:positionV>
            <wp:extent cx="6995160" cy="2146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5160" cy="214630"/>
                    </a:xfrm>
                    <a:prstGeom prst="rect">
                      <a:avLst/>
                    </a:prstGeom>
                    <a:noFill/>
                  </pic:spPr>
                </pic:pic>
              </a:graphicData>
            </a:graphic>
          </wp:anchor>
        </w:drawing>
      </w:r>
    </w:p>
    <w:p>
      <w:pPr>
        <w:spacing w:after="0" w:line="322" w:lineRule="exact"/>
        <w:rPr>
          <w:sz w:val="20"/>
          <w:szCs w:val="20"/>
          <w:color w:val="auto"/>
        </w:rPr>
      </w:pPr>
    </w:p>
    <w:p>
      <w:pPr>
        <w:ind w:left="2100"/>
        <w:spacing w:after="0"/>
        <w:rPr>
          <w:sz w:val="20"/>
          <w:szCs w:val="20"/>
          <w:color w:val="auto"/>
        </w:rPr>
      </w:pPr>
      <w:r>
        <w:rPr>
          <w:rFonts w:ascii="Arial" w:cs="Arial" w:eastAsia="Arial" w:hAnsi="Arial"/>
          <w:sz w:val="22"/>
          <w:szCs w:val="22"/>
          <w:b w:val="1"/>
          <w:bCs w:val="1"/>
          <w:color w:val="004876"/>
        </w:rPr>
        <w:t>We are committed to commonsense corporate governance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125730</wp:posOffset>
            </wp:positionV>
            <wp:extent cx="6995160" cy="1885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5160" cy="188595"/>
                    </a:xfrm>
                    <a:prstGeom prst="rect">
                      <a:avLst/>
                    </a:prstGeom>
                    <a:noFill/>
                  </pic:spPr>
                </pic:pic>
              </a:graphicData>
            </a:graphic>
          </wp:anchor>
        </w:drawing>
      </w:r>
    </w:p>
    <w:p>
      <w:pPr>
        <w:spacing w:after="0" w:line="1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Our Board reviews its composition for the right mix of experience, refreshment, skills and diversity</w:t>
      </w:r>
    </w:p>
    <w:p>
      <w:pPr>
        <w:spacing w:after="0" w:line="134" w:lineRule="exact"/>
        <w:rPr>
          <w:sz w:val="20"/>
          <w:szCs w:val="20"/>
          <w:color w:val="auto"/>
        </w:rPr>
      </w:pPr>
    </w:p>
    <w:p>
      <w:pPr>
        <w:ind w:left="340" w:right="440" w:hanging="224"/>
        <w:spacing w:after="0" w:line="243" w:lineRule="auto"/>
        <w:tabs>
          <w:tab w:leader="none" w:pos="340" w:val="left"/>
        </w:tabs>
        <w:numPr>
          <w:ilvl w:val="0"/>
          <w:numId w:val="17"/>
        </w:numPr>
        <w:rPr>
          <w:rFonts w:ascii="Arial" w:cs="Arial" w:eastAsia="Arial" w:hAnsi="Arial"/>
          <w:sz w:val="17"/>
          <w:szCs w:val="17"/>
          <w:color w:val="004876"/>
        </w:rPr>
      </w:pPr>
      <w:r>
        <w:rPr>
          <w:rFonts w:ascii="Arial" w:cs="Arial" w:eastAsia="Arial" w:hAnsi="Arial"/>
          <w:sz w:val="17"/>
          <w:szCs w:val="17"/>
          <w:color w:val="auto"/>
        </w:rPr>
        <w:t>We seek directors with experience and demonstrated success in executive fields relevant to the Firm’s businesses and operations who contribute to the Board’s effective oversight of management and its diversity across a full spectrum of attributes</w:t>
      </w:r>
    </w:p>
    <w:p>
      <w:pPr>
        <w:spacing w:after="0" w:line="49" w:lineRule="exact"/>
        <w:rPr>
          <w:rFonts w:ascii="Arial" w:cs="Arial" w:eastAsia="Arial" w:hAnsi="Arial"/>
          <w:sz w:val="17"/>
          <w:szCs w:val="17"/>
          <w:color w:val="004876"/>
        </w:rPr>
      </w:pPr>
    </w:p>
    <w:p>
      <w:pPr>
        <w:ind w:left="340" w:right="60" w:hanging="224"/>
        <w:spacing w:after="0" w:line="243" w:lineRule="auto"/>
        <w:tabs>
          <w:tab w:leader="none" w:pos="340" w:val="left"/>
        </w:tabs>
        <w:numPr>
          <w:ilvl w:val="0"/>
          <w:numId w:val="17"/>
        </w:numPr>
        <w:rPr>
          <w:rFonts w:ascii="Arial" w:cs="Arial" w:eastAsia="Arial" w:hAnsi="Arial"/>
          <w:sz w:val="17"/>
          <w:szCs w:val="17"/>
          <w:color w:val="004876"/>
        </w:rPr>
      </w:pPr>
      <w:r>
        <w:rPr>
          <w:rFonts w:ascii="Arial" w:cs="Arial" w:eastAsia="Arial" w:hAnsi="Arial"/>
          <w:sz w:val="17"/>
          <w:szCs w:val="17"/>
          <w:color w:val="auto"/>
        </w:rPr>
        <w:t>Three new directors have been nominated to the Board in the last four years, including Virginia M. Rometty, who is nominated for election at our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1797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5160" cy="179705"/>
                    </a:xfrm>
                    <a:prstGeom prst="rect">
                      <a:avLst/>
                    </a:prstGeom>
                    <a:noFill/>
                  </pic:spPr>
                </pic:pic>
              </a:graphicData>
            </a:graphic>
          </wp:anchor>
        </w:drawing>
      </w:r>
    </w:p>
    <w:p>
      <w:pPr>
        <w:spacing w:after="0" w:line="9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 strong Lead Independent Director role facilitates independent Board oversight of management</w:t>
      </w:r>
    </w:p>
    <w:p>
      <w:pPr>
        <w:spacing w:after="0" w:line="134" w:lineRule="exact"/>
        <w:rPr>
          <w:sz w:val="20"/>
          <w:szCs w:val="20"/>
          <w:color w:val="auto"/>
        </w:rPr>
      </w:pPr>
    </w:p>
    <w:p>
      <w:pPr>
        <w:ind w:left="340" w:right="320" w:hanging="224"/>
        <w:spacing w:after="0" w:line="243" w:lineRule="auto"/>
        <w:tabs>
          <w:tab w:leader="none" w:pos="340" w:val="left"/>
        </w:tabs>
        <w:numPr>
          <w:ilvl w:val="0"/>
          <w:numId w:val="18"/>
        </w:numPr>
        <w:rPr>
          <w:rFonts w:ascii="Arial" w:cs="Arial" w:eastAsia="Arial" w:hAnsi="Arial"/>
          <w:sz w:val="17"/>
          <w:szCs w:val="17"/>
          <w:color w:val="004876"/>
        </w:rPr>
      </w:pPr>
      <w:r>
        <w:rPr>
          <w:rFonts w:ascii="Arial" w:cs="Arial" w:eastAsia="Arial" w:hAnsi="Arial"/>
          <w:sz w:val="17"/>
          <w:szCs w:val="17"/>
          <w:color w:val="auto"/>
        </w:rPr>
        <w:t>The Firm’s Corporate Governance Principles (“Governance Principles”) require the independent directors to appoint a Lead Independent Director if the role of the Chairman is combined with that of the CEO</w:t>
      </w:r>
    </w:p>
    <w:p>
      <w:pPr>
        <w:spacing w:after="0" w:line="49" w:lineRule="exact"/>
        <w:rPr>
          <w:rFonts w:ascii="Arial" w:cs="Arial" w:eastAsia="Arial" w:hAnsi="Arial"/>
          <w:sz w:val="17"/>
          <w:szCs w:val="17"/>
          <w:color w:val="004876"/>
        </w:rPr>
      </w:pPr>
    </w:p>
    <w:p>
      <w:pPr>
        <w:ind w:left="340" w:hanging="224"/>
        <w:spacing w:after="0"/>
        <w:tabs>
          <w:tab w:leader="none" w:pos="340" w:val="left"/>
        </w:tabs>
        <w:numPr>
          <w:ilvl w:val="0"/>
          <w:numId w:val="18"/>
        </w:numPr>
        <w:rPr>
          <w:rFonts w:ascii="Arial" w:cs="Arial" w:eastAsia="Arial" w:hAnsi="Arial"/>
          <w:sz w:val="17"/>
          <w:szCs w:val="17"/>
          <w:color w:val="004876"/>
        </w:rPr>
      </w:pPr>
      <w:r>
        <w:rPr>
          <w:rFonts w:ascii="Arial" w:cs="Arial" w:eastAsia="Arial" w:hAnsi="Arial"/>
          <w:sz w:val="17"/>
          <w:szCs w:val="17"/>
          <w:color w:val="auto"/>
        </w:rPr>
        <w:t>The Board reviews its leadership structure annually as part of its self-assessment process</w:t>
      </w:r>
    </w:p>
    <w:p>
      <w:pPr>
        <w:sectPr>
          <w:pgSz w:w="11900" w:h="16838" w:orient="portrait"/>
          <w:cols w:equalWidth="0" w:num="1">
            <w:col w:w="10940"/>
          </w:cols>
          <w:pgMar w:left="320" w:top="459" w:right="639" w:bottom="1440" w:gutter="0" w:footer="0" w:header="0"/>
        </w:sectPr>
      </w:pPr>
    </w:p>
    <w:p>
      <w:pPr>
        <w:spacing w:after="0" w:line="61" w:lineRule="exact"/>
        <w:rPr>
          <w:sz w:val="20"/>
          <w:szCs w:val="20"/>
          <w:color w:val="auto"/>
        </w:rPr>
      </w:pPr>
    </w:p>
    <w:p>
      <w:pPr>
        <w:ind w:left="340" w:hanging="224"/>
        <w:spacing w:after="0"/>
        <w:tabs>
          <w:tab w:leader="none" w:pos="340" w:val="left"/>
        </w:tabs>
        <w:numPr>
          <w:ilvl w:val="0"/>
          <w:numId w:val="19"/>
        </w:numPr>
        <w:rPr>
          <w:rFonts w:ascii="Arial" w:cs="Arial" w:eastAsia="Arial" w:hAnsi="Arial"/>
          <w:sz w:val="17"/>
          <w:szCs w:val="17"/>
          <w:color w:val="004876"/>
        </w:rPr>
      </w:pPr>
      <w:r>
        <w:rPr>
          <w:rFonts w:ascii="Arial" w:cs="Arial" w:eastAsia="Arial" w:hAnsi="Arial"/>
          <w:sz w:val="17"/>
          <w:szCs w:val="17"/>
          <w:color w:val="auto"/>
        </w:rPr>
        <w:t>Responsibilities of the Lead Independent Director include:</w:t>
      </w:r>
    </w:p>
    <w:p>
      <w:pPr>
        <w:spacing w:after="0" w:line="129" w:lineRule="exact"/>
        <w:rPr>
          <w:sz w:val="20"/>
          <w:szCs w:val="20"/>
          <w:color w:val="auto"/>
        </w:rPr>
      </w:pPr>
    </w:p>
    <w:p>
      <w:pPr>
        <w:ind w:left="500" w:right="100"/>
        <w:spacing w:after="0" w:line="243" w:lineRule="auto"/>
        <w:rPr>
          <w:sz w:val="20"/>
          <w:szCs w:val="20"/>
          <w:color w:val="auto"/>
        </w:rPr>
      </w:pPr>
      <w:r>
        <w:rPr>
          <w:rFonts w:ascii="Arial" w:cs="Arial" w:eastAsia="Arial" w:hAnsi="Arial"/>
          <w:sz w:val="17"/>
          <w:szCs w:val="17"/>
          <w:color w:val="auto"/>
        </w:rPr>
        <w:t>presides at Board meetings in the Chairman’s absence or when otherwise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-247015</wp:posOffset>
            </wp:positionV>
            <wp:extent cx="137160" cy="1454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37160" cy="145415"/>
                    </a:xfrm>
                    <a:prstGeom prst="rect">
                      <a:avLst/>
                    </a:prstGeom>
                    <a:noFill/>
                  </pic:spPr>
                </pic:pic>
              </a:graphicData>
            </a:graphic>
          </wp:anchor>
        </w:drawing>
      </w:r>
    </w:p>
    <w:p>
      <w:pPr>
        <w:spacing w:after="0" w:line="57" w:lineRule="exact"/>
        <w:rPr>
          <w:sz w:val="20"/>
          <w:szCs w:val="20"/>
          <w:color w:val="auto"/>
        </w:rPr>
      </w:pPr>
    </w:p>
    <w:p>
      <w:pPr>
        <w:ind w:left="500" w:right="820"/>
        <w:spacing w:after="0" w:line="243" w:lineRule="auto"/>
        <w:rPr>
          <w:sz w:val="20"/>
          <w:szCs w:val="20"/>
          <w:color w:val="auto"/>
        </w:rPr>
      </w:pPr>
      <w:r>
        <w:rPr>
          <w:rFonts w:ascii="Arial" w:cs="Arial" w:eastAsia="Arial" w:hAnsi="Arial"/>
          <w:sz w:val="17"/>
          <w:szCs w:val="17"/>
          <w:color w:val="auto"/>
        </w:rPr>
        <w:t>acts as liaison between independent directors and the Chairman/CEO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-247015</wp:posOffset>
            </wp:positionV>
            <wp:extent cx="137160" cy="1454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37160" cy="145415"/>
                    </a:xfrm>
                    <a:prstGeom prst="rect">
                      <a:avLst/>
                    </a:prstGeom>
                    <a:noFill/>
                  </pic:spPr>
                </pic:pic>
              </a:graphicData>
            </a:graphic>
          </wp:anchor>
        </w:drawing>
      </w:r>
    </w:p>
    <w:p>
      <w:pPr>
        <w:spacing w:after="0" w:line="57" w:lineRule="exact"/>
        <w:rPr>
          <w:sz w:val="20"/>
          <w:szCs w:val="20"/>
          <w:color w:val="auto"/>
        </w:rPr>
      </w:pPr>
    </w:p>
    <w:p>
      <w:pPr>
        <w:ind w:left="500" w:right="300"/>
        <w:spacing w:after="0" w:line="243" w:lineRule="auto"/>
        <w:rPr>
          <w:sz w:val="20"/>
          <w:szCs w:val="20"/>
          <w:color w:val="auto"/>
        </w:rPr>
      </w:pPr>
      <w:r>
        <w:rPr>
          <w:rFonts w:ascii="Arial" w:cs="Arial" w:eastAsia="Arial" w:hAnsi="Arial"/>
          <w:sz w:val="17"/>
          <w:szCs w:val="17"/>
          <w:color w:val="auto"/>
        </w:rPr>
        <w:t>provides advice and guidance to the CEO on executing long-term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-247015</wp:posOffset>
            </wp:positionV>
            <wp:extent cx="137160" cy="1454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37160" cy="145415"/>
                    </a:xfrm>
                    <a:prstGeom prst="rect">
                      <a:avLst/>
                    </a:prstGeom>
                    <a:noFill/>
                  </pic:spPr>
                </pic:pic>
              </a:graphicData>
            </a:graphic>
          </wp:anchor>
        </w:drawing>
      </w:r>
    </w:p>
    <w:p>
      <w:pPr>
        <w:spacing w:after="0" w:line="5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advises the CEO of the Board’s information needs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137160" cy="1454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37160" cy="145415"/>
                    </a:xfrm>
                    <a:prstGeom prst="rect">
                      <a:avLst/>
                    </a:prstGeom>
                    <a:noFill/>
                  </pic:spPr>
                </pic:pic>
              </a:graphicData>
            </a:graphic>
          </wp:anchor>
        </w:drawing>
      </w:r>
    </w:p>
    <w:p>
      <w:pPr>
        <w:spacing w:after="0" w:line="68" w:lineRule="exact"/>
        <w:rPr>
          <w:sz w:val="20"/>
          <w:szCs w:val="20"/>
          <w:color w:val="auto"/>
        </w:rPr>
      </w:pPr>
    </w:p>
    <w:p>
      <w:pPr>
        <w:ind w:left="500" w:right="200"/>
        <w:spacing w:after="0" w:line="243" w:lineRule="auto"/>
        <w:rPr>
          <w:sz w:val="20"/>
          <w:szCs w:val="20"/>
          <w:color w:val="auto"/>
        </w:rPr>
      </w:pPr>
      <w:r>
        <w:rPr>
          <w:rFonts w:ascii="Arial" w:cs="Arial" w:eastAsia="Arial" w:hAnsi="Arial"/>
          <w:sz w:val="17"/>
          <w:szCs w:val="17"/>
          <w:color w:val="auto"/>
        </w:rPr>
        <w:t>meets one-on-one with the Chairman/CEO following executive sessions of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-247015</wp:posOffset>
            </wp:positionV>
            <wp:extent cx="137160" cy="1454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37160" cy="145415"/>
                    </a:xfrm>
                    <a:prstGeom prst="rect">
                      <a:avLst/>
                    </a:prstGeom>
                    <a:noFill/>
                  </pic:spPr>
                </pic:pic>
              </a:graphicData>
            </a:graphic>
          </wp:anchor>
        </w:drawing>
      </w:r>
    </w:p>
    <w:p>
      <w:pPr>
        <w:spacing w:after="0" w:line="57" w:lineRule="exact"/>
        <w:rPr>
          <w:sz w:val="20"/>
          <w:szCs w:val="20"/>
          <w:color w:val="auto"/>
        </w:rPr>
      </w:pPr>
    </w:p>
    <w:p>
      <w:pPr>
        <w:ind w:left="500" w:right="400"/>
        <w:spacing w:after="0" w:line="243" w:lineRule="auto"/>
        <w:rPr>
          <w:sz w:val="20"/>
          <w:szCs w:val="20"/>
          <w:color w:val="auto"/>
        </w:rPr>
      </w:pPr>
      <w:r>
        <w:rPr>
          <w:rFonts w:ascii="Arial" w:cs="Arial" w:eastAsia="Arial" w:hAnsi="Arial"/>
          <w:sz w:val="17"/>
          <w:szCs w:val="17"/>
          <w:color w:val="auto"/>
        </w:rPr>
        <w:t>has the authority to call for a Board meeting or a meeting of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-247015</wp:posOffset>
            </wp:positionV>
            <wp:extent cx="137160" cy="1454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37160" cy="145415"/>
                    </a:xfrm>
                    <a:prstGeom prst="rect">
                      <a:avLst/>
                    </a:prstGeom>
                    <a:noFill/>
                  </pic:spPr>
                </pic:pic>
              </a:graphicData>
            </a:graphic>
          </wp:anchor>
        </w:drawing>
      </w:r>
    </w:p>
    <w:p>
      <w:pPr>
        <w:spacing w:after="0" w:line="57" w:lineRule="exact"/>
        <w:rPr>
          <w:sz w:val="20"/>
          <w:szCs w:val="20"/>
          <w:color w:val="auto"/>
        </w:rPr>
      </w:pPr>
    </w:p>
    <w:p>
      <w:pPr>
        <w:ind w:left="500" w:right="180"/>
        <w:spacing w:after="0" w:line="243" w:lineRule="auto"/>
        <w:rPr>
          <w:sz w:val="20"/>
          <w:szCs w:val="20"/>
          <w:color w:val="auto"/>
        </w:rPr>
      </w:pPr>
      <w:r>
        <w:rPr>
          <w:rFonts w:ascii="Arial" w:cs="Arial" w:eastAsia="Arial" w:hAnsi="Arial"/>
          <w:sz w:val="17"/>
          <w:szCs w:val="17"/>
          <w:color w:val="auto"/>
        </w:rPr>
        <w:t>approves agendas and adds agenda items for Board meetings and meetings of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95250</wp:posOffset>
            </wp:positionV>
            <wp:extent cx="6995160" cy="1885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18859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-247015</wp:posOffset>
            </wp:positionV>
            <wp:extent cx="137160" cy="146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3716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color w:val="auto"/>
        </w:rPr>
        <w:t>presides over executive sessions of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-119380</wp:posOffset>
            </wp:positionV>
            <wp:extent cx="137160" cy="1454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37160" cy="145415"/>
                    </a:xfrm>
                    <a:prstGeom prst="rect">
                      <a:avLst/>
                    </a:prstGeom>
                    <a:noFill/>
                  </pic:spPr>
                </pic:pic>
              </a:graphicData>
            </a:graphic>
          </wp:anchor>
        </w:drawing>
      </w:r>
    </w:p>
    <w:p>
      <w:pPr>
        <w:spacing w:after="0" w:line="68" w:lineRule="exact"/>
        <w:rPr>
          <w:sz w:val="20"/>
          <w:szCs w:val="20"/>
          <w:color w:val="auto"/>
        </w:rPr>
      </w:pPr>
    </w:p>
    <w:p>
      <w:pPr>
        <w:ind w:right="520"/>
        <w:spacing w:after="0" w:line="243" w:lineRule="auto"/>
        <w:rPr>
          <w:sz w:val="20"/>
          <w:szCs w:val="20"/>
          <w:color w:val="auto"/>
        </w:rPr>
      </w:pPr>
      <w:r>
        <w:rPr>
          <w:rFonts w:ascii="Arial" w:cs="Arial" w:eastAsia="Arial" w:hAnsi="Arial"/>
          <w:sz w:val="17"/>
          <w:szCs w:val="17"/>
          <w:color w:val="auto"/>
        </w:rPr>
        <w:t>engages and consults with major shareholders and other constituencies, where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-247015</wp:posOffset>
            </wp:positionV>
            <wp:extent cx="137160" cy="1454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37160" cy="145415"/>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color w:val="auto"/>
        </w:rPr>
        <w:t>guides the annual performance review of the Chairman/CEO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-119380</wp:posOffset>
            </wp:positionV>
            <wp:extent cx="137160" cy="1454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37160" cy="145415"/>
                    </a:xfrm>
                    <a:prstGeom prst="rect">
                      <a:avLst/>
                    </a:prstGeom>
                    <a:noFill/>
                  </pic:spPr>
                </pic:pic>
              </a:graphicData>
            </a:graphic>
          </wp:anchor>
        </w:drawing>
      </w:r>
    </w:p>
    <w:p>
      <w:pPr>
        <w:spacing w:after="0" w:line="68" w:lineRule="exact"/>
        <w:rPr>
          <w:sz w:val="20"/>
          <w:szCs w:val="20"/>
          <w:color w:val="auto"/>
        </w:rPr>
      </w:pPr>
    </w:p>
    <w:p>
      <w:pPr>
        <w:ind w:right="620"/>
        <w:spacing w:after="0" w:line="243" w:lineRule="auto"/>
        <w:rPr>
          <w:sz w:val="20"/>
          <w:szCs w:val="20"/>
          <w:color w:val="auto"/>
        </w:rPr>
      </w:pPr>
      <w:r>
        <w:rPr>
          <w:rFonts w:ascii="Arial" w:cs="Arial" w:eastAsia="Arial" w:hAnsi="Arial"/>
          <w:sz w:val="17"/>
          <w:szCs w:val="17"/>
          <w:color w:val="auto"/>
        </w:rPr>
        <w:t>guides the annual independent director consideration of Chairman/CEO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-247015</wp:posOffset>
            </wp:positionV>
            <wp:extent cx="137160" cy="1454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37160" cy="145415"/>
                    </a:xfrm>
                    <a:prstGeom prst="rect">
                      <a:avLst/>
                    </a:prstGeom>
                    <a:noFill/>
                  </pic:spPr>
                </pic:pic>
              </a:graphicData>
            </a:graphic>
          </wp:anchor>
        </w:drawing>
      </w:r>
    </w:p>
    <w:p>
      <w:pPr>
        <w:spacing w:after="0" w:line="57" w:lineRule="exact"/>
        <w:rPr>
          <w:sz w:val="20"/>
          <w:szCs w:val="20"/>
          <w:color w:val="auto"/>
        </w:rPr>
      </w:pPr>
    </w:p>
    <w:p>
      <w:pPr>
        <w:ind w:right="300"/>
        <w:spacing w:after="0" w:line="359" w:lineRule="auto"/>
        <w:rPr>
          <w:sz w:val="20"/>
          <w:szCs w:val="20"/>
          <w:color w:val="auto"/>
        </w:rPr>
      </w:pPr>
      <w:r>
        <w:rPr>
          <w:rFonts w:ascii="Arial" w:cs="Arial" w:eastAsia="Arial" w:hAnsi="Arial"/>
          <w:sz w:val="17"/>
          <w:szCs w:val="17"/>
          <w:color w:val="auto"/>
        </w:rPr>
        <w:t>guides the full Board in its consideration of CEO succession guides the self-assessment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-367030</wp:posOffset>
            </wp:positionV>
            <wp:extent cx="137160" cy="1454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37160" cy="145415"/>
                    </a:xfrm>
                    <a:prstGeom prst="rect">
                      <a:avLst/>
                    </a:prstGeom>
                    <a:noFill/>
                  </pic:spPr>
                </pic:pic>
              </a:graphicData>
            </a:graphic>
          </wp:anchor>
        </w:drawing>
        <w:drawing>
          <wp:anchor simplePos="0" relativeHeight="251657728" behindDoc="1" locked="0" layoutInCell="0" allowOverlap="1">
            <wp:simplePos x="0" y="0"/>
            <wp:positionH relativeFrom="column">
              <wp:posOffset>-237490</wp:posOffset>
            </wp:positionH>
            <wp:positionV relativeFrom="paragraph">
              <wp:posOffset>-186690</wp:posOffset>
            </wp:positionV>
            <wp:extent cx="137160" cy="146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37160" cy="146050"/>
                    </a:xfrm>
                    <a:prstGeom prst="rect">
                      <a:avLst/>
                    </a:prstGeom>
                    <a:noFill/>
                  </pic:spPr>
                </pic:pic>
              </a:graphicData>
            </a:graphic>
          </wp:anchor>
        </w:drawing>
      </w:r>
    </w:p>
    <w:p>
      <w:pPr>
        <w:spacing w:after="0" w:line="1113" w:lineRule="exact"/>
        <w:rPr>
          <w:sz w:val="20"/>
          <w:szCs w:val="20"/>
          <w:color w:val="auto"/>
        </w:rPr>
      </w:pPr>
    </w:p>
    <w:p>
      <w:pPr>
        <w:sectPr>
          <w:pgSz w:w="11900" w:h="16838" w:orient="portrait"/>
          <w:cols w:equalWidth="0" w:num="2">
            <w:col w:w="5400" w:space="720"/>
            <w:col w:w="4820"/>
          </w:cols>
          <w:pgMar w:left="320" w:top="459" w:right="639" w:bottom="1440" w:gutter="0" w:footer="0" w:header="0"/>
          <w:type w:val="continuous"/>
        </w:sectPr>
      </w:pPr>
    </w:p>
    <w:p>
      <w:pPr>
        <w:ind w:left="160"/>
        <w:spacing w:after="0"/>
        <w:rPr>
          <w:sz w:val="20"/>
          <w:szCs w:val="20"/>
          <w:color w:val="auto"/>
        </w:rPr>
      </w:pPr>
      <w:r>
        <w:rPr>
          <w:rFonts w:ascii="Arial" w:cs="Arial" w:eastAsia="Arial" w:hAnsi="Arial"/>
          <w:sz w:val="17"/>
          <w:szCs w:val="17"/>
          <w:b w:val="1"/>
          <w:bCs w:val="1"/>
          <w:color w:val="auto"/>
        </w:rPr>
        <w:t>Our Board provides independent oversight of the Firm’s business and affairs</w:t>
      </w:r>
    </w:p>
    <w:p>
      <w:pPr>
        <w:sectPr>
          <w:pgSz w:w="11900" w:h="16838" w:orient="portrait"/>
          <w:cols w:equalWidth="0" w:num="1">
            <w:col w:w="10940"/>
          </w:cols>
          <w:pgMar w:left="320" w:top="459" w:right="639" w:bottom="1440" w:gutter="0" w:footer="0" w:header="0"/>
          <w:type w:val="continuous"/>
        </w:sectPr>
      </w:pPr>
    </w:p>
    <w:p>
      <w:pPr>
        <w:spacing w:after="0" w:line="199" w:lineRule="exact"/>
        <w:rPr>
          <w:sz w:val="20"/>
          <w:szCs w:val="20"/>
          <w:color w:val="auto"/>
        </w:rPr>
      </w:pPr>
    </w:p>
    <w:p>
      <w:pPr>
        <w:ind w:left="300" w:hanging="184"/>
        <w:spacing w:after="0"/>
        <w:tabs>
          <w:tab w:leader="none" w:pos="300" w:val="left"/>
        </w:tabs>
        <w:numPr>
          <w:ilvl w:val="0"/>
          <w:numId w:val="20"/>
        </w:numPr>
        <w:rPr>
          <w:rFonts w:ascii="Arial" w:cs="Arial" w:eastAsia="Arial" w:hAnsi="Arial"/>
          <w:sz w:val="17"/>
          <w:szCs w:val="17"/>
          <w:color w:val="004876"/>
        </w:rPr>
      </w:pPr>
      <w:r>
        <w:rPr>
          <w:rFonts w:ascii="Arial" w:cs="Arial" w:eastAsia="Arial" w:hAnsi="Arial"/>
          <w:sz w:val="17"/>
          <w:szCs w:val="17"/>
          <w:color w:val="auto"/>
        </w:rPr>
        <w:t>Sets the cultural “tone at the top”</w:t>
      </w:r>
    </w:p>
    <w:p>
      <w:pPr>
        <w:spacing w:after="0" w:line="74" w:lineRule="exact"/>
        <w:rPr>
          <w:rFonts w:ascii="Arial" w:cs="Arial" w:eastAsia="Arial" w:hAnsi="Arial"/>
          <w:sz w:val="17"/>
          <w:szCs w:val="17"/>
          <w:color w:val="004876"/>
        </w:rPr>
      </w:pPr>
    </w:p>
    <w:p>
      <w:pPr>
        <w:ind w:left="300" w:hanging="184"/>
        <w:spacing w:after="0"/>
        <w:tabs>
          <w:tab w:leader="none" w:pos="300" w:val="left"/>
        </w:tabs>
        <w:numPr>
          <w:ilvl w:val="0"/>
          <w:numId w:val="20"/>
        </w:numPr>
        <w:rPr>
          <w:rFonts w:ascii="Arial" w:cs="Arial" w:eastAsia="Arial" w:hAnsi="Arial"/>
          <w:sz w:val="17"/>
          <w:szCs w:val="17"/>
          <w:color w:val="004876"/>
        </w:rPr>
      </w:pPr>
      <w:r>
        <w:rPr>
          <w:rFonts w:ascii="Arial" w:cs="Arial" w:eastAsia="Arial" w:hAnsi="Arial"/>
          <w:sz w:val="17"/>
          <w:szCs w:val="17"/>
          <w:color w:val="auto"/>
        </w:rPr>
        <w:t>Reviews the Firm’s strategic objectives and plans</w:t>
      </w:r>
    </w:p>
    <w:p>
      <w:pPr>
        <w:spacing w:after="0" w:line="74" w:lineRule="exact"/>
        <w:rPr>
          <w:rFonts w:ascii="Arial" w:cs="Arial" w:eastAsia="Arial" w:hAnsi="Arial"/>
          <w:sz w:val="17"/>
          <w:szCs w:val="17"/>
          <w:color w:val="004876"/>
        </w:rPr>
      </w:pPr>
    </w:p>
    <w:p>
      <w:pPr>
        <w:ind w:left="300" w:right="594" w:hanging="184"/>
        <w:spacing w:after="0" w:line="243" w:lineRule="auto"/>
        <w:tabs>
          <w:tab w:leader="none" w:pos="300" w:val="left"/>
        </w:tabs>
        <w:numPr>
          <w:ilvl w:val="0"/>
          <w:numId w:val="20"/>
        </w:numPr>
        <w:rPr>
          <w:rFonts w:ascii="Arial" w:cs="Arial" w:eastAsia="Arial" w:hAnsi="Arial"/>
          <w:sz w:val="17"/>
          <w:szCs w:val="17"/>
          <w:color w:val="004876"/>
        </w:rPr>
      </w:pPr>
      <w:r>
        <w:rPr>
          <w:rFonts w:ascii="Arial" w:cs="Arial" w:eastAsia="Arial" w:hAnsi="Arial"/>
          <w:sz w:val="17"/>
          <w:szCs w:val="17"/>
          <w:color w:val="auto"/>
        </w:rPr>
        <w:t>Evaluates the CEO’s performance and oversees talent management for other senior executives</w:t>
      </w:r>
    </w:p>
    <w:p>
      <w:pPr>
        <w:spacing w:after="0" w:line="14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We actively engage with shareholders</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left="166" w:hanging="166"/>
        <w:spacing w:after="0"/>
        <w:tabs>
          <w:tab w:leader="none" w:pos="166" w:val="left"/>
        </w:tabs>
        <w:numPr>
          <w:ilvl w:val="0"/>
          <w:numId w:val="21"/>
        </w:numPr>
        <w:rPr>
          <w:rFonts w:ascii="Arial" w:cs="Arial" w:eastAsia="Arial" w:hAnsi="Arial"/>
          <w:sz w:val="17"/>
          <w:szCs w:val="17"/>
          <w:color w:val="004876"/>
        </w:rPr>
      </w:pPr>
      <w:r>
        <w:rPr>
          <w:rFonts w:ascii="Arial" w:cs="Arial" w:eastAsia="Arial" w:hAnsi="Arial"/>
          <w:sz w:val="17"/>
          <w:szCs w:val="17"/>
          <w:color w:val="auto"/>
        </w:rPr>
        <w:t>Oversees the Firm’s financial performance and condition</w:t>
      </w:r>
    </w:p>
    <w:p>
      <w:pPr>
        <w:spacing w:after="0" w:line="61" w:lineRule="exact"/>
        <w:rPr>
          <w:rFonts w:ascii="Arial" w:cs="Arial" w:eastAsia="Arial" w:hAnsi="Arial"/>
          <w:sz w:val="17"/>
          <w:szCs w:val="17"/>
          <w:color w:val="004876"/>
        </w:rPr>
      </w:pPr>
    </w:p>
    <w:p>
      <w:pPr>
        <w:ind w:left="166" w:right="1200" w:hanging="166"/>
        <w:spacing w:after="0" w:line="243" w:lineRule="auto"/>
        <w:tabs>
          <w:tab w:leader="none" w:pos="166" w:val="left"/>
        </w:tabs>
        <w:numPr>
          <w:ilvl w:val="0"/>
          <w:numId w:val="21"/>
        </w:numPr>
        <w:rPr>
          <w:rFonts w:ascii="Arial" w:cs="Arial" w:eastAsia="Arial" w:hAnsi="Arial"/>
          <w:sz w:val="17"/>
          <w:szCs w:val="17"/>
          <w:color w:val="004876"/>
        </w:rPr>
      </w:pPr>
      <w:r>
        <w:rPr>
          <w:rFonts w:ascii="Arial" w:cs="Arial" w:eastAsia="Arial" w:hAnsi="Arial"/>
          <w:sz w:val="17"/>
          <w:szCs w:val="17"/>
          <w:color w:val="auto"/>
        </w:rPr>
        <w:t>Oversees the Firm’s risk management and internal control frameworks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-3566795</wp:posOffset>
            </wp:positionH>
            <wp:positionV relativeFrom="paragraph">
              <wp:posOffset>258445</wp:posOffset>
            </wp:positionV>
            <wp:extent cx="6995160" cy="1885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188595"/>
                    </a:xfrm>
                    <a:prstGeom prst="rect">
                      <a:avLst/>
                    </a:prstGeom>
                    <a:noFill/>
                  </pic:spPr>
                </pic:pic>
              </a:graphicData>
            </a:graphic>
          </wp:anchor>
        </w:drawing>
      </w:r>
    </w:p>
    <w:p>
      <w:pPr>
        <w:spacing w:after="0" w:line="765" w:lineRule="exact"/>
        <w:rPr>
          <w:sz w:val="20"/>
          <w:szCs w:val="20"/>
          <w:color w:val="auto"/>
        </w:rPr>
      </w:pPr>
    </w:p>
    <w:p>
      <w:pPr>
        <w:sectPr>
          <w:pgSz w:w="11900" w:h="16838" w:orient="portrait"/>
          <w:cols w:equalWidth="0" w:num="2">
            <w:col w:w="5014" w:space="720"/>
            <w:col w:w="5206"/>
          </w:cols>
          <w:pgMar w:left="320" w:top="459" w:right="639" w:bottom="1440" w:gutter="0" w:footer="0" w:header="0"/>
          <w:type w:val="continuous"/>
        </w:sectPr>
      </w:pPr>
    </w:p>
    <w:p>
      <w:pPr>
        <w:ind w:left="340" w:right="100" w:hanging="224"/>
        <w:spacing w:after="0" w:line="243" w:lineRule="auto"/>
        <w:tabs>
          <w:tab w:leader="none" w:pos="340" w:val="left"/>
        </w:tabs>
        <w:numPr>
          <w:ilvl w:val="0"/>
          <w:numId w:val="22"/>
        </w:numPr>
        <w:rPr>
          <w:rFonts w:ascii="Arial" w:cs="Arial" w:eastAsia="Arial" w:hAnsi="Arial"/>
          <w:sz w:val="17"/>
          <w:szCs w:val="17"/>
          <w:color w:val="004876"/>
        </w:rPr>
      </w:pPr>
      <w:r>
        <w:rPr>
          <w:rFonts w:ascii="Arial" w:cs="Arial" w:eastAsia="Arial" w:hAnsi="Arial"/>
          <w:sz w:val="17"/>
          <w:szCs w:val="17"/>
          <w:color w:val="auto"/>
        </w:rPr>
        <w:t>We have regular and ongoing discussions with shareholders throughout the year on a wide variety of topics, such as financial performance, strategy, competitive environment, regulatory landscape and environmental, social and governance (“ESG”) matters</w:t>
      </w:r>
    </w:p>
    <w:p>
      <w:pPr>
        <w:spacing w:after="0" w:line="49" w:lineRule="exact"/>
        <w:rPr>
          <w:rFonts w:ascii="Arial" w:cs="Arial" w:eastAsia="Arial" w:hAnsi="Arial"/>
          <w:sz w:val="17"/>
          <w:szCs w:val="17"/>
          <w:color w:val="004876"/>
        </w:rPr>
      </w:pPr>
    </w:p>
    <w:p>
      <w:pPr>
        <w:ind w:left="340" w:hanging="224"/>
        <w:spacing w:after="0"/>
        <w:tabs>
          <w:tab w:leader="none" w:pos="340" w:val="left"/>
        </w:tabs>
        <w:numPr>
          <w:ilvl w:val="0"/>
          <w:numId w:val="22"/>
        </w:numPr>
        <w:rPr>
          <w:rFonts w:ascii="Arial" w:cs="Arial" w:eastAsia="Arial" w:hAnsi="Arial"/>
          <w:sz w:val="17"/>
          <w:szCs w:val="17"/>
          <w:color w:val="004876"/>
        </w:rPr>
      </w:pPr>
      <w:r>
        <w:rPr>
          <w:rFonts w:ascii="Arial" w:cs="Arial" w:eastAsia="Arial" w:hAnsi="Arial"/>
          <w:sz w:val="17"/>
          <w:szCs w:val="17"/>
          <w:color w:val="auto"/>
        </w:rPr>
        <w:t>In 2019, our shareholder engagement initiatives included:</w:t>
      </w:r>
    </w:p>
    <w:p>
      <w:pPr>
        <w:spacing w:after="0" w:line="41" w:lineRule="exact"/>
        <w:rPr>
          <w:rFonts w:ascii="Arial" w:cs="Arial" w:eastAsia="Arial" w:hAnsi="Arial"/>
          <w:sz w:val="17"/>
          <w:szCs w:val="17"/>
          <w:color w:val="004876"/>
        </w:rPr>
      </w:pPr>
    </w:p>
    <w:p>
      <w:pPr>
        <w:ind w:left="540" w:right="160" w:hanging="208"/>
        <w:spacing w:after="0" w:line="249" w:lineRule="auto"/>
        <w:tabs>
          <w:tab w:leader="none" w:pos="540" w:val="left"/>
        </w:tabs>
        <w:numPr>
          <w:ilvl w:val="1"/>
          <w:numId w:val="22"/>
        </w:numPr>
        <w:rPr>
          <w:rFonts w:ascii="Arial" w:cs="Arial" w:eastAsia="Arial" w:hAnsi="Arial"/>
          <w:sz w:val="17"/>
          <w:szCs w:val="17"/>
          <w:color w:val="auto"/>
        </w:rPr>
      </w:pPr>
      <w:r>
        <w:rPr>
          <w:rFonts w:ascii="Arial" w:cs="Arial" w:eastAsia="Arial" w:hAnsi="Arial"/>
          <w:sz w:val="17"/>
          <w:szCs w:val="17"/>
          <w:b w:val="1"/>
          <w:bCs w:val="1"/>
          <w:color w:val="auto"/>
        </w:rPr>
        <w:t xml:space="preserve">Shareholder Outreach: </w:t>
      </w:r>
      <w:r>
        <w:rPr>
          <w:rFonts w:ascii="Arial" w:cs="Arial" w:eastAsia="Arial" w:hAnsi="Arial"/>
          <w:sz w:val="17"/>
          <w:szCs w:val="17"/>
          <w:color w:val="auto"/>
        </w:rPr>
        <w:t>We received feedback on strategy, financial performance, governance, executive compensation, and</w:t>
      </w:r>
      <w:r>
        <w:rPr>
          <w:rFonts w:ascii="Arial" w:cs="Arial" w:eastAsia="Arial" w:hAnsi="Arial"/>
          <w:sz w:val="17"/>
          <w:szCs w:val="17"/>
          <w:b w:val="1"/>
          <w:bCs w:val="1"/>
          <w:color w:val="auto"/>
        </w:rPr>
        <w:t xml:space="preserve"> </w:t>
      </w:r>
      <w:r>
        <w:rPr>
          <w:rFonts w:ascii="Arial" w:cs="Arial" w:eastAsia="Arial" w:hAnsi="Arial"/>
          <w:sz w:val="17"/>
          <w:szCs w:val="17"/>
          <w:color w:val="auto"/>
        </w:rPr>
        <w:t>environmental and social matters, among others, from shareholders representing approximately 45% of the Firm’s outstanding common stock across more than 60 engagements</w:t>
      </w:r>
    </w:p>
    <w:p>
      <w:pPr>
        <w:spacing w:after="0" w:line="26" w:lineRule="exact"/>
        <w:rPr>
          <w:rFonts w:ascii="Arial" w:cs="Arial" w:eastAsia="Arial" w:hAnsi="Arial"/>
          <w:sz w:val="17"/>
          <w:szCs w:val="17"/>
          <w:color w:val="auto"/>
        </w:rPr>
      </w:pPr>
    </w:p>
    <w:p>
      <w:pPr>
        <w:ind w:left="540" w:hanging="208"/>
        <w:spacing w:after="0"/>
        <w:tabs>
          <w:tab w:leader="none" w:pos="540" w:val="left"/>
        </w:tabs>
        <w:numPr>
          <w:ilvl w:val="1"/>
          <w:numId w:val="22"/>
        </w:numPr>
        <w:rPr>
          <w:rFonts w:ascii="Arial" w:cs="Arial" w:eastAsia="Arial" w:hAnsi="Arial"/>
          <w:sz w:val="17"/>
          <w:szCs w:val="17"/>
          <w:color w:val="auto"/>
        </w:rPr>
      </w:pPr>
      <w:r>
        <w:rPr>
          <w:rFonts w:ascii="Arial" w:cs="Arial" w:eastAsia="Arial" w:hAnsi="Arial"/>
          <w:sz w:val="17"/>
          <w:szCs w:val="17"/>
          <w:b w:val="1"/>
          <w:bCs w:val="1"/>
          <w:color w:val="auto"/>
        </w:rPr>
        <w:t xml:space="preserve">Investor Day: </w:t>
      </w:r>
      <w:r>
        <w:rPr>
          <w:rFonts w:ascii="Arial" w:cs="Arial" w:eastAsia="Arial" w:hAnsi="Arial"/>
          <w:sz w:val="17"/>
          <w:szCs w:val="17"/>
          <w:color w:val="auto"/>
        </w:rPr>
        <w:t>Senior management presented on the Firm’s strategy and financial performance at our Investor Day</w:t>
      </w:r>
    </w:p>
    <w:p>
      <w:pPr>
        <w:spacing w:after="0" w:line="61" w:lineRule="exact"/>
        <w:rPr>
          <w:rFonts w:ascii="Arial" w:cs="Arial" w:eastAsia="Arial" w:hAnsi="Arial"/>
          <w:sz w:val="17"/>
          <w:szCs w:val="17"/>
          <w:color w:val="auto"/>
        </w:rPr>
      </w:pPr>
    </w:p>
    <w:p>
      <w:pPr>
        <w:ind w:left="540" w:hanging="208"/>
        <w:spacing w:after="0"/>
        <w:tabs>
          <w:tab w:leader="none" w:pos="540" w:val="left"/>
        </w:tabs>
        <w:numPr>
          <w:ilvl w:val="1"/>
          <w:numId w:val="22"/>
        </w:numPr>
        <w:rPr>
          <w:rFonts w:ascii="Arial" w:cs="Arial" w:eastAsia="Arial" w:hAnsi="Arial"/>
          <w:sz w:val="17"/>
          <w:szCs w:val="17"/>
          <w:color w:val="auto"/>
        </w:rPr>
      </w:pPr>
      <w:r>
        <w:rPr>
          <w:rFonts w:ascii="Arial" w:cs="Arial" w:eastAsia="Arial" w:hAnsi="Arial"/>
          <w:sz w:val="17"/>
          <w:szCs w:val="17"/>
          <w:b w:val="1"/>
          <w:bCs w:val="1"/>
          <w:color w:val="auto"/>
        </w:rPr>
        <w:t xml:space="preserve">Meetings/Conferences: </w:t>
      </w:r>
      <w:r>
        <w:rPr>
          <w:rFonts w:ascii="Arial" w:cs="Arial" w:eastAsia="Arial" w:hAnsi="Arial"/>
          <w:sz w:val="17"/>
          <w:szCs w:val="17"/>
          <w:color w:val="auto"/>
        </w:rPr>
        <w:t>Senior management hosted more than 50 investor meetings and presented at 12 investor conferences</w:t>
      </w:r>
    </w:p>
    <w:p>
      <w:pPr>
        <w:spacing w:after="0" w:line="61" w:lineRule="exact"/>
        <w:rPr>
          <w:rFonts w:ascii="Arial" w:cs="Arial" w:eastAsia="Arial" w:hAnsi="Arial"/>
          <w:sz w:val="17"/>
          <w:szCs w:val="17"/>
          <w:color w:val="auto"/>
        </w:rPr>
      </w:pPr>
    </w:p>
    <w:p>
      <w:pPr>
        <w:ind w:left="540" w:hanging="208"/>
        <w:spacing w:after="0"/>
        <w:tabs>
          <w:tab w:leader="none" w:pos="540" w:val="left"/>
        </w:tabs>
        <w:numPr>
          <w:ilvl w:val="1"/>
          <w:numId w:val="22"/>
        </w:numPr>
        <w:rPr>
          <w:rFonts w:ascii="Arial" w:cs="Arial" w:eastAsia="Arial" w:hAnsi="Arial"/>
          <w:sz w:val="17"/>
          <w:szCs w:val="17"/>
          <w:color w:val="auto"/>
        </w:rPr>
      </w:pPr>
      <w:r>
        <w:rPr>
          <w:rFonts w:ascii="Arial" w:cs="Arial" w:eastAsia="Arial" w:hAnsi="Arial"/>
          <w:sz w:val="17"/>
          <w:szCs w:val="17"/>
          <w:b w:val="1"/>
          <w:bCs w:val="1"/>
          <w:color w:val="auto"/>
        </w:rPr>
        <w:t xml:space="preserve">Annual Shareholder Meeting: </w:t>
      </w:r>
      <w:r>
        <w:rPr>
          <w:rFonts w:ascii="Arial" w:cs="Arial" w:eastAsia="Arial" w:hAnsi="Arial"/>
          <w:sz w:val="17"/>
          <w:szCs w:val="17"/>
          <w:color w:val="auto"/>
        </w:rPr>
        <w:t>Our CEO and Lead Independent Director presented to shareholders at the Firm’s 2019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89535</wp:posOffset>
            </wp:positionV>
            <wp:extent cx="6995160" cy="1885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5160" cy="188595"/>
                    </a:xfrm>
                    <a:prstGeom prst="rect">
                      <a:avLst/>
                    </a:prstGeom>
                    <a:noFill/>
                  </pic:spPr>
                </pic:pic>
              </a:graphicData>
            </a:graphic>
          </wp:anchor>
        </w:drawing>
      </w:r>
    </w:p>
    <w:p>
      <w:pPr>
        <w:spacing w:after="0" w:line="13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Our governance practices promote Board effectiveness and shareholder interests</w:t>
      </w:r>
    </w:p>
    <w:p>
      <w:pPr>
        <w:spacing w:after="0" w:line="188" w:lineRule="exact"/>
        <w:rPr>
          <w:sz w:val="20"/>
          <w:szCs w:val="20"/>
          <w:color w:val="auto"/>
        </w:rPr>
      </w:pPr>
    </w:p>
    <w:tbl>
      <w:tblPr>
        <w:tblLayout w:type="fixed"/>
        <w:tblInd w:w="120" w:type="dxa"/>
        <w:tblCellMar>
          <w:top w:w="0" w:type="dxa"/>
          <w:left w:w="0" w:type="dxa"/>
          <w:bottom w:w="0" w:type="dxa"/>
          <w:right w:w="0" w:type="dxa"/>
        </w:tblCellMar>
      </w:tblPr>
      <w:tr>
        <w:trPr>
          <w:trHeight w:val="205"/>
        </w:trPr>
        <w:tc>
          <w:tcPr>
            <w:tcW w:w="4480" w:type="dxa"/>
            <w:vAlign w:val="bottom"/>
          </w:tcPr>
          <w:p>
            <w:pPr>
              <w:spacing w:after="0"/>
              <w:rPr>
                <w:sz w:val="20"/>
                <w:szCs w:val="20"/>
                <w:color w:val="auto"/>
              </w:rPr>
            </w:pPr>
            <w:r>
              <w:rPr>
                <w:rFonts w:ascii="Arial" w:cs="Arial" w:eastAsia="Arial" w:hAnsi="Arial"/>
                <w:sz w:val="17"/>
                <w:szCs w:val="17"/>
                <w:color w:val="004876"/>
              </w:rPr>
              <w:t xml:space="preserve">• </w:t>
            </w:r>
            <w:r>
              <w:rPr>
                <w:rFonts w:ascii="Arial" w:cs="Arial" w:eastAsia="Arial" w:hAnsi="Arial"/>
                <w:sz w:val="17"/>
                <w:szCs w:val="17"/>
                <w:color w:val="000000"/>
              </w:rPr>
              <w:t>Annual Board and committee assessment</w:t>
            </w:r>
          </w:p>
        </w:tc>
        <w:tc>
          <w:tcPr>
            <w:tcW w:w="6340" w:type="dxa"/>
            <w:vAlign w:val="bottom"/>
          </w:tcPr>
          <w:p>
            <w:pPr>
              <w:ind w:left="1140"/>
              <w:spacing w:after="0"/>
              <w:rPr>
                <w:sz w:val="20"/>
                <w:szCs w:val="20"/>
                <w:color w:val="auto"/>
              </w:rPr>
            </w:pPr>
            <w:r>
              <w:rPr>
                <w:rFonts w:ascii="Arial" w:cs="Arial" w:eastAsia="Arial" w:hAnsi="Arial"/>
                <w:sz w:val="17"/>
                <w:szCs w:val="17"/>
                <w:color w:val="004876"/>
              </w:rPr>
              <w:t xml:space="preserve">• </w:t>
            </w:r>
            <w:r>
              <w:rPr>
                <w:rFonts w:ascii="Arial" w:cs="Arial" w:eastAsia="Arial" w:hAnsi="Arial"/>
                <w:sz w:val="17"/>
                <w:szCs w:val="17"/>
                <w:color w:val="000000"/>
              </w:rPr>
              <w:t>Majority voting for all director elections</w:t>
            </w:r>
          </w:p>
        </w:tc>
        <w:tc>
          <w:tcPr>
            <w:tcW w:w="0" w:type="dxa"/>
            <w:vAlign w:val="bottom"/>
          </w:tcPr>
          <w:p>
            <w:pPr>
              <w:spacing w:after="0"/>
              <w:rPr>
                <w:sz w:val="1"/>
                <w:szCs w:val="1"/>
                <w:color w:val="auto"/>
              </w:rPr>
            </w:pPr>
          </w:p>
        </w:tc>
      </w:tr>
      <w:tr>
        <w:trPr>
          <w:trHeight w:val="256"/>
        </w:trPr>
        <w:tc>
          <w:tcPr>
            <w:tcW w:w="4480" w:type="dxa"/>
            <w:vAlign w:val="bottom"/>
          </w:tcPr>
          <w:p>
            <w:pPr>
              <w:spacing w:after="0"/>
              <w:rPr>
                <w:sz w:val="20"/>
                <w:szCs w:val="20"/>
                <w:color w:val="auto"/>
              </w:rPr>
            </w:pPr>
            <w:r>
              <w:rPr>
                <w:rFonts w:ascii="Arial" w:cs="Arial" w:eastAsia="Arial" w:hAnsi="Arial"/>
                <w:sz w:val="17"/>
                <w:szCs w:val="17"/>
                <w:color w:val="004876"/>
              </w:rPr>
              <w:t xml:space="preserve">• </w:t>
            </w:r>
            <w:r>
              <w:rPr>
                <w:rFonts w:ascii="Arial" w:cs="Arial" w:eastAsia="Arial" w:hAnsi="Arial"/>
                <w:sz w:val="17"/>
                <w:szCs w:val="17"/>
                <w:color w:val="000000"/>
              </w:rPr>
              <w:t>Robust shareholder rights:</w:t>
            </w:r>
          </w:p>
        </w:tc>
        <w:tc>
          <w:tcPr>
            <w:tcW w:w="6340" w:type="dxa"/>
            <w:vAlign w:val="bottom"/>
          </w:tcPr>
          <w:p>
            <w:pPr>
              <w:ind w:left="1140"/>
              <w:spacing w:after="0"/>
              <w:rPr>
                <w:sz w:val="20"/>
                <w:szCs w:val="20"/>
                <w:color w:val="auto"/>
              </w:rPr>
            </w:pPr>
            <w:r>
              <w:rPr>
                <w:rFonts w:ascii="Arial" w:cs="Arial" w:eastAsia="Arial" w:hAnsi="Arial"/>
                <w:sz w:val="17"/>
                <w:szCs w:val="17"/>
                <w:color w:val="004876"/>
              </w:rPr>
              <w:t xml:space="preserve">• </w:t>
            </w:r>
            <w:r>
              <w:rPr>
                <w:rFonts w:ascii="Arial" w:cs="Arial" w:eastAsia="Arial" w:hAnsi="Arial"/>
                <w:sz w:val="17"/>
                <w:szCs w:val="17"/>
                <w:color w:val="000000"/>
              </w:rPr>
              <w:t>Stock ownership requirements for directors</w:t>
            </w:r>
          </w:p>
        </w:tc>
        <w:tc>
          <w:tcPr>
            <w:tcW w:w="0" w:type="dxa"/>
            <w:vAlign w:val="bottom"/>
          </w:tcPr>
          <w:p>
            <w:pPr>
              <w:spacing w:after="0"/>
              <w:rPr>
                <w:sz w:val="1"/>
                <w:szCs w:val="1"/>
                <w:color w:val="auto"/>
              </w:rPr>
            </w:pPr>
          </w:p>
        </w:tc>
      </w:tr>
      <w:tr>
        <w:trPr>
          <w:trHeight w:val="256"/>
        </w:trPr>
        <w:tc>
          <w:tcPr>
            <w:tcW w:w="4480" w:type="dxa"/>
            <w:vAlign w:val="bottom"/>
          </w:tcPr>
          <w:p>
            <w:pPr>
              <w:ind w:left="140"/>
              <w:spacing w:after="0"/>
              <w:rPr>
                <w:sz w:val="20"/>
                <w:szCs w:val="20"/>
                <w:color w:val="auto"/>
              </w:rPr>
            </w:pPr>
            <w:r>
              <w:rPr>
                <w:rFonts w:ascii="Arial" w:cs="Arial" w:eastAsia="Arial" w:hAnsi="Arial"/>
                <w:sz w:val="17"/>
                <w:szCs w:val="17"/>
                <w:color w:val="auto"/>
              </w:rPr>
              <w:t>-  proxy access</w:t>
            </w:r>
          </w:p>
        </w:tc>
        <w:tc>
          <w:tcPr>
            <w:tcW w:w="6340" w:type="dxa"/>
            <w:vAlign w:val="bottom"/>
          </w:tcPr>
          <w:p>
            <w:pPr>
              <w:ind w:left="1140"/>
              <w:spacing w:after="0"/>
              <w:rPr>
                <w:sz w:val="20"/>
                <w:szCs w:val="20"/>
                <w:color w:val="auto"/>
              </w:rPr>
            </w:pPr>
            <w:r>
              <w:rPr>
                <w:rFonts w:ascii="Arial" w:cs="Arial" w:eastAsia="Arial" w:hAnsi="Arial"/>
                <w:sz w:val="17"/>
                <w:szCs w:val="17"/>
                <w:color w:val="004876"/>
              </w:rPr>
              <w:t xml:space="preserve">• </w:t>
            </w:r>
            <w:r>
              <w:rPr>
                <w:rFonts w:ascii="Arial" w:cs="Arial" w:eastAsia="Arial" w:hAnsi="Arial"/>
                <w:sz w:val="17"/>
                <w:szCs w:val="17"/>
                <w:color w:val="000000"/>
              </w:rPr>
              <w:t>100% committee independence</w:t>
            </w:r>
          </w:p>
        </w:tc>
        <w:tc>
          <w:tcPr>
            <w:tcW w:w="0" w:type="dxa"/>
            <w:vAlign w:val="bottom"/>
          </w:tcPr>
          <w:p>
            <w:pPr>
              <w:spacing w:after="0"/>
              <w:rPr>
                <w:sz w:val="1"/>
                <w:szCs w:val="1"/>
                <w:color w:val="auto"/>
              </w:rPr>
            </w:pPr>
          </w:p>
        </w:tc>
      </w:tr>
      <w:tr>
        <w:trPr>
          <w:trHeight w:val="241"/>
        </w:trPr>
        <w:tc>
          <w:tcPr>
            <w:tcW w:w="4480" w:type="dxa"/>
            <w:vAlign w:val="bottom"/>
          </w:tcPr>
          <w:p>
            <w:pPr>
              <w:ind w:left="140"/>
              <w:spacing w:after="0"/>
              <w:rPr>
                <w:sz w:val="20"/>
                <w:szCs w:val="20"/>
                <w:color w:val="auto"/>
              </w:rPr>
            </w:pPr>
            <w:r>
              <w:rPr>
                <w:rFonts w:ascii="Arial" w:cs="Arial" w:eastAsia="Arial" w:hAnsi="Arial"/>
                <w:sz w:val="17"/>
                <w:szCs w:val="17"/>
                <w:color w:val="auto"/>
              </w:rPr>
              <w:t>-  right to call a special meeting</w:t>
            </w:r>
          </w:p>
        </w:tc>
        <w:tc>
          <w:tcPr>
            <w:tcW w:w="6340" w:type="dxa"/>
            <w:vAlign w:val="bottom"/>
          </w:tcPr>
          <w:p>
            <w:pPr>
              <w:ind w:left="1140"/>
              <w:spacing w:after="0"/>
              <w:rPr>
                <w:sz w:val="20"/>
                <w:szCs w:val="20"/>
                <w:color w:val="auto"/>
              </w:rPr>
            </w:pPr>
            <w:r>
              <w:rPr>
                <w:rFonts w:ascii="Arial" w:cs="Arial" w:eastAsia="Arial" w:hAnsi="Arial"/>
                <w:sz w:val="17"/>
                <w:szCs w:val="17"/>
                <w:color w:val="004876"/>
              </w:rPr>
              <w:t xml:space="preserve">• </w:t>
            </w:r>
            <w:r>
              <w:rPr>
                <w:rFonts w:ascii="Arial" w:cs="Arial" w:eastAsia="Arial" w:hAnsi="Arial"/>
                <w:sz w:val="17"/>
                <w:szCs w:val="17"/>
                <w:color w:val="000000"/>
              </w:rPr>
              <w:t>Executive sessions of independent directors at each regular Board</w:t>
            </w:r>
          </w:p>
        </w:tc>
        <w:tc>
          <w:tcPr>
            <w:tcW w:w="0" w:type="dxa"/>
            <w:vAlign w:val="bottom"/>
          </w:tcPr>
          <w:p>
            <w:pPr>
              <w:spacing w:after="0"/>
              <w:rPr>
                <w:sz w:val="1"/>
                <w:szCs w:val="1"/>
                <w:color w:val="auto"/>
              </w:rPr>
            </w:pPr>
          </w:p>
        </w:tc>
      </w:tr>
      <w:tr>
        <w:trPr>
          <w:trHeight w:val="205"/>
        </w:trPr>
        <w:tc>
          <w:tcPr>
            <w:tcW w:w="4480" w:type="dxa"/>
            <w:vAlign w:val="bottom"/>
            <w:vMerge w:val="restart"/>
          </w:tcPr>
          <w:p>
            <w:pPr>
              <w:ind w:left="140"/>
              <w:spacing w:after="0"/>
              <w:rPr>
                <w:sz w:val="20"/>
                <w:szCs w:val="20"/>
                <w:color w:val="auto"/>
              </w:rPr>
            </w:pPr>
            <w:r>
              <w:rPr>
                <w:rFonts w:ascii="Arial" w:cs="Arial" w:eastAsia="Arial" w:hAnsi="Arial"/>
                <w:sz w:val="17"/>
                <w:szCs w:val="17"/>
                <w:color w:val="auto"/>
              </w:rPr>
              <w:t>-  right to act by written consent</w:t>
            </w:r>
          </w:p>
        </w:tc>
        <w:tc>
          <w:tcPr>
            <w:tcW w:w="6340" w:type="dxa"/>
            <w:vAlign w:val="bottom"/>
          </w:tcPr>
          <w:p>
            <w:pPr>
              <w:ind w:left="1300"/>
              <w:spacing w:after="0"/>
              <w:rPr>
                <w:sz w:val="20"/>
                <w:szCs w:val="20"/>
                <w:color w:val="auto"/>
              </w:rPr>
            </w:pPr>
            <w:r>
              <w:rPr>
                <w:rFonts w:ascii="Arial" w:cs="Arial" w:eastAsia="Arial" w:hAnsi="Arial"/>
                <w:sz w:val="17"/>
                <w:szCs w:val="17"/>
                <w:color w:val="auto"/>
              </w:rPr>
              <w:t>meeting</w:t>
            </w:r>
          </w:p>
        </w:tc>
        <w:tc>
          <w:tcPr>
            <w:tcW w:w="0" w:type="dxa"/>
            <w:vAlign w:val="bottom"/>
          </w:tcPr>
          <w:p>
            <w:pPr>
              <w:spacing w:after="0"/>
              <w:rPr>
                <w:sz w:val="1"/>
                <w:szCs w:val="1"/>
                <w:color w:val="auto"/>
              </w:rPr>
            </w:pPr>
          </w:p>
        </w:tc>
      </w:tr>
      <w:tr>
        <w:trPr>
          <w:trHeight w:val="68"/>
        </w:trPr>
        <w:tc>
          <w:tcPr>
            <w:tcW w:w="4480" w:type="dxa"/>
            <w:vAlign w:val="bottom"/>
            <w:vMerge w:val="continue"/>
          </w:tcPr>
          <w:p>
            <w:pPr>
              <w:spacing w:after="0"/>
              <w:rPr>
                <w:sz w:val="5"/>
                <w:szCs w:val="5"/>
                <w:color w:val="auto"/>
              </w:rPr>
            </w:pPr>
          </w:p>
        </w:tc>
        <w:tc>
          <w:tcPr>
            <w:tcW w:w="63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328295</wp:posOffset>
            </wp:positionV>
            <wp:extent cx="7029450" cy="1974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029450" cy="197485"/>
                    </a:xfrm>
                    <a:prstGeom prst="rect">
                      <a:avLst/>
                    </a:prstGeom>
                    <a:noFill/>
                  </pic:spPr>
                </pic:pic>
              </a:graphicData>
            </a:graphic>
          </wp:anchor>
        </w:drawing>
      </w:r>
    </w:p>
    <w:p>
      <w:pPr>
        <w:sectPr>
          <w:pgSz w:w="11900" w:h="16838" w:orient="portrait"/>
          <w:cols w:equalWidth="0" w:num="1">
            <w:col w:w="10940"/>
          </w:cols>
          <w:pgMar w:left="320" w:top="459" w:right="639" w:bottom="1440" w:gutter="0" w:footer="0" w:header="0"/>
          <w:type w:val="continuous"/>
        </w:sectPr>
      </w:pPr>
    </w:p>
    <w:p>
      <w:pPr>
        <w:spacing w:after="0" w:line="200" w:lineRule="exact"/>
        <w:rPr>
          <w:sz w:val="20"/>
          <w:szCs w:val="20"/>
          <w:color w:val="auto"/>
        </w:rPr>
      </w:pPr>
    </w:p>
    <w:p>
      <w:pPr>
        <w:spacing w:after="0" w:line="395" w:lineRule="exact"/>
        <w:rPr>
          <w:sz w:val="20"/>
          <w:szCs w:val="20"/>
          <w:color w:val="auto"/>
        </w:rPr>
      </w:pPr>
    </w:p>
    <w:p>
      <w:pPr>
        <w:jc w:val="center"/>
        <w:ind w:right="-299"/>
        <w:spacing w:after="0"/>
        <w:rPr>
          <w:sz w:val="20"/>
          <w:szCs w:val="20"/>
          <w:color w:val="auto"/>
        </w:rPr>
      </w:pPr>
      <w:r>
        <w:rPr>
          <w:rFonts w:ascii="Arial" w:cs="Arial" w:eastAsia="Arial" w:hAnsi="Arial"/>
          <w:sz w:val="13"/>
          <w:szCs w:val="13"/>
          <w:b w:val="1"/>
          <w:bCs w:val="1"/>
          <w:color w:val="004876"/>
        </w:rPr>
        <w:t>5</w:t>
      </w:r>
    </w:p>
    <w:p>
      <w:pPr>
        <w:sectPr>
          <w:pgSz w:w="11900" w:h="16838" w:orient="portrait"/>
          <w:cols w:equalWidth="0" w:num="1">
            <w:col w:w="10940"/>
          </w:cols>
          <w:pgMar w:left="320" w:top="459" w:right="63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9680"/>
        <w:spacing w:after="0"/>
        <w:rPr>
          <w:sz w:val="20"/>
          <w:szCs w:val="20"/>
          <w:color w:val="auto"/>
        </w:rPr>
      </w:pPr>
      <w:r>
        <w:rPr>
          <w:rFonts w:ascii="Arial" w:cs="Arial" w:eastAsia="Arial" w:hAnsi="Arial"/>
          <w:sz w:val="16"/>
          <w:szCs w:val="16"/>
          <w:b w:val="1"/>
          <w:bCs w:val="1"/>
          <w:color w:val="004876"/>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212090</wp:posOffset>
            </wp:positionV>
            <wp:extent cx="6995160" cy="2146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5160" cy="214630"/>
                    </a:xfrm>
                    <a:prstGeom prst="rect">
                      <a:avLst/>
                    </a:prstGeom>
                    <a:noFill/>
                  </pic:spPr>
                </pic:pic>
              </a:graphicData>
            </a:graphic>
          </wp:anchor>
        </w:drawing>
      </w:r>
    </w:p>
    <w:p>
      <w:pPr>
        <w:spacing w:after="0" w:line="322" w:lineRule="exact"/>
        <w:rPr>
          <w:sz w:val="20"/>
          <w:szCs w:val="20"/>
          <w:color w:val="auto"/>
        </w:rPr>
      </w:pPr>
    </w:p>
    <w:p>
      <w:pPr>
        <w:ind w:left="240"/>
        <w:spacing w:after="0"/>
        <w:rPr>
          <w:sz w:val="20"/>
          <w:szCs w:val="20"/>
          <w:color w:val="auto"/>
        </w:rPr>
      </w:pPr>
      <w:r>
        <w:rPr>
          <w:rFonts w:ascii="Arial" w:cs="Arial" w:eastAsia="Arial" w:hAnsi="Arial"/>
          <w:sz w:val="22"/>
          <w:szCs w:val="22"/>
          <w:b w:val="1"/>
          <w:bCs w:val="1"/>
          <w:color w:val="004876"/>
        </w:rPr>
        <w:t>Proposal 1: Election of Directors – page 10</w:t>
      </w:r>
    </w:p>
    <w:p>
      <w:pPr>
        <w:spacing w:after="0" w:line="211" w:lineRule="exact"/>
        <w:rPr>
          <w:sz w:val="20"/>
          <w:szCs w:val="20"/>
          <w:color w:val="auto"/>
        </w:rPr>
      </w:pPr>
    </w:p>
    <w:p>
      <w:pPr>
        <w:ind w:left="120" w:right="380"/>
        <w:spacing w:after="0" w:line="246" w:lineRule="auto"/>
        <w:rPr>
          <w:sz w:val="20"/>
          <w:szCs w:val="20"/>
          <w:color w:val="auto"/>
        </w:rPr>
      </w:pPr>
      <w:r>
        <w:rPr>
          <w:rFonts w:ascii="Arial" w:cs="Arial" w:eastAsia="Arial" w:hAnsi="Arial"/>
          <w:sz w:val="18"/>
          <w:szCs w:val="18"/>
          <w:color w:val="auto"/>
        </w:rPr>
        <w:t>The Board of Directors has nominated the 10 individuals listed below. All are independent other than our CEO. If elected at our annual meeting, all nominees are expected to serve until next year’s annual meeting.</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3300" w:type="dxa"/>
            <w:vAlign w:val="bottom"/>
          </w:tcPr>
          <w:p>
            <w:pPr>
              <w:ind w:left="920"/>
              <w:spacing w:after="0"/>
              <w:rPr>
                <w:sz w:val="20"/>
                <w:szCs w:val="20"/>
                <w:color w:val="auto"/>
              </w:rPr>
            </w:pPr>
            <w:r>
              <w:rPr>
                <w:rFonts w:ascii="Arial" w:cs="Arial" w:eastAsia="Arial" w:hAnsi="Arial"/>
                <w:sz w:val="16"/>
                <w:szCs w:val="16"/>
                <w:color w:val="004876"/>
              </w:rPr>
              <w:t>Nominee/Director of</w:t>
            </w:r>
          </w:p>
        </w:tc>
        <w:tc>
          <w:tcPr>
            <w:tcW w:w="10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780" w:type="dxa"/>
            <w:vAlign w:val="bottom"/>
          </w:tcPr>
          <w:p>
            <w:pPr>
              <w:jc w:val="center"/>
              <w:ind w:left="27"/>
              <w:spacing w:after="0"/>
              <w:rPr>
                <w:sz w:val="20"/>
                <w:szCs w:val="20"/>
                <w:color w:val="auto"/>
              </w:rPr>
            </w:pPr>
            <w:r>
              <w:rPr>
                <w:rFonts w:ascii="Arial" w:cs="Arial" w:eastAsia="Arial" w:hAnsi="Arial"/>
                <w:sz w:val="16"/>
                <w:szCs w:val="16"/>
                <w:color w:val="004876"/>
                <w:w w:val="99"/>
              </w:rPr>
              <w:t>Other Public</w:t>
            </w:r>
          </w:p>
        </w:tc>
        <w:tc>
          <w:tcPr>
            <w:tcW w:w="2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300" w:type="dxa"/>
            <w:vAlign w:val="bottom"/>
            <w:tcBorders>
              <w:bottom w:val="single" w:sz="8" w:color="333333"/>
            </w:tcBorders>
          </w:tcPr>
          <w:p>
            <w:pPr>
              <w:ind w:left="760"/>
              <w:spacing w:after="0" w:line="205" w:lineRule="exact"/>
              <w:rPr>
                <w:sz w:val="20"/>
                <w:szCs w:val="20"/>
                <w:color w:val="auto"/>
              </w:rPr>
            </w:pPr>
            <w:r>
              <w:rPr>
                <w:rFonts w:ascii="Arial" w:cs="Arial" w:eastAsia="Arial" w:hAnsi="Arial"/>
                <w:sz w:val="14"/>
                <w:szCs w:val="14"/>
                <w:color w:val="004876"/>
              </w:rPr>
              <w:t>JPMorgan Chase since</w:t>
            </w:r>
            <w:r>
              <w:rPr>
                <w:rFonts w:ascii="Arial" w:cs="Arial" w:eastAsia="Arial" w:hAnsi="Arial"/>
                <w:sz w:val="23"/>
                <w:szCs w:val="23"/>
                <w:color w:val="004876"/>
                <w:vertAlign w:val="superscript"/>
              </w:rPr>
              <w:t>1</w:t>
            </w:r>
          </w:p>
        </w:tc>
        <w:tc>
          <w:tcPr>
            <w:tcW w:w="1000" w:type="dxa"/>
            <w:vAlign w:val="bottom"/>
            <w:tcBorders>
              <w:bottom w:val="single" w:sz="8" w:color="333333"/>
            </w:tcBorders>
          </w:tcPr>
          <w:p>
            <w:pPr>
              <w:jc w:val="center"/>
              <w:ind w:left="7"/>
              <w:spacing w:after="0"/>
              <w:rPr>
                <w:sz w:val="20"/>
                <w:szCs w:val="20"/>
                <w:color w:val="auto"/>
              </w:rPr>
            </w:pPr>
            <w:r>
              <w:rPr>
                <w:rFonts w:ascii="Arial" w:cs="Arial" w:eastAsia="Arial" w:hAnsi="Arial"/>
                <w:sz w:val="16"/>
                <w:szCs w:val="16"/>
                <w:color w:val="004876"/>
                <w:w w:val="98"/>
              </w:rPr>
              <w:t>Age</w:t>
            </w:r>
          </w:p>
        </w:tc>
        <w:tc>
          <w:tcPr>
            <w:tcW w:w="2420" w:type="dxa"/>
            <w:vAlign w:val="bottom"/>
            <w:tcBorders>
              <w:bottom w:val="single" w:sz="8" w:color="333333"/>
            </w:tcBorders>
          </w:tcPr>
          <w:p>
            <w:pPr>
              <w:ind w:left="500"/>
              <w:spacing w:after="0"/>
              <w:rPr>
                <w:sz w:val="20"/>
                <w:szCs w:val="20"/>
                <w:color w:val="auto"/>
              </w:rPr>
            </w:pPr>
            <w:r>
              <w:rPr>
                <w:rFonts w:ascii="Arial" w:cs="Arial" w:eastAsia="Arial" w:hAnsi="Arial"/>
                <w:sz w:val="16"/>
                <w:szCs w:val="16"/>
                <w:color w:val="004876"/>
              </w:rPr>
              <w:t>Principal Occupation</w:t>
            </w:r>
          </w:p>
        </w:tc>
        <w:tc>
          <w:tcPr>
            <w:tcW w:w="1780" w:type="dxa"/>
            <w:vAlign w:val="bottom"/>
            <w:tcBorders>
              <w:bottom w:val="single" w:sz="8" w:color="333333"/>
            </w:tcBorders>
          </w:tcPr>
          <w:p>
            <w:pPr>
              <w:jc w:val="center"/>
              <w:ind w:left="47"/>
              <w:spacing w:after="0"/>
              <w:rPr>
                <w:sz w:val="20"/>
                <w:szCs w:val="20"/>
                <w:color w:val="auto"/>
              </w:rPr>
            </w:pPr>
            <w:r>
              <w:rPr>
                <w:rFonts w:ascii="Arial" w:cs="Arial" w:eastAsia="Arial" w:hAnsi="Arial"/>
                <w:sz w:val="16"/>
                <w:szCs w:val="16"/>
                <w:color w:val="004876"/>
              </w:rPr>
              <w:t>Company Boards (#)</w:t>
            </w:r>
          </w:p>
        </w:tc>
        <w:tc>
          <w:tcPr>
            <w:tcW w:w="2520" w:type="dxa"/>
            <w:vAlign w:val="bottom"/>
            <w:tcBorders>
              <w:bottom w:val="single" w:sz="8" w:color="333333"/>
            </w:tcBorders>
          </w:tcPr>
          <w:p>
            <w:pPr>
              <w:ind w:left="400"/>
              <w:spacing w:after="0" w:line="205" w:lineRule="exact"/>
              <w:rPr>
                <w:sz w:val="20"/>
                <w:szCs w:val="20"/>
                <w:color w:val="auto"/>
              </w:rPr>
            </w:pPr>
            <w:r>
              <w:rPr>
                <w:rFonts w:ascii="Arial" w:cs="Arial" w:eastAsia="Arial" w:hAnsi="Arial"/>
                <w:sz w:val="14"/>
                <w:szCs w:val="14"/>
                <w:color w:val="004876"/>
              </w:rPr>
              <w:t>Committee Membership</w:t>
            </w:r>
            <w:r>
              <w:rPr>
                <w:rFonts w:ascii="Arial" w:cs="Arial" w:eastAsia="Arial" w:hAnsi="Arial"/>
                <w:sz w:val="23"/>
                <w:szCs w:val="23"/>
                <w:color w:val="004876"/>
                <w:vertAlign w:val="superscript"/>
              </w:rPr>
              <w:t>2</w:t>
            </w:r>
          </w:p>
        </w:tc>
        <w:tc>
          <w:tcPr>
            <w:tcW w:w="0" w:type="dxa"/>
            <w:vAlign w:val="bottom"/>
          </w:tcPr>
          <w:p>
            <w:pPr>
              <w:spacing w:after="0"/>
              <w:rPr>
                <w:sz w:val="1"/>
                <w:szCs w:val="1"/>
                <w:color w:val="auto"/>
              </w:rPr>
            </w:pPr>
          </w:p>
        </w:tc>
      </w:tr>
      <w:tr>
        <w:trPr>
          <w:trHeight w:val="201"/>
        </w:trPr>
        <w:tc>
          <w:tcPr>
            <w:tcW w:w="3300" w:type="dxa"/>
            <w:vAlign w:val="bottom"/>
            <w:tcBorders>
              <w:right w:val="single" w:sz="8" w:color="333333"/>
            </w:tcBorders>
          </w:tcPr>
          <w:p>
            <w:pPr>
              <w:ind w:left="980"/>
              <w:spacing w:after="0"/>
              <w:rPr>
                <w:sz w:val="20"/>
                <w:szCs w:val="20"/>
                <w:color w:val="auto"/>
              </w:rPr>
            </w:pPr>
            <w:r>
              <w:rPr>
                <w:rFonts w:ascii="Arial" w:cs="Arial" w:eastAsia="Arial" w:hAnsi="Arial"/>
                <w:sz w:val="14"/>
                <w:szCs w:val="14"/>
                <w:b w:val="1"/>
                <w:bCs w:val="1"/>
                <w:color w:val="auto"/>
              </w:rPr>
              <w:t>Linda B. Bammann</w:t>
            </w:r>
          </w:p>
        </w:tc>
        <w:tc>
          <w:tcPr>
            <w:tcW w:w="1000" w:type="dxa"/>
            <w:vAlign w:val="bottom"/>
            <w:tcBorders>
              <w:right w:val="single" w:sz="8" w:color="333333"/>
            </w:tcBorders>
          </w:tcPr>
          <w:p>
            <w:pPr>
              <w:jc w:val="center"/>
              <w:ind w:left="7"/>
              <w:spacing w:after="0"/>
              <w:rPr>
                <w:sz w:val="20"/>
                <w:szCs w:val="20"/>
                <w:color w:val="auto"/>
              </w:rPr>
            </w:pPr>
            <w:r>
              <w:rPr>
                <w:rFonts w:ascii="Arial" w:cs="Arial" w:eastAsia="Arial" w:hAnsi="Arial"/>
                <w:sz w:val="14"/>
                <w:szCs w:val="14"/>
                <w:color w:val="auto"/>
              </w:rPr>
              <w:t>64</w:t>
            </w:r>
          </w:p>
        </w:tc>
        <w:tc>
          <w:tcPr>
            <w:tcW w:w="2420" w:type="dxa"/>
            <w:vAlign w:val="bottom"/>
            <w:tcBorders>
              <w:right w:val="single" w:sz="8" w:color="333333"/>
            </w:tcBorders>
          </w:tcPr>
          <w:p>
            <w:pPr>
              <w:ind w:left="100"/>
              <w:spacing w:after="0"/>
              <w:rPr>
                <w:sz w:val="20"/>
                <w:szCs w:val="20"/>
                <w:color w:val="auto"/>
              </w:rPr>
            </w:pPr>
            <w:r>
              <w:rPr>
                <w:rFonts w:ascii="Arial" w:cs="Arial" w:eastAsia="Arial" w:hAnsi="Arial"/>
                <w:sz w:val="14"/>
                <w:szCs w:val="14"/>
                <w:color w:val="auto"/>
              </w:rPr>
              <w:t>Retired Deputy Head of Risk</w:t>
            </w:r>
          </w:p>
        </w:tc>
        <w:tc>
          <w:tcPr>
            <w:tcW w:w="1780" w:type="dxa"/>
            <w:vAlign w:val="bottom"/>
            <w:tcBorders>
              <w:right w:val="single" w:sz="8" w:color="333333"/>
            </w:tcBorders>
          </w:tcPr>
          <w:p>
            <w:pPr>
              <w:jc w:val="center"/>
              <w:ind w:left="27"/>
              <w:spacing w:after="0"/>
              <w:rPr>
                <w:sz w:val="20"/>
                <w:szCs w:val="20"/>
                <w:color w:val="auto"/>
              </w:rPr>
            </w:pPr>
            <w:r>
              <w:rPr>
                <w:rFonts w:ascii="Arial" w:cs="Arial" w:eastAsia="Arial" w:hAnsi="Arial"/>
                <w:sz w:val="14"/>
                <w:szCs w:val="14"/>
                <w:color w:val="auto"/>
              </w:rPr>
              <w:t>0</w:t>
            </w:r>
          </w:p>
        </w:tc>
        <w:tc>
          <w:tcPr>
            <w:tcW w:w="2520" w:type="dxa"/>
            <w:vAlign w:val="bottom"/>
          </w:tcPr>
          <w:p>
            <w:pPr>
              <w:ind w:left="100"/>
              <w:spacing w:after="0"/>
              <w:rPr>
                <w:sz w:val="20"/>
                <w:szCs w:val="20"/>
                <w:color w:val="auto"/>
              </w:rPr>
            </w:pPr>
            <w:r>
              <w:rPr>
                <w:rFonts w:ascii="Arial" w:cs="Arial" w:eastAsia="Arial" w:hAnsi="Arial"/>
                <w:sz w:val="14"/>
                <w:szCs w:val="14"/>
                <w:color w:val="auto"/>
              </w:rPr>
              <w:t>Risk (Chair)</w:t>
            </w:r>
          </w:p>
        </w:tc>
        <w:tc>
          <w:tcPr>
            <w:tcW w:w="0" w:type="dxa"/>
            <w:vAlign w:val="bottom"/>
          </w:tcPr>
          <w:p>
            <w:pPr>
              <w:spacing w:after="0"/>
              <w:rPr>
                <w:sz w:val="1"/>
                <w:szCs w:val="1"/>
                <w:color w:val="auto"/>
              </w:rPr>
            </w:pPr>
          </w:p>
        </w:tc>
      </w:tr>
      <w:tr>
        <w:trPr>
          <w:trHeight w:val="155"/>
        </w:trPr>
        <w:tc>
          <w:tcPr>
            <w:tcW w:w="3300" w:type="dxa"/>
            <w:vAlign w:val="bottom"/>
            <w:tcBorders>
              <w:right w:val="single" w:sz="8" w:color="333333"/>
            </w:tcBorders>
          </w:tcPr>
          <w:p>
            <w:pPr>
              <w:ind w:left="980"/>
              <w:spacing w:after="0" w:line="155" w:lineRule="exact"/>
              <w:rPr>
                <w:sz w:val="20"/>
                <w:szCs w:val="20"/>
                <w:color w:val="auto"/>
              </w:rPr>
            </w:pPr>
            <w:r>
              <w:rPr>
                <w:rFonts w:ascii="Arial" w:cs="Arial" w:eastAsia="Arial" w:hAnsi="Arial"/>
                <w:sz w:val="14"/>
                <w:szCs w:val="14"/>
                <w:color w:val="auto"/>
              </w:rPr>
              <w:t>Director since 2013</w:t>
            </w:r>
          </w:p>
        </w:tc>
        <w:tc>
          <w:tcPr>
            <w:tcW w:w="1000" w:type="dxa"/>
            <w:vAlign w:val="bottom"/>
            <w:tcBorders>
              <w:right w:val="single" w:sz="8" w:color="333333"/>
            </w:tcBorders>
          </w:tcPr>
          <w:p>
            <w:pPr>
              <w:spacing w:after="0"/>
              <w:rPr>
                <w:sz w:val="13"/>
                <w:szCs w:val="13"/>
                <w:color w:val="auto"/>
              </w:rPr>
            </w:pPr>
          </w:p>
        </w:tc>
        <w:tc>
          <w:tcPr>
            <w:tcW w:w="2420" w:type="dxa"/>
            <w:vAlign w:val="bottom"/>
            <w:tcBorders>
              <w:right w:val="single" w:sz="8" w:color="333333"/>
            </w:tcBorders>
          </w:tcPr>
          <w:p>
            <w:pPr>
              <w:ind w:left="100"/>
              <w:spacing w:after="0" w:line="155" w:lineRule="exact"/>
              <w:rPr>
                <w:sz w:val="20"/>
                <w:szCs w:val="20"/>
                <w:color w:val="auto"/>
              </w:rPr>
            </w:pPr>
            <w:r>
              <w:rPr>
                <w:rFonts w:ascii="Arial" w:cs="Arial" w:eastAsia="Arial" w:hAnsi="Arial"/>
                <w:sz w:val="14"/>
                <w:szCs w:val="14"/>
                <w:color w:val="auto"/>
              </w:rPr>
              <w:t>Management of JPMorgan Chase &amp;</w:t>
            </w:r>
          </w:p>
        </w:tc>
        <w:tc>
          <w:tcPr>
            <w:tcW w:w="1780" w:type="dxa"/>
            <w:vAlign w:val="bottom"/>
            <w:tcBorders>
              <w:right w:val="single" w:sz="8" w:color="333333"/>
            </w:tcBorders>
          </w:tcPr>
          <w:p>
            <w:pPr>
              <w:spacing w:after="0"/>
              <w:rPr>
                <w:sz w:val="13"/>
                <w:szCs w:val="13"/>
                <w:color w:val="auto"/>
              </w:rPr>
            </w:pPr>
          </w:p>
        </w:tc>
        <w:tc>
          <w:tcPr>
            <w:tcW w:w="2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0"/>
        </w:trPr>
        <w:tc>
          <w:tcPr>
            <w:tcW w:w="3300" w:type="dxa"/>
            <w:vAlign w:val="bottom"/>
            <w:tcBorders>
              <w:bottom w:val="single" w:sz="8" w:color="333333"/>
              <w:right w:val="single" w:sz="8" w:color="333333"/>
            </w:tcBorders>
          </w:tcPr>
          <w:p>
            <w:pPr>
              <w:spacing w:after="0"/>
              <w:rPr>
                <w:sz w:val="24"/>
                <w:szCs w:val="24"/>
                <w:color w:val="auto"/>
              </w:rPr>
            </w:pPr>
          </w:p>
        </w:tc>
        <w:tc>
          <w:tcPr>
            <w:tcW w:w="1000" w:type="dxa"/>
            <w:vAlign w:val="bottom"/>
            <w:tcBorders>
              <w:bottom w:val="single" w:sz="8" w:color="333333"/>
              <w:right w:val="single" w:sz="8" w:color="333333"/>
            </w:tcBorders>
          </w:tcPr>
          <w:p>
            <w:pPr>
              <w:spacing w:after="0"/>
              <w:rPr>
                <w:sz w:val="24"/>
                <w:szCs w:val="24"/>
                <w:color w:val="auto"/>
              </w:rPr>
            </w:pPr>
          </w:p>
        </w:tc>
        <w:tc>
          <w:tcPr>
            <w:tcW w:w="2420" w:type="dxa"/>
            <w:vAlign w:val="bottom"/>
            <w:tcBorders>
              <w:bottom w:val="single" w:sz="8" w:color="333333"/>
              <w:right w:val="single" w:sz="8" w:color="333333"/>
            </w:tcBorders>
          </w:tcPr>
          <w:p>
            <w:pPr>
              <w:ind w:left="100"/>
              <w:spacing w:after="0"/>
              <w:rPr>
                <w:sz w:val="20"/>
                <w:szCs w:val="20"/>
                <w:color w:val="auto"/>
              </w:rPr>
            </w:pPr>
            <w:r>
              <w:rPr>
                <w:rFonts w:ascii="Arial" w:cs="Arial" w:eastAsia="Arial" w:hAnsi="Arial"/>
                <w:sz w:val="14"/>
                <w:szCs w:val="14"/>
                <w:color w:val="auto"/>
              </w:rPr>
              <w:t>Co.</w:t>
            </w:r>
            <w:r>
              <w:rPr>
                <w:rFonts w:ascii="Arial" w:cs="Arial" w:eastAsia="Arial" w:hAnsi="Arial"/>
                <w:sz w:val="24"/>
                <w:szCs w:val="24"/>
                <w:color w:val="auto"/>
                <w:vertAlign w:val="superscript"/>
              </w:rPr>
              <w:t>3</w:t>
            </w:r>
          </w:p>
        </w:tc>
        <w:tc>
          <w:tcPr>
            <w:tcW w:w="1780" w:type="dxa"/>
            <w:vAlign w:val="bottom"/>
            <w:tcBorders>
              <w:bottom w:val="single" w:sz="8" w:color="333333"/>
              <w:right w:val="single" w:sz="8" w:color="333333"/>
            </w:tcBorders>
          </w:tcPr>
          <w:p>
            <w:pPr>
              <w:spacing w:after="0"/>
              <w:rPr>
                <w:sz w:val="24"/>
                <w:szCs w:val="24"/>
                <w:color w:val="auto"/>
              </w:rPr>
            </w:pPr>
          </w:p>
        </w:tc>
        <w:tc>
          <w:tcPr>
            <w:tcW w:w="2520" w:type="dxa"/>
            <w:vAlign w:val="bottom"/>
            <w:tcBorders>
              <w:bottom w:val="single" w:sz="8" w:color="333333"/>
            </w:tcBorders>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3300" w:type="dxa"/>
            <w:vAlign w:val="bottom"/>
            <w:tcBorders>
              <w:right w:val="single" w:sz="8" w:color="333333"/>
            </w:tcBorders>
            <w:vMerge w:val="restart"/>
          </w:tcPr>
          <w:p>
            <w:pPr>
              <w:ind w:left="980"/>
              <w:spacing w:after="0"/>
              <w:rPr>
                <w:sz w:val="20"/>
                <w:szCs w:val="20"/>
                <w:color w:val="auto"/>
              </w:rPr>
            </w:pPr>
            <w:r>
              <w:rPr>
                <w:rFonts w:ascii="Arial" w:cs="Arial" w:eastAsia="Arial" w:hAnsi="Arial"/>
                <w:sz w:val="14"/>
                <w:szCs w:val="14"/>
                <w:b w:val="1"/>
                <w:bCs w:val="1"/>
                <w:color w:val="auto"/>
              </w:rPr>
              <w:t>Stephen B. Burke</w:t>
            </w:r>
          </w:p>
        </w:tc>
        <w:tc>
          <w:tcPr>
            <w:tcW w:w="1000" w:type="dxa"/>
            <w:vAlign w:val="bottom"/>
            <w:tcBorders>
              <w:right w:val="single" w:sz="8" w:color="333333"/>
            </w:tcBorders>
            <w:vMerge w:val="restart"/>
          </w:tcPr>
          <w:p>
            <w:pPr>
              <w:jc w:val="center"/>
              <w:ind w:left="7"/>
              <w:spacing w:after="0"/>
              <w:rPr>
                <w:sz w:val="20"/>
                <w:szCs w:val="20"/>
                <w:color w:val="auto"/>
              </w:rPr>
            </w:pPr>
            <w:r>
              <w:rPr>
                <w:rFonts w:ascii="Arial" w:cs="Arial" w:eastAsia="Arial" w:hAnsi="Arial"/>
                <w:sz w:val="14"/>
                <w:szCs w:val="14"/>
                <w:color w:val="auto"/>
              </w:rPr>
              <w:t>61</w:t>
            </w:r>
          </w:p>
        </w:tc>
        <w:tc>
          <w:tcPr>
            <w:tcW w:w="2420" w:type="dxa"/>
            <w:vAlign w:val="bottom"/>
            <w:tcBorders>
              <w:right w:val="single" w:sz="8" w:color="333333"/>
            </w:tcBorders>
            <w:vMerge w:val="restart"/>
          </w:tcPr>
          <w:p>
            <w:pPr>
              <w:ind w:left="100"/>
              <w:spacing w:after="0"/>
              <w:rPr>
                <w:sz w:val="20"/>
                <w:szCs w:val="20"/>
                <w:color w:val="auto"/>
              </w:rPr>
            </w:pPr>
            <w:r>
              <w:rPr>
                <w:rFonts w:ascii="Arial" w:cs="Arial" w:eastAsia="Arial" w:hAnsi="Arial"/>
                <w:sz w:val="14"/>
                <w:szCs w:val="14"/>
                <w:color w:val="auto"/>
              </w:rPr>
              <w:t>Chairman of NBCUniversal,</w:t>
            </w:r>
          </w:p>
        </w:tc>
        <w:tc>
          <w:tcPr>
            <w:tcW w:w="1780" w:type="dxa"/>
            <w:vAlign w:val="bottom"/>
            <w:tcBorders>
              <w:right w:val="single" w:sz="8" w:color="333333"/>
            </w:tcBorders>
            <w:vMerge w:val="restart"/>
          </w:tcPr>
          <w:p>
            <w:pPr>
              <w:jc w:val="center"/>
              <w:ind w:left="27"/>
              <w:spacing w:after="0"/>
              <w:rPr>
                <w:sz w:val="20"/>
                <w:szCs w:val="20"/>
                <w:color w:val="auto"/>
              </w:rPr>
            </w:pPr>
            <w:r>
              <w:rPr>
                <w:rFonts w:ascii="Arial" w:cs="Arial" w:eastAsia="Arial" w:hAnsi="Arial"/>
                <w:sz w:val="14"/>
                <w:szCs w:val="14"/>
                <w:color w:val="auto"/>
              </w:rPr>
              <w:t>1</w:t>
            </w:r>
          </w:p>
        </w:tc>
        <w:tc>
          <w:tcPr>
            <w:tcW w:w="2520" w:type="dxa"/>
            <w:vAlign w:val="bottom"/>
          </w:tcPr>
          <w:p>
            <w:pPr>
              <w:ind w:left="100"/>
              <w:spacing w:after="0"/>
              <w:rPr>
                <w:sz w:val="20"/>
                <w:szCs w:val="20"/>
                <w:color w:val="auto"/>
              </w:rPr>
            </w:pPr>
            <w:r>
              <w:rPr>
                <w:rFonts w:ascii="Arial" w:cs="Arial" w:eastAsia="Arial" w:hAnsi="Arial"/>
                <w:sz w:val="14"/>
                <w:szCs w:val="14"/>
                <w:color w:val="auto"/>
              </w:rPr>
              <w:t>Corporate Governance &amp; Nominating</w:t>
            </w:r>
          </w:p>
        </w:tc>
        <w:tc>
          <w:tcPr>
            <w:tcW w:w="0" w:type="dxa"/>
            <w:vAlign w:val="bottom"/>
          </w:tcPr>
          <w:p>
            <w:pPr>
              <w:spacing w:after="0"/>
              <w:rPr>
                <w:sz w:val="1"/>
                <w:szCs w:val="1"/>
                <w:color w:val="auto"/>
              </w:rPr>
            </w:pPr>
          </w:p>
        </w:tc>
      </w:tr>
      <w:tr>
        <w:trPr>
          <w:trHeight w:val="81"/>
        </w:trPr>
        <w:tc>
          <w:tcPr>
            <w:tcW w:w="3300" w:type="dxa"/>
            <w:vAlign w:val="bottom"/>
            <w:tcBorders>
              <w:right w:val="single" w:sz="8" w:color="333333"/>
            </w:tcBorders>
            <w:vMerge w:val="continue"/>
          </w:tcPr>
          <w:p>
            <w:pPr>
              <w:spacing w:after="0"/>
              <w:rPr>
                <w:sz w:val="7"/>
                <w:szCs w:val="7"/>
                <w:color w:val="auto"/>
              </w:rPr>
            </w:pPr>
          </w:p>
        </w:tc>
        <w:tc>
          <w:tcPr>
            <w:tcW w:w="1000" w:type="dxa"/>
            <w:vAlign w:val="bottom"/>
            <w:tcBorders>
              <w:right w:val="single" w:sz="8" w:color="333333"/>
            </w:tcBorders>
            <w:vMerge w:val="continue"/>
          </w:tcPr>
          <w:p>
            <w:pPr>
              <w:spacing w:after="0"/>
              <w:rPr>
                <w:sz w:val="7"/>
                <w:szCs w:val="7"/>
                <w:color w:val="auto"/>
              </w:rPr>
            </w:pPr>
          </w:p>
        </w:tc>
        <w:tc>
          <w:tcPr>
            <w:tcW w:w="2420" w:type="dxa"/>
            <w:vAlign w:val="bottom"/>
            <w:tcBorders>
              <w:right w:val="single" w:sz="8" w:color="333333"/>
            </w:tcBorders>
            <w:vMerge w:val="continue"/>
          </w:tcPr>
          <w:p>
            <w:pPr>
              <w:spacing w:after="0"/>
              <w:rPr>
                <w:sz w:val="7"/>
                <w:szCs w:val="7"/>
                <w:color w:val="auto"/>
              </w:rPr>
            </w:pPr>
          </w:p>
        </w:tc>
        <w:tc>
          <w:tcPr>
            <w:tcW w:w="1780" w:type="dxa"/>
            <w:vAlign w:val="bottom"/>
            <w:tcBorders>
              <w:right w:val="single" w:sz="8" w:color="333333"/>
            </w:tcBorders>
            <w:vMerge w:val="continue"/>
          </w:tcPr>
          <w:p>
            <w:pPr>
              <w:spacing w:after="0"/>
              <w:rPr>
                <w:sz w:val="7"/>
                <w:szCs w:val="7"/>
                <w:color w:val="auto"/>
              </w:rPr>
            </w:pPr>
          </w:p>
        </w:tc>
        <w:tc>
          <w:tcPr>
            <w:tcW w:w="2520" w:type="dxa"/>
            <w:vAlign w:val="bottom"/>
            <w:vMerge w:val="restart"/>
          </w:tcPr>
          <w:p>
            <w:pPr>
              <w:ind w:left="100"/>
              <w:spacing w:after="0"/>
              <w:rPr>
                <w:sz w:val="20"/>
                <w:szCs w:val="20"/>
                <w:color w:val="auto"/>
              </w:rPr>
            </w:pPr>
            <w:r>
              <w:rPr>
                <w:rFonts w:ascii="Arial" w:cs="Arial" w:eastAsia="Arial" w:hAnsi="Arial"/>
                <w:sz w:val="14"/>
                <w:szCs w:val="14"/>
                <w:color w:val="auto"/>
              </w:rPr>
              <w:t>(Chair);</w:t>
            </w:r>
          </w:p>
        </w:tc>
        <w:tc>
          <w:tcPr>
            <w:tcW w:w="0" w:type="dxa"/>
            <w:vAlign w:val="bottom"/>
          </w:tcPr>
          <w:p>
            <w:pPr>
              <w:spacing w:after="0"/>
              <w:rPr>
                <w:sz w:val="1"/>
                <w:szCs w:val="1"/>
                <w:color w:val="auto"/>
              </w:rPr>
            </w:pPr>
          </w:p>
        </w:tc>
      </w:tr>
      <w:tr>
        <w:trPr>
          <w:trHeight w:val="81"/>
        </w:trPr>
        <w:tc>
          <w:tcPr>
            <w:tcW w:w="3300" w:type="dxa"/>
            <w:vAlign w:val="bottom"/>
            <w:tcBorders>
              <w:right w:val="single" w:sz="8" w:color="333333"/>
            </w:tcBorders>
            <w:vMerge w:val="restart"/>
          </w:tcPr>
          <w:p>
            <w:pPr>
              <w:ind w:left="980"/>
              <w:spacing w:after="0"/>
              <w:rPr>
                <w:sz w:val="20"/>
                <w:szCs w:val="20"/>
                <w:color w:val="auto"/>
              </w:rPr>
            </w:pPr>
            <w:r>
              <w:rPr>
                <w:rFonts w:ascii="Arial" w:cs="Arial" w:eastAsia="Arial" w:hAnsi="Arial"/>
                <w:sz w:val="14"/>
                <w:szCs w:val="14"/>
                <w:color w:val="auto"/>
              </w:rPr>
              <w:t>Director since 2004</w:t>
            </w:r>
          </w:p>
        </w:tc>
        <w:tc>
          <w:tcPr>
            <w:tcW w:w="1000" w:type="dxa"/>
            <w:vAlign w:val="bottom"/>
            <w:tcBorders>
              <w:right w:val="single" w:sz="8" w:color="333333"/>
            </w:tcBorders>
          </w:tcPr>
          <w:p>
            <w:pPr>
              <w:spacing w:after="0"/>
              <w:rPr>
                <w:sz w:val="7"/>
                <w:szCs w:val="7"/>
                <w:color w:val="auto"/>
              </w:rPr>
            </w:pPr>
          </w:p>
        </w:tc>
        <w:tc>
          <w:tcPr>
            <w:tcW w:w="2420" w:type="dxa"/>
            <w:vAlign w:val="bottom"/>
            <w:tcBorders>
              <w:right w:val="single" w:sz="8" w:color="333333"/>
            </w:tcBorders>
            <w:vMerge w:val="restart"/>
          </w:tcPr>
          <w:p>
            <w:pPr>
              <w:ind w:left="100"/>
              <w:spacing w:after="0"/>
              <w:rPr>
                <w:sz w:val="20"/>
                <w:szCs w:val="20"/>
                <w:color w:val="auto"/>
              </w:rPr>
            </w:pPr>
            <w:r>
              <w:rPr>
                <w:rFonts w:ascii="Arial" w:cs="Arial" w:eastAsia="Arial" w:hAnsi="Arial"/>
                <w:sz w:val="14"/>
                <w:szCs w:val="14"/>
                <w:color w:val="auto"/>
              </w:rPr>
              <w:t>LLC</w:t>
            </w:r>
          </w:p>
        </w:tc>
        <w:tc>
          <w:tcPr>
            <w:tcW w:w="1780" w:type="dxa"/>
            <w:vAlign w:val="bottom"/>
            <w:tcBorders>
              <w:right w:val="single" w:sz="8" w:color="333333"/>
            </w:tcBorders>
          </w:tcPr>
          <w:p>
            <w:pPr>
              <w:spacing w:after="0"/>
              <w:rPr>
                <w:sz w:val="7"/>
                <w:szCs w:val="7"/>
                <w:color w:val="auto"/>
              </w:rPr>
            </w:pPr>
          </w:p>
        </w:tc>
        <w:tc>
          <w:tcPr>
            <w:tcW w:w="2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3300" w:type="dxa"/>
            <w:vAlign w:val="bottom"/>
            <w:tcBorders>
              <w:right w:val="single" w:sz="8" w:color="333333"/>
            </w:tcBorders>
            <w:vMerge w:val="continue"/>
          </w:tcPr>
          <w:p>
            <w:pPr>
              <w:spacing w:after="0"/>
              <w:rPr>
                <w:sz w:val="7"/>
                <w:szCs w:val="7"/>
                <w:color w:val="auto"/>
              </w:rPr>
            </w:pPr>
          </w:p>
        </w:tc>
        <w:tc>
          <w:tcPr>
            <w:tcW w:w="1000" w:type="dxa"/>
            <w:vAlign w:val="bottom"/>
            <w:tcBorders>
              <w:right w:val="single" w:sz="8" w:color="333333"/>
            </w:tcBorders>
          </w:tcPr>
          <w:p>
            <w:pPr>
              <w:spacing w:after="0"/>
              <w:rPr>
                <w:sz w:val="7"/>
                <w:szCs w:val="7"/>
                <w:color w:val="auto"/>
              </w:rPr>
            </w:pPr>
          </w:p>
        </w:tc>
        <w:tc>
          <w:tcPr>
            <w:tcW w:w="2420" w:type="dxa"/>
            <w:vAlign w:val="bottom"/>
            <w:tcBorders>
              <w:right w:val="single" w:sz="8" w:color="333333"/>
            </w:tcBorders>
            <w:vMerge w:val="continue"/>
          </w:tcPr>
          <w:p>
            <w:pPr>
              <w:spacing w:after="0"/>
              <w:rPr>
                <w:sz w:val="7"/>
                <w:szCs w:val="7"/>
                <w:color w:val="auto"/>
              </w:rPr>
            </w:pPr>
          </w:p>
        </w:tc>
        <w:tc>
          <w:tcPr>
            <w:tcW w:w="1780" w:type="dxa"/>
            <w:vAlign w:val="bottom"/>
            <w:tcBorders>
              <w:right w:val="single" w:sz="8" w:color="333333"/>
            </w:tcBorders>
          </w:tcPr>
          <w:p>
            <w:pPr>
              <w:spacing w:after="0"/>
              <w:rPr>
                <w:sz w:val="7"/>
                <w:szCs w:val="7"/>
                <w:color w:val="auto"/>
              </w:rPr>
            </w:pPr>
          </w:p>
        </w:tc>
        <w:tc>
          <w:tcPr>
            <w:tcW w:w="2520" w:type="dxa"/>
            <w:vAlign w:val="bottom"/>
            <w:vMerge w:val="restart"/>
          </w:tcPr>
          <w:p>
            <w:pPr>
              <w:ind w:left="100"/>
              <w:spacing w:after="0"/>
              <w:rPr>
                <w:sz w:val="20"/>
                <w:szCs w:val="20"/>
                <w:color w:val="auto"/>
              </w:rPr>
            </w:pPr>
            <w:r>
              <w:rPr>
                <w:rFonts w:ascii="Arial" w:cs="Arial" w:eastAsia="Arial" w:hAnsi="Arial"/>
                <w:sz w:val="14"/>
                <w:szCs w:val="14"/>
                <w:color w:val="auto"/>
              </w:rPr>
              <w:t>Compensation &amp; Management</w:t>
            </w:r>
          </w:p>
        </w:tc>
        <w:tc>
          <w:tcPr>
            <w:tcW w:w="0" w:type="dxa"/>
            <w:vAlign w:val="bottom"/>
          </w:tcPr>
          <w:p>
            <w:pPr>
              <w:spacing w:after="0"/>
              <w:rPr>
                <w:sz w:val="1"/>
                <w:szCs w:val="1"/>
                <w:color w:val="auto"/>
              </w:rPr>
            </w:pPr>
          </w:p>
        </w:tc>
      </w:tr>
      <w:tr>
        <w:trPr>
          <w:trHeight w:val="71"/>
        </w:trPr>
        <w:tc>
          <w:tcPr>
            <w:tcW w:w="3300" w:type="dxa"/>
            <w:vAlign w:val="bottom"/>
            <w:tcBorders>
              <w:right w:val="single" w:sz="8" w:color="333333"/>
            </w:tcBorders>
          </w:tcPr>
          <w:p>
            <w:pPr>
              <w:spacing w:after="0"/>
              <w:rPr>
                <w:sz w:val="6"/>
                <w:szCs w:val="6"/>
                <w:color w:val="auto"/>
              </w:rPr>
            </w:pPr>
          </w:p>
        </w:tc>
        <w:tc>
          <w:tcPr>
            <w:tcW w:w="1000" w:type="dxa"/>
            <w:vAlign w:val="bottom"/>
            <w:tcBorders>
              <w:right w:val="single" w:sz="8" w:color="333333"/>
            </w:tcBorders>
          </w:tcPr>
          <w:p>
            <w:pPr>
              <w:spacing w:after="0"/>
              <w:rPr>
                <w:sz w:val="6"/>
                <w:szCs w:val="6"/>
                <w:color w:val="auto"/>
              </w:rPr>
            </w:pPr>
          </w:p>
        </w:tc>
        <w:tc>
          <w:tcPr>
            <w:tcW w:w="2420" w:type="dxa"/>
            <w:vAlign w:val="bottom"/>
            <w:tcBorders>
              <w:right w:val="single" w:sz="8" w:color="333333"/>
            </w:tcBorders>
          </w:tcPr>
          <w:p>
            <w:pPr>
              <w:spacing w:after="0"/>
              <w:rPr>
                <w:sz w:val="6"/>
                <w:szCs w:val="6"/>
                <w:color w:val="auto"/>
              </w:rPr>
            </w:pPr>
          </w:p>
        </w:tc>
        <w:tc>
          <w:tcPr>
            <w:tcW w:w="1780" w:type="dxa"/>
            <w:vAlign w:val="bottom"/>
            <w:tcBorders>
              <w:right w:val="single" w:sz="8" w:color="333333"/>
            </w:tcBorders>
          </w:tcPr>
          <w:p>
            <w:pPr>
              <w:spacing w:after="0"/>
              <w:rPr>
                <w:sz w:val="6"/>
                <w:szCs w:val="6"/>
                <w:color w:val="auto"/>
              </w:rPr>
            </w:pPr>
          </w:p>
        </w:tc>
        <w:tc>
          <w:tcPr>
            <w:tcW w:w="25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3300" w:type="dxa"/>
            <w:vAlign w:val="bottom"/>
            <w:tcBorders>
              <w:right w:val="single" w:sz="8" w:color="333333"/>
            </w:tcBorders>
          </w:tcPr>
          <w:p>
            <w:pPr>
              <w:spacing w:after="0"/>
              <w:rPr>
                <w:sz w:val="14"/>
                <w:szCs w:val="14"/>
                <w:color w:val="auto"/>
              </w:rPr>
            </w:pPr>
          </w:p>
        </w:tc>
        <w:tc>
          <w:tcPr>
            <w:tcW w:w="1000" w:type="dxa"/>
            <w:vAlign w:val="bottom"/>
            <w:tcBorders>
              <w:right w:val="single" w:sz="8" w:color="333333"/>
            </w:tcBorders>
          </w:tcPr>
          <w:p>
            <w:pPr>
              <w:spacing w:after="0"/>
              <w:rPr>
                <w:sz w:val="14"/>
                <w:szCs w:val="14"/>
                <w:color w:val="auto"/>
              </w:rPr>
            </w:pPr>
          </w:p>
        </w:tc>
        <w:tc>
          <w:tcPr>
            <w:tcW w:w="2420" w:type="dxa"/>
            <w:vAlign w:val="bottom"/>
            <w:tcBorders>
              <w:right w:val="single" w:sz="8" w:color="333333"/>
            </w:tcBorders>
          </w:tcPr>
          <w:p>
            <w:pPr>
              <w:spacing w:after="0"/>
              <w:rPr>
                <w:sz w:val="14"/>
                <w:szCs w:val="14"/>
                <w:color w:val="auto"/>
              </w:rPr>
            </w:pPr>
          </w:p>
        </w:tc>
        <w:tc>
          <w:tcPr>
            <w:tcW w:w="1780" w:type="dxa"/>
            <w:vAlign w:val="bottom"/>
            <w:tcBorders>
              <w:right w:val="single" w:sz="8" w:color="333333"/>
            </w:tcBorders>
          </w:tcPr>
          <w:p>
            <w:pPr>
              <w:spacing w:after="0"/>
              <w:rPr>
                <w:sz w:val="14"/>
                <w:szCs w:val="14"/>
                <w:color w:val="auto"/>
              </w:rPr>
            </w:pPr>
          </w:p>
        </w:tc>
        <w:tc>
          <w:tcPr>
            <w:tcW w:w="2520" w:type="dxa"/>
            <w:vAlign w:val="bottom"/>
          </w:tcPr>
          <w:p>
            <w:pPr>
              <w:ind w:left="100"/>
              <w:spacing w:after="0"/>
              <w:rPr>
                <w:sz w:val="20"/>
                <w:szCs w:val="20"/>
                <w:color w:val="auto"/>
              </w:rPr>
            </w:pPr>
            <w:r>
              <w:rPr>
                <w:rFonts w:ascii="Arial" w:cs="Arial" w:eastAsia="Arial" w:hAnsi="Arial"/>
                <w:sz w:val="14"/>
                <w:szCs w:val="14"/>
                <w:color w:val="auto"/>
              </w:rPr>
              <w:t>Development</w:t>
            </w:r>
          </w:p>
        </w:tc>
        <w:tc>
          <w:tcPr>
            <w:tcW w:w="0" w:type="dxa"/>
            <w:vAlign w:val="bottom"/>
          </w:tcPr>
          <w:p>
            <w:pPr>
              <w:spacing w:after="0"/>
              <w:rPr>
                <w:sz w:val="1"/>
                <w:szCs w:val="1"/>
                <w:color w:val="auto"/>
              </w:rPr>
            </w:pPr>
          </w:p>
        </w:tc>
      </w:tr>
      <w:tr>
        <w:trPr>
          <w:trHeight w:val="39"/>
        </w:trPr>
        <w:tc>
          <w:tcPr>
            <w:tcW w:w="3300" w:type="dxa"/>
            <w:vAlign w:val="bottom"/>
            <w:tcBorders>
              <w:bottom w:val="single" w:sz="8" w:color="333333"/>
              <w:right w:val="single" w:sz="8" w:color="333333"/>
            </w:tcBorders>
          </w:tcPr>
          <w:p>
            <w:pPr>
              <w:spacing w:after="0"/>
              <w:rPr>
                <w:sz w:val="3"/>
                <w:szCs w:val="3"/>
                <w:color w:val="auto"/>
              </w:rPr>
            </w:pPr>
          </w:p>
        </w:tc>
        <w:tc>
          <w:tcPr>
            <w:tcW w:w="1000" w:type="dxa"/>
            <w:vAlign w:val="bottom"/>
            <w:tcBorders>
              <w:bottom w:val="single" w:sz="8" w:color="333333"/>
              <w:right w:val="single" w:sz="8" w:color="333333"/>
            </w:tcBorders>
          </w:tcPr>
          <w:p>
            <w:pPr>
              <w:spacing w:after="0"/>
              <w:rPr>
                <w:sz w:val="3"/>
                <w:szCs w:val="3"/>
                <w:color w:val="auto"/>
              </w:rPr>
            </w:pPr>
          </w:p>
        </w:tc>
        <w:tc>
          <w:tcPr>
            <w:tcW w:w="2420" w:type="dxa"/>
            <w:vAlign w:val="bottom"/>
            <w:tcBorders>
              <w:bottom w:val="single" w:sz="8" w:color="333333"/>
              <w:right w:val="single" w:sz="8" w:color="333333"/>
            </w:tcBorders>
          </w:tcPr>
          <w:p>
            <w:pPr>
              <w:spacing w:after="0"/>
              <w:rPr>
                <w:sz w:val="3"/>
                <w:szCs w:val="3"/>
                <w:color w:val="auto"/>
              </w:rPr>
            </w:pPr>
          </w:p>
        </w:tc>
        <w:tc>
          <w:tcPr>
            <w:tcW w:w="1780" w:type="dxa"/>
            <w:vAlign w:val="bottom"/>
            <w:tcBorders>
              <w:bottom w:val="single" w:sz="8" w:color="333333"/>
              <w:right w:val="single" w:sz="8" w:color="333333"/>
            </w:tcBorders>
          </w:tcPr>
          <w:p>
            <w:pPr>
              <w:spacing w:after="0"/>
              <w:rPr>
                <w:sz w:val="3"/>
                <w:szCs w:val="3"/>
                <w:color w:val="auto"/>
              </w:rPr>
            </w:pPr>
          </w:p>
        </w:tc>
        <w:tc>
          <w:tcPr>
            <w:tcW w:w="2520" w:type="dxa"/>
            <w:vAlign w:val="bottom"/>
            <w:tcBorders>
              <w:bottom w:val="single" w:sz="8" w:color="333333"/>
            </w:tcBorders>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3300" w:type="dxa"/>
            <w:vAlign w:val="bottom"/>
            <w:tcBorders>
              <w:right w:val="single" w:sz="8" w:color="333333"/>
            </w:tcBorders>
          </w:tcPr>
          <w:p>
            <w:pPr>
              <w:ind w:left="980"/>
              <w:spacing w:after="0"/>
              <w:rPr>
                <w:sz w:val="20"/>
                <w:szCs w:val="20"/>
                <w:color w:val="auto"/>
              </w:rPr>
            </w:pPr>
            <w:r>
              <w:rPr>
                <w:rFonts w:ascii="Arial" w:cs="Arial" w:eastAsia="Arial" w:hAnsi="Arial"/>
                <w:sz w:val="14"/>
                <w:szCs w:val="14"/>
                <w:b w:val="1"/>
                <w:bCs w:val="1"/>
                <w:color w:val="auto"/>
              </w:rPr>
              <w:t>Todd A. Combs</w:t>
            </w:r>
          </w:p>
        </w:tc>
        <w:tc>
          <w:tcPr>
            <w:tcW w:w="1000" w:type="dxa"/>
            <w:vAlign w:val="bottom"/>
            <w:tcBorders>
              <w:right w:val="single" w:sz="8" w:color="333333"/>
            </w:tcBorders>
          </w:tcPr>
          <w:p>
            <w:pPr>
              <w:jc w:val="center"/>
              <w:ind w:left="7"/>
              <w:spacing w:after="0"/>
              <w:rPr>
                <w:sz w:val="20"/>
                <w:szCs w:val="20"/>
                <w:color w:val="auto"/>
              </w:rPr>
            </w:pPr>
            <w:r>
              <w:rPr>
                <w:rFonts w:ascii="Arial" w:cs="Arial" w:eastAsia="Arial" w:hAnsi="Arial"/>
                <w:sz w:val="14"/>
                <w:szCs w:val="14"/>
                <w:color w:val="auto"/>
              </w:rPr>
              <w:t>49</w:t>
            </w:r>
          </w:p>
        </w:tc>
        <w:tc>
          <w:tcPr>
            <w:tcW w:w="2420" w:type="dxa"/>
            <w:vAlign w:val="bottom"/>
            <w:tcBorders>
              <w:right w:val="single" w:sz="8" w:color="333333"/>
            </w:tcBorders>
          </w:tcPr>
          <w:p>
            <w:pPr>
              <w:ind w:left="100"/>
              <w:spacing w:after="0"/>
              <w:rPr>
                <w:sz w:val="20"/>
                <w:szCs w:val="20"/>
                <w:color w:val="auto"/>
              </w:rPr>
            </w:pPr>
            <w:r>
              <w:rPr>
                <w:rFonts w:ascii="Arial" w:cs="Arial" w:eastAsia="Arial" w:hAnsi="Arial"/>
                <w:sz w:val="14"/>
                <w:szCs w:val="14"/>
                <w:color w:val="auto"/>
              </w:rPr>
              <w:t>Investment Officer at Berkshire</w:t>
            </w:r>
          </w:p>
        </w:tc>
        <w:tc>
          <w:tcPr>
            <w:tcW w:w="1780" w:type="dxa"/>
            <w:vAlign w:val="bottom"/>
            <w:tcBorders>
              <w:right w:val="single" w:sz="8" w:color="333333"/>
            </w:tcBorders>
          </w:tcPr>
          <w:p>
            <w:pPr>
              <w:jc w:val="center"/>
              <w:ind w:left="27"/>
              <w:spacing w:after="0"/>
              <w:rPr>
                <w:sz w:val="20"/>
                <w:szCs w:val="20"/>
                <w:color w:val="auto"/>
              </w:rPr>
            </w:pPr>
            <w:r>
              <w:rPr>
                <w:rFonts w:ascii="Arial" w:cs="Arial" w:eastAsia="Arial" w:hAnsi="Arial"/>
                <w:sz w:val="14"/>
                <w:szCs w:val="14"/>
                <w:color w:val="auto"/>
              </w:rPr>
              <w:t>0</w:t>
            </w:r>
          </w:p>
        </w:tc>
        <w:tc>
          <w:tcPr>
            <w:tcW w:w="2520" w:type="dxa"/>
            <w:vAlign w:val="bottom"/>
          </w:tcPr>
          <w:p>
            <w:pPr>
              <w:ind w:left="100"/>
              <w:spacing w:after="0"/>
              <w:rPr>
                <w:sz w:val="20"/>
                <w:szCs w:val="20"/>
                <w:color w:val="auto"/>
              </w:rPr>
            </w:pPr>
            <w:r>
              <w:rPr>
                <w:rFonts w:ascii="Arial" w:cs="Arial" w:eastAsia="Arial" w:hAnsi="Arial"/>
                <w:sz w:val="14"/>
                <w:szCs w:val="14"/>
                <w:color w:val="auto"/>
              </w:rPr>
              <w:t>Compensation &amp; Management</w:t>
            </w:r>
          </w:p>
        </w:tc>
        <w:tc>
          <w:tcPr>
            <w:tcW w:w="0" w:type="dxa"/>
            <w:vAlign w:val="bottom"/>
          </w:tcPr>
          <w:p>
            <w:pPr>
              <w:spacing w:after="0"/>
              <w:rPr>
                <w:sz w:val="1"/>
                <w:szCs w:val="1"/>
                <w:color w:val="auto"/>
              </w:rPr>
            </w:pPr>
          </w:p>
        </w:tc>
      </w:tr>
      <w:tr>
        <w:trPr>
          <w:trHeight w:val="162"/>
        </w:trPr>
        <w:tc>
          <w:tcPr>
            <w:tcW w:w="3300" w:type="dxa"/>
            <w:vAlign w:val="bottom"/>
            <w:tcBorders>
              <w:right w:val="single" w:sz="8" w:color="333333"/>
            </w:tcBorders>
          </w:tcPr>
          <w:p>
            <w:pPr>
              <w:ind w:left="980"/>
              <w:spacing w:after="0"/>
              <w:rPr>
                <w:sz w:val="20"/>
                <w:szCs w:val="20"/>
                <w:color w:val="auto"/>
              </w:rPr>
            </w:pPr>
            <w:r>
              <w:rPr>
                <w:rFonts w:ascii="Arial" w:cs="Arial" w:eastAsia="Arial" w:hAnsi="Arial"/>
                <w:sz w:val="14"/>
                <w:szCs w:val="14"/>
                <w:color w:val="auto"/>
              </w:rPr>
              <w:t>Director since 2016</w:t>
            </w:r>
          </w:p>
        </w:tc>
        <w:tc>
          <w:tcPr>
            <w:tcW w:w="1000" w:type="dxa"/>
            <w:vAlign w:val="bottom"/>
            <w:tcBorders>
              <w:right w:val="single" w:sz="8" w:color="333333"/>
            </w:tcBorders>
          </w:tcPr>
          <w:p>
            <w:pPr>
              <w:spacing w:after="0"/>
              <w:rPr>
                <w:sz w:val="14"/>
                <w:szCs w:val="14"/>
                <w:color w:val="auto"/>
              </w:rPr>
            </w:pPr>
          </w:p>
        </w:tc>
        <w:tc>
          <w:tcPr>
            <w:tcW w:w="2420" w:type="dxa"/>
            <w:vAlign w:val="bottom"/>
            <w:tcBorders>
              <w:right w:val="single" w:sz="8" w:color="333333"/>
            </w:tcBorders>
          </w:tcPr>
          <w:p>
            <w:pPr>
              <w:ind w:left="100"/>
              <w:spacing w:after="0"/>
              <w:rPr>
                <w:sz w:val="20"/>
                <w:szCs w:val="20"/>
                <w:color w:val="auto"/>
              </w:rPr>
            </w:pPr>
            <w:r>
              <w:rPr>
                <w:rFonts w:ascii="Arial" w:cs="Arial" w:eastAsia="Arial" w:hAnsi="Arial"/>
                <w:sz w:val="14"/>
                <w:szCs w:val="14"/>
                <w:color w:val="auto"/>
              </w:rPr>
              <w:t>Hathaway Inc.</w:t>
            </w:r>
          </w:p>
        </w:tc>
        <w:tc>
          <w:tcPr>
            <w:tcW w:w="1780" w:type="dxa"/>
            <w:vAlign w:val="bottom"/>
            <w:tcBorders>
              <w:right w:val="single" w:sz="8" w:color="333333"/>
            </w:tcBorders>
          </w:tcPr>
          <w:p>
            <w:pPr>
              <w:spacing w:after="0"/>
              <w:rPr>
                <w:sz w:val="14"/>
                <w:szCs w:val="14"/>
                <w:color w:val="auto"/>
              </w:rPr>
            </w:pPr>
          </w:p>
        </w:tc>
        <w:tc>
          <w:tcPr>
            <w:tcW w:w="2520" w:type="dxa"/>
            <w:vAlign w:val="bottom"/>
          </w:tcPr>
          <w:p>
            <w:pPr>
              <w:ind w:left="100"/>
              <w:spacing w:after="0"/>
              <w:rPr>
                <w:sz w:val="20"/>
                <w:szCs w:val="20"/>
                <w:color w:val="auto"/>
              </w:rPr>
            </w:pPr>
            <w:r>
              <w:rPr>
                <w:rFonts w:ascii="Arial" w:cs="Arial" w:eastAsia="Arial" w:hAnsi="Arial"/>
                <w:sz w:val="14"/>
                <w:szCs w:val="14"/>
                <w:color w:val="auto"/>
              </w:rPr>
              <w:t>Development; Corporate Governance</w:t>
            </w:r>
          </w:p>
        </w:tc>
        <w:tc>
          <w:tcPr>
            <w:tcW w:w="0" w:type="dxa"/>
            <w:vAlign w:val="bottom"/>
          </w:tcPr>
          <w:p>
            <w:pPr>
              <w:spacing w:after="0"/>
              <w:rPr>
                <w:sz w:val="1"/>
                <w:szCs w:val="1"/>
                <w:color w:val="auto"/>
              </w:rPr>
            </w:pPr>
          </w:p>
        </w:tc>
      </w:tr>
      <w:tr>
        <w:trPr>
          <w:trHeight w:val="172"/>
        </w:trPr>
        <w:tc>
          <w:tcPr>
            <w:tcW w:w="3300" w:type="dxa"/>
            <w:vAlign w:val="bottom"/>
            <w:tcBorders>
              <w:right w:val="single" w:sz="8" w:color="333333"/>
            </w:tcBorders>
          </w:tcPr>
          <w:p>
            <w:pPr>
              <w:spacing w:after="0"/>
              <w:rPr>
                <w:sz w:val="14"/>
                <w:szCs w:val="14"/>
                <w:color w:val="auto"/>
              </w:rPr>
            </w:pPr>
          </w:p>
        </w:tc>
        <w:tc>
          <w:tcPr>
            <w:tcW w:w="1000" w:type="dxa"/>
            <w:vAlign w:val="bottom"/>
            <w:tcBorders>
              <w:right w:val="single" w:sz="8" w:color="333333"/>
            </w:tcBorders>
          </w:tcPr>
          <w:p>
            <w:pPr>
              <w:spacing w:after="0"/>
              <w:rPr>
                <w:sz w:val="14"/>
                <w:szCs w:val="14"/>
                <w:color w:val="auto"/>
              </w:rPr>
            </w:pPr>
          </w:p>
        </w:tc>
        <w:tc>
          <w:tcPr>
            <w:tcW w:w="2420" w:type="dxa"/>
            <w:vAlign w:val="bottom"/>
            <w:tcBorders>
              <w:right w:val="single" w:sz="8" w:color="333333"/>
            </w:tcBorders>
          </w:tcPr>
          <w:p>
            <w:pPr>
              <w:spacing w:after="0"/>
              <w:rPr>
                <w:sz w:val="14"/>
                <w:szCs w:val="14"/>
                <w:color w:val="auto"/>
              </w:rPr>
            </w:pPr>
          </w:p>
        </w:tc>
        <w:tc>
          <w:tcPr>
            <w:tcW w:w="1780" w:type="dxa"/>
            <w:vAlign w:val="bottom"/>
            <w:tcBorders>
              <w:right w:val="single" w:sz="8" w:color="333333"/>
            </w:tcBorders>
          </w:tcPr>
          <w:p>
            <w:pPr>
              <w:spacing w:after="0"/>
              <w:rPr>
                <w:sz w:val="14"/>
                <w:szCs w:val="14"/>
                <w:color w:val="auto"/>
              </w:rPr>
            </w:pPr>
          </w:p>
        </w:tc>
        <w:tc>
          <w:tcPr>
            <w:tcW w:w="2520" w:type="dxa"/>
            <w:vAlign w:val="bottom"/>
          </w:tcPr>
          <w:p>
            <w:pPr>
              <w:ind w:left="100"/>
              <w:spacing w:after="0"/>
              <w:rPr>
                <w:sz w:val="20"/>
                <w:szCs w:val="20"/>
                <w:color w:val="auto"/>
              </w:rPr>
            </w:pPr>
            <w:r>
              <w:rPr>
                <w:rFonts w:ascii="Arial" w:cs="Arial" w:eastAsia="Arial" w:hAnsi="Arial"/>
                <w:sz w:val="14"/>
                <w:szCs w:val="14"/>
                <w:color w:val="auto"/>
              </w:rPr>
              <w:t>&amp; Nominating; Public Responsibility</w:t>
            </w:r>
          </w:p>
        </w:tc>
        <w:tc>
          <w:tcPr>
            <w:tcW w:w="0" w:type="dxa"/>
            <w:vAlign w:val="bottom"/>
          </w:tcPr>
          <w:p>
            <w:pPr>
              <w:spacing w:after="0"/>
              <w:rPr>
                <w:sz w:val="1"/>
                <w:szCs w:val="1"/>
                <w:color w:val="auto"/>
              </w:rPr>
            </w:pPr>
          </w:p>
        </w:tc>
      </w:tr>
      <w:tr>
        <w:trPr>
          <w:trHeight w:val="107"/>
        </w:trPr>
        <w:tc>
          <w:tcPr>
            <w:tcW w:w="3300" w:type="dxa"/>
            <w:vAlign w:val="bottom"/>
            <w:tcBorders>
              <w:bottom w:val="single" w:sz="8" w:color="333333"/>
              <w:right w:val="single" w:sz="8" w:color="333333"/>
            </w:tcBorders>
          </w:tcPr>
          <w:p>
            <w:pPr>
              <w:spacing w:after="0"/>
              <w:rPr>
                <w:sz w:val="9"/>
                <w:szCs w:val="9"/>
                <w:color w:val="auto"/>
              </w:rPr>
            </w:pPr>
          </w:p>
        </w:tc>
        <w:tc>
          <w:tcPr>
            <w:tcW w:w="1000" w:type="dxa"/>
            <w:vAlign w:val="bottom"/>
            <w:tcBorders>
              <w:bottom w:val="single" w:sz="8" w:color="333333"/>
              <w:right w:val="single" w:sz="8" w:color="333333"/>
            </w:tcBorders>
          </w:tcPr>
          <w:p>
            <w:pPr>
              <w:spacing w:after="0"/>
              <w:rPr>
                <w:sz w:val="9"/>
                <w:szCs w:val="9"/>
                <w:color w:val="auto"/>
              </w:rPr>
            </w:pPr>
          </w:p>
        </w:tc>
        <w:tc>
          <w:tcPr>
            <w:tcW w:w="2420" w:type="dxa"/>
            <w:vAlign w:val="bottom"/>
            <w:tcBorders>
              <w:bottom w:val="single" w:sz="8" w:color="333333"/>
              <w:right w:val="single" w:sz="8" w:color="333333"/>
            </w:tcBorders>
          </w:tcPr>
          <w:p>
            <w:pPr>
              <w:spacing w:after="0"/>
              <w:rPr>
                <w:sz w:val="9"/>
                <w:szCs w:val="9"/>
                <w:color w:val="auto"/>
              </w:rPr>
            </w:pPr>
          </w:p>
        </w:tc>
        <w:tc>
          <w:tcPr>
            <w:tcW w:w="1780" w:type="dxa"/>
            <w:vAlign w:val="bottom"/>
            <w:tcBorders>
              <w:bottom w:val="single" w:sz="8" w:color="333333"/>
              <w:right w:val="single" w:sz="8" w:color="333333"/>
            </w:tcBorders>
          </w:tcPr>
          <w:p>
            <w:pPr>
              <w:spacing w:after="0"/>
              <w:rPr>
                <w:sz w:val="9"/>
                <w:szCs w:val="9"/>
                <w:color w:val="auto"/>
              </w:rPr>
            </w:pPr>
          </w:p>
        </w:tc>
        <w:tc>
          <w:tcPr>
            <w:tcW w:w="2520" w:type="dxa"/>
            <w:vAlign w:val="bottom"/>
            <w:tcBorders>
              <w:bottom w:val="single" w:sz="8" w:color="333333"/>
            </w:tcBorders>
          </w:tcPr>
          <w:p>
            <w:pPr>
              <w:spacing w:after="0"/>
              <w:rPr>
                <w:sz w:val="9"/>
                <w:szCs w:val="9"/>
                <w:color w:val="auto"/>
              </w:rPr>
            </w:pPr>
          </w:p>
        </w:tc>
        <w:tc>
          <w:tcPr>
            <w:tcW w:w="0" w:type="dxa"/>
            <w:vAlign w:val="bottom"/>
          </w:tcPr>
          <w:p>
            <w:pPr>
              <w:spacing w:after="0"/>
              <w:rPr>
                <w:sz w:val="1"/>
                <w:szCs w:val="1"/>
                <w:color w:val="auto"/>
              </w:rPr>
            </w:pPr>
          </w:p>
        </w:tc>
      </w:tr>
      <w:tr>
        <w:trPr>
          <w:trHeight w:val="201"/>
        </w:trPr>
        <w:tc>
          <w:tcPr>
            <w:tcW w:w="3300" w:type="dxa"/>
            <w:vAlign w:val="bottom"/>
            <w:tcBorders>
              <w:right w:val="single" w:sz="8" w:color="333333"/>
            </w:tcBorders>
          </w:tcPr>
          <w:p>
            <w:pPr>
              <w:ind w:left="980"/>
              <w:spacing w:after="0"/>
              <w:rPr>
                <w:sz w:val="20"/>
                <w:szCs w:val="20"/>
                <w:color w:val="auto"/>
              </w:rPr>
            </w:pPr>
            <w:r>
              <w:rPr>
                <w:rFonts w:ascii="Arial" w:cs="Arial" w:eastAsia="Arial" w:hAnsi="Arial"/>
                <w:sz w:val="14"/>
                <w:szCs w:val="14"/>
                <w:b w:val="1"/>
                <w:bCs w:val="1"/>
                <w:color w:val="auto"/>
              </w:rPr>
              <w:t>James S. Crown</w:t>
            </w:r>
          </w:p>
        </w:tc>
        <w:tc>
          <w:tcPr>
            <w:tcW w:w="1000" w:type="dxa"/>
            <w:vAlign w:val="bottom"/>
            <w:tcBorders>
              <w:right w:val="single" w:sz="8" w:color="333333"/>
            </w:tcBorders>
          </w:tcPr>
          <w:p>
            <w:pPr>
              <w:jc w:val="center"/>
              <w:ind w:left="7"/>
              <w:spacing w:after="0"/>
              <w:rPr>
                <w:sz w:val="20"/>
                <w:szCs w:val="20"/>
                <w:color w:val="auto"/>
              </w:rPr>
            </w:pPr>
            <w:r>
              <w:rPr>
                <w:rFonts w:ascii="Arial" w:cs="Arial" w:eastAsia="Arial" w:hAnsi="Arial"/>
                <w:sz w:val="14"/>
                <w:szCs w:val="14"/>
                <w:color w:val="auto"/>
              </w:rPr>
              <w:t>66</w:t>
            </w:r>
          </w:p>
        </w:tc>
        <w:tc>
          <w:tcPr>
            <w:tcW w:w="2420" w:type="dxa"/>
            <w:vAlign w:val="bottom"/>
            <w:tcBorders>
              <w:right w:val="single" w:sz="8" w:color="333333"/>
            </w:tcBorders>
          </w:tcPr>
          <w:p>
            <w:pPr>
              <w:ind w:left="100"/>
              <w:spacing w:after="0"/>
              <w:rPr>
                <w:sz w:val="20"/>
                <w:szCs w:val="20"/>
                <w:color w:val="auto"/>
              </w:rPr>
            </w:pPr>
            <w:r>
              <w:rPr>
                <w:rFonts w:ascii="Arial" w:cs="Arial" w:eastAsia="Arial" w:hAnsi="Arial"/>
                <w:sz w:val="14"/>
                <w:szCs w:val="14"/>
                <w:color w:val="auto"/>
              </w:rPr>
              <w:t>Chairman and Chief Executive</w:t>
            </w:r>
          </w:p>
        </w:tc>
        <w:tc>
          <w:tcPr>
            <w:tcW w:w="1780" w:type="dxa"/>
            <w:vAlign w:val="bottom"/>
            <w:tcBorders>
              <w:right w:val="single" w:sz="8" w:color="333333"/>
            </w:tcBorders>
          </w:tcPr>
          <w:p>
            <w:pPr>
              <w:jc w:val="center"/>
              <w:ind w:left="27"/>
              <w:spacing w:after="0"/>
              <w:rPr>
                <w:sz w:val="20"/>
                <w:szCs w:val="20"/>
                <w:color w:val="auto"/>
              </w:rPr>
            </w:pPr>
            <w:r>
              <w:rPr>
                <w:rFonts w:ascii="Arial" w:cs="Arial" w:eastAsia="Arial" w:hAnsi="Arial"/>
                <w:sz w:val="14"/>
                <w:szCs w:val="14"/>
                <w:color w:val="auto"/>
              </w:rPr>
              <w:t>1</w:t>
            </w:r>
          </w:p>
        </w:tc>
        <w:tc>
          <w:tcPr>
            <w:tcW w:w="2520" w:type="dxa"/>
            <w:vAlign w:val="bottom"/>
          </w:tcPr>
          <w:p>
            <w:pPr>
              <w:ind w:left="100"/>
              <w:spacing w:after="0"/>
              <w:rPr>
                <w:sz w:val="20"/>
                <w:szCs w:val="20"/>
                <w:color w:val="auto"/>
              </w:rPr>
            </w:pPr>
            <w:r>
              <w:rPr>
                <w:rFonts w:ascii="Arial" w:cs="Arial" w:eastAsia="Arial" w:hAnsi="Arial"/>
                <w:sz w:val="14"/>
                <w:szCs w:val="14"/>
                <w:color w:val="auto"/>
              </w:rPr>
              <w:t>Risk</w:t>
            </w:r>
          </w:p>
        </w:tc>
        <w:tc>
          <w:tcPr>
            <w:tcW w:w="0" w:type="dxa"/>
            <w:vAlign w:val="bottom"/>
          </w:tcPr>
          <w:p>
            <w:pPr>
              <w:spacing w:after="0"/>
              <w:rPr>
                <w:sz w:val="1"/>
                <w:szCs w:val="1"/>
                <w:color w:val="auto"/>
              </w:rPr>
            </w:pPr>
          </w:p>
        </w:tc>
      </w:tr>
      <w:tr>
        <w:trPr>
          <w:trHeight w:val="162"/>
        </w:trPr>
        <w:tc>
          <w:tcPr>
            <w:tcW w:w="3300" w:type="dxa"/>
            <w:vAlign w:val="bottom"/>
            <w:tcBorders>
              <w:right w:val="single" w:sz="8" w:color="333333"/>
            </w:tcBorders>
          </w:tcPr>
          <w:p>
            <w:pPr>
              <w:ind w:left="980"/>
              <w:spacing w:after="0"/>
              <w:rPr>
                <w:sz w:val="20"/>
                <w:szCs w:val="20"/>
                <w:color w:val="auto"/>
              </w:rPr>
            </w:pPr>
            <w:r>
              <w:rPr>
                <w:rFonts w:ascii="Arial" w:cs="Arial" w:eastAsia="Arial" w:hAnsi="Arial"/>
                <w:sz w:val="14"/>
                <w:szCs w:val="14"/>
                <w:color w:val="auto"/>
              </w:rPr>
              <w:t>Director since 2004</w:t>
            </w:r>
          </w:p>
        </w:tc>
        <w:tc>
          <w:tcPr>
            <w:tcW w:w="1000" w:type="dxa"/>
            <w:vAlign w:val="bottom"/>
            <w:tcBorders>
              <w:right w:val="single" w:sz="8" w:color="333333"/>
            </w:tcBorders>
          </w:tcPr>
          <w:p>
            <w:pPr>
              <w:spacing w:after="0"/>
              <w:rPr>
                <w:sz w:val="14"/>
                <w:szCs w:val="14"/>
                <w:color w:val="auto"/>
              </w:rPr>
            </w:pPr>
          </w:p>
        </w:tc>
        <w:tc>
          <w:tcPr>
            <w:tcW w:w="2420" w:type="dxa"/>
            <w:vAlign w:val="bottom"/>
            <w:tcBorders>
              <w:right w:val="single" w:sz="8" w:color="333333"/>
            </w:tcBorders>
          </w:tcPr>
          <w:p>
            <w:pPr>
              <w:ind w:left="100"/>
              <w:spacing w:after="0"/>
              <w:rPr>
                <w:sz w:val="20"/>
                <w:szCs w:val="20"/>
                <w:color w:val="auto"/>
              </w:rPr>
            </w:pPr>
            <w:r>
              <w:rPr>
                <w:rFonts w:ascii="Arial" w:cs="Arial" w:eastAsia="Arial" w:hAnsi="Arial"/>
                <w:sz w:val="14"/>
                <w:szCs w:val="14"/>
                <w:color w:val="auto"/>
              </w:rPr>
              <w:t>Officer of Henry Crown and</w:t>
            </w:r>
          </w:p>
        </w:tc>
        <w:tc>
          <w:tcPr>
            <w:tcW w:w="1780" w:type="dxa"/>
            <w:vAlign w:val="bottom"/>
            <w:tcBorders>
              <w:right w:val="single" w:sz="8" w:color="333333"/>
            </w:tcBorders>
          </w:tcPr>
          <w:p>
            <w:pPr>
              <w:spacing w:after="0"/>
              <w:rPr>
                <w:sz w:val="14"/>
                <w:szCs w:val="14"/>
                <w:color w:val="auto"/>
              </w:rPr>
            </w:pP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300" w:type="dxa"/>
            <w:vAlign w:val="bottom"/>
            <w:tcBorders>
              <w:right w:val="single" w:sz="8" w:color="333333"/>
            </w:tcBorders>
          </w:tcPr>
          <w:p>
            <w:pPr>
              <w:spacing w:after="0"/>
              <w:rPr>
                <w:sz w:val="14"/>
                <w:szCs w:val="14"/>
                <w:color w:val="auto"/>
              </w:rPr>
            </w:pPr>
          </w:p>
        </w:tc>
        <w:tc>
          <w:tcPr>
            <w:tcW w:w="1000" w:type="dxa"/>
            <w:vAlign w:val="bottom"/>
            <w:tcBorders>
              <w:right w:val="single" w:sz="8" w:color="333333"/>
            </w:tcBorders>
          </w:tcPr>
          <w:p>
            <w:pPr>
              <w:spacing w:after="0"/>
              <w:rPr>
                <w:sz w:val="14"/>
                <w:szCs w:val="14"/>
                <w:color w:val="auto"/>
              </w:rPr>
            </w:pPr>
          </w:p>
        </w:tc>
        <w:tc>
          <w:tcPr>
            <w:tcW w:w="2420" w:type="dxa"/>
            <w:vAlign w:val="bottom"/>
            <w:tcBorders>
              <w:right w:val="single" w:sz="8" w:color="333333"/>
            </w:tcBorders>
          </w:tcPr>
          <w:p>
            <w:pPr>
              <w:ind w:left="100"/>
              <w:spacing w:after="0"/>
              <w:rPr>
                <w:sz w:val="20"/>
                <w:szCs w:val="20"/>
                <w:color w:val="auto"/>
              </w:rPr>
            </w:pPr>
            <w:r>
              <w:rPr>
                <w:rFonts w:ascii="Arial" w:cs="Arial" w:eastAsia="Arial" w:hAnsi="Arial"/>
                <w:sz w:val="14"/>
                <w:szCs w:val="14"/>
                <w:color w:val="auto"/>
              </w:rPr>
              <w:t>Company</w:t>
            </w:r>
          </w:p>
        </w:tc>
        <w:tc>
          <w:tcPr>
            <w:tcW w:w="1780" w:type="dxa"/>
            <w:vAlign w:val="bottom"/>
            <w:tcBorders>
              <w:right w:val="single" w:sz="8" w:color="333333"/>
            </w:tcBorders>
          </w:tcPr>
          <w:p>
            <w:pPr>
              <w:spacing w:after="0"/>
              <w:rPr>
                <w:sz w:val="14"/>
                <w:szCs w:val="14"/>
                <w:color w:val="auto"/>
              </w:rPr>
            </w:pP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3300" w:type="dxa"/>
            <w:vAlign w:val="bottom"/>
            <w:tcBorders>
              <w:bottom w:val="single" w:sz="8" w:color="333333"/>
              <w:right w:val="single" w:sz="8" w:color="333333"/>
            </w:tcBorders>
          </w:tcPr>
          <w:p>
            <w:pPr>
              <w:spacing w:after="0"/>
              <w:rPr>
                <w:sz w:val="9"/>
                <w:szCs w:val="9"/>
                <w:color w:val="auto"/>
              </w:rPr>
            </w:pPr>
          </w:p>
        </w:tc>
        <w:tc>
          <w:tcPr>
            <w:tcW w:w="1000" w:type="dxa"/>
            <w:vAlign w:val="bottom"/>
            <w:tcBorders>
              <w:bottom w:val="single" w:sz="8" w:color="333333"/>
              <w:right w:val="single" w:sz="8" w:color="333333"/>
            </w:tcBorders>
          </w:tcPr>
          <w:p>
            <w:pPr>
              <w:spacing w:after="0"/>
              <w:rPr>
                <w:sz w:val="9"/>
                <w:szCs w:val="9"/>
                <w:color w:val="auto"/>
              </w:rPr>
            </w:pPr>
          </w:p>
        </w:tc>
        <w:tc>
          <w:tcPr>
            <w:tcW w:w="2420" w:type="dxa"/>
            <w:vAlign w:val="bottom"/>
            <w:tcBorders>
              <w:bottom w:val="single" w:sz="8" w:color="333333"/>
              <w:right w:val="single" w:sz="8" w:color="333333"/>
            </w:tcBorders>
          </w:tcPr>
          <w:p>
            <w:pPr>
              <w:spacing w:after="0"/>
              <w:rPr>
                <w:sz w:val="9"/>
                <w:szCs w:val="9"/>
                <w:color w:val="auto"/>
              </w:rPr>
            </w:pPr>
          </w:p>
        </w:tc>
        <w:tc>
          <w:tcPr>
            <w:tcW w:w="1780" w:type="dxa"/>
            <w:vAlign w:val="bottom"/>
            <w:tcBorders>
              <w:bottom w:val="single" w:sz="8" w:color="333333"/>
              <w:right w:val="single" w:sz="8" w:color="333333"/>
            </w:tcBorders>
          </w:tcPr>
          <w:p>
            <w:pPr>
              <w:spacing w:after="0"/>
              <w:rPr>
                <w:sz w:val="9"/>
                <w:szCs w:val="9"/>
                <w:color w:val="auto"/>
              </w:rPr>
            </w:pPr>
          </w:p>
        </w:tc>
        <w:tc>
          <w:tcPr>
            <w:tcW w:w="2520" w:type="dxa"/>
            <w:vAlign w:val="bottom"/>
            <w:tcBorders>
              <w:bottom w:val="single" w:sz="8" w:color="333333"/>
            </w:tcBorders>
          </w:tcPr>
          <w:p>
            <w:pPr>
              <w:spacing w:after="0"/>
              <w:rPr>
                <w:sz w:val="9"/>
                <w:szCs w:val="9"/>
                <w:color w:val="auto"/>
              </w:rPr>
            </w:pPr>
          </w:p>
        </w:tc>
        <w:tc>
          <w:tcPr>
            <w:tcW w:w="0" w:type="dxa"/>
            <w:vAlign w:val="bottom"/>
          </w:tcPr>
          <w:p>
            <w:pPr>
              <w:spacing w:after="0"/>
              <w:rPr>
                <w:sz w:val="1"/>
                <w:szCs w:val="1"/>
                <w:color w:val="auto"/>
              </w:rPr>
            </w:pPr>
          </w:p>
        </w:tc>
      </w:tr>
      <w:tr>
        <w:trPr>
          <w:trHeight w:val="201"/>
        </w:trPr>
        <w:tc>
          <w:tcPr>
            <w:tcW w:w="3300" w:type="dxa"/>
            <w:vAlign w:val="bottom"/>
            <w:tcBorders>
              <w:right w:val="single" w:sz="8" w:color="333333"/>
            </w:tcBorders>
          </w:tcPr>
          <w:p>
            <w:pPr>
              <w:ind w:left="980"/>
              <w:spacing w:after="0"/>
              <w:rPr>
                <w:sz w:val="20"/>
                <w:szCs w:val="20"/>
                <w:color w:val="auto"/>
              </w:rPr>
            </w:pPr>
            <w:r>
              <w:rPr>
                <w:rFonts w:ascii="Arial" w:cs="Arial" w:eastAsia="Arial" w:hAnsi="Arial"/>
                <w:sz w:val="14"/>
                <w:szCs w:val="14"/>
                <w:b w:val="1"/>
                <w:bCs w:val="1"/>
                <w:color w:val="auto"/>
              </w:rPr>
              <w:t>James Dimon</w:t>
            </w:r>
          </w:p>
        </w:tc>
        <w:tc>
          <w:tcPr>
            <w:tcW w:w="1000" w:type="dxa"/>
            <w:vAlign w:val="bottom"/>
            <w:tcBorders>
              <w:right w:val="single" w:sz="8" w:color="333333"/>
            </w:tcBorders>
          </w:tcPr>
          <w:p>
            <w:pPr>
              <w:jc w:val="center"/>
              <w:ind w:left="7"/>
              <w:spacing w:after="0"/>
              <w:rPr>
                <w:sz w:val="20"/>
                <w:szCs w:val="20"/>
                <w:color w:val="auto"/>
              </w:rPr>
            </w:pPr>
            <w:r>
              <w:rPr>
                <w:rFonts w:ascii="Arial" w:cs="Arial" w:eastAsia="Arial" w:hAnsi="Arial"/>
                <w:sz w:val="14"/>
                <w:szCs w:val="14"/>
                <w:color w:val="auto"/>
              </w:rPr>
              <w:t>64</w:t>
            </w:r>
          </w:p>
        </w:tc>
        <w:tc>
          <w:tcPr>
            <w:tcW w:w="2420" w:type="dxa"/>
            <w:vAlign w:val="bottom"/>
            <w:tcBorders>
              <w:right w:val="single" w:sz="8" w:color="333333"/>
            </w:tcBorders>
          </w:tcPr>
          <w:p>
            <w:pPr>
              <w:ind w:left="100"/>
              <w:spacing w:after="0"/>
              <w:rPr>
                <w:sz w:val="20"/>
                <w:szCs w:val="20"/>
                <w:color w:val="auto"/>
              </w:rPr>
            </w:pPr>
            <w:r>
              <w:rPr>
                <w:rFonts w:ascii="Arial" w:cs="Arial" w:eastAsia="Arial" w:hAnsi="Arial"/>
                <w:sz w:val="14"/>
                <w:szCs w:val="14"/>
                <w:color w:val="auto"/>
              </w:rPr>
              <w:t>Chairman and Chief Executive</w:t>
            </w:r>
          </w:p>
        </w:tc>
        <w:tc>
          <w:tcPr>
            <w:tcW w:w="1780" w:type="dxa"/>
            <w:vAlign w:val="bottom"/>
            <w:tcBorders>
              <w:right w:val="single" w:sz="8" w:color="333333"/>
            </w:tcBorders>
          </w:tcPr>
          <w:p>
            <w:pPr>
              <w:jc w:val="center"/>
              <w:ind w:left="27"/>
              <w:spacing w:after="0"/>
              <w:rPr>
                <w:sz w:val="20"/>
                <w:szCs w:val="20"/>
                <w:color w:val="auto"/>
              </w:rPr>
            </w:pPr>
            <w:r>
              <w:rPr>
                <w:rFonts w:ascii="Arial" w:cs="Arial" w:eastAsia="Arial" w:hAnsi="Arial"/>
                <w:sz w:val="14"/>
                <w:szCs w:val="14"/>
                <w:color w:val="auto"/>
              </w:rPr>
              <w:t>0</w:t>
            </w:r>
          </w:p>
        </w:tc>
        <w:tc>
          <w:tcPr>
            <w:tcW w:w="2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3300" w:type="dxa"/>
            <w:vAlign w:val="bottom"/>
            <w:tcBorders>
              <w:right w:val="single" w:sz="8" w:color="333333"/>
            </w:tcBorders>
          </w:tcPr>
          <w:p>
            <w:pPr>
              <w:ind w:left="980"/>
              <w:spacing w:after="0"/>
              <w:rPr>
                <w:sz w:val="20"/>
                <w:szCs w:val="20"/>
                <w:color w:val="auto"/>
              </w:rPr>
            </w:pPr>
            <w:r>
              <w:rPr>
                <w:rFonts w:ascii="Arial" w:cs="Arial" w:eastAsia="Arial" w:hAnsi="Arial"/>
                <w:sz w:val="14"/>
                <w:szCs w:val="14"/>
                <w:color w:val="auto"/>
              </w:rPr>
              <w:t>Director since 2004</w:t>
            </w:r>
          </w:p>
        </w:tc>
        <w:tc>
          <w:tcPr>
            <w:tcW w:w="1000" w:type="dxa"/>
            <w:vAlign w:val="bottom"/>
            <w:tcBorders>
              <w:right w:val="single" w:sz="8" w:color="333333"/>
            </w:tcBorders>
          </w:tcPr>
          <w:p>
            <w:pPr>
              <w:spacing w:after="0"/>
              <w:rPr>
                <w:sz w:val="14"/>
                <w:szCs w:val="14"/>
                <w:color w:val="auto"/>
              </w:rPr>
            </w:pPr>
          </w:p>
        </w:tc>
        <w:tc>
          <w:tcPr>
            <w:tcW w:w="2420" w:type="dxa"/>
            <w:vAlign w:val="bottom"/>
            <w:tcBorders>
              <w:right w:val="single" w:sz="8" w:color="333333"/>
            </w:tcBorders>
          </w:tcPr>
          <w:p>
            <w:pPr>
              <w:ind w:left="100"/>
              <w:spacing w:after="0"/>
              <w:rPr>
                <w:sz w:val="20"/>
                <w:szCs w:val="20"/>
                <w:color w:val="auto"/>
              </w:rPr>
            </w:pPr>
            <w:r>
              <w:rPr>
                <w:rFonts w:ascii="Arial" w:cs="Arial" w:eastAsia="Arial" w:hAnsi="Arial"/>
                <w:sz w:val="14"/>
                <w:szCs w:val="14"/>
                <w:color w:val="auto"/>
              </w:rPr>
              <w:t>Officer of JPMorgan Chase &amp; Co.</w:t>
            </w:r>
          </w:p>
        </w:tc>
        <w:tc>
          <w:tcPr>
            <w:tcW w:w="1780" w:type="dxa"/>
            <w:vAlign w:val="bottom"/>
            <w:tcBorders>
              <w:right w:val="single" w:sz="8" w:color="333333"/>
            </w:tcBorders>
          </w:tcPr>
          <w:p>
            <w:pPr>
              <w:spacing w:after="0"/>
              <w:rPr>
                <w:sz w:val="14"/>
                <w:szCs w:val="14"/>
                <w:color w:val="auto"/>
              </w:rPr>
            </w:pP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8"/>
        </w:trPr>
        <w:tc>
          <w:tcPr>
            <w:tcW w:w="3300" w:type="dxa"/>
            <w:vAlign w:val="bottom"/>
            <w:tcBorders>
              <w:bottom w:val="single" w:sz="8" w:color="333333"/>
              <w:right w:val="single" w:sz="8" w:color="333333"/>
            </w:tcBorders>
          </w:tcPr>
          <w:p>
            <w:pPr>
              <w:spacing w:after="0"/>
              <w:rPr>
                <w:sz w:val="23"/>
                <w:szCs w:val="23"/>
                <w:color w:val="auto"/>
              </w:rPr>
            </w:pPr>
          </w:p>
        </w:tc>
        <w:tc>
          <w:tcPr>
            <w:tcW w:w="1000" w:type="dxa"/>
            <w:vAlign w:val="bottom"/>
            <w:tcBorders>
              <w:bottom w:val="single" w:sz="8" w:color="333333"/>
              <w:right w:val="single" w:sz="8" w:color="333333"/>
            </w:tcBorders>
          </w:tcPr>
          <w:p>
            <w:pPr>
              <w:spacing w:after="0"/>
              <w:rPr>
                <w:sz w:val="23"/>
                <w:szCs w:val="23"/>
                <w:color w:val="auto"/>
              </w:rPr>
            </w:pPr>
          </w:p>
        </w:tc>
        <w:tc>
          <w:tcPr>
            <w:tcW w:w="2420" w:type="dxa"/>
            <w:vAlign w:val="bottom"/>
            <w:tcBorders>
              <w:bottom w:val="single" w:sz="8" w:color="333333"/>
              <w:right w:val="single" w:sz="8" w:color="333333"/>
            </w:tcBorders>
          </w:tcPr>
          <w:p>
            <w:pPr>
              <w:spacing w:after="0"/>
              <w:rPr>
                <w:sz w:val="23"/>
                <w:szCs w:val="23"/>
                <w:color w:val="auto"/>
              </w:rPr>
            </w:pPr>
          </w:p>
        </w:tc>
        <w:tc>
          <w:tcPr>
            <w:tcW w:w="1780" w:type="dxa"/>
            <w:vAlign w:val="bottom"/>
            <w:tcBorders>
              <w:bottom w:val="single" w:sz="8" w:color="333333"/>
              <w:right w:val="single" w:sz="8" w:color="333333"/>
            </w:tcBorders>
          </w:tcPr>
          <w:p>
            <w:pPr>
              <w:spacing w:after="0"/>
              <w:rPr>
                <w:sz w:val="23"/>
                <w:szCs w:val="23"/>
                <w:color w:val="auto"/>
              </w:rPr>
            </w:pPr>
          </w:p>
        </w:tc>
        <w:tc>
          <w:tcPr>
            <w:tcW w:w="2520" w:type="dxa"/>
            <w:vAlign w:val="bottom"/>
            <w:tcBorders>
              <w:bottom w:val="single" w:sz="8" w:color="333333"/>
            </w:tcBorders>
          </w:tcPr>
          <w:p>
            <w:pPr>
              <w:spacing w:after="0"/>
              <w:rPr>
                <w:sz w:val="23"/>
                <w:szCs w:val="23"/>
                <w:color w:val="auto"/>
              </w:rPr>
            </w:pPr>
          </w:p>
        </w:tc>
        <w:tc>
          <w:tcPr>
            <w:tcW w:w="0" w:type="dxa"/>
            <w:vAlign w:val="bottom"/>
          </w:tcPr>
          <w:p>
            <w:pPr>
              <w:spacing w:after="0"/>
              <w:rPr>
                <w:sz w:val="1"/>
                <w:szCs w:val="1"/>
                <w:color w:val="auto"/>
              </w:rPr>
            </w:pPr>
          </w:p>
        </w:tc>
      </w:tr>
      <w:tr>
        <w:trPr>
          <w:trHeight w:val="201"/>
        </w:trPr>
        <w:tc>
          <w:tcPr>
            <w:tcW w:w="3300" w:type="dxa"/>
            <w:vAlign w:val="bottom"/>
            <w:tcBorders>
              <w:right w:val="single" w:sz="8" w:color="333333"/>
            </w:tcBorders>
          </w:tcPr>
          <w:p>
            <w:pPr>
              <w:ind w:left="980"/>
              <w:spacing w:after="0"/>
              <w:rPr>
                <w:sz w:val="20"/>
                <w:szCs w:val="20"/>
                <w:color w:val="auto"/>
              </w:rPr>
            </w:pPr>
            <w:r>
              <w:rPr>
                <w:rFonts w:ascii="Arial" w:cs="Arial" w:eastAsia="Arial" w:hAnsi="Arial"/>
                <w:sz w:val="14"/>
                <w:szCs w:val="14"/>
                <w:b w:val="1"/>
                <w:bCs w:val="1"/>
                <w:color w:val="auto"/>
              </w:rPr>
              <w:t>Timothy P. Flynn</w:t>
            </w:r>
          </w:p>
        </w:tc>
        <w:tc>
          <w:tcPr>
            <w:tcW w:w="1000" w:type="dxa"/>
            <w:vAlign w:val="bottom"/>
            <w:tcBorders>
              <w:right w:val="single" w:sz="8" w:color="333333"/>
            </w:tcBorders>
          </w:tcPr>
          <w:p>
            <w:pPr>
              <w:jc w:val="center"/>
              <w:ind w:left="7"/>
              <w:spacing w:after="0"/>
              <w:rPr>
                <w:sz w:val="20"/>
                <w:szCs w:val="20"/>
                <w:color w:val="auto"/>
              </w:rPr>
            </w:pPr>
            <w:r>
              <w:rPr>
                <w:rFonts w:ascii="Arial" w:cs="Arial" w:eastAsia="Arial" w:hAnsi="Arial"/>
                <w:sz w:val="14"/>
                <w:szCs w:val="14"/>
                <w:color w:val="auto"/>
              </w:rPr>
              <w:t>63</w:t>
            </w:r>
          </w:p>
        </w:tc>
        <w:tc>
          <w:tcPr>
            <w:tcW w:w="2420" w:type="dxa"/>
            <w:vAlign w:val="bottom"/>
            <w:tcBorders>
              <w:right w:val="single" w:sz="8" w:color="333333"/>
            </w:tcBorders>
          </w:tcPr>
          <w:p>
            <w:pPr>
              <w:ind w:left="100"/>
              <w:spacing w:after="0"/>
              <w:rPr>
                <w:sz w:val="20"/>
                <w:szCs w:val="20"/>
                <w:color w:val="auto"/>
              </w:rPr>
            </w:pPr>
            <w:r>
              <w:rPr>
                <w:rFonts w:ascii="Arial" w:cs="Arial" w:eastAsia="Arial" w:hAnsi="Arial"/>
                <w:sz w:val="14"/>
                <w:szCs w:val="14"/>
                <w:color w:val="auto"/>
              </w:rPr>
              <w:t>Retired Chairman and Chief</w:t>
            </w:r>
          </w:p>
        </w:tc>
        <w:tc>
          <w:tcPr>
            <w:tcW w:w="1780" w:type="dxa"/>
            <w:vAlign w:val="bottom"/>
            <w:tcBorders>
              <w:right w:val="single" w:sz="8" w:color="333333"/>
            </w:tcBorders>
          </w:tcPr>
          <w:p>
            <w:pPr>
              <w:jc w:val="center"/>
              <w:ind w:left="27"/>
              <w:spacing w:after="0"/>
              <w:rPr>
                <w:sz w:val="20"/>
                <w:szCs w:val="20"/>
                <w:color w:val="auto"/>
              </w:rPr>
            </w:pPr>
            <w:r>
              <w:rPr>
                <w:rFonts w:ascii="Arial" w:cs="Arial" w:eastAsia="Arial" w:hAnsi="Arial"/>
                <w:sz w:val="14"/>
                <w:szCs w:val="14"/>
                <w:color w:val="auto"/>
              </w:rPr>
              <w:t>3</w:t>
            </w:r>
          </w:p>
        </w:tc>
        <w:tc>
          <w:tcPr>
            <w:tcW w:w="2520" w:type="dxa"/>
            <w:vAlign w:val="bottom"/>
          </w:tcPr>
          <w:p>
            <w:pPr>
              <w:ind w:left="100"/>
              <w:spacing w:after="0"/>
              <w:rPr>
                <w:sz w:val="20"/>
                <w:szCs w:val="20"/>
                <w:color w:val="auto"/>
              </w:rPr>
            </w:pPr>
            <w:r>
              <w:rPr>
                <w:rFonts w:ascii="Arial" w:cs="Arial" w:eastAsia="Arial" w:hAnsi="Arial"/>
                <w:sz w:val="14"/>
                <w:szCs w:val="14"/>
                <w:color w:val="auto"/>
              </w:rPr>
              <w:t>Public Responsibility (Chair);</w:t>
            </w:r>
          </w:p>
        </w:tc>
        <w:tc>
          <w:tcPr>
            <w:tcW w:w="0" w:type="dxa"/>
            <w:vAlign w:val="bottom"/>
          </w:tcPr>
          <w:p>
            <w:pPr>
              <w:spacing w:after="0"/>
              <w:rPr>
                <w:sz w:val="1"/>
                <w:szCs w:val="1"/>
                <w:color w:val="auto"/>
              </w:rPr>
            </w:pPr>
          </w:p>
        </w:tc>
      </w:tr>
      <w:tr>
        <w:trPr>
          <w:trHeight w:val="172"/>
        </w:trPr>
        <w:tc>
          <w:tcPr>
            <w:tcW w:w="3300" w:type="dxa"/>
            <w:vAlign w:val="bottom"/>
            <w:tcBorders>
              <w:right w:val="single" w:sz="8" w:color="333333"/>
            </w:tcBorders>
          </w:tcPr>
          <w:p>
            <w:pPr>
              <w:ind w:left="980"/>
              <w:spacing w:after="0"/>
              <w:rPr>
                <w:sz w:val="20"/>
                <w:szCs w:val="20"/>
                <w:color w:val="auto"/>
              </w:rPr>
            </w:pPr>
            <w:r>
              <w:rPr>
                <w:rFonts w:ascii="Arial" w:cs="Arial" w:eastAsia="Arial" w:hAnsi="Arial"/>
                <w:sz w:val="14"/>
                <w:szCs w:val="14"/>
                <w:color w:val="auto"/>
              </w:rPr>
              <w:t>Director since 2012</w:t>
            </w:r>
          </w:p>
        </w:tc>
        <w:tc>
          <w:tcPr>
            <w:tcW w:w="1000" w:type="dxa"/>
            <w:vAlign w:val="bottom"/>
            <w:tcBorders>
              <w:right w:val="single" w:sz="8" w:color="333333"/>
            </w:tcBorders>
          </w:tcPr>
          <w:p>
            <w:pPr>
              <w:spacing w:after="0"/>
              <w:rPr>
                <w:sz w:val="14"/>
                <w:szCs w:val="14"/>
                <w:color w:val="auto"/>
              </w:rPr>
            </w:pPr>
          </w:p>
        </w:tc>
        <w:tc>
          <w:tcPr>
            <w:tcW w:w="2420" w:type="dxa"/>
            <w:vAlign w:val="bottom"/>
            <w:tcBorders>
              <w:right w:val="single" w:sz="8" w:color="333333"/>
            </w:tcBorders>
          </w:tcPr>
          <w:p>
            <w:pPr>
              <w:ind w:left="100"/>
              <w:spacing w:after="0"/>
              <w:rPr>
                <w:sz w:val="20"/>
                <w:szCs w:val="20"/>
                <w:color w:val="auto"/>
              </w:rPr>
            </w:pPr>
            <w:r>
              <w:rPr>
                <w:rFonts w:ascii="Arial" w:cs="Arial" w:eastAsia="Arial" w:hAnsi="Arial"/>
                <w:sz w:val="14"/>
                <w:szCs w:val="14"/>
                <w:color w:val="auto"/>
              </w:rPr>
              <w:t>Executive Officer of KPMG</w:t>
            </w:r>
          </w:p>
        </w:tc>
        <w:tc>
          <w:tcPr>
            <w:tcW w:w="1780" w:type="dxa"/>
            <w:vAlign w:val="bottom"/>
            <w:tcBorders>
              <w:right w:val="single" w:sz="8" w:color="333333"/>
            </w:tcBorders>
          </w:tcPr>
          <w:p>
            <w:pPr>
              <w:spacing w:after="0"/>
              <w:rPr>
                <w:sz w:val="14"/>
                <w:szCs w:val="14"/>
                <w:color w:val="auto"/>
              </w:rPr>
            </w:pPr>
          </w:p>
        </w:tc>
        <w:tc>
          <w:tcPr>
            <w:tcW w:w="2520" w:type="dxa"/>
            <w:vAlign w:val="bottom"/>
          </w:tcPr>
          <w:p>
            <w:pPr>
              <w:ind w:left="100"/>
              <w:spacing w:after="0"/>
              <w:rPr>
                <w:sz w:val="20"/>
                <w:szCs w:val="20"/>
                <w:color w:val="auto"/>
              </w:rPr>
            </w:pPr>
            <w:r>
              <w:rPr>
                <w:rFonts w:ascii="Arial" w:cs="Arial" w:eastAsia="Arial" w:hAnsi="Arial"/>
                <w:sz w:val="14"/>
                <w:szCs w:val="14"/>
                <w:color w:val="auto"/>
              </w:rPr>
              <w:t>Audit</w:t>
            </w:r>
          </w:p>
        </w:tc>
        <w:tc>
          <w:tcPr>
            <w:tcW w:w="0" w:type="dxa"/>
            <w:vAlign w:val="bottom"/>
          </w:tcPr>
          <w:p>
            <w:pPr>
              <w:spacing w:after="0"/>
              <w:rPr>
                <w:sz w:val="1"/>
                <w:szCs w:val="1"/>
                <w:color w:val="auto"/>
              </w:rPr>
            </w:pPr>
          </w:p>
        </w:tc>
      </w:tr>
      <w:tr>
        <w:trPr>
          <w:trHeight w:val="282"/>
        </w:trPr>
        <w:tc>
          <w:tcPr>
            <w:tcW w:w="3300" w:type="dxa"/>
            <w:vAlign w:val="bottom"/>
            <w:tcBorders>
              <w:bottom w:val="single" w:sz="8" w:color="333333"/>
              <w:right w:val="single" w:sz="8" w:color="333333"/>
            </w:tcBorders>
          </w:tcPr>
          <w:p>
            <w:pPr>
              <w:spacing w:after="0"/>
              <w:rPr>
                <w:sz w:val="24"/>
                <w:szCs w:val="24"/>
                <w:color w:val="auto"/>
              </w:rPr>
            </w:pPr>
          </w:p>
        </w:tc>
        <w:tc>
          <w:tcPr>
            <w:tcW w:w="1000" w:type="dxa"/>
            <w:vAlign w:val="bottom"/>
            <w:tcBorders>
              <w:bottom w:val="single" w:sz="8" w:color="333333"/>
              <w:right w:val="single" w:sz="8" w:color="333333"/>
            </w:tcBorders>
          </w:tcPr>
          <w:p>
            <w:pPr>
              <w:spacing w:after="0"/>
              <w:rPr>
                <w:sz w:val="24"/>
                <w:szCs w:val="24"/>
                <w:color w:val="auto"/>
              </w:rPr>
            </w:pPr>
          </w:p>
        </w:tc>
        <w:tc>
          <w:tcPr>
            <w:tcW w:w="2420" w:type="dxa"/>
            <w:vAlign w:val="bottom"/>
            <w:tcBorders>
              <w:bottom w:val="single" w:sz="8" w:color="333333"/>
              <w:right w:val="single" w:sz="8" w:color="333333"/>
            </w:tcBorders>
          </w:tcPr>
          <w:p>
            <w:pPr>
              <w:spacing w:after="0"/>
              <w:rPr>
                <w:sz w:val="24"/>
                <w:szCs w:val="24"/>
                <w:color w:val="auto"/>
              </w:rPr>
            </w:pPr>
          </w:p>
        </w:tc>
        <w:tc>
          <w:tcPr>
            <w:tcW w:w="1780" w:type="dxa"/>
            <w:vAlign w:val="bottom"/>
            <w:tcBorders>
              <w:bottom w:val="single" w:sz="8" w:color="333333"/>
              <w:right w:val="single" w:sz="8" w:color="333333"/>
            </w:tcBorders>
          </w:tcPr>
          <w:p>
            <w:pPr>
              <w:spacing w:after="0"/>
              <w:rPr>
                <w:sz w:val="24"/>
                <w:szCs w:val="24"/>
                <w:color w:val="auto"/>
              </w:rPr>
            </w:pPr>
          </w:p>
        </w:tc>
        <w:tc>
          <w:tcPr>
            <w:tcW w:w="2520" w:type="dxa"/>
            <w:vAlign w:val="bottom"/>
            <w:tcBorders>
              <w:bottom w:val="single" w:sz="8" w:color="333333"/>
            </w:tcBorders>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3300" w:type="dxa"/>
            <w:vAlign w:val="bottom"/>
            <w:tcBorders>
              <w:right w:val="single" w:sz="8" w:color="333333"/>
            </w:tcBorders>
          </w:tcPr>
          <w:p>
            <w:pPr>
              <w:ind w:left="980"/>
              <w:spacing w:after="0"/>
              <w:rPr>
                <w:sz w:val="20"/>
                <w:szCs w:val="20"/>
                <w:color w:val="auto"/>
              </w:rPr>
            </w:pPr>
            <w:r>
              <w:rPr>
                <w:rFonts w:ascii="Arial" w:cs="Arial" w:eastAsia="Arial" w:hAnsi="Arial"/>
                <w:sz w:val="14"/>
                <w:szCs w:val="14"/>
                <w:b w:val="1"/>
                <w:bCs w:val="1"/>
                <w:color w:val="auto"/>
              </w:rPr>
              <w:t>Mellody Hobson</w:t>
            </w:r>
          </w:p>
        </w:tc>
        <w:tc>
          <w:tcPr>
            <w:tcW w:w="1000" w:type="dxa"/>
            <w:vAlign w:val="bottom"/>
            <w:tcBorders>
              <w:right w:val="single" w:sz="8" w:color="333333"/>
            </w:tcBorders>
          </w:tcPr>
          <w:p>
            <w:pPr>
              <w:jc w:val="center"/>
              <w:ind w:left="7"/>
              <w:spacing w:after="0"/>
              <w:rPr>
                <w:sz w:val="20"/>
                <w:szCs w:val="20"/>
                <w:color w:val="auto"/>
              </w:rPr>
            </w:pPr>
            <w:r>
              <w:rPr>
                <w:rFonts w:ascii="Arial" w:cs="Arial" w:eastAsia="Arial" w:hAnsi="Arial"/>
                <w:sz w:val="14"/>
                <w:szCs w:val="14"/>
                <w:color w:val="auto"/>
              </w:rPr>
              <w:t>51</w:t>
            </w:r>
          </w:p>
        </w:tc>
        <w:tc>
          <w:tcPr>
            <w:tcW w:w="2420" w:type="dxa"/>
            <w:vAlign w:val="bottom"/>
            <w:tcBorders>
              <w:right w:val="single" w:sz="8" w:color="333333"/>
            </w:tcBorders>
          </w:tcPr>
          <w:p>
            <w:pPr>
              <w:ind w:left="100"/>
              <w:spacing w:after="0"/>
              <w:rPr>
                <w:sz w:val="20"/>
                <w:szCs w:val="20"/>
                <w:color w:val="auto"/>
              </w:rPr>
            </w:pPr>
            <w:r>
              <w:rPr>
                <w:rFonts w:ascii="Arial" w:cs="Arial" w:eastAsia="Arial" w:hAnsi="Arial"/>
                <w:sz w:val="14"/>
                <w:szCs w:val="14"/>
                <w:color w:val="auto"/>
              </w:rPr>
              <w:t>Co-CEO and President of Ariel</w:t>
            </w:r>
          </w:p>
        </w:tc>
        <w:tc>
          <w:tcPr>
            <w:tcW w:w="1780" w:type="dxa"/>
            <w:vAlign w:val="bottom"/>
            <w:tcBorders>
              <w:right w:val="single" w:sz="8" w:color="333333"/>
            </w:tcBorders>
          </w:tcPr>
          <w:p>
            <w:pPr>
              <w:jc w:val="center"/>
              <w:ind w:left="27"/>
              <w:spacing w:after="0"/>
              <w:rPr>
                <w:sz w:val="20"/>
                <w:szCs w:val="20"/>
                <w:color w:val="auto"/>
              </w:rPr>
            </w:pPr>
            <w:r>
              <w:rPr>
                <w:rFonts w:ascii="Arial" w:cs="Arial" w:eastAsia="Arial" w:hAnsi="Arial"/>
                <w:sz w:val="14"/>
                <w:szCs w:val="14"/>
                <w:color w:val="auto"/>
              </w:rPr>
              <w:t>1</w:t>
            </w:r>
          </w:p>
        </w:tc>
        <w:tc>
          <w:tcPr>
            <w:tcW w:w="2520" w:type="dxa"/>
            <w:vAlign w:val="bottom"/>
          </w:tcPr>
          <w:p>
            <w:pPr>
              <w:ind w:left="100"/>
              <w:spacing w:after="0"/>
              <w:rPr>
                <w:sz w:val="20"/>
                <w:szCs w:val="20"/>
                <w:color w:val="auto"/>
              </w:rPr>
            </w:pPr>
            <w:r>
              <w:rPr>
                <w:rFonts w:ascii="Arial" w:cs="Arial" w:eastAsia="Arial" w:hAnsi="Arial"/>
                <w:sz w:val="14"/>
                <w:szCs w:val="14"/>
                <w:color w:val="auto"/>
              </w:rPr>
              <w:t>Public Responsibility;</w:t>
            </w:r>
          </w:p>
        </w:tc>
        <w:tc>
          <w:tcPr>
            <w:tcW w:w="0" w:type="dxa"/>
            <w:vAlign w:val="bottom"/>
          </w:tcPr>
          <w:p>
            <w:pPr>
              <w:spacing w:after="0"/>
              <w:rPr>
                <w:sz w:val="1"/>
                <w:szCs w:val="1"/>
                <w:color w:val="auto"/>
              </w:rPr>
            </w:pPr>
          </w:p>
        </w:tc>
      </w:tr>
      <w:tr>
        <w:trPr>
          <w:trHeight w:val="172"/>
        </w:trPr>
        <w:tc>
          <w:tcPr>
            <w:tcW w:w="3300" w:type="dxa"/>
            <w:vAlign w:val="bottom"/>
            <w:tcBorders>
              <w:right w:val="single" w:sz="8" w:color="333333"/>
            </w:tcBorders>
          </w:tcPr>
          <w:p>
            <w:pPr>
              <w:ind w:left="980"/>
              <w:spacing w:after="0"/>
              <w:rPr>
                <w:sz w:val="20"/>
                <w:szCs w:val="20"/>
                <w:color w:val="auto"/>
              </w:rPr>
            </w:pPr>
            <w:r>
              <w:rPr>
                <w:rFonts w:ascii="Arial" w:cs="Arial" w:eastAsia="Arial" w:hAnsi="Arial"/>
                <w:sz w:val="14"/>
                <w:szCs w:val="14"/>
                <w:color w:val="auto"/>
              </w:rPr>
              <w:t>Director since 2018</w:t>
            </w:r>
          </w:p>
        </w:tc>
        <w:tc>
          <w:tcPr>
            <w:tcW w:w="1000" w:type="dxa"/>
            <w:vAlign w:val="bottom"/>
            <w:tcBorders>
              <w:right w:val="single" w:sz="8" w:color="333333"/>
            </w:tcBorders>
          </w:tcPr>
          <w:p>
            <w:pPr>
              <w:spacing w:after="0"/>
              <w:rPr>
                <w:sz w:val="14"/>
                <w:szCs w:val="14"/>
                <w:color w:val="auto"/>
              </w:rPr>
            </w:pPr>
          </w:p>
        </w:tc>
        <w:tc>
          <w:tcPr>
            <w:tcW w:w="2420" w:type="dxa"/>
            <w:vAlign w:val="bottom"/>
            <w:tcBorders>
              <w:right w:val="single" w:sz="8" w:color="333333"/>
            </w:tcBorders>
          </w:tcPr>
          <w:p>
            <w:pPr>
              <w:ind w:left="100"/>
              <w:spacing w:after="0"/>
              <w:rPr>
                <w:sz w:val="20"/>
                <w:szCs w:val="20"/>
                <w:color w:val="auto"/>
              </w:rPr>
            </w:pPr>
            <w:r>
              <w:rPr>
                <w:rFonts w:ascii="Arial" w:cs="Arial" w:eastAsia="Arial" w:hAnsi="Arial"/>
                <w:sz w:val="14"/>
                <w:szCs w:val="14"/>
                <w:color w:val="auto"/>
              </w:rPr>
              <w:t>Investments, LLC</w:t>
            </w:r>
          </w:p>
        </w:tc>
        <w:tc>
          <w:tcPr>
            <w:tcW w:w="1780" w:type="dxa"/>
            <w:vAlign w:val="bottom"/>
            <w:tcBorders>
              <w:right w:val="single" w:sz="8" w:color="333333"/>
            </w:tcBorders>
          </w:tcPr>
          <w:p>
            <w:pPr>
              <w:spacing w:after="0"/>
              <w:rPr>
                <w:sz w:val="14"/>
                <w:szCs w:val="14"/>
                <w:color w:val="auto"/>
              </w:rPr>
            </w:pPr>
          </w:p>
        </w:tc>
        <w:tc>
          <w:tcPr>
            <w:tcW w:w="2520" w:type="dxa"/>
            <w:vAlign w:val="bottom"/>
          </w:tcPr>
          <w:p>
            <w:pPr>
              <w:ind w:left="100"/>
              <w:spacing w:after="0"/>
              <w:rPr>
                <w:sz w:val="20"/>
                <w:szCs w:val="20"/>
                <w:color w:val="auto"/>
              </w:rPr>
            </w:pPr>
            <w:r>
              <w:rPr>
                <w:rFonts w:ascii="Arial" w:cs="Arial" w:eastAsia="Arial" w:hAnsi="Arial"/>
                <w:sz w:val="14"/>
                <w:szCs w:val="14"/>
                <w:color w:val="auto"/>
              </w:rPr>
              <w:t>Risk</w:t>
            </w:r>
          </w:p>
        </w:tc>
        <w:tc>
          <w:tcPr>
            <w:tcW w:w="0" w:type="dxa"/>
            <w:vAlign w:val="bottom"/>
          </w:tcPr>
          <w:p>
            <w:pPr>
              <w:spacing w:after="0"/>
              <w:rPr>
                <w:sz w:val="1"/>
                <w:szCs w:val="1"/>
                <w:color w:val="auto"/>
              </w:rPr>
            </w:pPr>
          </w:p>
        </w:tc>
      </w:tr>
      <w:tr>
        <w:trPr>
          <w:trHeight w:val="268"/>
        </w:trPr>
        <w:tc>
          <w:tcPr>
            <w:tcW w:w="3300" w:type="dxa"/>
            <w:vAlign w:val="bottom"/>
            <w:tcBorders>
              <w:bottom w:val="single" w:sz="8" w:color="333333"/>
              <w:right w:val="single" w:sz="8" w:color="333333"/>
            </w:tcBorders>
          </w:tcPr>
          <w:p>
            <w:pPr>
              <w:spacing w:after="0"/>
              <w:rPr>
                <w:sz w:val="23"/>
                <w:szCs w:val="23"/>
                <w:color w:val="auto"/>
              </w:rPr>
            </w:pPr>
          </w:p>
        </w:tc>
        <w:tc>
          <w:tcPr>
            <w:tcW w:w="1000" w:type="dxa"/>
            <w:vAlign w:val="bottom"/>
            <w:tcBorders>
              <w:bottom w:val="single" w:sz="8" w:color="333333"/>
              <w:right w:val="single" w:sz="8" w:color="333333"/>
            </w:tcBorders>
          </w:tcPr>
          <w:p>
            <w:pPr>
              <w:spacing w:after="0"/>
              <w:rPr>
                <w:sz w:val="23"/>
                <w:szCs w:val="23"/>
                <w:color w:val="auto"/>
              </w:rPr>
            </w:pPr>
          </w:p>
        </w:tc>
        <w:tc>
          <w:tcPr>
            <w:tcW w:w="2420" w:type="dxa"/>
            <w:vAlign w:val="bottom"/>
            <w:tcBorders>
              <w:bottom w:val="single" w:sz="8" w:color="333333"/>
              <w:right w:val="single" w:sz="8" w:color="333333"/>
            </w:tcBorders>
          </w:tcPr>
          <w:p>
            <w:pPr>
              <w:spacing w:after="0"/>
              <w:rPr>
                <w:sz w:val="23"/>
                <w:szCs w:val="23"/>
                <w:color w:val="auto"/>
              </w:rPr>
            </w:pPr>
          </w:p>
        </w:tc>
        <w:tc>
          <w:tcPr>
            <w:tcW w:w="1780" w:type="dxa"/>
            <w:vAlign w:val="bottom"/>
            <w:tcBorders>
              <w:bottom w:val="single" w:sz="8" w:color="333333"/>
              <w:right w:val="single" w:sz="8" w:color="333333"/>
            </w:tcBorders>
          </w:tcPr>
          <w:p>
            <w:pPr>
              <w:spacing w:after="0"/>
              <w:rPr>
                <w:sz w:val="23"/>
                <w:szCs w:val="23"/>
                <w:color w:val="auto"/>
              </w:rPr>
            </w:pPr>
          </w:p>
        </w:tc>
        <w:tc>
          <w:tcPr>
            <w:tcW w:w="2520" w:type="dxa"/>
            <w:vAlign w:val="bottom"/>
            <w:tcBorders>
              <w:bottom w:val="single" w:sz="8" w:color="333333"/>
            </w:tcBorders>
          </w:tcPr>
          <w:p>
            <w:pPr>
              <w:spacing w:after="0"/>
              <w:rPr>
                <w:sz w:val="23"/>
                <w:szCs w:val="23"/>
                <w:color w:val="auto"/>
              </w:rPr>
            </w:pPr>
          </w:p>
        </w:tc>
        <w:tc>
          <w:tcPr>
            <w:tcW w:w="0" w:type="dxa"/>
            <w:vAlign w:val="bottom"/>
          </w:tcPr>
          <w:p>
            <w:pPr>
              <w:spacing w:after="0"/>
              <w:rPr>
                <w:sz w:val="1"/>
                <w:szCs w:val="1"/>
                <w:color w:val="auto"/>
              </w:rPr>
            </w:pPr>
          </w:p>
        </w:tc>
      </w:tr>
      <w:tr>
        <w:trPr>
          <w:trHeight w:val="201"/>
        </w:trPr>
        <w:tc>
          <w:tcPr>
            <w:tcW w:w="3300" w:type="dxa"/>
            <w:vAlign w:val="bottom"/>
            <w:tcBorders>
              <w:right w:val="single" w:sz="8" w:color="333333"/>
            </w:tcBorders>
          </w:tcPr>
          <w:p>
            <w:pPr>
              <w:ind w:left="980"/>
              <w:spacing w:after="0"/>
              <w:rPr>
                <w:sz w:val="20"/>
                <w:szCs w:val="20"/>
                <w:color w:val="auto"/>
              </w:rPr>
            </w:pPr>
            <w:r>
              <w:rPr>
                <w:rFonts w:ascii="Arial" w:cs="Arial" w:eastAsia="Arial" w:hAnsi="Arial"/>
                <w:sz w:val="14"/>
                <w:szCs w:val="14"/>
                <w:b w:val="1"/>
                <w:bCs w:val="1"/>
                <w:color w:val="auto"/>
              </w:rPr>
              <w:t>Michael A. Neal</w:t>
            </w:r>
          </w:p>
        </w:tc>
        <w:tc>
          <w:tcPr>
            <w:tcW w:w="1000" w:type="dxa"/>
            <w:vAlign w:val="bottom"/>
            <w:tcBorders>
              <w:right w:val="single" w:sz="8" w:color="333333"/>
            </w:tcBorders>
            <w:vMerge w:val="restart"/>
          </w:tcPr>
          <w:p>
            <w:pPr>
              <w:jc w:val="center"/>
              <w:ind w:left="7"/>
              <w:spacing w:after="0"/>
              <w:rPr>
                <w:sz w:val="20"/>
                <w:szCs w:val="20"/>
                <w:color w:val="auto"/>
              </w:rPr>
            </w:pPr>
            <w:r>
              <w:rPr>
                <w:rFonts w:ascii="Arial" w:cs="Arial" w:eastAsia="Arial" w:hAnsi="Arial"/>
                <w:sz w:val="14"/>
                <w:szCs w:val="14"/>
                <w:color w:val="auto"/>
              </w:rPr>
              <w:t>67</w:t>
            </w:r>
          </w:p>
        </w:tc>
        <w:tc>
          <w:tcPr>
            <w:tcW w:w="2420" w:type="dxa"/>
            <w:vAlign w:val="bottom"/>
            <w:tcBorders>
              <w:right w:val="single" w:sz="8" w:color="333333"/>
            </w:tcBorders>
          </w:tcPr>
          <w:p>
            <w:pPr>
              <w:ind w:left="100"/>
              <w:spacing w:after="0"/>
              <w:rPr>
                <w:sz w:val="20"/>
                <w:szCs w:val="20"/>
                <w:color w:val="auto"/>
              </w:rPr>
            </w:pPr>
            <w:r>
              <w:rPr>
                <w:rFonts w:ascii="Arial" w:cs="Arial" w:eastAsia="Arial" w:hAnsi="Arial"/>
                <w:sz w:val="14"/>
                <w:szCs w:val="14"/>
                <w:color w:val="auto"/>
              </w:rPr>
              <w:t>Retired Vice Chairman of</w:t>
            </w:r>
          </w:p>
        </w:tc>
        <w:tc>
          <w:tcPr>
            <w:tcW w:w="1780" w:type="dxa"/>
            <w:vAlign w:val="bottom"/>
            <w:tcBorders>
              <w:right w:val="single" w:sz="8" w:color="333333"/>
            </w:tcBorders>
            <w:vMerge w:val="restart"/>
          </w:tcPr>
          <w:p>
            <w:pPr>
              <w:jc w:val="center"/>
              <w:ind w:left="27"/>
              <w:spacing w:after="0"/>
              <w:rPr>
                <w:sz w:val="20"/>
                <w:szCs w:val="20"/>
                <w:color w:val="auto"/>
              </w:rPr>
            </w:pPr>
            <w:r>
              <w:rPr>
                <w:rFonts w:ascii="Arial" w:cs="Arial" w:eastAsia="Arial" w:hAnsi="Arial"/>
                <w:sz w:val="14"/>
                <w:szCs w:val="14"/>
                <w:color w:val="auto"/>
              </w:rPr>
              <w:t>0</w:t>
            </w:r>
          </w:p>
        </w:tc>
        <w:tc>
          <w:tcPr>
            <w:tcW w:w="2520" w:type="dxa"/>
            <w:vAlign w:val="bottom"/>
            <w:vMerge w:val="restart"/>
          </w:tcPr>
          <w:p>
            <w:pPr>
              <w:ind w:left="100"/>
              <w:spacing w:after="0"/>
              <w:rPr>
                <w:sz w:val="20"/>
                <w:szCs w:val="20"/>
                <w:color w:val="auto"/>
              </w:rPr>
            </w:pPr>
            <w:r>
              <w:rPr>
                <w:rFonts w:ascii="Arial" w:cs="Arial" w:eastAsia="Arial" w:hAnsi="Arial"/>
                <w:sz w:val="14"/>
                <w:szCs w:val="14"/>
                <w:color w:val="auto"/>
              </w:rPr>
              <w:t>Risk</w:t>
            </w:r>
          </w:p>
        </w:tc>
        <w:tc>
          <w:tcPr>
            <w:tcW w:w="0" w:type="dxa"/>
            <w:vAlign w:val="bottom"/>
          </w:tcPr>
          <w:p>
            <w:pPr>
              <w:spacing w:after="0"/>
              <w:rPr>
                <w:sz w:val="1"/>
                <w:szCs w:val="1"/>
                <w:color w:val="auto"/>
              </w:rPr>
            </w:pPr>
          </w:p>
        </w:tc>
      </w:tr>
      <w:tr>
        <w:trPr>
          <w:trHeight w:val="105"/>
        </w:trPr>
        <w:tc>
          <w:tcPr>
            <w:tcW w:w="3300" w:type="dxa"/>
            <w:vAlign w:val="bottom"/>
            <w:tcBorders>
              <w:right w:val="single" w:sz="8" w:color="333333"/>
            </w:tcBorders>
            <w:vMerge w:val="restart"/>
          </w:tcPr>
          <w:p>
            <w:pPr>
              <w:ind w:left="980"/>
              <w:spacing w:after="0"/>
              <w:rPr>
                <w:sz w:val="20"/>
                <w:szCs w:val="20"/>
                <w:color w:val="auto"/>
              </w:rPr>
            </w:pPr>
            <w:r>
              <w:rPr>
                <w:rFonts w:ascii="Arial" w:cs="Arial" w:eastAsia="Arial" w:hAnsi="Arial"/>
                <w:sz w:val="14"/>
                <w:szCs w:val="14"/>
                <w:color w:val="auto"/>
              </w:rPr>
              <w:t>Director since 2014</w:t>
            </w:r>
          </w:p>
        </w:tc>
        <w:tc>
          <w:tcPr>
            <w:tcW w:w="1000" w:type="dxa"/>
            <w:vAlign w:val="bottom"/>
            <w:tcBorders>
              <w:right w:val="single" w:sz="8" w:color="333333"/>
            </w:tcBorders>
            <w:vMerge w:val="continue"/>
          </w:tcPr>
          <w:p>
            <w:pPr>
              <w:spacing w:after="0"/>
              <w:rPr>
                <w:sz w:val="9"/>
                <w:szCs w:val="9"/>
                <w:color w:val="auto"/>
              </w:rPr>
            </w:pPr>
          </w:p>
        </w:tc>
        <w:tc>
          <w:tcPr>
            <w:tcW w:w="2420" w:type="dxa"/>
            <w:vAlign w:val="bottom"/>
            <w:tcBorders>
              <w:right w:val="single" w:sz="8" w:color="333333"/>
            </w:tcBorders>
            <w:vMerge w:val="restart"/>
          </w:tcPr>
          <w:p>
            <w:pPr>
              <w:ind w:left="100"/>
              <w:spacing w:after="0"/>
              <w:rPr>
                <w:sz w:val="20"/>
                <w:szCs w:val="20"/>
                <w:color w:val="auto"/>
              </w:rPr>
            </w:pPr>
            <w:r>
              <w:rPr>
                <w:rFonts w:ascii="Arial" w:cs="Arial" w:eastAsia="Arial" w:hAnsi="Arial"/>
                <w:sz w:val="14"/>
                <w:szCs w:val="14"/>
                <w:color w:val="auto"/>
              </w:rPr>
              <w:t>General Electric Company and</w:t>
            </w:r>
          </w:p>
        </w:tc>
        <w:tc>
          <w:tcPr>
            <w:tcW w:w="1780" w:type="dxa"/>
            <w:vAlign w:val="bottom"/>
            <w:tcBorders>
              <w:right w:val="single" w:sz="8" w:color="333333"/>
            </w:tcBorders>
            <w:vMerge w:val="continue"/>
          </w:tcPr>
          <w:p>
            <w:pPr>
              <w:spacing w:after="0"/>
              <w:rPr>
                <w:sz w:val="9"/>
                <w:szCs w:val="9"/>
                <w:color w:val="auto"/>
              </w:rPr>
            </w:pPr>
          </w:p>
        </w:tc>
        <w:tc>
          <w:tcPr>
            <w:tcW w:w="2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3300" w:type="dxa"/>
            <w:vAlign w:val="bottom"/>
            <w:tcBorders>
              <w:right w:val="single" w:sz="8" w:color="333333"/>
            </w:tcBorders>
            <w:vMerge w:val="continue"/>
          </w:tcPr>
          <w:p>
            <w:pPr>
              <w:spacing w:after="0"/>
              <w:rPr>
                <w:sz w:val="4"/>
                <w:szCs w:val="4"/>
                <w:color w:val="auto"/>
              </w:rPr>
            </w:pPr>
          </w:p>
        </w:tc>
        <w:tc>
          <w:tcPr>
            <w:tcW w:w="1000" w:type="dxa"/>
            <w:vAlign w:val="bottom"/>
            <w:tcBorders>
              <w:right w:val="single" w:sz="8" w:color="333333"/>
            </w:tcBorders>
          </w:tcPr>
          <w:p>
            <w:pPr>
              <w:spacing w:after="0"/>
              <w:rPr>
                <w:sz w:val="4"/>
                <w:szCs w:val="4"/>
                <w:color w:val="auto"/>
              </w:rPr>
            </w:pPr>
          </w:p>
        </w:tc>
        <w:tc>
          <w:tcPr>
            <w:tcW w:w="2420" w:type="dxa"/>
            <w:vAlign w:val="bottom"/>
            <w:tcBorders>
              <w:right w:val="single" w:sz="8" w:color="333333"/>
            </w:tcBorders>
            <w:vMerge w:val="continue"/>
          </w:tcPr>
          <w:p>
            <w:pPr>
              <w:spacing w:after="0"/>
              <w:rPr>
                <w:sz w:val="4"/>
                <w:szCs w:val="4"/>
                <w:color w:val="auto"/>
              </w:rPr>
            </w:pPr>
          </w:p>
        </w:tc>
        <w:tc>
          <w:tcPr>
            <w:tcW w:w="1780" w:type="dxa"/>
            <w:vAlign w:val="bottom"/>
            <w:tcBorders>
              <w:right w:val="single" w:sz="8" w:color="333333"/>
            </w:tcBorders>
          </w:tcPr>
          <w:p>
            <w:pPr>
              <w:spacing w:after="0"/>
              <w:rPr>
                <w:sz w:val="4"/>
                <w:szCs w:val="4"/>
                <w:color w:val="auto"/>
              </w:rPr>
            </w:pPr>
          </w:p>
        </w:tc>
        <w:tc>
          <w:tcPr>
            <w:tcW w:w="2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3300" w:type="dxa"/>
            <w:vAlign w:val="bottom"/>
            <w:tcBorders>
              <w:right w:val="single" w:sz="8" w:color="333333"/>
            </w:tcBorders>
          </w:tcPr>
          <w:p>
            <w:pPr>
              <w:spacing w:after="0"/>
              <w:rPr>
                <w:sz w:val="14"/>
                <w:szCs w:val="14"/>
                <w:color w:val="auto"/>
              </w:rPr>
            </w:pPr>
          </w:p>
        </w:tc>
        <w:tc>
          <w:tcPr>
            <w:tcW w:w="1000" w:type="dxa"/>
            <w:vAlign w:val="bottom"/>
            <w:tcBorders>
              <w:right w:val="single" w:sz="8" w:color="333333"/>
            </w:tcBorders>
          </w:tcPr>
          <w:p>
            <w:pPr>
              <w:spacing w:after="0"/>
              <w:rPr>
                <w:sz w:val="14"/>
                <w:szCs w:val="14"/>
                <w:color w:val="auto"/>
              </w:rPr>
            </w:pPr>
          </w:p>
        </w:tc>
        <w:tc>
          <w:tcPr>
            <w:tcW w:w="2420" w:type="dxa"/>
            <w:vAlign w:val="bottom"/>
            <w:tcBorders>
              <w:right w:val="single" w:sz="8" w:color="333333"/>
            </w:tcBorders>
          </w:tcPr>
          <w:p>
            <w:pPr>
              <w:ind w:left="100"/>
              <w:spacing w:after="0"/>
              <w:rPr>
                <w:sz w:val="20"/>
                <w:szCs w:val="20"/>
                <w:color w:val="auto"/>
              </w:rPr>
            </w:pPr>
            <w:r>
              <w:rPr>
                <w:rFonts w:ascii="Arial" w:cs="Arial" w:eastAsia="Arial" w:hAnsi="Arial"/>
                <w:sz w:val="14"/>
                <w:szCs w:val="14"/>
                <w:color w:val="auto"/>
              </w:rPr>
              <w:t>Retired Chairman and Chief</w:t>
            </w:r>
          </w:p>
        </w:tc>
        <w:tc>
          <w:tcPr>
            <w:tcW w:w="1780" w:type="dxa"/>
            <w:vAlign w:val="bottom"/>
            <w:tcBorders>
              <w:right w:val="single" w:sz="8" w:color="333333"/>
            </w:tcBorders>
          </w:tcPr>
          <w:p>
            <w:pPr>
              <w:spacing w:after="0"/>
              <w:rPr>
                <w:sz w:val="14"/>
                <w:szCs w:val="14"/>
                <w:color w:val="auto"/>
              </w:rPr>
            </w:pP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00" w:type="dxa"/>
            <w:vAlign w:val="bottom"/>
            <w:tcBorders>
              <w:bottom w:val="single" w:sz="8" w:color="333333"/>
              <w:right w:val="single" w:sz="8" w:color="333333"/>
            </w:tcBorders>
          </w:tcPr>
          <w:p>
            <w:pPr>
              <w:spacing w:after="0"/>
              <w:rPr>
                <w:sz w:val="14"/>
                <w:szCs w:val="14"/>
                <w:color w:val="auto"/>
              </w:rPr>
            </w:pPr>
          </w:p>
        </w:tc>
        <w:tc>
          <w:tcPr>
            <w:tcW w:w="1000" w:type="dxa"/>
            <w:vAlign w:val="bottom"/>
            <w:tcBorders>
              <w:bottom w:val="single" w:sz="8" w:color="333333"/>
              <w:right w:val="single" w:sz="8" w:color="333333"/>
            </w:tcBorders>
          </w:tcPr>
          <w:p>
            <w:pPr>
              <w:spacing w:after="0"/>
              <w:rPr>
                <w:sz w:val="14"/>
                <w:szCs w:val="14"/>
                <w:color w:val="auto"/>
              </w:rPr>
            </w:pPr>
          </w:p>
        </w:tc>
        <w:tc>
          <w:tcPr>
            <w:tcW w:w="2420" w:type="dxa"/>
            <w:vAlign w:val="bottom"/>
            <w:tcBorders>
              <w:bottom w:val="single" w:sz="8" w:color="333333"/>
              <w:right w:val="single" w:sz="8" w:color="333333"/>
            </w:tcBorders>
          </w:tcPr>
          <w:p>
            <w:pPr>
              <w:ind w:left="100"/>
              <w:spacing w:after="0"/>
              <w:rPr>
                <w:sz w:val="20"/>
                <w:szCs w:val="20"/>
                <w:color w:val="auto"/>
              </w:rPr>
            </w:pPr>
            <w:r>
              <w:rPr>
                <w:rFonts w:ascii="Arial" w:cs="Arial" w:eastAsia="Arial" w:hAnsi="Arial"/>
                <w:sz w:val="14"/>
                <w:szCs w:val="14"/>
                <w:color w:val="auto"/>
              </w:rPr>
              <w:t>Executive Officer of GE Capital</w:t>
            </w:r>
          </w:p>
        </w:tc>
        <w:tc>
          <w:tcPr>
            <w:tcW w:w="1780" w:type="dxa"/>
            <w:vAlign w:val="bottom"/>
            <w:tcBorders>
              <w:bottom w:val="single" w:sz="8" w:color="333333"/>
              <w:right w:val="single" w:sz="8" w:color="333333"/>
            </w:tcBorders>
          </w:tcPr>
          <w:p>
            <w:pPr>
              <w:spacing w:after="0"/>
              <w:rPr>
                <w:sz w:val="14"/>
                <w:szCs w:val="14"/>
                <w:color w:val="auto"/>
              </w:rPr>
            </w:pPr>
          </w:p>
        </w:tc>
        <w:tc>
          <w:tcPr>
            <w:tcW w:w="2520" w:type="dxa"/>
            <w:vAlign w:val="bottom"/>
            <w:tcBorders>
              <w:bottom w:val="single" w:sz="8" w:color="333333"/>
            </w:tcBorders>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3300" w:type="dxa"/>
            <w:vAlign w:val="bottom"/>
            <w:tcBorders>
              <w:right w:val="single" w:sz="8" w:color="333333"/>
            </w:tcBorders>
          </w:tcPr>
          <w:p>
            <w:pPr>
              <w:ind w:left="980"/>
              <w:spacing w:after="0"/>
              <w:rPr>
                <w:sz w:val="20"/>
                <w:szCs w:val="20"/>
                <w:color w:val="auto"/>
              </w:rPr>
            </w:pPr>
            <w:r>
              <w:rPr>
                <w:rFonts w:ascii="Arial" w:cs="Arial" w:eastAsia="Arial" w:hAnsi="Arial"/>
                <w:sz w:val="14"/>
                <w:szCs w:val="14"/>
                <w:b w:val="1"/>
                <w:bCs w:val="1"/>
                <w:color w:val="auto"/>
              </w:rPr>
              <w:t>Lee R. Raymond</w:t>
            </w:r>
          </w:p>
        </w:tc>
        <w:tc>
          <w:tcPr>
            <w:tcW w:w="1000" w:type="dxa"/>
            <w:vAlign w:val="bottom"/>
            <w:tcBorders>
              <w:right w:val="single" w:sz="8" w:color="333333"/>
            </w:tcBorders>
          </w:tcPr>
          <w:p>
            <w:pPr>
              <w:jc w:val="center"/>
              <w:ind w:left="7"/>
              <w:spacing w:after="0"/>
              <w:rPr>
                <w:sz w:val="20"/>
                <w:szCs w:val="20"/>
                <w:color w:val="auto"/>
              </w:rPr>
            </w:pPr>
            <w:r>
              <w:rPr>
                <w:rFonts w:ascii="Arial" w:cs="Arial" w:eastAsia="Arial" w:hAnsi="Arial"/>
                <w:sz w:val="14"/>
                <w:szCs w:val="14"/>
                <w:color w:val="auto"/>
              </w:rPr>
              <w:t>81</w:t>
            </w:r>
          </w:p>
        </w:tc>
        <w:tc>
          <w:tcPr>
            <w:tcW w:w="2420" w:type="dxa"/>
            <w:vAlign w:val="bottom"/>
            <w:tcBorders>
              <w:right w:val="single" w:sz="8" w:color="333333"/>
            </w:tcBorders>
          </w:tcPr>
          <w:p>
            <w:pPr>
              <w:ind w:left="100"/>
              <w:spacing w:after="0"/>
              <w:rPr>
                <w:sz w:val="20"/>
                <w:szCs w:val="20"/>
                <w:color w:val="auto"/>
              </w:rPr>
            </w:pPr>
            <w:r>
              <w:rPr>
                <w:rFonts w:ascii="Arial" w:cs="Arial" w:eastAsia="Arial" w:hAnsi="Arial"/>
                <w:sz w:val="14"/>
                <w:szCs w:val="14"/>
                <w:color w:val="auto"/>
              </w:rPr>
              <w:t>Retired Chairman and Chief</w:t>
            </w:r>
          </w:p>
        </w:tc>
        <w:tc>
          <w:tcPr>
            <w:tcW w:w="1780" w:type="dxa"/>
            <w:vAlign w:val="bottom"/>
            <w:tcBorders>
              <w:right w:val="single" w:sz="8" w:color="333333"/>
            </w:tcBorders>
          </w:tcPr>
          <w:p>
            <w:pPr>
              <w:jc w:val="center"/>
              <w:ind w:left="27"/>
              <w:spacing w:after="0"/>
              <w:rPr>
                <w:sz w:val="20"/>
                <w:szCs w:val="20"/>
                <w:color w:val="auto"/>
              </w:rPr>
            </w:pPr>
            <w:r>
              <w:rPr>
                <w:rFonts w:ascii="Arial" w:cs="Arial" w:eastAsia="Arial" w:hAnsi="Arial"/>
                <w:sz w:val="14"/>
                <w:szCs w:val="14"/>
                <w:color w:val="auto"/>
              </w:rPr>
              <w:t>0</w:t>
            </w:r>
          </w:p>
        </w:tc>
        <w:tc>
          <w:tcPr>
            <w:tcW w:w="2520" w:type="dxa"/>
            <w:vAlign w:val="bottom"/>
          </w:tcPr>
          <w:p>
            <w:pPr>
              <w:ind w:left="100"/>
              <w:spacing w:after="0"/>
              <w:rPr>
                <w:sz w:val="20"/>
                <w:szCs w:val="20"/>
                <w:color w:val="auto"/>
              </w:rPr>
            </w:pPr>
            <w:r>
              <w:rPr>
                <w:rFonts w:ascii="Arial" w:cs="Arial" w:eastAsia="Arial" w:hAnsi="Arial"/>
                <w:sz w:val="14"/>
                <w:szCs w:val="14"/>
                <w:color w:val="auto"/>
              </w:rPr>
              <w:t>Compensation &amp; Management</w:t>
            </w:r>
          </w:p>
        </w:tc>
        <w:tc>
          <w:tcPr>
            <w:tcW w:w="0" w:type="dxa"/>
            <w:vAlign w:val="bottom"/>
          </w:tcPr>
          <w:p>
            <w:pPr>
              <w:spacing w:after="0"/>
              <w:rPr>
                <w:sz w:val="1"/>
                <w:szCs w:val="1"/>
                <w:color w:val="auto"/>
              </w:rPr>
            </w:pPr>
          </w:p>
        </w:tc>
      </w:tr>
      <w:tr>
        <w:trPr>
          <w:trHeight w:val="162"/>
        </w:trPr>
        <w:tc>
          <w:tcPr>
            <w:tcW w:w="3300" w:type="dxa"/>
            <w:vAlign w:val="bottom"/>
            <w:tcBorders>
              <w:right w:val="single" w:sz="8" w:color="333333"/>
            </w:tcBorders>
          </w:tcPr>
          <w:p>
            <w:pPr>
              <w:ind w:left="980"/>
              <w:spacing w:after="0"/>
              <w:rPr>
                <w:sz w:val="20"/>
                <w:szCs w:val="20"/>
                <w:color w:val="auto"/>
              </w:rPr>
            </w:pPr>
            <w:r>
              <w:rPr>
                <w:rFonts w:ascii="Arial" w:cs="Arial" w:eastAsia="Arial" w:hAnsi="Arial"/>
                <w:sz w:val="14"/>
                <w:szCs w:val="14"/>
                <w:color w:val="auto"/>
              </w:rPr>
              <w:t>(Lead Independent Director)</w:t>
            </w:r>
          </w:p>
        </w:tc>
        <w:tc>
          <w:tcPr>
            <w:tcW w:w="1000" w:type="dxa"/>
            <w:vAlign w:val="bottom"/>
            <w:tcBorders>
              <w:right w:val="single" w:sz="8" w:color="333333"/>
            </w:tcBorders>
          </w:tcPr>
          <w:p>
            <w:pPr>
              <w:spacing w:after="0"/>
              <w:rPr>
                <w:sz w:val="14"/>
                <w:szCs w:val="14"/>
                <w:color w:val="auto"/>
              </w:rPr>
            </w:pPr>
          </w:p>
        </w:tc>
        <w:tc>
          <w:tcPr>
            <w:tcW w:w="2420" w:type="dxa"/>
            <w:vAlign w:val="bottom"/>
            <w:tcBorders>
              <w:right w:val="single" w:sz="8" w:color="333333"/>
            </w:tcBorders>
          </w:tcPr>
          <w:p>
            <w:pPr>
              <w:ind w:left="100"/>
              <w:spacing w:after="0"/>
              <w:rPr>
                <w:sz w:val="20"/>
                <w:szCs w:val="20"/>
                <w:color w:val="auto"/>
              </w:rPr>
            </w:pPr>
            <w:r>
              <w:rPr>
                <w:rFonts w:ascii="Arial" w:cs="Arial" w:eastAsia="Arial" w:hAnsi="Arial"/>
                <w:sz w:val="14"/>
                <w:szCs w:val="14"/>
                <w:color w:val="auto"/>
              </w:rPr>
              <w:t>Executive Officer of Exxon Mobil</w:t>
            </w:r>
          </w:p>
        </w:tc>
        <w:tc>
          <w:tcPr>
            <w:tcW w:w="1780" w:type="dxa"/>
            <w:vAlign w:val="bottom"/>
            <w:tcBorders>
              <w:right w:val="single" w:sz="8" w:color="333333"/>
            </w:tcBorders>
          </w:tcPr>
          <w:p>
            <w:pPr>
              <w:spacing w:after="0"/>
              <w:rPr>
                <w:sz w:val="14"/>
                <w:szCs w:val="14"/>
                <w:color w:val="auto"/>
              </w:rPr>
            </w:pPr>
          </w:p>
        </w:tc>
        <w:tc>
          <w:tcPr>
            <w:tcW w:w="2520" w:type="dxa"/>
            <w:vAlign w:val="bottom"/>
          </w:tcPr>
          <w:p>
            <w:pPr>
              <w:ind w:left="100"/>
              <w:spacing w:after="0"/>
              <w:rPr>
                <w:sz w:val="20"/>
                <w:szCs w:val="20"/>
                <w:color w:val="auto"/>
              </w:rPr>
            </w:pPr>
            <w:r>
              <w:rPr>
                <w:rFonts w:ascii="Arial" w:cs="Arial" w:eastAsia="Arial" w:hAnsi="Arial"/>
                <w:sz w:val="14"/>
                <w:szCs w:val="14"/>
                <w:color w:val="auto"/>
              </w:rPr>
              <w:t>Development (Chair); Corporate</w:t>
            </w:r>
          </w:p>
        </w:tc>
        <w:tc>
          <w:tcPr>
            <w:tcW w:w="0" w:type="dxa"/>
            <w:vAlign w:val="bottom"/>
          </w:tcPr>
          <w:p>
            <w:pPr>
              <w:spacing w:after="0"/>
              <w:rPr>
                <w:sz w:val="1"/>
                <w:szCs w:val="1"/>
                <w:color w:val="auto"/>
              </w:rPr>
            </w:pPr>
          </w:p>
        </w:tc>
      </w:tr>
      <w:tr>
        <w:trPr>
          <w:trHeight w:val="172"/>
        </w:trPr>
        <w:tc>
          <w:tcPr>
            <w:tcW w:w="3300" w:type="dxa"/>
            <w:vAlign w:val="bottom"/>
            <w:tcBorders>
              <w:right w:val="single" w:sz="8" w:color="333333"/>
            </w:tcBorders>
          </w:tcPr>
          <w:p>
            <w:pPr>
              <w:ind w:left="980"/>
              <w:spacing w:after="0"/>
              <w:rPr>
                <w:sz w:val="20"/>
                <w:szCs w:val="20"/>
                <w:color w:val="auto"/>
              </w:rPr>
            </w:pPr>
            <w:r>
              <w:rPr>
                <w:rFonts w:ascii="Arial" w:cs="Arial" w:eastAsia="Arial" w:hAnsi="Arial"/>
                <w:sz w:val="14"/>
                <w:szCs w:val="14"/>
                <w:color w:val="auto"/>
              </w:rPr>
              <w:t>Director since 2001</w:t>
            </w:r>
          </w:p>
        </w:tc>
        <w:tc>
          <w:tcPr>
            <w:tcW w:w="1000" w:type="dxa"/>
            <w:vAlign w:val="bottom"/>
            <w:tcBorders>
              <w:right w:val="single" w:sz="8" w:color="333333"/>
            </w:tcBorders>
          </w:tcPr>
          <w:p>
            <w:pPr>
              <w:spacing w:after="0"/>
              <w:rPr>
                <w:sz w:val="14"/>
                <w:szCs w:val="14"/>
                <w:color w:val="auto"/>
              </w:rPr>
            </w:pPr>
          </w:p>
        </w:tc>
        <w:tc>
          <w:tcPr>
            <w:tcW w:w="2420" w:type="dxa"/>
            <w:vAlign w:val="bottom"/>
            <w:tcBorders>
              <w:right w:val="single" w:sz="8" w:color="333333"/>
            </w:tcBorders>
          </w:tcPr>
          <w:p>
            <w:pPr>
              <w:ind w:left="100"/>
              <w:spacing w:after="0"/>
              <w:rPr>
                <w:sz w:val="20"/>
                <w:szCs w:val="20"/>
                <w:color w:val="auto"/>
              </w:rPr>
            </w:pPr>
            <w:r>
              <w:rPr>
                <w:rFonts w:ascii="Arial" w:cs="Arial" w:eastAsia="Arial" w:hAnsi="Arial"/>
                <w:sz w:val="14"/>
                <w:szCs w:val="14"/>
                <w:color w:val="auto"/>
              </w:rPr>
              <w:t>Corporation</w:t>
            </w:r>
          </w:p>
        </w:tc>
        <w:tc>
          <w:tcPr>
            <w:tcW w:w="1780" w:type="dxa"/>
            <w:vAlign w:val="bottom"/>
            <w:tcBorders>
              <w:right w:val="single" w:sz="8" w:color="333333"/>
            </w:tcBorders>
          </w:tcPr>
          <w:p>
            <w:pPr>
              <w:spacing w:after="0"/>
              <w:rPr>
                <w:sz w:val="14"/>
                <w:szCs w:val="14"/>
                <w:color w:val="auto"/>
              </w:rPr>
            </w:pPr>
          </w:p>
        </w:tc>
        <w:tc>
          <w:tcPr>
            <w:tcW w:w="2520" w:type="dxa"/>
            <w:vAlign w:val="bottom"/>
          </w:tcPr>
          <w:p>
            <w:pPr>
              <w:ind w:left="100"/>
              <w:spacing w:after="0"/>
              <w:rPr>
                <w:sz w:val="20"/>
                <w:szCs w:val="20"/>
                <w:color w:val="auto"/>
              </w:rPr>
            </w:pPr>
            <w:r>
              <w:rPr>
                <w:rFonts w:ascii="Arial" w:cs="Arial" w:eastAsia="Arial" w:hAnsi="Arial"/>
                <w:sz w:val="14"/>
                <w:szCs w:val="14"/>
                <w:color w:val="auto"/>
              </w:rPr>
              <w:t>Governance &amp; Nominating</w:t>
            </w:r>
          </w:p>
        </w:tc>
        <w:tc>
          <w:tcPr>
            <w:tcW w:w="0" w:type="dxa"/>
            <w:vAlign w:val="bottom"/>
          </w:tcPr>
          <w:p>
            <w:pPr>
              <w:spacing w:after="0"/>
              <w:rPr>
                <w:sz w:val="1"/>
                <w:szCs w:val="1"/>
                <w:color w:val="auto"/>
              </w:rPr>
            </w:pPr>
          </w:p>
        </w:tc>
      </w:tr>
      <w:tr>
        <w:trPr>
          <w:trHeight w:val="106"/>
        </w:trPr>
        <w:tc>
          <w:tcPr>
            <w:tcW w:w="3300" w:type="dxa"/>
            <w:vAlign w:val="bottom"/>
            <w:tcBorders>
              <w:bottom w:val="single" w:sz="8" w:color="333333"/>
              <w:right w:val="single" w:sz="8" w:color="333333"/>
            </w:tcBorders>
          </w:tcPr>
          <w:p>
            <w:pPr>
              <w:spacing w:after="0"/>
              <w:rPr>
                <w:sz w:val="9"/>
                <w:szCs w:val="9"/>
                <w:color w:val="auto"/>
              </w:rPr>
            </w:pPr>
          </w:p>
        </w:tc>
        <w:tc>
          <w:tcPr>
            <w:tcW w:w="1000" w:type="dxa"/>
            <w:vAlign w:val="bottom"/>
            <w:tcBorders>
              <w:bottom w:val="single" w:sz="8" w:color="333333"/>
              <w:right w:val="single" w:sz="8" w:color="333333"/>
            </w:tcBorders>
          </w:tcPr>
          <w:p>
            <w:pPr>
              <w:spacing w:after="0"/>
              <w:rPr>
                <w:sz w:val="9"/>
                <w:szCs w:val="9"/>
                <w:color w:val="auto"/>
              </w:rPr>
            </w:pPr>
          </w:p>
        </w:tc>
        <w:tc>
          <w:tcPr>
            <w:tcW w:w="2420" w:type="dxa"/>
            <w:vAlign w:val="bottom"/>
            <w:tcBorders>
              <w:bottom w:val="single" w:sz="8" w:color="333333"/>
              <w:right w:val="single" w:sz="8" w:color="333333"/>
            </w:tcBorders>
          </w:tcPr>
          <w:p>
            <w:pPr>
              <w:spacing w:after="0"/>
              <w:rPr>
                <w:sz w:val="9"/>
                <w:szCs w:val="9"/>
                <w:color w:val="auto"/>
              </w:rPr>
            </w:pPr>
          </w:p>
        </w:tc>
        <w:tc>
          <w:tcPr>
            <w:tcW w:w="1780" w:type="dxa"/>
            <w:vAlign w:val="bottom"/>
            <w:tcBorders>
              <w:bottom w:val="single" w:sz="8" w:color="333333"/>
              <w:right w:val="single" w:sz="8" w:color="333333"/>
            </w:tcBorders>
          </w:tcPr>
          <w:p>
            <w:pPr>
              <w:spacing w:after="0"/>
              <w:rPr>
                <w:sz w:val="9"/>
                <w:szCs w:val="9"/>
                <w:color w:val="auto"/>
              </w:rPr>
            </w:pPr>
          </w:p>
        </w:tc>
        <w:tc>
          <w:tcPr>
            <w:tcW w:w="2520" w:type="dxa"/>
            <w:vAlign w:val="bottom"/>
            <w:tcBorders>
              <w:bottom w:val="single" w:sz="8" w:color="333333"/>
            </w:tcBorders>
          </w:tcPr>
          <w:p>
            <w:pPr>
              <w:spacing w:after="0"/>
              <w:rPr>
                <w:sz w:val="9"/>
                <w:szCs w:val="9"/>
                <w:color w:val="auto"/>
              </w:rPr>
            </w:pPr>
          </w:p>
        </w:tc>
        <w:tc>
          <w:tcPr>
            <w:tcW w:w="0" w:type="dxa"/>
            <w:vAlign w:val="bottom"/>
          </w:tcPr>
          <w:p>
            <w:pPr>
              <w:spacing w:after="0"/>
              <w:rPr>
                <w:sz w:val="1"/>
                <w:szCs w:val="1"/>
                <w:color w:val="auto"/>
              </w:rPr>
            </w:pPr>
          </w:p>
        </w:tc>
      </w:tr>
      <w:tr>
        <w:trPr>
          <w:trHeight w:val="201"/>
        </w:trPr>
        <w:tc>
          <w:tcPr>
            <w:tcW w:w="3300" w:type="dxa"/>
            <w:vAlign w:val="bottom"/>
            <w:tcBorders>
              <w:right w:val="single" w:sz="8" w:color="333333"/>
            </w:tcBorders>
          </w:tcPr>
          <w:p>
            <w:pPr>
              <w:ind w:left="980"/>
              <w:spacing w:after="0"/>
              <w:rPr>
                <w:sz w:val="20"/>
                <w:szCs w:val="20"/>
                <w:color w:val="auto"/>
              </w:rPr>
            </w:pPr>
            <w:r>
              <w:rPr>
                <w:rFonts w:ascii="Arial" w:cs="Arial" w:eastAsia="Arial" w:hAnsi="Arial"/>
                <w:sz w:val="14"/>
                <w:szCs w:val="14"/>
                <w:b w:val="1"/>
                <w:bCs w:val="1"/>
                <w:color w:val="auto"/>
              </w:rPr>
              <w:t>Virginia M. Rometty</w:t>
            </w:r>
          </w:p>
        </w:tc>
        <w:tc>
          <w:tcPr>
            <w:tcW w:w="1000" w:type="dxa"/>
            <w:vAlign w:val="bottom"/>
            <w:tcBorders>
              <w:right w:val="single" w:sz="8" w:color="333333"/>
            </w:tcBorders>
          </w:tcPr>
          <w:p>
            <w:pPr>
              <w:jc w:val="center"/>
              <w:ind w:left="7"/>
              <w:spacing w:after="0"/>
              <w:rPr>
                <w:sz w:val="20"/>
                <w:szCs w:val="20"/>
                <w:color w:val="auto"/>
              </w:rPr>
            </w:pPr>
            <w:r>
              <w:rPr>
                <w:rFonts w:ascii="Arial" w:cs="Arial" w:eastAsia="Arial" w:hAnsi="Arial"/>
                <w:sz w:val="14"/>
                <w:szCs w:val="14"/>
                <w:color w:val="auto"/>
              </w:rPr>
              <w:t>62</w:t>
            </w:r>
          </w:p>
        </w:tc>
        <w:tc>
          <w:tcPr>
            <w:tcW w:w="2420" w:type="dxa"/>
            <w:vAlign w:val="bottom"/>
            <w:tcBorders>
              <w:right w:val="single" w:sz="8" w:color="333333"/>
            </w:tcBorders>
          </w:tcPr>
          <w:p>
            <w:pPr>
              <w:ind w:left="100"/>
              <w:spacing w:after="0"/>
              <w:rPr>
                <w:sz w:val="20"/>
                <w:szCs w:val="20"/>
                <w:color w:val="auto"/>
              </w:rPr>
            </w:pPr>
            <w:r>
              <w:rPr>
                <w:rFonts w:ascii="Arial" w:cs="Arial" w:eastAsia="Arial" w:hAnsi="Arial"/>
                <w:sz w:val="14"/>
                <w:szCs w:val="14"/>
                <w:color w:val="auto"/>
              </w:rPr>
              <w:t>Chairman, President and Chief</w:t>
            </w:r>
          </w:p>
        </w:tc>
        <w:tc>
          <w:tcPr>
            <w:tcW w:w="1780" w:type="dxa"/>
            <w:vAlign w:val="bottom"/>
            <w:tcBorders>
              <w:right w:val="single" w:sz="8" w:color="333333"/>
            </w:tcBorders>
          </w:tcPr>
          <w:p>
            <w:pPr>
              <w:jc w:val="center"/>
              <w:ind w:left="27"/>
              <w:spacing w:after="0"/>
              <w:rPr>
                <w:sz w:val="20"/>
                <w:szCs w:val="20"/>
                <w:color w:val="auto"/>
              </w:rPr>
            </w:pPr>
            <w:r>
              <w:rPr>
                <w:rFonts w:ascii="Arial" w:cs="Arial" w:eastAsia="Arial" w:hAnsi="Arial"/>
                <w:sz w:val="14"/>
                <w:szCs w:val="14"/>
                <w:color w:val="auto"/>
              </w:rPr>
              <w:t>1</w:t>
            </w:r>
          </w:p>
        </w:tc>
        <w:tc>
          <w:tcPr>
            <w:tcW w:w="2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300" w:type="dxa"/>
            <w:vAlign w:val="bottom"/>
            <w:tcBorders>
              <w:right w:val="single" w:sz="8" w:color="333333"/>
            </w:tcBorders>
          </w:tcPr>
          <w:p>
            <w:pPr>
              <w:ind w:left="980"/>
              <w:spacing w:after="0"/>
              <w:rPr>
                <w:sz w:val="20"/>
                <w:szCs w:val="20"/>
                <w:color w:val="auto"/>
              </w:rPr>
            </w:pPr>
            <w:r>
              <w:rPr>
                <w:rFonts w:ascii="Arial" w:cs="Arial" w:eastAsia="Arial" w:hAnsi="Arial"/>
                <w:sz w:val="14"/>
                <w:szCs w:val="14"/>
                <w:color w:val="auto"/>
              </w:rPr>
              <w:t>Nominated in 2020</w:t>
            </w:r>
          </w:p>
        </w:tc>
        <w:tc>
          <w:tcPr>
            <w:tcW w:w="1000" w:type="dxa"/>
            <w:vAlign w:val="bottom"/>
            <w:tcBorders>
              <w:right w:val="single" w:sz="8" w:color="333333"/>
            </w:tcBorders>
          </w:tcPr>
          <w:p>
            <w:pPr>
              <w:spacing w:after="0"/>
              <w:rPr>
                <w:sz w:val="14"/>
                <w:szCs w:val="14"/>
                <w:color w:val="auto"/>
              </w:rPr>
            </w:pPr>
          </w:p>
        </w:tc>
        <w:tc>
          <w:tcPr>
            <w:tcW w:w="2420" w:type="dxa"/>
            <w:vAlign w:val="bottom"/>
            <w:tcBorders>
              <w:right w:val="single" w:sz="8" w:color="333333"/>
            </w:tcBorders>
          </w:tcPr>
          <w:p>
            <w:pPr>
              <w:ind w:left="100"/>
              <w:spacing w:after="0"/>
              <w:rPr>
                <w:sz w:val="20"/>
                <w:szCs w:val="20"/>
                <w:color w:val="auto"/>
              </w:rPr>
            </w:pPr>
            <w:r>
              <w:rPr>
                <w:rFonts w:ascii="Arial" w:cs="Arial" w:eastAsia="Arial" w:hAnsi="Arial"/>
                <w:sz w:val="14"/>
                <w:szCs w:val="14"/>
                <w:color w:val="auto"/>
              </w:rPr>
              <w:t>Executive Officer of International</w:t>
            </w:r>
          </w:p>
        </w:tc>
        <w:tc>
          <w:tcPr>
            <w:tcW w:w="1780" w:type="dxa"/>
            <w:vAlign w:val="bottom"/>
            <w:tcBorders>
              <w:right w:val="single" w:sz="8" w:color="333333"/>
            </w:tcBorders>
          </w:tcPr>
          <w:p>
            <w:pPr>
              <w:spacing w:after="0"/>
              <w:rPr>
                <w:sz w:val="14"/>
                <w:szCs w:val="14"/>
                <w:color w:val="auto"/>
              </w:rPr>
            </w:pP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300" w:type="dxa"/>
            <w:vAlign w:val="bottom"/>
            <w:tcBorders>
              <w:right w:val="single" w:sz="8" w:color="333333"/>
            </w:tcBorders>
          </w:tcPr>
          <w:p>
            <w:pPr>
              <w:spacing w:after="0"/>
              <w:rPr>
                <w:sz w:val="14"/>
                <w:szCs w:val="14"/>
                <w:color w:val="auto"/>
              </w:rPr>
            </w:pPr>
          </w:p>
        </w:tc>
        <w:tc>
          <w:tcPr>
            <w:tcW w:w="1000" w:type="dxa"/>
            <w:vAlign w:val="bottom"/>
            <w:tcBorders>
              <w:right w:val="single" w:sz="8" w:color="333333"/>
            </w:tcBorders>
          </w:tcPr>
          <w:p>
            <w:pPr>
              <w:spacing w:after="0"/>
              <w:rPr>
                <w:sz w:val="14"/>
                <w:szCs w:val="14"/>
                <w:color w:val="auto"/>
              </w:rPr>
            </w:pPr>
          </w:p>
        </w:tc>
        <w:tc>
          <w:tcPr>
            <w:tcW w:w="2420" w:type="dxa"/>
            <w:vAlign w:val="bottom"/>
            <w:tcBorders>
              <w:right w:val="single" w:sz="8" w:color="333333"/>
            </w:tcBorders>
          </w:tcPr>
          <w:p>
            <w:pPr>
              <w:ind w:left="100"/>
              <w:spacing w:after="0"/>
              <w:rPr>
                <w:sz w:val="20"/>
                <w:szCs w:val="20"/>
                <w:color w:val="auto"/>
              </w:rPr>
            </w:pPr>
            <w:r>
              <w:rPr>
                <w:rFonts w:ascii="Arial" w:cs="Arial" w:eastAsia="Arial" w:hAnsi="Arial"/>
                <w:sz w:val="14"/>
                <w:szCs w:val="14"/>
                <w:color w:val="auto"/>
              </w:rPr>
              <w:t>Business Machines Corporation</w:t>
            </w:r>
          </w:p>
        </w:tc>
        <w:tc>
          <w:tcPr>
            <w:tcW w:w="1780" w:type="dxa"/>
            <w:vAlign w:val="bottom"/>
            <w:tcBorders>
              <w:right w:val="single" w:sz="8" w:color="333333"/>
            </w:tcBorders>
          </w:tcPr>
          <w:p>
            <w:pPr>
              <w:spacing w:after="0"/>
              <w:rPr>
                <w:sz w:val="14"/>
                <w:szCs w:val="14"/>
                <w:color w:val="auto"/>
              </w:rPr>
            </w:pP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3300" w:type="dxa"/>
            <w:vAlign w:val="bottom"/>
            <w:tcBorders>
              <w:bottom w:val="single" w:sz="8" w:color="333333"/>
              <w:right w:val="single" w:sz="8" w:color="333333"/>
            </w:tcBorders>
          </w:tcPr>
          <w:p>
            <w:pPr>
              <w:spacing w:after="0"/>
              <w:rPr>
                <w:sz w:val="9"/>
                <w:szCs w:val="9"/>
                <w:color w:val="auto"/>
              </w:rPr>
            </w:pPr>
          </w:p>
        </w:tc>
        <w:tc>
          <w:tcPr>
            <w:tcW w:w="1000" w:type="dxa"/>
            <w:vAlign w:val="bottom"/>
            <w:tcBorders>
              <w:bottom w:val="single" w:sz="8" w:color="333333"/>
              <w:right w:val="single" w:sz="8" w:color="333333"/>
            </w:tcBorders>
          </w:tcPr>
          <w:p>
            <w:pPr>
              <w:spacing w:after="0"/>
              <w:rPr>
                <w:sz w:val="9"/>
                <w:szCs w:val="9"/>
                <w:color w:val="auto"/>
              </w:rPr>
            </w:pPr>
          </w:p>
        </w:tc>
        <w:tc>
          <w:tcPr>
            <w:tcW w:w="2420" w:type="dxa"/>
            <w:vAlign w:val="bottom"/>
            <w:tcBorders>
              <w:bottom w:val="single" w:sz="8" w:color="333333"/>
              <w:right w:val="single" w:sz="8" w:color="333333"/>
            </w:tcBorders>
          </w:tcPr>
          <w:p>
            <w:pPr>
              <w:spacing w:after="0"/>
              <w:rPr>
                <w:sz w:val="9"/>
                <w:szCs w:val="9"/>
                <w:color w:val="auto"/>
              </w:rPr>
            </w:pPr>
          </w:p>
        </w:tc>
        <w:tc>
          <w:tcPr>
            <w:tcW w:w="1780" w:type="dxa"/>
            <w:vAlign w:val="bottom"/>
            <w:tcBorders>
              <w:bottom w:val="single" w:sz="8" w:color="333333"/>
              <w:right w:val="single" w:sz="8" w:color="333333"/>
            </w:tcBorders>
          </w:tcPr>
          <w:p>
            <w:pPr>
              <w:spacing w:after="0"/>
              <w:rPr>
                <w:sz w:val="9"/>
                <w:szCs w:val="9"/>
                <w:color w:val="auto"/>
              </w:rPr>
            </w:pPr>
          </w:p>
        </w:tc>
        <w:tc>
          <w:tcPr>
            <w:tcW w:w="2520" w:type="dxa"/>
            <w:vAlign w:val="bottom"/>
            <w:tcBorders>
              <w:bottom w:val="single" w:sz="8" w:color="333333"/>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-4302760</wp:posOffset>
            </wp:positionV>
            <wp:extent cx="308610" cy="3771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08610" cy="377190"/>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-3839845</wp:posOffset>
            </wp:positionV>
            <wp:extent cx="308610" cy="3771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08610" cy="377190"/>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-3376930</wp:posOffset>
            </wp:positionV>
            <wp:extent cx="316865" cy="33604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16865" cy="3360420"/>
                    </a:xfrm>
                    <a:prstGeom prst="rect">
                      <a:avLst/>
                    </a:prstGeom>
                    <a:noFill/>
                  </pic:spPr>
                </pic:pic>
              </a:graphicData>
            </a:graphic>
          </wp:anchor>
        </w:drawing>
      </w:r>
    </w:p>
    <w:p>
      <w:pPr>
        <w:spacing w:after="0" w:line="52" w:lineRule="exact"/>
        <w:rPr>
          <w:sz w:val="20"/>
          <w:szCs w:val="20"/>
          <w:color w:val="auto"/>
        </w:rPr>
      </w:pPr>
    </w:p>
    <w:p>
      <w:pPr>
        <w:ind w:left="340" w:hanging="175"/>
        <w:spacing w:after="0"/>
        <w:tabs>
          <w:tab w:leader="none" w:pos="340" w:val="left"/>
        </w:tabs>
        <w:numPr>
          <w:ilvl w:val="0"/>
          <w:numId w:val="23"/>
        </w:numPr>
        <w:rPr>
          <w:rFonts w:ascii="Arial" w:cs="Arial" w:eastAsia="Arial" w:hAnsi="Arial"/>
          <w:sz w:val="10"/>
          <w:szCs w:val="10"/>
          <w:color w:val="auto"/>
        </w:rPr>
      </w:pPr>
      <w:r>
        <w:rPr>
          <w:rFonts w:ascii="Arial" w:cs="Arial" w:eastAsia="Arial" w:hAnsi="Arial"/>
          <w:sz w:val="12"/>
          <w:szCs w:val="12"/>
          <w:color w:val="auto"/>
        </w:rPr>
        <w:t>Director of a heritage company of the Firm as follows: Bank One Corporation: Mr. Burke (2003–2004), Mr. Crown (1996–2004), Mr. Dimon, Chairman of the Board (2000–2004); First Chicago</w:t>
      </w:r>
    </w:p>
    <w:p>
      <w:pPr>
        <w:ind w:left="340"/>
        <w:spacing w:after="0" w:line="216" w:lineRule="auto"/>
        <w:rPr>
          <w:rFonts w:ascii="Arial" w:cs="Arial" w:eastAsia="Arial" w:hAnsi="Arial"/>
          <w:sz w:val="10"/>
          <w:szCs w:val="10"/>
          <w:color w:val="auto"/>
        </w:rPr>
      </w:pPr>
      <w:r>
        <w:rPr>
          <w:rFonts w:ascii="Arial" w:cs="Arial" w:eastAsia="Arial" w:hAnsi="Arial"/>
          <w:sz w:val="13"/>
          <w:szCs w:val="13"/>
          <w:color w:val="auto"/>
        </w:rPr>
        <w:t>Corp.: Mr. Crown (1991–1996); and J.P. Morgan &amp; Co. Incorporated: Mr. Raymond (1987–2000)</w:t>
      </w:r>
    </w:p>
    <w:p>
      <w:pPr>
        <w:ind w:left="340" w:hanging="175"/>
        <w:spacing w:after="0"/>
        <w:tabs>
          <w:tab w:leader="none" w:pos="340" w:val="left"/>
        </w:tabs>
        <w:numPr>
          <w:ilvl w:val="0"/>
          <w:numId w:val="24"/>
        </w:numPr>
        <w:rPr>
          <w:rFonts w:ascii="Arial" w:cs="Arial" w:eastAsia="Arial" w:hAnsi="Arial"/>
          <w:sz w:val="11"/>
          <w:szCs w:val="11"/>
          <w:color w:val="auto"/>
        </w:rPr>
      </w:pPr>
      <w:r>
        <w:rPr>
          <w:rFonts w:ascii="Arial" w:cs="Arial" w:eastAsia="Arial" w:hAnsi="Arial"/>
          <w:sz w:val="13"/>
          <w:szCs w:val="13"/>
          <w:color w:val="auto"/>
        </w:rPr>
        <w:t>Principal standing committee</w:t>
      </w:r>
    </w:p>
    <w:p>
      <w:pPr>
        <w:spacing w:after="0" w:line="13" w:lineRule="exact"/>
        <w:rPr>
          <w:sz w:val="20"/>
          <w:szCs w:val="20"/>
          <w:color w:val="auto"/>
        </w:rPr>
      </w:pPr>
    </w:p>
    <w:p>
      <w:pPr>
        <w:ind w:left="340" w:hanging="175"/>
        <w:spacing w:after="0"/>
        <w:tabs>
          <w:tab w:leader="none" w:pos="340" w:val="left"/>
        </w:tabs>
        <w:numPr>
          <w:ilvl w:val="0"/>
          <w:numId w:val="25"/>
        </w:numPr>
        <w:rPr>
          <w:rFonts w:ascii="Arial" w:cs="Arial" w:eastAsia="Arial" w:hAnsi="Arial"/>
          <w:sz w:val="11"/>
          <w:szCs w:val="11"/>
          <w:color w:val="auto"/>
        </w:rPr>
      </w:pPr>
      <w:r>
        <w:rPr>
          <w:rFonts w:ascii="Arial" w:cs="Arial" w:eastAsia="Arial" w:hAnsi="Arial"/>
          <w:sz w:val="13"/>
          <w:szCs w:val="13"/>
          <w:color w:val="auto"/>
        </w:rPr>
        <w:t>Retired from JPMorgan Chase &amp; Co. in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260350</wp:posOffset>
            </wp:positionV>
            <wp:extent cx="7029450" cy="1968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029450" cy="19685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jc w:val="center"/>
        <w:ind w:right="-99"/>
        <w:spacing w:after="0"/>
        <w:rPr>
          <w:sz w:val="20"/>
          <w:szCs w:val="20"/>
          <w:color w:val="auto"/>
        </w:rPr>
      </w:pPr>
      <w:r>
        <w:rPr>
          <w:rFonts w:ascii="Arial" w:cs="Arial" w:eastAsia="Arial" w:hAnsi="Arial"/>
          <w:sz w:val="13"/>
          <w:szCs w:val="13"/>
          <w:b w:val="1"/>
          <w:bCs w:val="1"/>
          <w:color w:val="004876"/>
        </w:rPr>
        <w:t>6</w:t>
      </w:r>
    </w:p>
    <w:p>
      <w:pPr>
        <w:sectPr>
          <w:pgSz w:w="11900" w:h="16838" w:orient="portrait"/>
          <w:cols w:equalWidth="0" w:num="1">
            <w:col w:w="11140"/>
          </w:cols>
          <w:pgMar w:left="32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04876"/>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212090</wp:posOffset>
            </wp:positionV>
            <wp:extent cx="6995160" cy="2146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95160" cy="214630"/>
                    </a:xfrm>
                    <a:prstGeom prst="rect">
                      <a:avLst/>
                    </a:prstGeom>
                    <a:noFill/>
                  </pic:spPr>
                </pic:pic>
              </a:graphicData>
            </a:graphic>
          </wp:anchor>
        </w:drawing>
      </w:r>
    </w:p>
    <w:p>
      <w:pPr>
        <w:spacing w:after="0" w:line="322" w:lineRule="exact"/>
        <w:rPr>
          <w:sz w:val="20"/>
          <w:szCs w:val="20"/>
          <w:color w:val="auto"/>
        </w:rPr>
      </w:pPr>
    </w:p>
    <w:p>
      <w:pPr>
        <w:ind w:left="240"/>
        <w:spacing w:after="0"/>
        <w:rPr>
          <w:sz w:val="20"/>
          <w:szCs w:val="20"/>
          <w:color w:val="auto"/>
        </w:rPr>
      </w:pPr>
      <w:r>
        <w:rPr>
          <w:rFonts w:ascii="Arial" w:cs="Arial" w:eastAsia="Arial" w:hAnsi="Arial"/>
          <w:sz w:val="22"/>
          <w:szCs w:val="22"/>
          <w:b w:val="1"/>
          <w:bCs w:val="1"/>
          <w:color w:val="004876"/>
        </w:rPr>
        <w:t>Proposal 2: Advisory resolution to approve executive compensation – page 37</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are submitting an advisory resolution to approve the compensation of our Named Executive Officers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151765</wp:posOffset>
            </wp:positionV>
            <wp:extent cx="6995160" cy="1885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5160" cy="188595"/>
                    </a:xfrm>
                    <a:prstGeom prst="rect">
                      <a:avLst/>
                    </a:prstGeom>
                    <a:noFill/>
                  </pic:spPr>
                </pic:pic>
              </a:graphicData>
            </a:graphic>
          </wp:anchor>
        </w:drawing>
      </w:r>
    </w:p>
    <w:p>
      <w:pPr>
        <w:spacing w:after="0" w:line="237"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004876"/>
        </w:rPr>
        <w:t>2019 shareholder engagement and enhancements made to our executive compensation program</w:t>
      </w:r>
    </w:p>
    <w:p>
      <w:pPr>
        <w:spacing w:after="0" w:line="139" w:lineRule="exact"/>
        <w:rPr>
          <w:sz w:val="20"/>
          <w:szCs w:val="20"/>
          <w:color w:val="auto"/>
        </w:rPr>
      </w:pPr>
    </w:p>
    <w:p>
      <w:pPr>
        <w:ind w:left="120"/>
        <w:spacing w:after="0" w:line="246" w:lineRule="auto"/>
        <w:rPr>
          <w:sz w:val="20"/>
          <w:szCs w:val="20"/>
          <w:color w:val="auto"/>
        </w:rPr>
      </w:pPr>
      <w:r>
        <w:rPr>
          <w:rFonts w:ascii="Arial" w:cs="Arial" w:eastAsia="Arial" w:hAnsi="Arial"/>
          <w:sz w:val="18"/>
          <w:szCs w:val="18"/>
          <w:color w:val="auto"/>
        </w:rPr>
        <w:t>As a result of the 72% support our Say on Pay resolution received in 2019, we expanded the usual scope of our shareholder outreach to obtain specific feedback regarding executive compensation-related matters.</w:t>
      </w:r>
    </w:p>
    <w:p>
      <w:pPr>
        <w:spacing w:after="0" w:line="129" w:lineRule="exact"/>
        <w:rPr>
          <w:sz w:val="20"/>
          <w:szCs w:val="20"/>
          <w:color w:val="auto"/>
        </w:rPr>
      </w:pPr>
    </w:p>
    <w:p>
      <w:pPr>
        <w:ind w:left="120" w:right="120"/>
        <w:spacing w:after="0" w:line="238" w:lineRule="auto"/>
        <w:rPr>
          <w:sz w:val="20"/>
          <w:szCs w:val="20"/>
          <w:color w:val="auto"/>
        </w:rPr>
      </w:pPr>
      <w:r>
        <w:rPr>
          <w:rFonts w:ascii="Arial" w:cs="Arial" w:eastAsia="Arial" w:hAnsi="Arial"/>
          <w:sz w:val="18"/>
          <w:szCs w:val="18"/>
          <w:color w:val="auto"/>
        </w:rPr>
        <w:t>A comprehensive summary of this feedback was reviewed by the Compensation &amp; Management Development Committee (“CMDC”) in making its 2019 Operating Committee (“OC”) member pay determinations. In addition, the CMDC made several enhancements to our 2019 performance share unit (“PSU”) awards and our executive compensation disclosures that are responsive to the key areas of the feedback we received, as summarized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147955</wp:posOffset>
            </wp:positionV>
            <wp:extent cx="7029450" cy="73463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029450" cy="7346315"/>
                    </a:xfrm>
                    <a:prstGeom prst="rect">
                      <a:avLst/>
                    </a:prstGeom>
                    <a:noFill/>
                  </pic:spPr>
                </pic:pic>
              </a:graphicData>
            </a:graphic>
          </wp:anchor>
        </w:drawing>
      </w:r>
    </w:p>
    <w:p>
      <w:pPr>
        <w:sectPr>
          <w:pgSz w:w="11900" w:h="16838" w:orient="portrait"/>
          <w:cols w:equalWidth="0" w:num="1">
            <w:col w:w="10940"/>
          </w:cols>
          <w:pgMar w:left="320" w:top="459" w:right="639" w:bottom="47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299"/>
        <w:spacing w:after="0"/>
        <w:rPr>
          <w:sz w:val="20"/>
          <w:szCs w:val="20"/>
          <w:color w:val="auto"/>
        </w:rPr>
      </w:pPr>
      <w:r>
        <w:rPr>
          <w:rFonts w:ascii="Arial" w:cs="Arial" w:eastAsia="Arial" w:hAnsi="Arial"/>
          <w:sz w:val="13"/>
          <w:szCs w:val="13"/>
          <w:b w:val="1"/>
          <w:bCs w:val="1"/>
          <w:color w:val="004876"/>
        </w:rPr>
        <w:t>7</w:t>
      </w:r>
    </w:p>
    <w:p>
      <w:pPr>
        <w:sectPr>
          <w:pgSz w:w="11900" w:h="16838" w:orient="portrait"/>
          <w:cols w:equalWidth="0" w:num="1">
            <w:col w:w="10940"/>
          </w:cols>
          <w:pgMar w:left="320" w:top="459" w:right="639" w:bottom="476"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4876"/>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212090</wp:posOffset>
            </wp:positionV>
            <wp:extent cx="6995160" cy="3175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95160" cy="317500"/>
                    </a:xfrm>
                    <a:prstGeom prst="rect">
                      <a:avLst/>
                    </a:prstGeom>
                    <a:noFill/>
                  </pic:spPr>
                </pic:pic>
              </a:graphicData>
            </a:graphic>
          </wp:anchor>
        </w:drawing>
      </w:r>
    </w:p>
    <w:p>
      <w:pPr>
        <w:spacing w:after="0" w:line="331" w:lineRule="exact"/>
        <w:rPr>
          <w:sz w:val="20"/>
          <w:szCs w:val="20"/>
          <w:color w:val="auto"/>
        </w:rPr>
      </w:pPr>
    </w:p>
    <w:p>
      <w:pPr>
        <w:jc w:val="center"/>
        <w:ind w:left="420" w:right="40"/>
        <w:spacing w:after="0" w:line="271" w:lineRule="auto"/>
        <w:rPr>
          <w:sz w:val="20"/>
          <w:szCs w:val="20"/>
          <w:color w:val="auto"/>
        </w:rPr>
      </w:pPr>
      <w:r>
        <w:rPr>
          <w:rFonts w:ascii="Arial" w:cs="Arial" w:eastAsia="Arial" w:hAnsi="Arial"/>
          <w:sz w:val="18"/>
          <w:szCs w:val="18"/>
          <w:b w:val="1"/>
          <w:bCs w:val="1"/>
          <w:color w:val="004876"/>
        </w:rPr>
        <w:t>In addition to the enhancements discussed on the prior page, we believe shareholders should consider three key factors in their evaluation of this year’s proposal:</w:t>
      </w:r>
    </w:p>
    <w:p>
      <w:pPr>
        <w:spacing w:after="0" w:line="10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4876"/>
        </w:rPr>
        <w:t>1. How we think about pay decisions</w:t>
      </w:r>
    </w:p>
    <w:p>
      <w:pPr>
        <w:spacing w:after="0" w:line="18" w:lineRule="exact"/>
        <w:rPr>
          <w:sz w:val="20"/>
          <w:szCs w:val="20"/>
          <w:color w:val="auto"/>
        </w:rPr>
      </w:pPr>
    </w:p>
    <w:p>
      <w:pPr>
        <w:ind w:left="120" w:right="160"/>
        <w:spacing w:after="0"/>
        <w:rPr>
          <w:sz w:val="20"/>
          <w:szCs w:val="20"/>
          <w:color w:val="auto"/>
        </w:rPr>
      </w:pPr>
      <w:r>
        <w:rPr>
          <w:rFonts w:ascii="Arial" w:cs="Arial" w:eastAsia="Arial" w:hAnsi="Arial"/>
          <w:sz w:val="18"/>
          <w:szCs w:val="18"/>
          <w:color w:val="auto"/>
        </w:rPr>
        <w:t>The Firm’s Business Principles and strategic framework form the basis of our OC members’ strategic priorities. The CMDC references those strategic priorities and the Firm’s compensation philosophy to assess OC members’ performance and to determine their respective total compensation levels and pay mix.</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4876"/>
        </w:rPr>
        <w:t>2. How we performed against our business strategy</w:t>
      </w:r>
    </w:p>
    <w:p>
      <w:pPr>
        <w:spacing w:after="0" w:line="18" w:lineRule="exact"/>
        <w:rPr>
          <w:sz w:val="20"/>
          <w:szCs w:val="20"/>
          <w:color w:val="auto"/>
        </w:rPr>
      </w:pPr>
    </w:p>
    <w:p>
      <w:pPr>
        <w:ind w:left="120" w:right="440"/>
        <w:spacing w:after="0"/>
        <w:rPr>
          <w:sz w:val="20"/>
          <w:szCs w:val="20"/>
          <w:color w:val="auto"/>
        </w:rPr>
      </w:pPr>
      <w:r>
        <w:rPr>
          <w:rFonts w:ascii="Arial" w:cs="Arial" w:eastAsia="Arial" w:hAnsi="Arial"/>
          <w:sz w:val="18"/>
          <w:szCs w:val="18"/>
          <w:color w:val="auto"/>
        </w:rPr>
        <w:t>We continued to deliver strong multi-year financial performance, invest in our future, strengthen our risk and control environment, and reinforce our culture and values, including our long-standing commitment to serve our customers, employees and communities, and conduct business in a responsible way to drive inclusive growth.</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4876"/>
        </w:rPr>
        <w:t>3. How performance determined pay in 2019</w:t>
      </w:r>
    </w:p>
    <w:p>
      <w:pPr>
        <w:spacing w:after="0" w:line="18" w:lineRule="exact"/>
        <w:rPr>
          <w:sz w:val="20"/>
          <w:szCs w:val="20"/>
          <w:color w:val="auto"/>
        </w:rPr>
      </w:pPr>
    </w:p>
    <w:p>
      <w:pPr>
        <w:ind w:left="120" w:right="120"/>
        <w:spacing w:after="0" w:line="238" w:lineRule="auto"/>
        <w:rPr>
          <w:sz w:val="20"/>
          <w:szCs w:val="20"/>
          <w:color w:val="auto"/>
        </w:rPr>
      </w:pPr>
      <w:r>
        <w:rPr>
          <w:rFonts w:ascii="Arial" w:cs="Arial" w:eastAsia="Arial" w:hAnsi="Arial"/>
          <w:sz w:val="18"/>
          <w:szCs w:val="18"/>
          <w:color w:val="auto"/>
        </w:rPr>
        <w:t>In determining OC member pay, the CMDC took into account performance across four broad performance dimensions: Business Results; Risk, Controls &amp; Conduct; Client/Customer/Stakeholder; and Teamwork &amp; Leadership. CEO pay is strongly aligned to the Firm’s short-, medium- and long-term performance, with approximately 83% of the CEO’s variable pay deferred into equity, of which 100% is in at-risk PSUs. Other NEO pay is also strongly aligned to Firm and LOB performance, with a majority of variable pay deferred into equity, of which 50% is in at-risk PSUs.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146050</wp:posOffset>
            </wp:positionV>
            <wp:extent cx="6995160" cy="18859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95160" cy="188595"/>
                    </a:xfrm>
                    <a:prstGeom prst="rect">
                      <a:avLst/>
                    </a:prstGeom>
                    <a:noFill/>
                  </pic:spPr>
                </pic:pic>
              </a:graphicData>
            </a:graphic>
          </wp:anchor>
        </w:drawing>
      </w:r>
    </w:p>
    <w:p>
      <w:pPr>
        <w:spacing w:after="0" w:line="22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004876"/>
        </w:rPr>
        <w:t>Disciplined performance assessment process to determine pay</w:t>
      </w:r>
    </w:p>
    <w:p>
      <w:pPr>
        <w:spacing w:after="0" w:line="139" w:lineRule="exact"/>
        <w:rPr>
          <w:sz w:val="20"/>
          <w:szCs w:val="20"/>
          <w:color w:val="auto"/>
        </w:rPr>
      </w:pPr>
    </w:p>
    <w:p>
      <w:pPr>
        <w:ind w:left="120" w:right="1000"/>
        <w:spacing w:after="0" w:line="246" w:lineRule="auto"/>
        <w:rPr>
          <w:sz w:val="20"/>
          <w:szCs w:val="20"/>
          <w:color w:val="auto"/>
        </w:rPr>
      </w:pPr>
      <w:r>
        <w:rPr>
          <w:rFonts w:ascii="Arial" w:cs="Arial" w:eastAsia="Arial" w:hAnsi="Arial"/>
          <w:sz w:val="18"/>
          <w:szCs w:val="18"/>
          <w:color w:val="auto"/>
        </w:rPr>
        <w:t>The CMDC uses a balanced discretionary approach to determine annual compensation by assessing performance against the aforementioned four broad dimensions over a sustained period of time.</w:t>
      </w:r>
    </w:p>
    <w:p>
      <w:pPr>
        <w:spacing w:after="0" w:line="129" w:lineRule="exact"/>
        <w:rPr>
          <w:sz w:val="20"/>
          <w:szCs w:val="20"/>
          <w:color w:val="auto"/>
        </w:rPr>
      </w:pPr>
    </w:p>
    <w:p>
      <w:pPr>
        <w:ind w:left="120" w:right="80"/>
        <w:spacing w:after="0" w:line="237" w:lineRule="auto"/>
        <w:rPr>
          <w:sz w:val="20"/>
          <w:szCs w:val="20"/>
          <w:color w:val="auto"/>
        </w:rPr>
      </w:pPr>
      <w:r>
        <w:rPr>
          <w:rFonts w:ascii="Arial" w:cs="Arial" w:eastAsia="Arial" w:hAnsi="Arial"/>
          <w:sz w:val="18"/>
          <w:szCs w:val="18"/>
          <w:color w:val="auto"/>
        </w:rPr>
        <w:t>In its assessment of the Operating Committee’s 2019 performance as a whole, the CMDC took into account that the Firm achieved record financial performance across several measures and continued to execute well on its long-term business strategy, among other factors. Consideration of such strong performance in isolation could have justified significantly increasing the OC members’ 2019 total compensation awards. However, in making their ultimate OC member pay decisions, the CMDC and the Board further considered that rationale against other determinants that included a balanced assessment of the strong progress that was made against Firmwide initiatives, reinforcing our culture and values, addressing issues and enhancing controls, as well as the value of each individual OC member’s respective seat and the competitiveness of their respective pay levels.</w:t>
      </w:r>
    </w:p>
    <w:p>
      <w:pPr>
        <w:spacing w:after="0" w:line="12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table below summarizes the salary and incentive compensation awarded to our NEOs for 2019 performance.</w:t>
      </w:r>
    </w:p>
    <w:p>
      <w:pPr>
        <w:spacing w:after="0" w:line="24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60" w:type="dxa"/>
            <w:vAlign w:val="bottom"/>
            <w:tcBorders>
              <w:bottom w:val="single" w:sz="8" w:color="333333"/>
            </w:tcBorders>
          </w:tcPr>
          <w:p>
            <w:pPr>
              <w:spacing w:after="0"/>
              <w:rPr>
                <w:sz w:val="14"/>
                <w:szCs w:val="14"/>
                <w:color w:val="auto"/>
              </w:rPr>
            </w:pPr>
          </w:p>
        </w:tc>
        <w:tc>
          <w:tcPr>
            <w:tcW w:w="2660" w:type="dxa"/>
            <w:vAlign w:val="bottom"/>
            <w:tcBorders>
              <w:bottom w:val="single" w:sz="8" w:color="333333"/>
            </w:tcBorders>
            <w:gridSpan w:val="3"/>
          </w:tcPr>
          <w:p>
            <w:pPr>
              <w:jc w:val="right"/>
              <w:ind w:right="1008"/>
              <w:spacing w:after="0"/>
              <w:rPr>
                <w:sz w:val="20"/>
                <w:szCs w:val="20"/>
                <w:color w:val="auto"/>
              </w:rPr>
            </w:pPr>
            <w:r>
              <w:rPr>
                <w:rFonts w:ascii="Arial" w:cs="Arial" w:eastAsia="Arial" w:hAnsi="Arial"/>
                <w:sz w:val="14"/>
                <w:szCs w:val="14"/>
                <w:color w:val="auto"/>
              </w:rPr>
              <w:t>Incentive Compensation</w:t>
            </w: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39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40" w:type="dxa"/>
            <w:vAlign w:val="bottom"/>
            <w:gridSpan w:val="2"/>
          </w:tcPr>
          <w:p>
            <w:pPr>
              <w:jc w:val="right"/>
              <w:ind w:right="188"/>
              <w:spacing w:after="0"/>
              <w:rPr>
                <w:sz w:val="20"/>
                <w:szCs w:val="20"/>
                <w:color w:val="auto"/>
              </w:rPr>
            </w:pPr>
            <w:r>
              <w:rPr>
                <w:rFonts w:ascii="Arial" w:cs="Arial" w:eastAsia="Arial" w:hAnsi="Arial"/>
                <w:sz w:val="14"/>
                <w:szCs w:val="14"/>
                <w:color w:val="004876"/>
              </w:rPr>
              <w:t>Restricted</w:t>
            </w:r>
          </w:p>
        </w:tc>
        <w:tc>
          <w:tcPr>
            <w:tcW w:w="1320" w:type="dxa"/>
            <w:vAlign w:val="bottom"/>
          </w:tcPr>
          <w:p>
            <w:pPr>
              <w:jc w:val="right"/>
              <w:ind w:right="168"/>
              <w:spacing w:after="0"/>
              <w:rPr>
                <w:sz w:val="20"/>
                <w:szCs w:val="20"/>
                <w:color w:val="auto"/>
              </w:rPr>
            </w:pPr>
            <w:r>
              <w:rPr>
                <w:rFonts w:ascii="Arial" w:cs="Arial" w:eastAsia="Arial" w:hAnsi="Arial"/>
                <w:sz w:val="14"/>
                <w:szCs w:val="14"/>
                <w:color w:val="004876"/>
              </w:rPr>
              <w:t>Performance</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960" w:type="dxa"/>
            <w:vAlign w:val="bottom"/>
            <w:tcBorders>
              <w:bottom w:val="single" w:sz="8" w:color="333333"/>
            </w:tcBorders>
          </w:tcPr>
          <w:p>
            <w:pPr>
              <w:ind w:left="60"/>
              <w:spacing w:after="0"/>
              <w:rPr>
                <w:sz w:val="20"/>
                <w:szCs w:val="20"/>
                <w:color w:val="auto"/>
              </w:rPr>
            </w:pPr>
            <w:r>
              <w:rPr>
                <w:rFonts w:ascii="Arial" w:cs="Arial" w:eastAsia="Arial" w:hAnsi="Arial"/>
                <w:sz w:val="14"/>
                <w:szCs w:val="14"/>
                <w:color w:val="004876"/>
              </w:rPr>
              <w:t>Name and principal position</w:t>
            </w:r>
          </w:p>
        </w:tc>
        <w:tc>
          <w:tcPr>
            <w:tcW w:w="2000" w:type="dxa"/>
            <w:vAlign w:val="bottom"/>
            <w:tcBorders>
              <w:bottom w:val="single" w:sz="8" w:color="333333"/>
            </w:tcBorders>
          </w:tcPr>
          <w:p>
            <w:pPr>
              <w:jc w:val="right"/>
              <w:ind w:right="348"/>
              <w:spacing w:after="0"/>
              <w:rPr>
                <w:sz w:val="20"/>
                <w:szCs w:val="20"/>
                <w:color w:val="auto"/>
              </w:rPr>
            </w:pPr>
            <w:r>
              <w:rPr>
                <w:rFonts w:ascii="Arial" w:cs="Arial" w:eastAsia="Arial" w:hAnsi="Arial"/>
                <w:sz w:val="14"/>
                <w:szCs w:val="14"/>
                <w:color w:val="004876"/>
              </w:rPr>
              <w:t>Salary</w:t>
            </w:r>
          </w:p>
        </w:tc>
        <w:tc>
          <w:tcPr>
            <w:tcW w:w="1060" w:type="dxa"/>
            <w:vAlign w:val="bottom"/>
            <w:tcBorders>
              <w:bottom w:val="single" w:sz="8" w:color="333333"/>
            </w:tcBorders>
          </w:tcPr>
          <w:p>
            <w:pPr>
              <w:jc w:val="right"/>
              <w:ind w:right="188"/>
              <w:spacing w:after="0"/>
              <w:rPr>
                <w:sz w:val="20"/>
                <w:szCs w:val="20"/>
                <w:color w:val="auto"/>
              </w:rPr>
            </w:pPr>
            <w:r>
              <w:rPr>
                <w:rFonts w:ascii="Arial" w:cs="Arial" w:eastAsia="Arial" w:hAnsi="Arial"/>
                <w:sz w:val="14"/>
                <w:szCs w:val="14"/>
                <w:color w:val="004876"/>
              </w:rPr>
              <w:t>Cash</w:t>
            </w:r>
          </w:p>
        </w:tc>
        <w:tc>
          <w:tcPr>
            <w:tcW w:w="1340" w:type="dxa"/>
            <w:vAlign w:val="bottom"/>
            <w:tcBorders>
              <w:bottom w:val="single" w:sz="8" w:color="333333"/>
            </w:tcBorders>
            <w:gridSpan w:val="2"/>
          </w:tcPr>
          <w:p>
            <w:pPr>
              <w:jc w:val="right"/>
              <w:ind w:right="168"/>
              <w:spacing w:after="0"/>
              <w:rPr>
                <w:sz w:val="20"/>
                <w:szCs w:val="20"/>
                <w:color w:val="auto"/>
              </w:rPr>
            </w:pPr>
            <w:r>
              <w:rPr>
                <w:rFonts w:ascii="Arial" w:cs="Arial" w:eastAsia="Arial" w:hAnsi="Arial"/>
                <w:sz w:val="14"/>
                <w:szCs w:val="14"/>
                <w:color w:val="004876"/>
              </w:rPr>
              <w:t>stock units</w:t>
            </w:r>
          </w:p>
        </w:tc>
        <w:tc>
          <w:tcPr>
            <w:tcW w:w="1320" w:type="dxa"/>
            <w:vAlign w:val="bottom"/>
            <w:tcBorders>
              <w:bottom w:val="single" w:sz="8" w:color="333333"/>
            </w:tcBorders>
          </w:tcPr>
          <w:p>
            <w:pPr>
              <w:jc w:val="right"/>
              <w:ind w:right="228"/>
              <w:spacing w:after="0"/>
              <w:rPr>
                <w:sz w:val="20"/>
                <w:szCs w:val="20"/>
                <w:color w:val="auto"/>
              </w:rPr>
            </w:pPr>
            <w:r>
              <w:rPr>
                <w:rFonts w:ascii="Arial" w:cs="Arial" w:eastAsia="Arial" w:hAnsi="Arial"/>
                <w:sz w:val="14"/>
                <w:szCs w:val="14"/>
                <w:color w:val="004876"/>
              </w:rPr>
              <w:t>share units</w:t>
            </w:r>
          </w:p>
        </w:tc>
        <w:tc>
          <w:tcPr>
            <w:tcW w:w="1340" w:type="dxa"/>
            <w:vAlign w:val="bottom"/>
            <w:tcBorders>
              <w:bottom w:val="single" w:sz="8" w:color="333333"/>
            </w:tcBorders>
          </w:tcPr>
          <w:p>
            <w:pPr>
              <w:jc w:val="right"/>
              <w:ind w:right="448"/>
              <w:spacing w:after="0"/>
              <w:rPr>
                <w:sz w:val="20"/>
                <w:szCs w:val="20"/>
                <w:color w:val="auto"/>
              </w:rPr>
            </w:pPr>
            <w:r>
              <w:rPr>
                <w:rFonts w:ascii="Arial" w:cs="Arial" w:eastAsia="Arial" w:hAnsi="Arial"/>
                <w:sz w:val="14"/>
                <w:szCs w:val="14"/>
                <w:color w:val="004876"/>
              </w:rPr>
              <w:t>Total</w:t>
            </w:r>
          </w:p>
        </w:tc>
        <w:tc>
          <w:tcPr>
            <w:tcW w:w="0" w:type="dxa"/>
            <w:vAlign w:val="bottom"/>
          </w:tcPr>
          <w:p>
            <w:pPr>
              <w:spacing w:after="0"/>
              <w:rPr>
                <w:sz w:val="1"/>
                <w:szCs w:val="1"/>
                <w:color w:val="auto"/>
              </w:rPr>
            </w:pPr>
          </w:p>
        </w:tc>
      </w:tr>
      <w:tr>
        <w:trPr>
          <w:trHeight w:val="309"/>
        </w:trPr>
        <w:tc>
          <w:tcPr>
            <w:tcW w:w="3960" w:type="dxa"/>
            <w:vAlign w:val="bottom"/>
          </w:tcPr>
          <w:p>
            <w:pPr>
              <w:ind w:left="60"/>
              <w:spacing w:after="0"/>
              <w:rPr>
                <w:sz w:val="20"/>
                <w:szCs w:val="20"/>
                <w:color w:val="auto"/>
              </w:rPr>
            </w:pPr>
            <w:r>
              <w:rPr>
                <w:rFonts w:ascii="Arial" w:cs="Arial" w:eastAsia="Arial" w:hAnsi="Arial"/>
                <w:sz w:val="14"/>
                <w:szCs w:val="14"/>
                <w:b w:val="1"/>
                <w:bCs w:val="1"/>
                <w:color w:val="auto"/>
              </w:rPr>
              <w:t>James Dimon</w:t>
            </w:r>
          </w:p>
        </w:tc>
        <w:tc>
          <w:tcPr>
            <w:tcW w:w="2000" w:type="dxa"/>
            <w:vAlign w:val="bottom"/>
            <w:vMerge w:val="restart"/>
          </w:tcPr>
          <w:p>
            <w:pPr>
              <w:jc w:val="right"/>
              <w:ind w:right="148"/>
              <w:spacing w:after="0"/>
              <w:rPr>
                <w:sz w:val="20"/>
                <w:szCs w:val="20"/>
                <w:color w:val="auto"/>
              </w:rPr>
            </w:pPr>
            <w:r>
              <w:rPr>
                <w:rFonts w:ascii="Arial" w:cs="Arial" w:eastAsia="Arial" w:hAnsi="Arial"/>
                <w:sz w:val="14"/>
                <w:szCs w:val="14"/>
                <w:color w:val="auto"/>
              </w:rPr>
              <w:t>$ 1,500,000</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$ 5,000,000</w:t>
            </w: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1320" w:type="dxa"/>
            <w:vAlign w:val="bottom"/>
            <w:vMerge w:val="restart"/>
          </w:tcPr>
          <w:p>
            <w:pPr>
              <w:jc w:val="right"/>
              <w:ind w:right="128"/>
              <w:spacing w:after="0"/>
              <w:rPr>
                <w:sz w:val="20"/>
                <w:szCs w:val="20"/>
                <w:color w:val="auto"/>
              </w:rPr>
            </w:pPr>
            <w:r>
              <w:rPr>
                <w:rFonts w:ascii="Arial" w:cs="Arial" w:eastAsia="Arial" w:hAnsi="Arial"/>
                <w:sz w:val="14"/>
                <w:szCs w:val="14"/>
                <w:color w:val="auto"/>
              </w:rPr>
              <w:t>$ 25,000,000</w:t>
            </w:r>
          </w:p>
        </w:tc>
        <w:tc>
          <w:tcPr>
            <w:tcW w:w="1340" w:type="dxa"/>
            <w:vAlign w:val="bottom"/>
            <w:vMerge w:val="restart"/>
          </w:tcPr>
          <w:p>
            <w:pPr>
              <w:jc w:val="right"/>
              <w:ind w:right="148"/>
              <w:spacing w:after="0"/>
              <w:rPr>
                <w:sz w:val="20"/>
                <w:szCs w:val="20"/>
                <w:color w:val="auto"/>
              </w:rPr>
            </w:pPr>
            <w:r>
              <w:rPr>
                <w:rFonts w:ascii="Arial" w:cs="Arial" w:eastAsia="Arial" w:hAnsi="Arial"/>
                <w:sz w:val="14"/>
                <w:szCs w:val="14"/>
                <w:color w:val="auto"/>
              </w:rPr>
              <w:t>$ 31,500,000</w:t>
            </w:r>
          </w:p>
        </w:tc>
        <w:tc>
          <w:tcPr>
            <w:tcW w:w="0" w:type="dxa"/>
            <w:vAlign w:val="bottom"/>
          </w:tcPr>
          <w:p>
            <w:pPr>
              <w:spacing w:after="0"/>
              <w:rPr>
                <w:sz w:val="1"/>
                <w:szCs w:val="1"/>
                <w:color w:val="auto"/>
              </w:rPr>
            </w:pPr>
          </w:p>
        </w:tc>
      </w:tr>
      <w:tr>
        <w:trPr>
          <w:trHeight w:val="172"/>
        </w:trPr>
        <w:tc>
          <w:tcPr>
            <w:tcW w:w="3960" w:type="dxa"/>
            <w:vAlign w:val="bottom"/>
          </w:tcPr>
          <w:p>
            <w:pPr>
              <w:ind w:left="60"/>
              <w:spacing w:after="0"/>
              <w:rPr>
                <w:sz w:val="20"/>
                <w:szCs w:val="20"/>
                <w:color w:val="auto"/>
              </w:rPr>
            </w:pPr>
            <w:r>
              <w:rPr>
                <w:rFonts w:ascii="Arial" w:cs="Arial" w:eastAsia="Arial" w:hAnsi="Arial"/>
                <w:sz w:val="14"/>
                <w:szCs w:val="14"/>
                <w:color w:val="auto"/>
              </w:rPr>
              <w:t>Chairman and CEO</w:t>
            </w:r>
          </w:p>
        </w:tc>
        <w:tc>
          <w:tcPr>
            <w:tcW w:w="200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960" w:type="dxa"/>
            <w:vAlign w:val="bottom"/>
            <w:tcBorders>
              <w:bottom w:val="single" w:sz="8" w:color="333333"/>
            </w:tcBorders>
          </w:tcPr>
          <w:p>
            <w:pPr>
              <w:spacing w:after="0"/>
              <w:rPr>
                <w:sz w:val="13"/>
                <w:szCs w:val="13"/>
                <w:color w:val="auto"/>
              </w:rPr>
            </w:pPr>
          </w:p>
        </w:tc>
        <w:tc>
          <w:tcPr>
            <w:tcW w:w="2000" w:type="dxa"/>
            <w:vAlign w:val="bottom"/>
            <w:tcBorders>
              <w:bottom w:val="single" w:sz="8" w:color="333333"/>
            </w:tcBorders>
          </w:tcPr>
          <w:p>
            <w:pPr>
              <w:spacing w:after="0"/>
              <w:rPr>
                <w:sz w:val="13"/>
                <w:szCs w:val="13"/>
                <w:color w:val="auto"/>
              </w:rPr>
            </w:pPr>
          </w:p>
        </w:tc>
        <w:tc>
          <w:tcPr>
            <w:tcW w:w="1060" w:type="dxa"/>
            <w:vAlign w:val="bottom"/>
            <w:tcBorders>
              <w:bottom w:val="single" w:sz="8" w:color="333333"/>
            </w:tcBorders>
          </w:tcPr>
          <w:p>
            <w:pPr>
              <w:spacing w:after="0"/>
              <w:rPr>
                <w:sz w:val="13"/>
                <w:szCs w:val="13"/>
                <w:color w:val="auto"/>
              </w:rPr>
            </w:pPr>
          </w:p>
        </w:tc>
        <w:tc>
          <w:tcPr>
            <w:tcW w:w="480" w:type="dxa"/>
            <w:vAlign w:val="bottom"/>
            <w:tcBorders>
              <w:bottom w:val="single" w:sz="8" w:color="333333"/>
            </w:tcBorders>
          </w:tcPr>
          <w:p>
            <w:pPr>
              <w:spacing w:after="0"/>
              <w:rPr>
                <w:sz w:val="13"/>
                <w:szCs w:val="13"/>
                <w:color w:val="auto"/>
              </w:rPr>
            </w:pPr>
          </w:p>
        </w:tc>
        <w:tc>
          <w:tcPr>
            <w:tcW w:w="860" w:type="dxa"/>
            <w:vAlign w:val="bottom"/>
            <w:tcBorders>
              <w:bottom w:val="single" w:sz="8" w:color="333333"/>
            </w:tcBorders>
          </w:tcPr>
          <w:p>
            <w:pPr>
              <w:spacing w:after="0"/>
              <w:rPr>
                <w:sz w:val="13"/>
                <w:szCs w:val="13"/>
                <w:color w:val="auto"/>
              </w:rPr>
            </w:pPr>
          </w:p>
        </w:tc>
        <w:tc>
          <w:tcPr>
            <w:tcW w:w="1320" w:type="dxa"/>
            <w:vAlign w:val="bottom"/>
            <w:tcBorders>
              <w:bottom w:val="single" w:sz="8" w:color="333333"/>
            </w:tcBorders>
          </w:tcPr>
          <w:p>
            <w:pPr>
              <w:spacing w:after="0"/>
              <w:rPr>
                <w:sz w:val="13"/>
                <w:szCs w:val="13"/>
                <w:color w:val="auto"/>
              </w:rPr>
            </w:pPr>
          </w:p>
        </w:tc>
        <w:tc>
          <w:tcPr>
            <w:tcW w:w="1340" w:type="dxa"/>
            <w:vAlign w:val="bottom"/>
            <w:tcBorders>
              <w:bottom w:val="single" w:sz="8" w:color="333333"/>
            </w:tcBorders>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3960" w:type="dxa"/>
            <w:vAlign w:val="bottom"/>
          </w:tcPr>
          <w:p>
            <w:pPr>
              <w:ind w:left="60"/>
              <w:spacing w:after="0" w:line="241" w:lineRule="exact"/>
              <w:rPr>
                <w:sz w:val="20"/>
                <w:szCs w:val="20"/>
                <w:color w:val="auto"/>
              </w:rPr>
            </w:pPr>
            <w:r>
              <w:rPr>
                <w:rFonts w:ascii="Arial" w:cs="Arial" w:eastAsia="Arial" w:hAnsi="Arial"/>
                <w:sz w:val="14"/>
                <w:szCs w:val="14"/>
                <w:b w:val="1"/>
                <w:bCs w:val="1"/>
                <w:color w:val="auto"/>
              </w:rPr>
              <w:t>Daniel Pinto</w:t>
            </w:r>
            <w:r>
              <w:rPr>
                <w:rFonts w:ascii="Arial" w:cs="Arial" w:eastAsia="Arial" w:hAnsi="Arial"/>
                <w:sz w:val="24"/>
                <w:szCs w:val="24"/>
                <w:b w:val="1"/>
                <w:bCs w:val="1"/>
                <w:color w:val="auto"/>
                <w:vertAlign w:val="superscript"/>
              </w:rPr>
              <w:t>1</w:t>
            </w:r>
          </w:p>
        </w:tc>
        <w:tc>
          <w:tcPr>
            <w:tcW w:w="20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3960" w:type="dxa"/>
            <w:vAlign w:val="bottom"/>
          </w:tcPr>
          <w:p>
            <w:pPr>
              <w:ind w:left="60"/>
              <w:spacing w:after="0"/>
              <w:rPr>
                <w:sz w:val="20"/>
                <w:szCs w:val="20"/>
                <w:color w:val="auto"/>
              </w:rPr>
            </w:pPr>
            <w:r>
              <w:rPr>
                <w:rFonts w:ascii="Arial" w:cs="Arial" w:eastAsia="Arial" w:hAnsi="Arial"/>
                <w:sz w:val="14"/>
                <w:szCs w:val="14"/>
                <w:color w:val="auto"/>
              </w:rPr>
              <w:t>Co-President and Co-Chief Operating Officer;</w:t>
            </w:r>
          </w:p>
        </w:tc>
        <w:tc>
          <w:tcPr>
            <w:tcW w:w="2000" w:type="dxa"/>
            <w:vAlign w:val="bottom"/>
            <w:vMerge w:val="restart"/>
          </w:tcPr>
          <w:p>
            <w:pPr>
              <w:jc w:val="right"/>
              <w:ind w:right="148"/>
              <w:spacing w:after="0"/>
              <w:rPr>
                <w:sz w:val="20"/>
                <w:szCs w:val="20"/>
                <w:color w:val="auto"/>
              </w:rPr>
            </w:pPr>
            <w:r>
              <w:rPr>
                <w:rFonts w:ascii="Arial" w:cs="Arial" w:eastAsia="Arial" w:hAnsi="Arial"/>
                <w:sz w:val="14"/>
                <w:szCs w:val="14"/>
                <w:color w:val="auto"/>
              </w:rPr>
              <w:t>8,239,222</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4"/>
                <w:szCs w:val="14"/>
                <w:color w:val="auto"/>
              </w:rPr>
            </w:pPr>
          </w:p>
        </w:tc>
        <w:tc>
          <w:tcPr>
            <w:tcW w:w="860" w:type="dxa"/>
            <w:vAlign w:val="bottom"/>
            <w:vMerge w:val="restart"/>
          </w:tcPr>
          <w:p>
            <w:pPr>
              <w:jc w:val="right"/>
              <w:ind w:right="128"/>
              <w:spacing w:after="0"/>
              <w:rPr>
                <w:sz w:val="20"/>
                <w:szCs w:val="20"/>
                <w:color w:val="auto"/>
              </w:rPr>
            </w:pPr>
            <w:r>
              <w:rPr>
                <w:rFonts w:ascii="Arial" w:cs="Arial" w:eastAsia="Arial" w:hAnsi="Arial"/>
                <w:sz w:val="14"/>
                <w:szCs w:val="14"/>
                <w:color w:val="auto"/>
              </w:rPr>
              <w:t>7,130,389</w:t>
            </w:r>
          </w:p>
        </w:tc>
        <w:tc>
          <w:tcPr>
            <w:tcW w:w="1320" w:type="dxa"/>
            <w:vAlign w:val="bottom"/>
            <w:vMerge w:val="restart"/>
          </w:tcPr>
          <w:p>
            <w:pPr>
              <w:jc w:val="right"/>
              <w:ind w:right="128"/>
              <w:spacing w:after="0"/>
              <w:rPr>
                <w:sz w:val="20"/>
                <w:szCs w:val="20"/>
                <w:color w:val="auto"/>
              </w:rPr>
            </w:pPr>
            <w:r>
              <w:rPr>
                <w:rFonts w:ascii="Arial" w:cs="Arial" w:eastAsia="Arial" w:hAnsi="Arial"/>
                <w:sz w:val="14"/>
                <w:szCs w:val="14"/>
                <w:color w:val="auto"/>
              </w:rPr>
              <w:t>7,130,389</w:t>
            </w:r>
          </w:p>
        </w:tc>
        <w:tc>
          <w:tcPr>
            <w:tcW w:w="1340" w:type="dxa"/>
            <w:vAlign w:val="bottom"/>
            <w:vMerge w:val="restart"/>
          </w:tcPr>
          <w:p>
            <w:pPr>
              <w:jc w:val="right"/>
              <w:ind w:right="148"/>
              <w:spacing w:after="0"/>
              <w:rPr>
                <w:sz w:val="20"/>
                <w:szCs w:val="20"/>
                <w:color w:val="auto"/>
              </w:rPr>
            </w:pPr>
            <w:r>
              <w:rPr>
                <w:rFonts w:ascii="Arial" w:cs="Arial" w:eastAsia="Arial" w:hAnsi="Arial"/>
                <w:sz w:val="14"/>
                <w:szCs w:val="14"/>
                <w:color w:val="auto"/>
              </w:rPr>
              <w:t>22,500,000</w:t>
            </w:r>
          </w:p>
        </w:tc>
        <w:tc>
          <w:tcPr>
            <w:tcW w:w="0" w:type="dxa"/>
            <w:vAlign w:val="bottom"/>
          </w:tcPr>
          <w:p>
            <w:pPr>
              <w:spacing w:after="0"/>
              <w:rPr>
                <w:sz w:val="1"/>
                <w:szCs w:val="1"/>
                <w:color w:val="auto"/>
              </w:rPr>
            </w:pPr>
          </w:p>
        </w:tc>
      </w:tr>
      <w:tr>
        <w:trPr>
          <w:trHeight w:val="64"/>
        </w:trPr>
        <w:tc>
          <w:tcPr>
            <w:tcW w:w="3960" w:type="dxa"/>
            <w:vAlign w:val="bottom"/>
            <w:vMerge w:val="restart"/>
          </w:tcPr>
          <w:p>
            <w:pPr>
              <w:ind w:left="60"/>
              <w:spacing w:after="0"/>
              <w:rPr>
                <w:sz w:val="20"/>
                <w:szCs w:val="20"/>
                <w:color w:val="auto"/>
              </w:rPr>
            </w:pPr>
            <w:r>
              <w:rPr>
                <w:rFonts w:ascii="Arial" w:cs="Arial" w:eastAsia="Arial" w:hAnsi="Arial"/>
                <w:sz w:val="14"/>
                <w:szCs w:val="14"/>
                <w:color w:val="auto"/>
              </w:rPr>
              <w:t>CEO Corporate &amp; Investment Bank</w:t>
            </w:r>
          </w:p>
        </w:tc>
        <w:tc>
          <w:tcPr>
            <w:tcW w:w="200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1320" w:type="dxa"/>
            <w:vAlign w:val="bottom"/>
            <w:vMerge w:val="continue"/>
          </w:tcPr>
          <w:p>
            <w:pPr>
              <w:spacing w:after="0"/>
              <w:rPr>
                <w:sz w:val="5"/>
                <w:szCs w:val="5"/>
                <w:color w:val="auto"/>
              </w:rPr>
            </w:pPr>
          </w:p>
        </w:tc>
        <w:tc>
          <w:tcPr>
            <w:tcW w:w="1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3960" w:type="dxa"/>
            <w:vAlign w:val="bottom"/>
            <w:vMerge w:val="continue"/>
          </w:tcPr>
          <w:p>
            <w:pPr>
              <w:spacing w:after="0"/>
              <w:rPr>
                <w:sz w:val="9"/>
                <w:szCs w:val="9"/>
                <w:color w:val="auto"/>
              </w:rPr>
            </w:pPr>
          </w:p>
        </w:tc>
        <w:tc>
          <w:tcPr>
            <w:tcW w:w="20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3960" w:type="dxa"/>
            <w:vAlign w:val="bottom"/>
            <w:tcBorders>
              <w:bottom w:val="single" w:sz="8" w:color="333333"/>
            </w:tcBorders>
          </w:tcPr>
          <w:p>
            <w:pPr>
              <w:spacing w:after="0"/>
              <w:rPr>
                <w:sz w:val="8"/>
                <w:szCs w:val="8"/>
                <w:color w:val="auto"/>
              </w:rPr>
            </w:pPr>
          </w:p>
        </w:tc>
        <w:tc>
          <w:tcPr>
            <w:tcW w:w="2000" w:type="dxa"/>
            <w:vAlign w:val="bottom"/>
            <w:tcBorders>
              <w:bottom w:val="single" w:sz="8" w:color="333333"/>
            </w:tcBorders>
          </w:tcPr>
          <w:p>
            <w:pPr>
              <w:spacing w:after="0"/>
              <w:rPr>
                <w:sz w:val="8"/>
                <w:szCs w:val="8"/>
                <w:color w:val="auto"/>
              </w:rPr>
            </w:pPr>
          </w:p>
        </w:tc>
        <w:tc>
          <w:tcPr>
            <w:tcW w:w="1060" w:type="dxa"/>
            <w:vAlign w:val="bottom"/>
            <w:tcBorders>
              <w:bottom w:val="single" w:sz="8" w:color="333333"/>
            </w:tcBorders>
          </w:tcPr>
          <w:p>
            <w:pPr>
              <w:spacing w:after="0"/>
              <w:rPr>
                <w:sz w:val="8"/>
                <w:szCs w:val="8"/>
                <w:color w:val="auto"/>
              </w:rPr>
            </w:pPr>
          </w:p>
        </w:tc>
        <w:tc>
          <w:tcPr>
            <w:tcW w:w="480" w:type="dxa"/>
            <w:vAlign w:val="bottom"/>
            <w:tcBorders>
              <w:bottom w:val="single" w:sz="8" w:color="333333"/>
            </w:tcBorders>
          </w:tcPr>
          <w:p>
            <w:pPr>
              <w:spacing w:after="0"/>
              <w:rPr>
                <w:sz w:val="8"/>
                <w:szCs w:val="8"/>
                <w:color w:val="auto"/>
              </w:rPr>
            </w:pPr>
          </w:p>
        </w:tc>
        <w:tc>
          <w:tcPr>
            <w:tcW w:w="860" w:type="dxa"/>
            <w:vAlign w:val="bottom"/>
            <w:tcBorders>
              <w:bottom w:val="single" w:sz="8" w:color="333333"/>
            </w:tcBorders>
          </w:tcPr>
          <w:p>
            <w:pPr>
              <w:spacing w:after="0"/>
              <w:rPr>
                <w:sz w:val="8"/>
                <w:szCs w:val="8"/>
                <w:color w:val="auto"/>
              </w:rPr>
            </w:pPr>
          </w:p>
        </w:tc>
        <w:tc>
          <w:tcPr>
            <w:tcW w:w="1320" w:type="dxa"/>
            <w:vAlign w:val="bottom"/>
            <w:tcBorders>
              <w:bottom w:val="single" w:sz="8" w:color="333333"/>
            </w:tcBorders>
          </w:tcPr>
          <w:p>
            <w:pPr>
              <w:spacing w:after="0"/>
              <w:rPr>
                <w:sz w:val="8"/>
                <w:szCs w:val="8"/>
                <w:color w:val="auto"/>
              </w:rPr>
            </w:pPr>
          </w:p>
        </w:tc>
        <w:tc>
          <w:tcPr>
            <w:tcW w:w="1340" w:type="dxa"/>
            <w:vAlign w:val="bottom"/>
            <w:tcBorders>
              <w:bottom w:val="single" w:sz="8" w:color="333333"/>
            </w:tcBorders>
          </w:tcPr>
          <w:p>
            <w:pPr>
              <w:spacing w:after="0"/>
              <w:rPr>
                <w:sz w:val="8"/>
                <w:szCs w:val="8"/>
                <w:color w:val="auto"/>
              </w:rPr>
            </w:pPr>
          </w:p>
        </w:tc>
        <w:tc>
          <w:tcPr>
            <w:tcW w:w="0" w:type="dxa"/>
            <w:vAlign w:val="bottom"/>
          </w:tcPr>
          <w:p>
            <w:pPr>
              <w:spacing w:after="0"/>
              <w:rPr>
                <w:sz w:val="1"/>
                <w:szCs w:val="1"/>
                <w:color w:val="auto"/>
              </w:rPr>
            </w:pPr>
          </w:p>
        </w:tc>
      </w:tr>
      <w:tr>
        <w:trPr>
          <w:trHeight w:val="241"/>
        </w:trPr>
        <w:tc>
          <w:tcPr>
            <w:tcW w:w="3960" w:type="dxa"/>
            <w:vAlign w:val="bottom"/>
          </w:tcPr>
          <w:p>
            <w:pPr>
              <w:ind w:left="60"/>
              <w:spacing w:after="0"/>
              <w:rPr>
                <w:sz w:val="20"/>
                <w:szCs w:val="20"/>
                <w:color w:val="auto"/>
              </w:rPr>
            </w:pPr>
            <w:r>
              <w:rPr>
                <w:rFonts w:ascii="Arial" w:cs="Arial" w:eastAsia="Arial" w:hAnsi="Arial"/>
                <w:sz w:val="14"/>
                <w:szCs w:val="14"/>
                <w:b w:val="1"/>
                <w:bCs w:val="1"/>
                <w:color w:val="auto"/>
              </w:rPr>
              <w:t>Gordon Smith</w:t>
            </w:r>
          </w:p>
        </w:tc>
        <w:tc>
          <w:tcPr>
            <w:tcW w:w="20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3960" w:type="dxa"/>
            <w:vAlign w:val="bottom"/>
          </w:tcPr>
          <w:p>
            <w:pPr>
              <w:ind w:left="60"/>
              <w:spacing w:after="0"/>
              <w:rPr>
                <w:sz w:val="20"/>
                <w:szCs w:val="20"/>
                <w:color w:val="auto"/>
              </w:rPr>
            </w:pPr>
            <w:r>
              <w:rPr>
                <w:rFonts w:ascii="Arial" w:cs="Arial" w:eastAsia="Arial" w:hAnsi="Arial"/>
                <w:sz w:val="14"/>
                <w:szCs w:val="14"/>
                <w:color w:val="auto"/>
              </w:rPr>
              <w:t>Co-President and Co-Chief Operating Officer;</w:t>
            </w:r>
          </w:p>
        </w:tc>
        <w:tc>
          <w:tcPr>
            <w:tcW w:w="2000" w:type="dxa"/>
            <w:vAlign w:val="bottom"/>
            <w:vMerge w:val="restart"/>
          </w:tcPr>
          <w:p>
            <w:pPr>
              <w:jc w:val="right"/>
              <w:ind w:right="148"/>
              <w:spacing w:after="0"/>
              <w:rPr>
                <w:sz w:val="20"/>
                <w:szCs w:val="20"/>
                <w:color w:val="auto"/>
              </w:rPr>
            </w:pPr>
            <w:r>
              <w:rPr>
                <w:rFonts w:ascii="Arial" w:cs="Arial" w:eastAsia="Arial" w:hAnsi="Arial"/>
                <w:sz w:val="14"/>
                <w:szCs w:val="14"/>
                <w:color w:val="auto"/>
              </w:rPr>
              <w:t>750,000</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8,700,000</w:t>
            </w:r>
          </w:p>
        </w:tc>
        <w:tc>
          <w:tcPr>
            <w:tcW w:w="480" w:type="dxa"/>
            <w:vAlign w:val="bottom"/>
          </w:tcPr>
          <w:p>
            <w:pPr>
              <w:spacing w:after="0"/>
              <w:rPr>
                <w:sz w:val="14"/>
                <w:szCs w:val="14"/>
                <w:color w:val="auto"/>
              </w:rPr>
            </w:pPr>
          </w:p>
        </w:tc>
        <w:tc>
          <w:tcPr>
            <w:tcW w:w="860" w:type="dxa"/>
            <w:vAlign w:val="bottom"/>
            <w:vMerge w:val="restart"/>
          </w:tcPr>
          <w:p>
            <w:pPr>
              <w:jc w:val="right"/>
              <w:ind w:right="128"/>
              <w:spacing w:after="0"/>
              <w:rPr>
                <w:sz w:val="20"/>
                <w:szCs w:val="20"/>
                <w:color w:val="auto"/>
              </w:rPr>
            </w:pPr>
            <w:r>
              <w:rPr>
                <w:rFonts w:ascii="Arial" w:cs="Arial" w:eastAsia="Arial" w:hAnsi="Arial"/>
                <w:sz w:val="14"/>
                <w:szCs w:val="14"/>
                <w:color w:val="auto"/>
              </w:rPr>
              <w:t>6,525,000</w:t>
            </w:r>
          </w:p>
        </w:tc>
        <w:tc>
          <w:tcPr>
            <w:tcW w:w="1320" w:type="dxa"/>
            <w:vAlign w:val="bottom"/>
            <w:vMerge w:val="restart"/>
          </w:tcPr>
          <w:p>
            <w:pPr>
              <w:jc w:val="right"/>
              <w:ind w:right="128"/>
              <w:spacing w:after="0"/>
              <w:rPr>
                <w:sz w:val="20"/>
                <w:szCs w:val="20"/>
                <w:color w:val="auto"/>
              </w:rPr>
            </w:pPr>
            <w:r>
              <w:rPr>
                <w:rFonts w:ascii="Arial" w:cs="Arial" w:eastAsia="Arial" w:hAnsi="Arial"/>
                <w:sz w:val="14"/>
                <w:szCs w:val="14"/>
                <w:color w:val="auto"/>
              </w:rPr>
              <w:t>6,525,000</w:t>
            </w:r>
          </w:p>
        </w:tc>
        <w:tc>
          <w:tcPr>
            <w:tcW w:w="1340" w:type="dxa"/>
            <w:vAlign w:val="bottom"/>
            <w:vMerge w:val="restart"/>
          </w:tcPr>
          <w:p>
            <w:pPr>
              <w:jc w:val="right"/>
              <w:ind w:right="148"/>
              <w:spacing w:after="0"/>
              <w:rPr>
                <w:sz w:val="20"/>
                <w:szCs w:val="20"/>
                <w:color w:val="auto"/>
              </w:rPr>
            </w:pPr>
            <w:r>
              <w:rPr>
                <w:rFonts w:ascii="Arial" w:cs="Arial" w:eastAsia="Arial" w:hAnsi="Arial"/>
                <w:sz w:val="14"/>
                <w:szCs w:val="14"/>
                <w:color w:val="auto"/>
              </w:rPr>
              <w:t>22,500,000</w:t>
            </w:r>
          </w:p>
        </w:tc>
        <w:tc>
          <w:tcPr>
            <w:tcW w:w="0" w:type="dxa"/>
            <w:vAlign w:val="bottom"/>
          </w:tcPr>
          <w:p>
            <w:pPr>
              <w:spacing w:after="0"/>
              <w:rPr>
                <w:sz w:val="1"/>
                <w:szCs w:val="1"/>
                <w:color w:val="auto"/>
              </w:rPr>
            </w:pPr>
          </w:p>
        </w:tc>
      </w:tr>
      <w:tr>
        <w:trPr>
          <w:trHeight w:val="64"/>
        </w:trPr>
        <w:tc>
          <w:tcPr>
            <w:tcW w:w="3960" w:type="dxa"/>
            <w:vAlign w:val="bottom"/>
            <w:vMerge w:val="restart"/>
          </w:tcPr>
          <w:p>
            <w:pPr>
              <w:ind w:left="60"/>
              <w:spacing w:after="0"/>
              <w:rPr>
                <w:sz w:val="20"/>
                <w:szCs w:val="20"/>
                <w:color w:val="auto"/>
              </w:rPr>
            </w:pPr>
            <w:r>
              <w:rPr>
                <w:rFonts w:ascii="Arial" w:cs="Arial" w:eastAsia="Arial" w:hAnsi="Arial"/>
                <w:sz w:val="14"/>
                <w:szCs w:val="14"/>
                <w:color w:val="auto"/>
              </w:rPr>
              <w:t>CEO Consumer &amp; Community Banking</w:t>
            </w:r>
          </w:p>
        </w:tc>
        <w:tc>
          <w:tcPr>
            <w:tcW w:w="200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1320" w:type="dxa"/>
            <w:vAlign w:val="bottom"/>
            <w:vMerge w:val="continue"/>
          </w:tcPr>
          <w:p>
            <w:pPr>
              <w:spacing w:after="0"/>
              <w:rPr>
                <w:sz w:val="5"/>
                <w:szCs w:val="5"/>
                <w:color w:val="auto"/>
              </w:rPr>
            </w:pPr>
          </w:p>
        </w:tc>
        <w:tc>
          <w:tcPr>
            <w:tcW w:w="1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3960" w:type="dxa"/>
            <w:vAlign w:val="bottom"/>
            <w:vMerge w:val="continue"/>
          </w:tcPr>
          <w:p>
            <w:pPr>
              <w:spacing w:after="0"/>
              <w:rPr>
                <w:sz w:val="9"/>
                <w:szCs w:val="9"/>
                <w:color w:val="auto"/>
              </w:rPr>
            </w:pPr>
          </w:p>
        </w:tc>
        <w:tc>
          <w:tcPr>
            <w:tcW w:w="20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3960" w:type="dxa"/>
            <w:vAlign w:val="bottom"/>
            <w:tcBorders>
              <w:bottom w:val="single" w:sz="8" w:color="333333"/>
            </w:tcBorders>
          </w:tcPr>
          <w:p>
            <w:pPr>
              <w:spacing w:after="0"/>
              <w:rPr>
                <w:sz w:val="8"/>
                <w:szCs w:val="8"/>
                <w:color w:val="auto"/>
              </w:rPr>
            </w:pPr>
          </w:p>
        </w:tc>
        <w:tc>
          <w:tcPr>
            <w:tcW w:w="2000" w:type="dxa"/>
            <w:vAlign w:val="bottom"/>
            <w:tcBorders>
              <w:bottom w:val="single" w:sz="8" w:color="333333"/>
            </w:tcBorders>
          </w:tcPr>
          <w:p>
            <w:pPr>
              <w:spacing w:after="0"/>
              <w:rPr>
                <w:sz w:val="8"/>
                <w:szCs w:val="8"/>
                <w:color w:val="auto"/>
              </w:rPr>
            </w:pPr>
          </w:p>
        </w:tc>
        <w:tc>
          <w:tcPr>
            <w:tcW w:w="1060" w:type="dxa"/>
            <w:vAlign w:val="bottom"/>
            <w:tcBorders>
              <w:bottom w:val="single" w:sz="8" w:color="333333"/>
            </w:tcBorders>
          </w:tcPr>
          <w:p>
            <w:pPr>
              <w:spacing w:after="0"/>
              <w:rPr>
                <w:sz w:val="8"/>
                <w:szCs w:val="8"/>
                <w:color w:val="auto"/>
              </w:rPr>
            </w:pPr>
          </w:p>
        </w:tc>
        <w:tc>
          <w:tcPr>
            <w:tcW w:w="480" w:type="dxa"/>
            <w:vAlign w:val="bottom"/>
            <w:tcBorders>
              <w:bottom w:val="single" w:sz="8" w:color="333333"/>
            </w:tcBorders>
          </w:tcPr>
          <w:p>
            <w:pPr>
              <w:spacing w:after="0"/>
              <w:rPr>
                <w:sz w:val="8"/>
                <w:szCs w:val="8"/>
                <w:color w:val="auto"/>
              </w:rPr>
            </w:pPr>
          </w:p>
        </w:tc>
        <w:tc>
          <w:tcPr>
            <w:tcW w:w="860" w:type="dxa"/>
            <w:vAlign w:val="bottom"/>
            <w:tcBorders>
              <w:bottom w:val="single" w:sz="8" w:color="333333"/>
            </w:tcBorders>
          </w:tcPr>
          <w:p>
            <w:pPr>
              <w:spacing w:after="0"/>
              <w:rPr>
                <w:sz w:val="8"/>
                <w:szCs w:val="8"/>
                <w:color w:val="auto"/>
              </w:rPr>
            </w:pPr>
          </w:p>
        </w:tc>
        <w:tc>
          <w:tcPr>
            <w:tcW w:w="1320" w:type="dxa"/>
            <w:vAlign w:val="bottom"/>
            <w:tcBorders>
              <w:bottom w:val="single" w:sz="8" w:color="333333"/>
            </w:tcBorders>
          </w:tcPr>
          <w:p>
            <w:pPr>
              <w:spacing w:after="0"/>
              <w:rPr>
                <w:sz w:val="8"/>
                <w:szCs w:val="8"/>
                <w:color w:val="auto"/>
              </w:rPr>
            </w:pPr>
          </w:p>
        </w:tc>
        <w:tc>
          <w:tcPr>
            <w:tcW w:w="1340" w:type="dxa"/>
            <w:vAlign w:val="bottom"/>
            <w:tcBorders>
              <w:bottom w:val="single" w:sz="8" w:color="333333"/>
            </w:tcBorders>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3960" w:type="dxa"/>
            <w:vAlign w:val="bottom"/>
          </w:tcPr>
          <w:p>
            <w:pPr>
              <w:ind w:left="60"/>
              <w:spacing w:after="0"/>
              <w:rPr>
                <w:sz w:val="20"/>
                <w:szCs w:val="20"/>
                <w:color w:val="auto"/>
              </w:rPr>
            </w:pPr>
            <w:r>
              <w:rPr>
                <w:rFonts w:ascii="Arial" w:cs="Arial" w:eastAsia="Arial" w:hAnsi="Arial"/>
                <w:sz w:val="14"/>
                <w:szCs w:val="14"/>
                <w:b w:val="1"/>
                <w:bCs w:val="1"/>
                <w:color w:val="auto"/>
              </w:rPr>
              <w:t>Mary Callahan Erdoes</w:t>
            </w:r>
          </w:p>
        </w:tc>
        <w:tc>
          <w:tcPr>
            <w:tcW w:w="2000" w:type="dxa"/>
            <w:vAlign w:val="bottom"/>
            <w:vMerge w:val="restart"/>
          </w:tcPr>
          <w:p>
            <w:pPr>
              <w:jc w:val="right"/>
              <w:ind w:right="148"/>
              <w:spacing w:after="0"/>
              <w:rPr>
                <w:sz w:val="20"/>
                <w:szCs w:val="20"/>
                <w:color w:val="auto"/>
              </w:rPr>
            </w:pPr>
            <w:r>
              <w:rPr>
                <w:rFonts w:ascii="Arial" w:cs="Arial" w:eastAsia="Arial" w:hAnsi="Arial"/>
                <w:sz w:val="14"/>
                <w:szCs w:val="14"/>
                <w:color w:val="auto"/>
              </w:rPr>
              <w:t>750,000</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8,100,000</w:t>
            </w:r>
          </w:p>
        </w:tc>
        <w:tc>
          <w:tcPr>
            <w:tcW w:w="480" w:type="dxa"/>
            <w:vAlign w:val="bottom"/>
          </w:tcPr>
          <w:p>
            <w:pPr>
              <w:spacing w:after="0"/>
              <w:rPr>
                <w:sz w:val="24"/>
                <w:szCs w:val="24"/>
                <w:color w:val="auto"/>
              </w:rPr>
            </w:pPr>
          </w:p>
        </w:tc>
        <w:tc>
          <w:tcPr>
            <w:tcW w:w="860" w:type="dxa"/>
            <w:vAlign w:val="bottom"/>
            <w:vMerge w:val="restart"/>
          </w:tcPr>
          <w:p>
            <w:pPr>
              <w:jc w:val="right"/>
              <w:ind w:right="128"/>
              <w:spacing w:after="0"/>
              <w:rPr>
                <w:sz w:val="20"/>
                <w:szCs w:val="20"/>
                <w:color w:val="auto"/>
              </w:rPr>
            </w:pPr>
            <w:r>
              <w:rPr>
                <w:rFonts w:ascii="Arial" w:cs="Arial" w:eastAsia="Arial" w:hAnsi="Arial"/>
                <w:sz w:val="14"/>
                <w:szCs w:val="14"/>
                <w:color w:val="auto"/>
              </w:rPr>
              <w:t>6,075,000</w:t>
            </w:r>
          </w:p>
        </w:tc>
        <w:tc>
          <w:tcPr>
            <w:tcW w:w="1320" w:type="dxa"/>
            <w:vAlign w:val="bottom"/>
            <w:vMerge w:val="restart"/>
          </w:tcPr>
          <w:p>
            <w:pPr>
              <w:jc w:val="right"/>
              <w:ind w:right="128"/>
              <w:spacing w:after="0"/>
              <w:rPr>
                <w:sz w:val="20"/>
                <w:szCs w:val="20"/>
                <w:color w:val="auto"/>
              </w:rPr>
            </w:pPr>
            <w:r>
              <w:rPr>
                <w:rFonts w:ascii="Arial" w:cs="Arial" w:eastAsia="Arial" w:hAnsi="Arial"/>
                <w:sz w:val="14"/>
                <w:szCs w:val="14"/>
                <w:color w:val="auto"/>
              </w:rPr>
              <w:t>6,075,000</w:t>
            </w:r>
          </w:p>
        </w:tc>
        <w:tc>
          <w:tcPr>
            <w:tcW w:w="1340" w:type="dxa"/>
            <w:vAlign w:val="bottom"/>
            <w:vMerge w:val="restart"/>
          </w:tcPr>
          <w:p>
            <w:pPr>
              <w:jc w:val="right"/>
              <w:ind w:right="148"/>
              <w:spacing w:after="0"/>
              <w:rPr>
                <w:sz w:val="20"/>
                <w:szCs w:val="20"/>
                <w:color w:val="auto"/>
              </w:rPr>
            </w:pPr>
            <w:r>
              <w:rPr>
                <w:rFonts w:ascii="Arial" w:cs="Arial" w:eastAsia="Arial" w:hAnsi="Arial"/>
                <w:sz w:val="14"/>
                <w:szCs w:val="14"/>
                <w:color w:val="auto"/>
              </w:rPr>
              <w:t>21,000,000</w:t>
            </w:r>
          </w:p>
        </w:tc>
        <w:tc>
          <w:tcPr>
            <w:tcW w:w="0" w:type="dxa"/>
            <w:vAlign w:val="bottom"/>
          </w:tcPr>
          <w:p>
            <w:pPr>
              <w:spacing w:after="0"/>
              <w:rPr>
                <w:sz w:val="1"/>
                <w:szCs w:val="1"/>
                <w:color w:val="auto"/>
              </w:rPr>
            </w:pPr>
          </w:p>
        </w:tc>
      </w:tr>
      <w:tr>
        <w:trPr>
          <w:trHeight w:val="172"/>
        </w:trPr>
        <w:tc>
          <w:tcPr>
            <w:tcW w:w="3960" w:type="dxa"/>
            <w:vAlign w:val="bottom"/>
          </w:tcPr>
          <w:p>
            <w:pPr>
              <w:ind w:left="60"/>
              <w:spacing w:after="0"/>
              <w:rPr>
                <w:sz w:val="20"/>
                <w:szCs w:val="20"/>
                <w:color w:val="auto"/>
              </w:rPr>
            </w:pPr>
            <w:r>
              <w:rPr>
                <w:rFonts w:ascii="Arial" w:cs="Arial" w:eastAsia="Arial" w:hAnsi="Arial"/>
                <w:sz w:val="14"/>
                <w:szCs w:val="14"/>
                <w:color w:val="auto"/>
              </w:rPr>
              <w:t>CEO Asset &amp; Wealth Management</w:t>
            </w:r>
          </w:p>
        </w:tc>
        <w:tc>
          <w:tcPr>
            <w:tcW w:w="200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960" w:type="dxa"/>
            <w:vAlign w:val="bottom"/>
            <w:tcBorders>
              <w:bottom w:val="single" w:sz="8" w:color="333333"/>
            </w:tcBorders>
          </w:tcPr>
          <w:p>
            <w:pPr>
              <w:spacing w:after="0"/>
              <w:rPr>
                <w:sz w:val="13"/>
                <w:szCs w:val="13"/>
                <w:color w:val="auto"/>
              </w:rPr>
            </w:pPr>
          </w:p>
        </w:tc>
        <w:tc>
          <w:tcPr>
            <w:tcW w:w="2000" w:type="dxa"/>
            <w:vAlign w:val="bottom"/>
            <w:tcBorders>
              <w:bottom w:val="single" w:sz="8" w:color="333333"/>
            </w:tcBorders>
          </w:tcPr>
          <w:p>
            <w:pPr>
              <w:spacing w:after="0"/>
              <w:rPr>
                <w:sz w:val="13"/>
                <w:szCs w:val="13"/>
                <w:color w:val="auto"/>
              </w:rPr>
            </w:pPr>
          </w:p>
        </w:tc>
        <w:tc>
          <w:tcPr>
            <w:tcW w:w="1060" w:type="dxa"/>
            <w:vAlign w:val="bottom"/>
            <w:tcBorders>
              <w:bottom w:val="single" w:sz="8" w:color="333333"/>
            </w:tcBorders>
          </w:tcPr>
          <w:p>
            <w:pPr>
              <w:spacing w:after="0"/>
              <w:rPr>
                <w:sz w:val="13"/>
                <w:szCs w:val="13"/>
                <w:color w:val="auto"/>
              </w:rPr>
            </w:pPr>
          </w:p>
        </w:tc>
        <w:tc>
          <w:tcPr>
            <w:tcW w:w="480" w:type="dxa"/>
            <w:vAlign w:val="bottom"/>
            <w:tcBorders>
              <w:bottom w:val="single" w:sz="8" w:color="333333"/>
            </w:tcBorders>
          </w:tcPr>
          <w:p>
            <w:pPr>
              <w:spacing w:after="0"/>
              <w:rPr>
                <w:sz w:val="13"/>
                <w:szCs w:val="13"/>
                <w:color w:val="auto"/>
              </w:rPr>
            </w:pPr>
          </w:p>
        </w:tc>
        <w:tc>
          <w:tcPr>
            <w:tcW w:w="860" w:type="dxa"/>
            <w:vAlign w:val="bottom"/>
            <w:tcBorders>
              <w:bottom w:val="single" w:sz="8" w:color="333333"/>
            </w:tcBorders>
          </w:tcPr>
          <w:p>
            <w:pPr>
              <w:spacing w:after="0"/>
              <w:rPr>
                <w:sz w:val="13"/>
                <w:szCs w:val="13"/>
                <w:color w:val="auto"/>
              </w:rPr>
            </w:pPr>
          </w:p>
        </w:tc>
        <w:tc>
          <w:tcPr>
            <w:tcW w:w="1320" w:type="dxa"/>
            <w:vAlign w:val="bottom"/>
            <w:tcBorders>
              <w:bottom w:val="single" w:sz="8" w:color="333333"/>
            </w:tcBorders>
          </w:tcPr>
          <w:p>
            <w:pPr>
              <w:spacing w:after="0"/>
              <w:rPr>
                <w:sz w:val="13"/>
                <w:szCs w:val="13"/>
                <w:color w:val="auto"/>
              </w:rPr>
            </w:pPr>
          </w:p>
        </w:tc>
        <w:tc>
          <w:tcPr>
            <w:tcW w:w="1340" w:type="dxa"/>
            <w:vAlign w:val="bottom"/>
            <w:tcBorders>
              <w:bottom w:val="single" w:sz="8" w:color="333333"/>
            </w:tcBorders>
          </w:tcPr>
          <w:p>
            <w:pPr>
              <w:spacing w:after="0"/>
              <w:rPr>
                <w:sz w:val="13"/>
                <w:szCs w:val="13"/>
                <w:color w:val="auto"/>
              </w:rPr>
            </w:pPr>
          </w:p>
        </w:tc>
        <w:tc>
          <w:tcPr>
            <w:tcW w:w="0" w:type="dxa"/>
            <w:vAlign w:val="bottom"/>
          </w:tcPr>
          <w:p>
            <w:pPr>
              <w:spacing w:after="0"/>
              <w:rPr>
                <w:sz w:val="1"/>
                <w:szCs w:val="1"/>
                <w:color w:val="auto"/>
              </w:rPr>
            </w:pPr>
          </w:p>
        </w:tc>
      </w:tr>
      <w:tr>
        <w:trPr>
          <w:trHeight w:val="295"/>
        </w:trPr>
        <w:tc>
          <w:tcPr>
            <w:tcW w:w="3960" w:type="dxa"/>
            <w:vAlign w:val="bottom"/>
          </w:tcPr>
          <w:p>
            <w:pPr>
              <w:ind w:left="60"/>
              <w:spacing w:after="0"/>
              <w:rPr>
                <w:sz w:val="20"/>
                <w:szCs w:val="20"/>
                <w:color w:val="auto"/>
              </w:rPr>
            </w:pPr>
            <w:r>
              <w:rPr>
                <w:rFonts w:ascii="Arial" w:cs="Arial" w:eastAsia="Arial" w:hAnsi="Arial"/>
                <w:sz w:val="14"/>
                <w:szCs w:val="14"/>
                <w:b w:val="1"/>
                <w:bCs w:val="1"/>
                <w:color w:val="auto"/>
              </w:rPr>
              <w:t>Marianne Lake</w:t>
            </w:r>
          </w:p>
        </w:tc>
        <w:tc>
          <w:tcPr>
            <w:tcW w:w="2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960" w:type="dxa"/>
            <w:vAlign w:val="bottom"/>
          </w:tcPr>
          <w:p>
            <w:pPr>
              <w:ind w:left="60"/>
              <w:spacing w:after="0"/>
              <w:rPr>
                <w:sz w:val="20"/>
                <w:szCs w:val="20"/>
                <w:color w:val="auto"/>
              </w:rPr>
            </w:pPr>
            <w:r>
              <w:rPr>
                <w:rFonts w:ascii="Arial" w:cs="Arial" w:eastAsia="Arial" w:hAnsi="Arial"/>
                <w:sz w:val="14"/>
                <w:szCs w:val="14"/>
                <w:color w:val="auto"/>
              </w:rPr>
              <w:t>CEO Consumer Lending;</w:t>
            </w:r>
          </w:p>
        </w:tc>
        <w:tc>
          <w:tcPr>
            <w:tcW w:w="2000" w:type="dxa"/>
            <w:vAlign w:val="bottom"/>
            <w:vMerge w:val="restart"/>
          </w:tcPr>
          <w:p>
            <w:pPr>
              <w:jc w:val="right"/>
              <w:ind w:right="148"/>
              <w:spacing w:after="0"/>
              <w:rPr>
                <w:sz w:val="20"/>
                <w:szCs w:val="20"/>
                <w:color w:val="auto"/>
              </w:rPr>
            </w:pPr>
            <w:r>
              <w:rPr>
                <w:rFonts w:ascii="Arial" w:cs="Arial" w:eastAsia="Arial" w:hAnsi="Arial"/>
                <w:sz w:val="14"/>
                <w:szCs w:val="14"/>
                <w:color w:val="auto"/>
              </w:rPr>
              <w:t>750,000</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5,840,000</w:t>
            </w:r>
          </w:p>
        </w:tc>
        <w:tc>
          <w:tcPr>
            <w:tcW w:w="480" w:type="dxa"/>
            <w:vAlign w:val="bottom"/>
          </w:tcPr>
          <w:p>
            <w:pPr>
              <w:spacing w:after="0"/>
              <w:rPr>
                <w:sz w:val="14"/>
                <w:szCs w:val="14"/>
                <w:color w:val="auto"/>
              </w:rPr>
            </w:pPr>
          </w:p>
        </w:tc>
        <w:tc>
          <w:tcPr>
            <w:tcW w:w="860" w:type="dxa"/>
            <w:vAlign w:val="bottom"/>
            <w:vMerge w:val="restart"/>
          </w:tcPr>
          <w:p>
            <w:pPr>
              <w:jc w:val="right"/>
              <w:ind w:right="128"/>
              <w:spacing w:after="0"/>
              <w:rPr>
                <w:sz w:val="20"/>
                <w:szCs w:val="20"/>
                <w:color w:val="auto"/>
              </w:rPr>
            </w:pPr>
            <w:r>
              <w:rPr>
                <w:rFonts w:ascii="Arial" w:cs="Arial" w:eastAsia="Arial" w:hAnsi="Arial"/>
                <w:sz w:val="14"/>
                <w:szCs w:val="14"/>
                <w:color w:val="auto"/>
              </w:rPr>
              <w:t>4,380,000</w:t>
            </w:r>
          </w:p>
        </w:tc>
        <w:tc>
          <w:tcPr>
            <w:tcW w:w="1320" w:type="dxa"/>
            <w:vAlign w:val="bottom"/>
            <w:vMerge w:val="restart"/>
          </w:tcPr>
          <w:p>
            <w:pPr>
              <w:jc w:val="right"/>
              <w:ind w:right="128"/>
              <w:spacing w:after="0"/>
              <w:rPr>
                <w:sz w:val="20"/>
                <w:szCs w:val="20"/>
                <w:color w:val="auto"/>
              </w:rPr>
            </w:pPr>
            <w:r>
              <w:rPr>
                <w:rFonts w:ascii="Arial" w:cs="Arial" w:eastAsia="Arial" w:hAnsi="Arial"/>
                <w:sz w:val="14"/>
                <w:szCs w:val="14"/>
                <w:color w:val="auto"/>
              </w:rPr>
              <w:t>4,380,000</w:t>
            </w:r>
          </w:p>
        </w:tc>
        <w:tc>
          <w:tcPr>
            <w:tcW w:w="1340" w:type="dxa"/>
            <w:vAlign w:val="bottom"/>
            <w:vMerge w:val="restart"/>
          </w:tcPr>
          <w:p>
            <w:pPr>
              <w:jc w:val="right"/>
              <w:ind w:right="148"/>
              <w:spacing w:after="0"/>
              <w:rPr>
                <w:sz w:val="20"/>
                <w:szCs w:val="20"/>
                <w:color w:val="auto"/>
              </w:rPr>
            </w:pPr>
            <w:r>
              <w:rPr>
                <w:rFonts w:ascii="Arial" w:cs="Arial" w:eastAsia="Arial" w:hAnsi="Arial"/>
                <w:sz w:val="14"/>
                <w:szCs w:val="14"/>
                <w:color w:val="auto"/>
              </w:rPr>
              <w:t>15,350,000</w:t>
            </w:r>
          </w:p>
        </w:tc>
        <w:tc>
          <w:tcPr>
            <w:tcW w:w="0" w:type="dxa"/>
            <w:vAlign w:val="bottom"/>
          </w:tcPr>
          <w:p>
            <w:pPr>
              <w:spacing w:after="0"/>
              <w:rPr>
                <w:sz w:val="1"/>
                <w:szCs w:val="1"/>
                <w:color w:val="auto"/>
              </w:rPr>
            </w:pPr>
          </w:p>
        </w:tc>
      </w:tr>
      <w:tr>
        <w:trPr>
          <w:trHeight w:val="78"/>
        </w:trPr>
        <w:tc>
          <w:tcPr>
            <w:tcW w:w="3960" w:type="dxa"/>
            <w:vAlign w:val="bottom"/>
            <w:vMerge w:val="restart"/>
          </w:tcPr>
          <w:p>
            <w:pPr>
              <w:ind w:left="60"/>
              <w:spacing w:after="0"/>
              <w:rPr>
                <w:sz w:val="20"/>
                <w:szCs w:val="20"/>
                <w:color w:val="auto"/>
              </w:rPr>
            </w:pPr>
            <w:r>
              <w:rPr>
                <w:rFonts w:ascii="Arial" w:cs="Arial" w:eastAsia="Arial" w:hAnsi="Arial"/>
                <w:sz w:val="14"/>
                <w:szCs w:val="14"/>
                <w:color w:val="auto"/>
              </w:rPr>
              <w:t>Former Chief Financial Officer</w:t>
            </w:r>
          </w:p>
        </w:tc>
        <w:tc>
          <w:tcPr>
            <w:tcW w:w="200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32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3960" w:type="dxa"/>
            <w:vAlign w:val="bottom"/>
            <w:vMerge w:val="continue"/>
          </w:tcPr>
          <w:p>
            <w:pPr>
              <w:spacing w:after="0"/>
              <w:rPr>
                <w:sz w:val="8"/>
                <w:szCs w:val="8"/>
                <w:color w:val="auto"/>
              </w:rPr>
            </w:pPr>
          </w:p>
        </w:tc>
        <w:tc>
          <w:tcPr>
            <w:tcW w:w="20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3960" w:type="dxa"/>
            <w:vAlign w:val="bottom"/>
            <w:tcBorders>
              <w:bottom w:val="single" w:sz="8" w:color="333333"/>
            </w:tcBorders>
          </w:tcPr>
          <w:p>
            <w:pPr>
              <w:spacing w:after="0"/>
              <w:rPr>
                <w:sz w:val="15"/>
                <w:szCs w:val="15"/>
                <w:color w:val="auto"/>
              </w:rPr>
            </w:pPr>
          </w:p>
        </w:tc>
        <w:tc>
          <w:tcPr>
            <w:tcW w:w="2000" w:type="dxa"/>
            <w:vAlign w:val="bottom"/>
            <w:tcBorders>
              <w:bottom w:val="single" w:sz="8" w:color="333333"/>
            </w:tcBorders>
          </w:tcPr>
          <w:p>
            <w:pPr>
              <w:spacing w:after="0"/>
              <w:rPr>
                <w:sz w:val="15"/>
                <w:szCs w:val="15"/>
                <w:color w:val="auto"/>
              </w:rPr>
            </w:pPr>
          </w:p>
        </w:tc>
        <w:tc>
          <w:tcPr>
            <w:tcW w:w="1060" w:type="dxa"/>
            <w:vAlign w:val="bottom"/>
            <w:tcBorders>
              <w:bottom w:val="single" w:sz="8" w:color="333333"/>
            </w:tcBorders>
          </w:tcPr>
          <w:p>
            <w:pPr>
              <w:spacing w:after="0"/>
              <w:rPr>
                <w:sz w:val="15"/>
                <w:szCs w:val="15"/>
                <w:color w:val="auto"/>
              </w:rPr>
            </w:pPr>
          </w:p>
        </w:tc>
        <w:tc>
          <w:tcPr>
            <w:tcW w:w="480" w:type="dxa"/>
            <w:vAlign w:val="bottom"/>
            <w:tcBorders>
              <w:bottom w:val="single" w:sz="8" w:color="333333"/>
            </w:tcBorders>
          </w:tcPr>
          <w:p>
            <w:pPr>
              <w:spacing w:after="0"/>
              <w:rPr>
                <w:sz w:val="15"/>
                <w:szCs w:val="15"/>
                <w:color w:val="auto"/>
              </w:rPr>
            </w:pPr>
          </w:p>
        </w:tc>
        <w:tc>
          <w:tcPr>
            <w:tcW w:w="860" w:type="dxa"/>
            <w:vAlign w:val="bottom"/>
            <w:tcBorders>
              <w:bottom w:val="single" w:sz="8" w:color="333333"/>
            </w:tcBorders>
          </w:tcPr>
          <w:p>
            <w:pPr>
              <w:spacing w:after="0"/>
              <w:rPr>
                <w:sz w:val="15"/>
                <w:szCs w:val="15"/>
                <w:color w:val="auto"/>
              </w:rPr>
            </w:pPr>
          </w:p>
        </w:tc>
        <w:tc>
          <w:tcPr>
            <w:tcW w:w="1320" w:type="dxa"/>
            <w:vAlign w:val="bottom"/>
            <w:tcBorders>
              <w:bottom w:val="single" w:sz="8" w:color="333333"/>
            </w:tcBorders>
          </w:tcPr>
          <w:p>
            <w:pPr>
              <w:spacing w:after="0"/>
              <w:rPr>
                <w:sz w:val="15"/>
                <w:szCs w:val="15"/>
                <w:color w:val="auto"/>
              </w:rPr>
            </w:pPr>
          </w:p>
        </w:tc>
        <w:tc>
          <w:tcPr>
            <w:tcW w:w="1340" w:type="dxa"/>
            <w:vAlign w:val="bottom"/>
            <w:tcBorders>
              <w:bottom w:val="single" w:sz="8" w:color="333333"/>
            </w:tcBorders>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3960" w:type="dxa"/>
            <w:vAlign w:val="bottom"/>
          </w:tcPr>
          <w:p>
            <w:pPr>
              <w:ind w:left="60"/>
              <w:spacing w:after="0"/>
              <w:rPr>
                <w:sz w:val="20"/>
                <w:szCs w:val="20"/>
                <w:color w:val="auto"/>
              </w:rPr>
            </w:pPr>
            <w:r>
              <w:rPr>
                <w:rFonts w:ascii="Arial" w:cs="Arial" w:eastAsia="Arial" w:hAnsi="Arial"/>
                <w:sz w:val="14"/>
                <w:szCs w:val="14"/>
                <w:b w:val="1"/>
                <w:bCs w:val="1"/>
                <w:color w:val="auto"/>
              </w:rPr>
              <w:t>Jennifer Piepszak</w:t>
            </w:r>
          </w:p>
        </w:tc>
        <w:tc>
          <w:tcPr>
            <w:tcW w:w="2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960" w:type="dxa"/>
            <w:vAlign w:val="bottom"/>
          </w:tcPr>
          <w:p>
            <w:pPr>
              <w:ind w:left="60"/>
              <w:spacing w:after="0"/>
              <w:rPr>
                <w:sz w:val="20"/>
                <w:szCs w:val="20"/>
                <w:color w:val="auto"/>
              </w:rPr>
            </w:pPr>
            <w:r>
              <w:rPr>
                <w:rFonts w:ascii="Arial" w:cs="Arial" w:eastAsia="Arial" w:hAnsi="Arial"/>
                <w:sz w:val="14"/>
                <w:szCs w:val="14"/>
                <w:b w:val="1"/>
                <w:bCs w:val="1"/>
                <w:color w:val="auto"/>
              </w:rPr>
              <w:t>Chief Financial Officer</w:t>
            </w:r>
          </w:p>
        </w:tc>
        <w:tc>
          <w:tcPr>
            <w:tcW w:w="2000" w:type="dxa"/>
            <w:vAlign w:val="bottom"/>
          </w:tcPr>
          <w:p>
            <w:pPr>
              <w:jc w:val="right"/>
              <w:ind w:right="148"/>
              <w:spacing w:after="0"/>
              <w:rPr>
                <w:sz w:val="20"/>
                <w:szCs w:val="20"/>
                <w:color w:val="auto"/>
              </w:rPr>
            </w:pPr>
            <w:r>
              <w:rPr>
                <w:rFonts w:ascii="Arial" w:cs="Arial" w:eastAsia="Arial" w:hAnsi="Arial"/>
                <w:sz w:val="14"/>
                <w:szCs w:val="14"/>
                <w:color w:val="auto"/>
              </w:rPr>
              <w:t>666,667</w:t>
            </w:r>
          </w:p>
        </w:tc>
        <w:tc>
          <w:tcPr>
            <w:tcW w:w="1060" w:type="dxa"/>
            <w:vAlign w:val="bottom"/>
          </w:tcPr>
          <w:p>
            <w:pPr>
              <w:jc w:val="right"/>
              <w:spacing w:after="0"/>
              <w:rPr>
                <w:sz w:val="20"/>
                <w:szCs w:val="20"/>
                <w:color w:val="auto"/>
              </w:rPr>
            </w:pPr>
            <w:r>
              <w:rPr>
                <w:rFonts w:ascii="Arial" w:cs="Arial" w:eastAsia="Arial" w:hAnsi="Arial"/>
                <w:sz w:val="14"/>
                <w:szCs w:val="14"/>
                <w:color w:val="auto"/>
              </w:rPr>
              <w:t>3,733,333</w:t>
            </w:r>
          </w:p>
        </w:tc>
        <w:tc>
          <w:tcPr>
            <w:tcW w:w="480" w:type="dxa"/>
            <w:vAlign w:val="bottom"/>
          </w:tcPr>
          <w:p>
            <w:pPr>
              <w:spacing w:after="0"/>
              <w:rPr>
                <w:sz w:val="16"/>
                <w:szCs w:val="16"/>
                <w:color w:val="auto"/>
              </w:rPr>
            </w:pP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2,800,000</w:t>
            </w:r>
          </w:p>
        </w:tc>
        <w:tc>
          <w:tcPr>
            <w:tcW w:w="1320" w:type="dxa"/>
            <w:vAlign w:val="bottom"/>
          </w:tcPr>
          <w:p>
            <w:pPr>
              <w:jc w:val="right"/>
              <w:ind w:right="128"/>
              <w:spacing w:after="0"/>
              <w:rPr>
                <w:sz w:val="20"/>
                <w:szCs w:val="20"/>
                <w:color w:val="auto"/>
              </w:rPr>
            </w:pPr>
            <w:r>
              <w:rPr>
                <w:rFonts w:ascii="Arial" w:cs="Arial" w:eastAsia="Arial" w:hAnsi="Arial"/>
                <w:sz w:val="14"/>
                <w:szCs w:val="14"/>
                <w:color w:val="auto"/>
              </w:rPr>
              <w:t>2,800,000</w:t>
            </w:r>
          </w:p>
        </w:tc>
        <w:tc>
          <w:tcPr>
            <w:tcW w:w="1340" w:type="dxa"/>
            <w:vAlign w:val="bottom"/>
          </w:tcPr>
          <w:p>
            <w:pPr>
              <w:jc w:val="right"/>
              <w:ind w:right="148"/>
              <w:spacing w:after="0"/>
              <w:rPr>
                <w:sz w:val="20"/>
                <w:szCs w:val="20"/>
                <w:color w:val="auto"/>
              </w:rPr>
            </w:pPr>
            <w:r>
              <w:rPr>
                <w:rFonts w:ascii="Arial" w:cs="Arial" w:eastAsia="Arial" w:hAnsi="Arial"/>
                <w:sz w:val="14"/>
                <w:szCs w:val="14"/>
                <w:color w:val="auto"/>
              </w:rPr>
              <w:t>10,000,000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110490</wp:posOffset>
            </wp:positionV>
            <wp:extent cx="699516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43" w:lineRule="exact"/>
        <w:rPr>
          <w:sz w:val="20"/>
          <w:szCs w:val="20"/>
          <w:color w:val="auto"/>
        </w:rPr>
      </w:pPr>
    </w:p>
    <w:p>
      <w:pPr>
        <w:ind w:left="340" w:hanging="210"/>
        <w:spacing w:after="0"/>
        <w:tabs>
          <w:tab w:leader="none" w:pos="340" w:val="left"/>
        </w:tabs>
        <w:numPr>
          <w:ilvl w:val="0"/>
          <w:numId w:val="26"/>
        </w:numPr>
        <w:rPr>
          <w:rFonts w:ascii="Arial" w:cs="Arial" w:eastAsia="Arial" w:hAnsi="Arial"/>
          <w:sz w:val="11"/>
          <w:szCs w:val="11"/>
          <w:color w:val="auto"/>
        </w:rPr>
      </w:pPr>
      <w:r>
        <w:rPr>
          <w:rFonts w:ascii="Arial" w:cs="Arial" w:eastAsia="Arial" w:hAnsi="Arial"/>
          <w:sz w:val="13"/>
          <w:szCs w:val="13"/>
          <w:color w:val="auto"/>
        </w:rPr>
        <w:t>Mr. Pinto, who is based in the U.K., received a fixed allowance of $7,635,000 paid in British pound sterling and a salary of £475,000.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260350</wp:posOffset>
            </wp:positionV>
            <wp:extent cx="7029450" cy="1974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029450" cy="19748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ind w:right="-99"/>
        <w:spacing w:after="0"/>
        <w:rPr>
          <w:sz w:val="20"/>
          <w:szCs w:val="20"/>
          <w:color w:val="auto"/>
        </w:rPr>
      </w:pPr>
      <w:r>
        <w:rPr>
          <w:rFonts w:ascii="Arial" w:cs="Arial" w:eastAsia="Arial" w:hAnsi="Arial"/>
          <w:sz w:val="13"/>
          <w:szCs w:val="13"/>
          <w:b w:val="1"/>
          <w:bCs w:val="1"/>
          <w:color w:val="004876"/>
        </w:rPr>
        <w:t>8</w:t>
      </w:r>
    </w:p>
    <w:p>
      <w:pPr>
        <w:sectPr>
          <w:pgSz w:w="11900" w:h="16838" w:orient="portrait"/>
          <w:cols w:equalWidth="0" w:num="1">
            <w:col w:w="11140"/>
          </w:cols>
          <w:pgMar w:left="320" w:top="459" w:right="43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04876"/>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212090</wp:posOffset>
            </wp:positionV>
            <wp:extent cx="6995160" cy="2146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95160" cy="214630"/>
                    </a:xfrm>
                    <a:prstGeom prst="rect">
                      <a:avLst/>
                    </a:prstGeom>
                    <a:noFill/>
                  </pic:spPr>
                </pic:pic>
              </a:graphicData>
            </a:graphic>
          </wp:anchor>
        </w:drawing>
      </w:r>
    </w:p>
    <w:p>
      <w:pPr>
        <w:spacing w:after="0" w:line="322" w:lineRule="exact"/>
        <w:rPr>
          <w:sz w:val="20"/>
          <w:szCs w:val="20"/>
          <w:color w:val="auto"/>
        </w:rPr>
      </w:pPr>
    </w:p>
    <w:p>
      <w:pPr>
        <w:ind w:left="240"/>
        <w:spacing w:after="0"/>
        <w:rPr>
          <w:sz w:val="20"/>
          <w:szCs w:val="20"/>
          <w:color w:val="auto"/>
        </w:rPr>
      </w:pPr>
      <w:r>
        <w:rPr>
          <w:rFonts w:ascii="Arial" w:cs="Arial" w:eastAsia="Arial" w:hAnsi="Arial"/>
          <w:sz w:val="22"/>
          <w:szCs w:val="22"/>
          <w:b w:val="1"/>
          <w:bCs w:val="1"/>
          <w:color w:val="004876"/>
        </w:rPr>
        <w:t>Proposal 3: Ratification of Firm’s independent registered public accounting firm – page 86</w:t>
      </w:r>
    </w:p>
    <w:p>
      <w:pPr>
        <w:spacing w:after="0" w:line="143"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The Audit Committee has appointed PricewaterhouseCoopers LLP (“PwC”) as the Firm’s independent registered public accounting firm to audit the Consolidated Financial Statements of JPMorgan Chase and its subsidiaries for the year ending December 31, 2020. A resolution is being presented to our shareholders requesting ratification of PwC’s appointment.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240665</wp:posOffset>
            </wp:positionV>
            <wp:extent cx="7029450" cy="1968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029450" cy="19685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jc w:val="center"/>
        <w:ind w:right="-159"/>
        <w:spacing w:after="0"/>
        <w:rPr>
          <w:sz w:val="20"/>
          <w:szCs w:val="20"/>
          <w:color w:val="auto"/>
        </w:rPr>
      </w:pPr>
      <w:r>
        <w:rPr>
          <w:rFonts w:ascii="Arial" w:cs="Arial" w:eastAsia="Arial" w:hAnsi="Arial"/>
          <w:sz w:val="13"/>
          <w:szCs w:val="13"/>
          <w:b w:val="1"/>
          <w:bCs w:val="1"/>
          <w:color w:val="004876"/>
        </w:rPr>
        <w:t>9</w:t>
      </w:r>
    </w:p>
    <w:p>
      <w:pPr>
        <w:sectPr>
          <w:pgSz w:w="11900" w:h="16838" w:orient="portrait"/>
          <w:cols w:equalWidth="0" w:num="1">
            <w:col w:w="11080"/>
          </w:cols>
          <w:pgMar w:left="320" w:top="459" w:right="4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20"/>
        <w:spacing w:after="0"/>
        <w:rPr>
          <w:sz w:val="20"/>
          <w:szCs w:val="20"/>
          <w:color w:val="auto"/>
        </w:rPr>
      </w:pPr>
      <w:r>
        <w:rPr>
          <w:rFonts w:ascii="Arial" w:cs="Arial" w:eastAsia="Arial" w:hAnsi="Arial"/>
          <w:sz w:val="43"/>
          <w:szCs w:val="43"/>
          <w:color w:val="004876"/>
        </w:rPr>
        <w:t>Corporate Governance</w:t>
      </w:r>
    </w:p>
    <w:p>
      <w:pPr>
        <w:sectPr>
          <w:pgSz w:w="11900" w:h="16838" w:orient="portrait"/>
          <w:cols w:equalWidth="0" w:num="1">
            <w:col w:w="10139"/>
          </w:cols>
          <w:pgMar w:left="32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20"/>
        <w:spacing w:after="0"/>
        <w:rPr>
          <w:sz w:val="20"/>
          <w:szCs w:val="20"/>
          <w:color w:val="auto"/>
        </w:rPr>
      </w:pPr>
      <w:r>
        <w:rPr>
          <w:rFonts w:ascii="Arial" w:cs="Arial" w:eastAsia="Arial" w:hAnsi="Arial"/>
          <w:sz w:val="29"/>
          <w:szCs w:val="29"/>
          <w:color w:val="004876"/>
        </w:rPr>
        <w:t>Proposal 1: Election of Directors</w:t>
      </w:r>
    </w:p>
    <w:p>
      <w:pPr>
        <w:spacing w:after="0" w:line="200" w:lineRule="exact"/>
        <w:rPr>
          <w:sz w:val="20"/>
          <w:szCs w:val="20"/>
          <w:color w:val="auto"/>
        </w:rPr>
      </w:pPr>
    </w:p>
    <w:p>
      <w:pPr>
        <w:spacing w:after="0" w:line="226" w:lineRule="exact"/>
        <w:rPr>
          <w:sz w:val="20"/>
          <w:szCs w:val="20"/>
          <w:color w:val="auto"/>
        </w:rPr>
      </w:pPr>
    </w:p>
    <w:p>
      <w:pPr>
        <w:ind w:left="120" w:right="240"/>
        <w:spacing w:after="0"/>
        <w:rPr>
          <w:sz w:val="20"/>
          <w:szCs w:val="20"/>
          <w:color w:val="auto"/>
        </w:rPr>
      </w:pPr>
      <w:r>
        <w:rPr>
          <w:rFonts w:ascii="Arial" w:cs="Arial" w:eastAsia="Arial" w:hAnsi="Arial"/>
          <w:sz w:val="18"/>
          <w:szCs w:val="18"/>
          <w:color w:val="auto"/>
        </w:rPr>
        <w:t>Our Board of Directors has nominated 10 directors, who, if elected by shareholders at our annual meeting, will be expected to serve until next year’s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900430</wp:posOffset>
            </wp:positionV>
            <wp:extent cx="699516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1183640</wp:posOffset>
            </wp:positionV>
            <wp:extent cx="7029450" cy="1968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029450" cy="19685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-238760</wp:posOffset>
            </wp:positionV>
            <wp:extent cx="137160" cy="1460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3716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color w:val="FFFFFF"/>
        </w:rPr>
        <w:t>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wp:posOffset>
            </wp:positionH>
            <wp:positionV relativeFrom="paragraph">
              <wp:posOffset>-168910</wp:posOffset>
            </wp:positionV>
            <wp:extent cx="3240405" cy="44577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240405" cy="445770"/>
                    </a:xfrm>
                    <a:prstGeom prst="rect">
                      <a:avLst/>
                    </a:prstGeom>
                    <a:noFill/>
                  </pic:spPr>
                </pic:pic>
              </a:graphicData>
            </a:graphic>
          </wp:anchor>
        </w:drawing>
      </w:r>
    </w:p>
    <w:p>
      <w:pPr>
        <w:spacing w:after="0"/>
        <w:rPr>
          <w:sz w:val="20"/>
          <w:szCs w:val="20"/>
          <w:color w:val="auto"/>
        </w:rPr>
      </w:pPr>
      <w:r>
        <w:rPr>
          <w:rFonts w:ascii="Arial" w:cs="Arial" w:eastAsia="Arial" w:hAnsi="Arial"/>
          <w:sz w:val="19"/>
          <w:szCs w:val="19"/>
          <w:color w:val="FFFFFF"/>
        </w:rPr>
        <w:t xml:space="preserve">Vote </w:t>
      </w:r>
      <w:r>
        <w:rPr>
          <w:rFonts w:ascii="Arial" w:cs="Arial" w:eastAsia="Arial" w:hAnsi="Arial"/>
          <w:sz w:val="19"/>
          <w:szCs w:val="19"/>
          <w:b w:val="1"/>
          <w:bCs w:val="1"/>
          <w:color w:val="FFFFFF"/>
        </w:rPr>
        <w:t>FOR</w:t>
      </w:r>
      <w:r>
        <w:rPr>
          <w:rFonts w:ascii="Arial" w:cs="Arial" w:eastAsia="Arial" w:hAnsi="Arial"/>
          <w:sz w:val="19"/>
          <w:szCs w:val="19"/>
          <w:color w:val="FFFFFF"/>
        </w:rPr>
        <w:t xml:space="preserve"> all nominees</w:t>
      </w:r>
    </w:p>
    <w:p>
      <w:pPr>
        <w:spacing w:after="0" w:line="327" w:lineRule="exact"/>
        <w:rPr>
          <w:sz w:val="20"/>
          <w:szCs w:val="20"/>
          <w:color w:val="auto"/>
        </w:rPr>
      </w:pPr>
    </w:p>
    <w:p>
      <w:pPr>
        <w:sectPr>
          <w:pgSz w:w="11900" w:h="16838" w:orient="portrait"/>
          <w:cols w:equalWidth="0" w:num="2">
            <w:col w:w="5620" w:space="720"/>
            <w:col w:w="3799"/>
          </w:cols>
          <w:pgMar w:left="320" w:top="45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540"/>
        <w:spacing w:after="0"/>
        <w:rPr>
          <w:sz w:val="20"/>
          <w:szCs w:val="20"/>
          <w:color w:val="auto"/>
        </w:rPr>
      </w:pPr>
      <w:r>
        <w:rPr>
          <w:rFonts w:ascii="Arial" w:cs="Arial" w:eastAsia="Arial" w:hAnsi="Arial"/>
          <w:sz w:val="13"/>
          <w:szCs w:val="13"/>
          <w:b w:val="1"/>
          <w:bCs w:val="1"/>
          <w:color w:val="004876"/>
        </w:rPr>
        <w:t>10</w:t>
      </w:r>
    </w:p>
    <w:p>
      <w:pPr>
        <w:sectPr>
          <w:pgSz w:w="11900" w:h="16838" w:orient="portrait"/>
          <w:cols w:equalWidth="0" w:num="1">
            <w:col w:w="10139"/>
          </w:cols>
          <w:pgMar w:left="320" w:top="459" w:right="1440"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04876"/>
        </w:rPr>
        <w:t>CORPORATE GOVERNANCE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12" w:lineRule="exact"/>
        <w:rPr>
          <w:sz w:val="20"/>
          <w:szCs w:val="20"/>
          <w:color w:val="auto"/>
        </w:rPr>
      </w:pPr>
    </w:p>
    <w:p>
      <w:pPr>
        <w:ind w:left="120"/>
        <w:spacing w:after="0"/>
        <w:rPr>
          <w:sz w:val="20"/>
          <w:szCs w:val="20"/>
          <w:color w:val="auto"/>
        </w:rPr>
      </w:pPr>
      <w:r>
        <w:rPr>
          <w:rFonts w:ascii="Arial" w:cs="Arial" w:eastAsia="Arial" w:hAnsi="Arial"/>
          <w:sz w:val="43"/>
          <w:szCs w:val="43"/>
          <w:color w:val="004876"/>
        </w:rPr>
        <w:t>Key factors for shareholder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158115</wp:posOffset>
            </wp:positionV>
            <wp:extent cx="7029450" cy="15684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029450" cy="156845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2198370</wp:posOffset>
            </wp:positionV>
            <wp:extent cx="7029450" cy="12426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029450" cy="124269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3912870</wp:posOffset>
            </wp:positionV>
            <wp:extent cx="7029450" cy="14916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029450" cy="149161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5876290</wp:posOffset>
            </wp:positionV>
            <wp:extent cx="7029450" cy="12858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029450" cy="128587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7410450</wp:posOffset>
            </wp:positionV>
            <wp:extent cx="7029450" cy="1968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029450" cy="19685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540"/>
        <w:spacing w:after="0"/>
        <w:rPr>
          <w:sz w:val="20"/>
          <w:szCs w:val="20"/>
          <w:color w:val="auto"/>
        </w:rPr>
      </w:pPr>
      <w:r>
        <w:rPr>
          <w:rFonts w:ascii="Arial" w:cs="Arial" w:eastAsia="Arial" w:hAnsi="Arial"/>
          <w:sz w:val="13"/>
          <w:szCs w:val="13"/>
          <w:b w:val="1"/>
          <w:bCs w:val="1"/>
          <w:color w:val="004876"/>
        </w:rPr>
        <w:t>11</w:t>
      </w:r>
    </w:p>
    <w:p>
      <w:pPr>
        <w:sectPr>
          <w:pgSz w:w="11900" w:h="16838" w:orient="portrait"/>
          <w:cols w:equalWidth="0" w:num="1">
            <w:col w:w="10139"/>
          </w:cols>
          <w:pgMar w:left="320" w:top="459" w:right="1440"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4876"/>
        </w:rPr>
        <w:t>ELECTION OF DIRECTORS |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160655</wp:posOffset>
            </wp:positionV>
            <wp:extent cx="7029450" cy="3257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029450" cy="3257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20"/>
        <w:spacing w:after="0"/>
        <w:rPr>
          <w:sz w:val="20"/>
          <w:szCs w:val="20"/>
          <w:color w:val="auto"/>
        </w:rPr>
      </w:pPr>
      <w:r>
        <w:rPr>
          <w:rFonts w:ascii="Arial" w:cs="Arial" w:eastAsia="Arial" w:hAnsi="Arial"/>
          <w:sz w:val="43"/>
          <w:szCs w:val="43"/>
          <w:color w:val="004876"/>
        </w:rPr>
        <w:t>1. Director nominees</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29"/>
          <w:szCs w:val="29"/>
          <w:color w:val="004876"/>
        </w:rPr>
        <w:t>Our Directors</w:t>
      </w:r>
    </w:p>
    <w:p>
      <w:pPr>
        <w:spacing w:after="0" w:line="210" w:lineRule="exact"/>
        <w:rPr>
          <w:sz w:val="20"/>
          <w:szCs w:val="20"/>
          <w:color w:val="auto"/>
        </w:rPr>
      </w:pPr>
    </w:p>
    <w:p>
      <w:pPr>
        <w:ind w:left="120"/>
        <w:spacing w:after="0" w:line="250" w:lineRule="auto"/>
        <w:rPr>
          <w:sz w:val="20"/>
          <w:szCs w:val="20"/>
          <w:color w:val="auto"/>
        </w:rPr>
      </w:pPr>
      <w:r>
        <w:rPr>
          <w:rFonts w:ascii="Arial" w:cs="Arial" w:eastAsia="Arial" w:hAnsi="Arial"/>
          <w:sz w:val="17"/>
          <w:szCs w:val="17"/>
          <w:color w:val="auto"/>
        </w:rPr>
        <w:t>JPMorgan Chase seeks director candidates who uphold the highest standards, are committed to the Firm’s values and are strong independent stewards of the long-term interests of shareholders, employees, customers, suppliers and communities in which we work. The Board, including the Corporate Governance &amp; Nominating Committee (“Governance Committee”), considers Board composition holistically and on an ongoing basis, with a focus on recruiting directors who have the qualities required to effectively oversee the Firm, including its present and future strategy. The Board seeks directors with experience in executive fields relevant to the Firm’s businesses and operations who will come together to effectively challenge and provide independent oversight of management. The Board looks for candidates with a diversity of experience, perspectives and viewpoints, including diversity with respect to gender, race, ethnicity and nationality.</w:t>
      </w:r>
    </w:p>
    <w:p>
      <w:pPr>
        <w:spacing w:after="0" w:line="91" w:lineRule="exact"/>
        <w:rPr>
          <w:sz w:val="20"/>
          <w:szCs w:val="20"/>
          <w:color w:val="auto"/>
        </w:rPr>
      </w:pPr>
    </w:p>
    <w:p>
      <w:pPr>
        <w:ind w:left="120" w:right="120"/>
        <w:spacing w:after="0" w:line="237" w:lineRule="auto"/>
        <w:rPr>
          <w:sz w:val="20"/>
          <w:szCs w:val="20"/>
          <w:color w:val="auto"/>
        </w:rPr>
      </w:pPr>
      <w:r>
        <w:rPr>
          <w:rFonts w:ascii="Arial" w:cs="Arial" w:eastAsia="Arial" w:hAnsi="Arial"/>
          <w:sz w:val="18"/>
          <w:szCs w:val="18"/>
          <w:color w:val="auto"/>
        </w:rPr>
        <w:t>The individuals presented on the following pages have been nominated for election because they possess the skills, experience, personal attributes, and tenure needed to guide the Firm’s strategy, and to effectively oversee the Firm’s risk management and internal control framework, and management’s execution of its responsibilities.</w:t>
      </w:r>
    </w:p>
    <w:p>
      <w:pPr>
        <w:spacing w:after="0" w:line="97" w:lineRule="exact"/>
        <w:rPr>
          <w:sz w:val="20"/>
          <w:szCs w:val="20"/>
          <w:color w:val="auto"/>
        </w:rPr>
      </w:pPr>
    </w:p>
    <w:p>
      <w:pPr>
        <w:ind w:left="120" w:right="100"/>
        <w:spacing w:after="0"/>
        <w:rPr>
          <w:sz w:val="20"/>
          <w:szCs w:val="20"/>
          <w:color w:val="auto"/>
        </w:rPr>
      </w:pPr>
      <w:r>
        <w:rPr>
          <w:rFonts w:ascii="Arial" w:cs="Arial" w:eastAsia="Arial" w:hAnsi="Arial"/>
          <w:sz w:val="18"/>
          <w:szCs w:val="18"/>
          <w:color w:val="auto"/>
        </w:rPr>
        <w:t>In the biographical information about our director nominees that follows, the ages indicated are as of May 19, 2020, and the other information is as of the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of this proxy statement. There are no family relationships among the director nominees or between the director nominees and any executive officer. Unless otherwise stated, all nominees have been continuously employed by their present employers for more than five years.</w:t>
      </w:r>
    </w:p>
    <w:p>
      <w:pPr>
        <w:spacing w:after="0" w:line="94"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James A. Bell, who has served as a director of the Firm since 2011, and Laban P. Jackson, Jr., who has served as a director of the Firm since 2004, have decided to retire from the Board and are not standing for re-election when their terms expire on the eve of this year’s annual meeting.</w:t>
      </w:r>
    </w:p>
    <w:p>
      <w:pPr>
        <w:spacing w:after="0" w:line="94"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Virginia M. Rometty is a new nominee who, if elected, will join the Board following the annual meeting on May 19, 2020. All of the other nominees are currently directors of the Firm, and each was elected to the Board by our shareholders at our 2019 annual meeting.</w:t>
      </w:r>
    </w:p>
    <w:p>
      <w:pPr>
        <w:spacing w:after="0" w:line="94" w:lineRule="exact"/>
        <w:rPr>
          <w:sz w:val="20"/>
          <w:szCs w:val="20"/>
          <w:color w:val="auto"/>
        </w:rPr>
      </w:pPr>
    </w:p>
    <w:p>
      <w:pPr>
        <w:ind w:right="400"/>
        <w:spacing w:after="0"/>
        <w:rPr>
          <w:sz w:val="20"/>
          <w:szCs w:val="20"/>
          <w:color w:val="auto"/>
        </w:rPr>
      </w:pPr>
      <w:r>
        <w:rPr>
          <w:rFonts w:ascii="Arial" w:cs="Arial" w:eastAsia="Arial" w:hAnsi="Arial"/>
          <w:sz w:val="18"/>
          <w:szCs w:val="18"/>
          <w:color w:val="auto"/>
        </w:rPr>
        <w:t>Each nominee has agreed to be named in this proxy statement and, if elected, to serve a one-year term expiring at our 2021 annual meeting.</w:t>
      </w:r>
    </w:p>
    <w:p>
      <w:pPr>
        <w:spacing w:after="0" w:line="95"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Directors are expected to attend our annual shareholder meetings. Ten of the 11 directors serving on our Board at the time of the 2019 annual meeting attended the meeting. One director was unable to attend due to a prior professional obligation.</w:t>
      </w:r>
    </w:p>
    <w:p>
      <w:pPr>
        <w:spacing w:after="0" w:line="391" w:lineRule="exact"/>
        <w:rPr>
          <w:sz w:val="20"/>
          <w:szCs w:val="20"/>
          <w:color w:val="auto"/>
        </w:rPr>
      </w:pPr>
    </w:p>
    <w:p>
      <w:pPr>
        <w:sectPr>
          <w:pgSz w:w="11900" w:h="16838" w:orient="portrait"/>
          <w:cols w:equalWidth="0" w:num="2">
            <w:col w:w="5380" w:space="360"/>
            <w:col w:w="5400"/>
          </w:cols>
          <w:pgMar w:left="320" w:top="459" w:right="439" w:bottom="1440" w:gutter="0" w:footer="0" w:header="0"/>
          <w:type w:val="continuous"/>
        </w:sectPr>
      </w:pPr>
    </w:p>
    <w:p>
      <w:pPr>
        <w:spacing w:after="0" w:line="243" w:lineRule="exact"/>
        <w:rPr>
          <w:sz w:val="20"/>
          <w:szCs w:val="20"/>
          <w:color w:val="auto"/>
        </w:rPr>
      </w:pPr>
    </w:p>
    <w:p>
      <w:pPr>
        <w:ind w:left="120"/>
        <w:spacing w:after="0"/>
        <w:rPr>
          <w:sz w:val="20"/>
          <w:szCs w:val="20"/>
          <w:color w:val="auto"/>
        </w:rPr>
      </w:pPr>
      <w:r>
        <w:rPr>
          <w:rFonts w:ascii="Arial" w:cs="Arial" w:eastAsia="Arial" w:hAnsi="Arial"/>
          <w:sz w:val="19"/>
          <w:szCs w:val="19"/>
          <w:color w:val="004876"/>
        </w:rPr>
        <w:t>COMPOSITION OF BOARD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wp:posOffset>
            </wp:positionV>
            <wp:extent cx="7029450" cy="30772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029450" cy="307721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3"/>
          <w:szCs w:val="13"/>
          <w:b w:val="1"/>
          <w:bCs w:val="1"/>
          <w:color w:val="004876"/>
        </w:rPr>
        <w:t>12</w:t>
      </w:r>
    </w:p>
    <w:p>
      <w:pPr>
        <w:sectPr>
          <w:pgSz w:w="11900" w:h="16838" w:orient="portrait"/>
          <w:cols w:equalWidth="0" w:num="1">
            <w:col w:w="11140"/>
          </w:cols>
          <w:pgMar w:left="320" w:top="459" w:right="43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04876"/>
        </w:rPr>
        <w:t>CORPORATE GOVERNANCE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160655</wp:posOffset>
            </wp:positionV>
            <wp:extent cx="7029450" cy="3257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02945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20"/>
        <w:spacing w:after="0"/>
        <w:rPr>
          <w:sz w:val="20"/>
          <w:szCs w:val="20"/>
          <w:color w:val="auto"/>
        </w:rPr>
      </w:pPr>
      <w:r>
        <w:rPr>
          <w:rFonts w:ascii="Arial" w:cs="Arial" w:eastAsia="Arial" w:hAnsi="Arial"/>
          <w:sz w:val="20"/>
          <w:szCs w:val="20"/>
          <w:color w:val="004876"/>
        </w:rPr>
        <w:t>ATTRIBUTES AND SKILLS OF THE NOMINEES</w:t>
      </w:r>
    </w:p>
    <w:p>
      <w:pPr>
        <w:spacing w:after="0" w:line="2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When selecting and recruiting candidates, the Board considers a wide range of attributes, executive experience and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159385</wp:posOffset>
            </wp:positionV>
            <wp:extent cx="6995160" cy="87439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95160" cy="87439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right"/>
        <w:ind w:left="1020"/>
        <w:spacing w:after="0" w:line="271" w:lineRule="auto"/>
        <w:rPr>
          <w:sz w:val="20"/>
          <w:szCs w:val="20"/>
          <w:color w:val="auto"/>
        </w:rPr>
      </w:pPr>
      <w:r>
        <w:rPr>
          <w:rFonts w:ascii="Arial" w:cs="Arial" w:eastAsia="Arial" w:hAnsi="Arial"/>
          <w:sz w:val="18"/>
          <w:szCs w:val="18"/>
          <w:b w:val="1"/>
          <w:bCs w:val="1"/>
          <w:color w:val="FFFFFF"/>
        </w:rPr>
        <w:t>FINANCIAL AND ACCOUNTING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231775</wp:posOffset>
            </wp:positionV>
            <wp:extent cx="1534160" cy="419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534160" cy="419735"/>
                    </a:xfrm>
                    <a:prstGeom prst="rect">
                      <a:avLst/>
                    </a:prstGeom>
                    <a:noFill/>
                  </pic:spPr>
                </pic:pic>
              </a:graphicData>
            </a:graphic>
          </wp:anchor>
        </w:drawing>
      </w:r>
    </w:p>
    <w:p>
      <w:pPr>
        <w:spacing w:after="0" w:line="377"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FFFFFF"/>
        </w:rPr>
        <w:t>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397510</wp:posOffset>
            </wp:positionV>
            <wp:extent cx="1534160" cy="4114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53416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80" w:firstLine="694"/>
        <w:spacing w:after="0" w:line="301" w:lineRule="auto"/>
        <w:rPr>
          <w:sz w:val="20"/>
          <w:szCs w:val="20"/>
          <w:color w:val="auto"/>
        </w:rPr>
      </w:pPr>
      <w:r>
        <w:rPr>
          <w:rFonts w:ascii="Arial" w:cs="Arial" w:eastAsia="Arial" w:hAnsi="Arial"/>
          <w:sz w:val="17"/>
          <w:szCs w:val="17"/>
          <w:b w:val="1"/>
          <w:bCs w:val="1"/>
          <w:color w:val="FFFFFF"/>
        </w:rPr>
        <w:t>INTERNATIONAL BUSINESS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208915</wp:posOffset>
            </wp:positionV>
            <wp:extent cx="1534160" cy="4800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534160" cy="480060"/>
                    </a:xfrm>
                    <a:prstGeom prst="rect">
                      <a:avLst/>
                    </a:prstGeom>
                    <a:noFill/>
                  </pic:spPr>
                </pic:pic>
              </a:graphicData>
            </a:graphic>
          </wp:anchor>
        </w:drawing>
      </w:r>
    </w:p>
    <w:p>
      <w:pPr>
        <w:spacing w:after="0" w:line="340" w:lineRule="exact"/>
        <w:rPr>
          <w:sz w:val="20"/>
          <w:szCs w:val="20"/>
          <w:color w:val="auto"/>
        </w:rPr>
      </w:pPr>
    </w:p>
    <w:p>
      <w:pPr>
        <w:ind w:left="820" w:hanging="12"/>
        <w:spacing w:after="0" w:line="255" w:lineRule="auto"/>
        <w:rPr>
          <w:sz w:val="20"/>
          <w:szCs w:val="20"/>
          <w:color w:val="auto"/>
        </w:rPr>
      </w:pPr>
      <w:r>
        <w:rPr>
          <w:rFonts w:ascii="Arial" w:cs="Arial" w:eastAsia="Arial" w:hAnsi="Arial"/>
          <w:sz w:val="17"/>
          <w:szCs w:val="17"/>
          <w:b w:val="1"/>
          <w:bCs w:val="1"/>
          <w:color w:val="FFFFFF"/>
        </w:rPr>
        <w:t>LEADERSHIP OF A LARGE, COMPLEX</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46" w:right="40" w:hanging="146"/>
        <w:spacing w:after="0" w:line="247" w:lineRule="auto"/>
        <w:tabs>
          <w:tab w:leader="none" w:pos="133" w:val="left"/>
        </w:tabs>
        <w:numPr>
          <w:ilvl w:val="0"/>
          <w:numId w:val="27"/>
        </w:numPr>
        <w:rPr>
          <w:rFonts w:ascii="Arial" w:cs="Arial" w:eastAsia="Arial" w:hAnsi="Arial"/>
          <w:sz w:val="14"/>
          <w:szCs w:val="14"/>
          <w:color w:val="004876"/>
        </w:rPr>
      </w:pPr>
      <w:r>
        <w:rPr>
          <w:rFonts w:ascii="Arial" w:cs="Arial" w:eastAsia="Arial" w:hAnsi="Arial"/>
          <w:sz w:val="14"/>
          <w:szCs w:val="14"/>
          <w:color w:val="auto"/>
        </w:rPr>
        <w:t>Knowledge of or experience in accounting, financial reporting or auditing processes and standards is important to effectively oversee the Firm’s financial position and condition and the accurate reporting thereof, and to assess the Firm’s strategic objectives from a financial perspective</w:t>
      </w:r>
    </w:p>
    <w:p>
      <w:pPr>
        <w:spacing w:after="0" w:line="201" w:lineRule="exact"/>
        <w:rPr>
          <w:rFonts w:ascii="Arial" w:cs="Arial" w:eastAsia="Arial" w:hAnsi="Arial"/>
          <w:sz w:val="14"/>
          <w:szCs w:val="14"/>
          <w:color w:val="004876"/>
        </w:rPr>
      </w:pPr>
    </w:p>
    <w:p>
      <w:pPr>
        <w:ind w:left="146" w:hanging="146"/>
        <w:spacing w:after="0" w:line="247" w:lineRule="auto"/>
        <w:tabs>
          <w:tab w:leader="none" w:pos="133" w:val="left"/>
        </w:tabs>
        <w:numPr>
          <w:ilvl w:val="0"/>
          <w:numId w:val="27"/>
        </w:numPr>
        <w:rPr>
          <w:rFonts w:ascii="Arial" w:cs="Arial" w:eastAsia="Arial" w:hAnsi="Arial"/>
          <w:sz w:val="14"/>
          <w:szCs w:val="14"/>
          <w:color w:val="004876"/>
        </w:rPr>
      </w:pPr>
      <w:r>
        <w:rPr>
          <w:rFonts w:ascii="Arial" w:cs="Arial" w:eastAsia="Arial" w:hAnsi="Arial"/>
          <w:sz w:val="14"/>
          <w:szCs w:val="14"/>
          <w:color w:val="auto"/>
        </w:rPr>
        <w:t>Experience in or with the financial services industry, including investment banking, global financial markets or consumer products and services, allows Board members to evaluate the Firm’s business model, strategies and the industry in which we compete</w:t>
      </w:r>
    </w:p>
    <w:p>
      <w:pPr>
        <w:spacing w:after="0" w:line="201" w:lineRule="exact"/>
        <w:rPr>
          <w:rFonts w:ascii="Arial" w:cs="Arial" w:eastAsia="Arial" w:hAnsi="Arial"/>
          <w:sz w:val="14"/>
          <w:szCs w:val="14"/>
          <w:color w:val="004876"/>
        </w:rPr>
      </w:pPr>
    </w:p>
    <w:p>
      <w:pPr>
        <w:ind w:left="146" w:hanging="146"/>
        <w:spacing w:after="0" w:line="249" w:lineRule="auto"/>
        <w:tabs>
          <w:tab w:leader="none" w:pos="133" w:val="left"/>
        </w:tabs>
        <w:numPr>
          <w:ilvl w:val="0"/>
          <w:numId w:val="27"/>
        </w:numPr>
        <w:rPr>
          <w:rFonts w:ascii="Arial" w:cs="Arial" w:eastAsia="Arial" w:hAnsi="Arial"/>
          <w:sz w:val="14"/>
          <w:szCs w:val="14"/>
          <w:color w:val="004876"/>
        </w:rPr>
      </w:pPr>
      <w:r>
        <w:rPr>
          <w:rFonts w:ascii="Arial" w:cs="Arial" w:eastAsia="Arial" w:hAnsi="Arial"/>
          <w:sz w:val="14"/>
          <w:szCs w:val="14"/>
          <w:color w:val="auto"/>
        </w:rPr>
        <w:t>Experience in diverse geographic, political and regulatory environments enables the Board to effectively oversee the Firm as it serves customers and clients across the globe</w:t>
      </w:r>
    </w:p>
    <w:p>
      <w:pPr>
        <w:spacing w:after="0" w:line="349" w:lineRule="exact"/>
        <w:rPr>
          <w:rFonts w:ascii="Arial" w:cs="Arial" w:eastAsia="Arial" w:hAnsi="Arial"/>
          <w:sz w:val="14"/>
          <w:szCs w:val="14"/>
          <w:color w:val="004876"/>
        </w:rPr>
      </w:pPr>
    </w:p>
    <w:p>
      <w:pPr>
        <w:ind w:left="146" w:right="80" w:hanging="146"/>
        <w:spacing w:after="0" w:line="258" w:lineRule="auto"/>
        <w:tabs>
          <w:tab w:leader="none" w:pos="133" w:val="left"/>
        </w:tabs>
        <w:numPr>
          <w:ilvl w:val="0"/>
          <w:numId w:val="27"/>
        </w:numPr>
        <w:rPr>
          <w:rFonts w:ascii="Arial" w:cs="Arial" w:eastAsia="Arial" w:hAnsi="Arial"/>
          <w:sz w:val="14"/>
          <w:szCs w:val="14"/>
          <w:color w:val="004876"/>
        </w:rPr>
      </w:pPr>
      <w:r>
        <w:rPr>
          <w:rFonts w:ascii="Arial" w:cs="Arial" w:eastAsia="Arial" w:hAnsi="Arial"/>
          <w:sz w:val="14"/>
          <w:szCs w:val="14"/>
          <w:color w:val="auto"/>
        </w:rPr>
        <w:t>Executive experience managing business operations and strategic planning allows Board members to effectively oversee the Firm’s complex worldwide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wp:posOffset>
            </wp:positionH>
            <wp:positionV relativeFrom="paragraph">
              <wp:posOffset>-1319530</wp:posOffset>
            </wp:positionV>
            <wp:extent cx="5460365" cy="419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460365" cy="419735"/>
                    </a:xfrm>
                    <a:prstGeom prst="rect">
                      <a:avLst/>
                    </a:prstGeom>
                    <a:noFill/>
                  </pic:spPr>
                </pic:pic>
              </a:graphicData>
            </a:graphic>
          </wp:anchor>
        </w:drawing>
        <w:drawing>
          <wp:anchor simplePos="0" relativeHeight="251657728" behindDoc="1" locked="0" layoutInCell="0" allowOverlap="1">
            <wp:simplePos x="0" y="0"/>
            <wp:positionH relativeFrom="column">
              <wp:posOffset>-76835</wp:posOffset>
            </wp:positionH>
            <wp:positionV relativeFrom="paragraph">
              <wp:posOffset>-770890</wp:posOffset>
            </wp:positionV>
            <wp:extent cx="5460365" cy="41148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460365" cy="411480"/>
                    </a:xfrm>
                    <a:prstGeom prst="rect">
                      <a:avLst/>
                    </a:prstGeom>
                    <a:noFill/>
                  </pic:spPr>
                </pic:pic>
              </a:graphicData>
            </a:graphic>
          </wp:anchor>
        </w:drawing>
        <w:drawing>
          <wp:anchor simplePos="0" relativeHeight="251657728" behindDoc="1" locked="0" layoutInCell="0" allowOverlap="1">
            <wp:simplePos x="0" y="0"/>
            <wp:positionH relativeFrom="column">
              <wp:posOffset>-76835</wp:posOffset>
            </wp:positionH>
            <wp:positionV relativeFrom="paragraph">
              <wp:posOffset>-230505</wp:posOffset>
            </wp:positionV>
            <wp:extent cx="5460365" cy="4800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460365" cy="4800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22" w:hanging="222"/>
        <w:spacing w:after="0"/>
        <w:tabs>
          <w:tab w:leader="none" w:pos="222" w:val="left"/>
        </w:tabs>
        <w:numPr>
          <w:ilvl w:val="0"/>
          <w:numId w:val="28"/>
        </w:numPr>
        <w:rPr>
          <w:rFonts w:ascii="Arial" w:cs="Arial" w:eastAsia="Arial" w:hAnsi="Arial"/>
          <w:sz w:val="16"/>
          <w:szCs w:val="16"/>
          <w:color w:val="004876"/>
        </w:rPr>
      </w:pPr>
      <w:r>
        <w:rPr>
          <w:rFonts w:ascii="Arial" w:cs="Arial" w:eastAsia="Arial" w:hAnsi="Arial"/>
          <w:sz w:val="16"/>
          <w:szCs w:val="16"/>
          <w:color w:val="004876"/>
        </w:rPr>
        <w:t>Nominees</w:t>
      </w:r>
    </w:p>
    <w:p>
      <w:pPr>
        <w:spacing w:after="0" w:line="200" w:lineRule="exact"/>
        <w:rPr>
          <w:rFonts w:ascii="Arial" w:cs="Arial" w:eastAsia="Arial" w:hAnsi="Arial"/>
          <w:sz w:val="16"/>
          <w:szCs w:val="16"/>
          <w:color w:val="004876"/>
        </w:rPr>
      </w:pPr>
    </w:p>
    <w:p>
      <w:pPr>
        <w:spacing w:after="0" w:line="200" w:lineRule="exact"/>
        <w:rPr>
          <w:rFonts w:ascii="Arial" w:cs="Arial" w:eastAsia="Arial" w:hAnsi="Arial"/>
          <w:sz w:val="16"/>
          <w:szCs w:val="16"/>
          <w:color w:val="004876"/>
        </w:rPr>
      </w:pPr>
    </w:p>
    <w:p>
      <w:pPr>
        <w:spacing w:after="0" w:line="280" w:lineRule="exact"/>
        <w:rPr>
          <w:rFonts w:ascii="Arial" w:cs="Arial" w:eastAsia="Arial" w:hAnsi="Arial"/>
          <w:sz w:val="16"/>
          <w:szCs w:val="16"/>
          <w:color w:val="004876"/>
        </w:rPr>
      </w:pPr>
    </w:p>
    <w:p>
      <w:pPr>
        <w:ind w:left="2"/>
        <w:spacing w:after="0"/>
        <w:rPr>
          <w:rFonts w:ascii="Arial" w:cs="Arial" w:eastAsia="Arial" w:hAnsi="Arial"/>
          <w:sz w:val="16"/>
          <w:szCs w:val="16"/>
          <w:color w:val="004876"/>
        </w:rPr>
      </w:pPr>
      <w:r>
        <w:rPr>
          <w:rFonts w:ascii="Arial" w:cs="Arial" w:eastAsia="Arial" w:hAnsi="Arial"/>
          <w:sz w:val="16"/>
          <w:szCs w:val="16"/>
          <w:color w:val="004876"/>
        </w:rPr>
        <w:t>9 Nominees</w:t>
      </w:r>
    </w:p>
    <w:p>
      <w:pPr>
        <w:spacing w:after="0" w:line="200" w:lineRule="exact"/>
        <w:rPr>
          <w:rFonts w:ascii="Arial" w:cs="Arial" w:eastAsia="Arial" w:hAnsi="Arial"/>
          <w:sz w:val="16"/>
          <w:szCs w:val="16"/>
          <w:color w:val="004876"/>
        </w:rPr>
      </w:pPr>
    </w:p>
    <w:p>
      <w:pPr>
        <w:spacing w:after="0" w:line="200" w:lineRule="exact"/>
        <w:rPr>
          <w:rFonts w:ascii="Arial" w:cs="Arial" w:eastAsia="Arial" w:hAnsi="Arial"/>
          <w:sz w:val="16"/>
          <w:szCs w:val="16"/>
          <w:color w:val="004876"/>
        </w:rPr>
      </w:pPr>
    </w:p>
    <w:p>
      <w:pPr>
        <w:spacing w:after="0" w:line="280" w:lineRule="exact"/>
        <w:rPr>
          <w:rFonts w:ascii="Arial" w:cs="Arial" w:eastAsia="Arial" w:hAnsi="Arial"/>
          <w:sz w:val="16"/>
          <w:szCs w:val="16"/>
          <w:color w:val="004876"/>
        </w:rPr>
      </w:pPr>
    </w:p>
    <w:p>
      <w:pPr>
        <w:ind w:left="2"/>
        <w:spacing w:after="0"/>
        <w:rPr>
          <w:rFonts w:ascii="Arial" w:cs="Arial" w:eastAsia="Arial" w:hAnsi="Arial"/>
          <w:sz w:val="16"/>
          <w:szCs w:val="16"/>
          <w:color w:val="004876"/>
        </w:rPr>
      </w:pPr>
      <w:r>
        <w:rPr>
          <w:rFonts w:ascii="Arial" w:cs="Arial" w:eastAsia="Arial" w:hAnsi="Arial"/>
          <w:sz w:val="16"/>
          <w:szCs w:val="16"/>
          <w:color w:val="004876"/>
        </w:rPr>
        <w:t>7 Nominees</w:t>
      </w:r>
    </w:p>
    <w:p>
      <w:pPr>
        <w:spacing w:after="0" w:line="666" w:lineRule="exact"/>
        <w:rPr>
          <w:sz w:val="20"/>
          <w:szCs w:val="20"/>
          <w:color w:val="auto"/>
        </w:rPr>
      </w:pPr>
    </w:p>
    <w:p>
      <w:pPr>
        <w:sectPr>
          <w:pgSz w:w="11900" w:h="16838" w:orient="portrait"/>
          <w:cols w:equalWidth="0" w:num="3">
            <w:col w:w="2440" w:space="214"/>
            <w:col w:w="5466" w:space="258"/>
            <w:col w:w="2762"/>
          </w:cols>
          <w:pgMar w:left="320" w:top="459" w:right="439" w:bottom="1440" w:gutter="0" w:footer="0" w:header="0"/>
          <w:type w:val="continuous"/>
        </w:sectPr>
      </w:pPr>
    </w:p>
    <w:p>
      <w:pPr>
        <w:ind w:left="1060"/>
        <w:spacing w:after="0"/>
        <w:rPr>
          <w:sz w:val="20"/>
          <w:szCs w:val="20"/>
          <w:color w:val="auto"/>
        </w:rPr>
      </w:pPr>
      <w:r>
        <w:rPr>
          <w:rFonts w:ascii="Arial" w:cs="Arial" w:eastAsia="Arial" w:hAnsi="Arial"/>
          <w:sz w:val="17"/>
          <w:szCs w:val="17"/>
          <w:b w:val="1"/>
          <w:bCs w:val="1"/>
          <w:color w:val="FFFFFF"/>
        </w:rPr>
        <w:t>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200660</wp:posOffset>
            </wp:positionV>
            <wp:extent cx="1534160" cy="6858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534160" cy="685800"/>
                    </a:xfrm>
                    <a:prstGeom prst="rect">
                      <a:avLst/>
                    </a:prstGeom>
                    <a:noFill/>
                  </pic:spPr>
                </pic:pic>
              </a:graphicData>
            </a:graphic>
          </wp:anchor>
        </w:drawing>
      </w:r>
    </w:p>
    <w:p>
      <w:pPr>
        <w:spacing w:after="0" w:line="327" w:lineRule="exact"/>
        <w:rPr>
          <w:sz w:val="20"/>
          <w:szCs w:val="20"/>
          <w:color w:val="auto"/>
        </w:rPr>
      </w:pPr>
    </w:p>
    <w:p>
      <w:pPr>
        <w:ind w:left="1120"/>
        <w:spacing w:after="0"/>
        <w:rPr>
          <w:sz w:val="20"/>
          <w:szCs w:val="20"/>
          <w:color w:val="auto"/>
        </w:rPr>
      </w:pPr>
      <w:r>
        <w:rPr>
          <w:rFonts w:ascii="Arial" w:cs="Arial" w:eastAsia="Arial" w:hAnsi="Arial"/>
          <w:sz w:val="18"/>
          <w:szCs w:val="18"/>
          <w:b w:val="1"/>
          <w:bCs w:val="1"/>
          <w:color w:val="FFFFFF"/>
        </w:rPr>
        <w:t>MANAGEMENT</w:t>
      </w:r>
    </w:p>
    <w:p>
      <w:pPr>
        <w:spacing w:after="0" w:line="13" w:lineRule="exact"/>
        <w:rPr>
          <w:sz w:val="20"/>
          <w:szCs w:val="20"/>
          <w:color w:val="auto"/>
        </w:rPr>
      </w:pPr>
    </w:p>
    <w:p>
      <w:pPr>
        <w:jc w:val="right"/>
        <w:ind w:right="60"/>
        <w:spacing w:after="0"/>
        <w:rPr>
          <w:sz w:val="20"/>
          <w:szCs w:val="20"/>
          <w:color w:val="auto"/>
        </w:rPr>
      </w:pPr>
      <w:r>
        <w:rPr>
          <w:rFonts w:ascii="Arial" w:cs="Arial" w:eastAsia="Arial" w:hAnsi="Arial"/>
          <w:sz w:val="18"/>
          <w:szCs w:val="18"/>
          <w:b w:val="1"/>
          <w:bCs w:val="1"/>
          <w:color w:val="FFFFFF"/>
        </w:rPr>
        <w:t>DEVELOPMENT,</w:t>
      </w:r>
    </w:p>
    <w:p>
      <w:pPr>
        <w:jc w:val="right"/>
        <w:spacing w:after="0" w:line="234" w:lineRule="auto"/>
        <w:rPr>
          <w:sz w:val="20"/>
          <w:szCs w:val="20"/>
          <w:color w:val="auto"/>
        </w:rPr>
      </w:pPr>
      <w:r>
        <w:rPr>
          <w:rFonts w:ascii="Arial" w:cs="Arial" w:eastAsia="Arial" w:hAnsi="Arial"/>
          <w:sz w:val="18"/>
          <w:szCs w:val="18"/>
          <w:b w:val="1"/>
          <w:bCs w:val="1"/>
          <w:color w:val="FFFFFF"/>
        </w:rPr>
        <w:t>SUCCESSION PLANNING,</w:t>
      </w:r>
    </w:p>
    <w:p>
      <w:pPr>
        <w:jc w:val="right"/>
        <w:spacing w:after="0" w:line="235" w:lineRule="auto"/>
        <w:rPr>
          <w:sz w:val="20"/>
          <w:szCs w:val="20"/>
          <w:color w:val="auto"/>
        </w:rPr>
      </w:pPr>
      <w:r>
        <w:rPr>
          <w:rFonts w:ascii="Arial" w:cs="Arial" w:eastAsia="Arial" w:hAnsi="Arial"/>
          <w:sz w:val="18"/>
          <w:szCs w:val="18"/>
          <w:b w:val="1"/>
          <w:bCs w:val="1"/>
          <w:color w:val="FFFFFF"/>
        </w:rPr>
        <w:t>AND</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FFFFFF"/>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134620</wp:posOffset>
            </wp:positionV>
            <wp:extent cx="1534160" cy="419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534160" cy="419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5760" w:type="dxa"/>
            <w:vAlign w:val="bottom"/>
          </w:tcPr>
          <w:p>
            <w:pPr>
              <w:spacing w:after="0"/>
              <w:rPr>
                <w:sz w:val="16"/>
                <w:szCs w:val="16"/>
                <w:color w:val="auto"/>
              </w:rPr>
            </w:pPr>
          </w:p>
        </w:tc>
        <w:tc>
          <w:tcPr>
            <w:tcW w:w="2840" w:type="dxa"/>
            <w:vAlign w:val="bottom"/>
          </w:tcPr>
          <w:p>
            <w:pPr>
              <w:ind w:left="80"/>
              <w:spacing w:after="0"/>
              <w:rPr>
                <w:sz w:val="20"/>
                <w:szCs w:val="20"/>
                <w:color w:val="auto"/>
              </w:rPr>
            </w:pPr>
            <w:r>
              <w:rPr>
                <w:rFonts w:ascii="Arial" w:cs="Arial" w:eastAsia="Arial" w:hAnsi="Arial"/>
                <w:sz w:val="16"/>
                <w:szCs w:val="16"/>
                <w:color w:val="004876"/>
              </w:rPr>
              <w:t>9 Nominees</w:t>
            </w:r>
          </w:p>
        </w:tc>
        <w:tc>
          <w:tcPr>
            <w:tcW w:w="0" w:type="dxa"/>
            <w:vAlign w:val="bottom"/>
          </w:tcPr>
          <w:p>
            <w:pPr>
              <w:spacing w:after="0"/>
              <w:rPr>
                <w:sz w:val="1"/>
                <w:szCs w:val="1"/>
                <w:color w:val="auto"/>
              </w:rPr>
            </w:pPr>
          </w:p>
        </w:tc>
      </w:tr>
      <w:tr>
        <w:trPr>
          <w:trHeight w:val="317"/>
        </w:trPr>
        <w:tc>
          <w:tcPr>
            <w:tcW w:w="57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5760" w:type="dxa"/>
            <w:vAlign w:val="bottom"/>
            <w:shd w:val="clear" w:color="auto" w:fill="EDEDED"/>
          </w:tcPr>
          <w:p>
            <w:pPr>
              <w:ind w:left="120"/>
              <w:spacing w:after="0"/>
              <w:rPr>
                <w:sz w:val="20"/>
                <w:szCs w:val="20"/>
                <w:color w:val="auto"/>
              </w:rPr>
            </w:pPr>
            <w:r>
              <w:rPr>
                <w:rFonts w:ascii="Arial" w:cs="Arial" w:eastAsia="Arial" w:hAnsi="Arial"/>
                <w:sz w:val="14"/>
                <w:szCs w:val="14"/>
                <w:color w:val="004876"/>
              </w:rPr>
              <w:t xml:space="preserve">• </w:t>
            </w:r>
            <w:r>
              <w:rPr>
                <w:rFonts w:ascii="Arial" w:cs="Arial" w:eastAsia="Arial" w:hAnsi="Arial"/>
                <w:sz w:val="14"/>
                <w:szCs w:val="14"/>
                <w:color w:val="000000"/>
              </w:rPr>
              <w:t>Experience in senior executive development, succession planning, and compensation</w:t>
            </w:r>
          </w:p>
        </w:tc>
        <w:tc>
          <w:tcPr>
            <w:tcW w:w="2840" w:type="dxa"/>
            <w:vAlign w:val="bottom"/>
            <w:shd w:val="clear" w:color="auto" w:fill="EDEDED"/>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760" w:type="dxa"/>
            <w:vAlign w:val="bottom"/>
            <w:shd w:val="clear" w:color="auto" w:fill="EDEDED"/>
          </w:tcPr>
          <w:p>
            <w:pPr>
              <w:ind w:left="260"/>
              <w:spacing w:after="0"/>
              <w:rPr>
                <w:sz w:val="20"/>
                <w:szCs w:val="20"/>
                <w:color w:val="auto"/>
              </w:rPr>
            </w:pPr>
            <w:r>
              <w:rPr>
                <w:rFonts w:ascii="Arial" w:cs="Arial" w:eastAsia="Arial" w:hAnsi="Arial"/>
                <w:sz w:val="14"/>
                <w:szCs w:val="14"/>
                <w:color w:val="auto"/>
              </w:rPr>
              <w:t>matters helps the Board to effectively oversee the Firm’s efforts to recruit, retain and</w:t>
            </w:r>
          </w:p>
        </w:tc>
        <w:tc>
          <w:tcPr>
            <w:tcW w:w="2840" w:type="dxa"/>
            <w:vAlign w:val="bottom"/>
            <w:shd w:val="clear" w:color="auto" w:fill="EDEDED"/>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60" w:type="dxa"/>
            <w:vAlign w:val="bottom"/>
            <w:shd w:val="clear" w:color="auto" w:fill="EDEDED"/>
          </w:tcPr>
          <w:p>
            <w:pPr>
              <w:ind w:left="260"/>
              <w:spacing w:after="0"/>
              <w:rPr>
                <w:sz w:val="20"/>
                <w:szCs w:val="20"/>
                <w:color w:val="auto"/>
              </w:rPr>
            </w:pPr>
            <w:r>
              <w:rPr>
                <w:rFonts w:ascii="Arial" w:cs="Arial" w:eastAsia="Arial" w:hAnsi="Arial"/>
                <w:sz w:val="14"/>
                <w:szCs w:val="14"/>
                <w:color w:val="auto"/>
              </w:rPr>
              <w:t>develop key talent and provide valuable insight in determining compensation of the</w:t>
            </w:r>
          </w:p>
        </w:tc>
        <w:tc>
          <w:tcPr>
            <w:tcW w:w="2840" w:type="dxa"/>
            <w:vAlign w:val="bottom"/>
            <w:vMerge w:val="restart"/>
            <w:shd w:val="clear" w:color="auto" w:fill="EDEDED"/>
          </w:tcPr>
          <w:p>
            <w:pPr>
              <w:ind w:left="80"/>
              <w:spacing w:after="0"/>
              <w:rPr>
                <w:sz w:val="20"/>
                <w:szCs w:val="20"/>
                <w:color w:val="auto"/>
              </w:rPr>
            </w:pPr>
            <w:r>
              <w:rPr>
                <w:rFonts w:ascii="Arial" w:cs="Arial" w:eastAsia="Arial" w:hAnsi="Arial"/>
                <w:sz w:val="16"/>
                <w:szCs w:val="16"/>
                <w:color w:val="004876"/>
              </w:rPr>
              <w:t>8 Nominees</w:t>
            </w:r>
          </w:p>
        </w:tc>
        <w:tc>
          <w:tcPr>
            <w:tcW w:w="0" w:type="dxa"/>
            <w:vAlign w:val="bottom"/>
          </w:tcPr>
          <w:p>
            <w:pPr>
              <w:spacing w:after="0"/>
              <w:rPr>
                <w:sz w:val="1"/>
                <w:szCs w:val="1"/>
                <w:color w:val="auto"/>
              </w:rPr>
            </w:pPr>
          </w:p>
        </w:tc>
      </w:tr>
      <w:tr>
        <w:trPr>
          <w:trHeight w:val="172"/>
        </w:trPr>
        <w:tc>
          <w:tcPr>
            <w:tcW w:w="5760" w:type="dxa"/>
            <w:vAlign w:val="bottom"/>
            <w:shd w:val="clear" w:color="auto" w:fill="EDEDED"/>
          </w:tcPr>
          <w:p>
            <w:pPr>
              <w:ind w:left="260"/>
              <w:spacing w:after="0"/>
              <w:rPr>
                <w:sz w:val="20"/>
                <w:szCs w:val="20"/>
                <w:color w:val="auto"/>
              </w:rPr>
            </w:pPr>
            <w:r>
              <w:rPr>
                <w:rFonts w:ascii="Arial" w:cs="Arial" w:eastAsia="Arial" w:hAnsi="Arial"/>
                <w:sz w:val="14"/>
                <w:szCs w:val="14"/>
                <w:color w:val="auto"/>
              </w:rPr>
              <w:t>CEO and other executive officers</w:t>
            </w:r>
          </w:p>
        </w:tc>
        <w:tc>
          <w:tcPr>
            <w:tcW w:w="2840" w:type="dxa"/>
            <w:vAlign w:val="bottom"/>
            <w:vMerge w:val="continue"/>
            <w:shd w:val="clear" w:color="auto" w:fill="EDEDED"/>
          </w:tcPr>
          <w:p>
            <w:pPr>
              <w:spacing w:after="0"/>
              <w:rPr>
                <w:sz w:val="14"/>
                <w:szCs w:val="14"/>
                <w:color w:val="auto"/>
              </w:rPr>
            </w:pPr>
          </w:p>
        </w:tc>
        <w:tc>
          <w:tcPr>
            <w:tcW w:w="0" w:type="dxa"/>
            <w:vAlign w:val="bottom"/>
          </w:tcPr>
          <w:p>
            <w:pPr>
              <w:spacing w:after="0"/>
              <w:rPr>
                <w:sz w:val="1"/>
                <w:szCs w:val="1"/>
                <w:color w:val="auto"/>
              </w:rPr>
            </w:pPr>
          </w:p>
        </w:tc>
      </w:tr>
      <w:tr>
        <w:trPr>
          <w:trHeight w:val="403"/>
        </w:trPr>
        <w:tc>
          <w:tcPr>
            <w:tcW w:w="5760" w:type="dxa"/>
            <w:vAlign w:val="bottom"/>
            <w:shd w:val="clear" w:color="auto" w:fill="EDEDED"/>
          </w:tcPr>
          <w:p>
            <w:pPr>
              <w:spacing w:after="0"/>
              <w:rPr>
                <w:sz w:val="24"/>
                <w:szCs w:val="24"/>
                <w:color w:val="auto"/>
              </w:rPr>
            </w:pPr>
          </w:p>
        </w:tc>
        <w:tc>
          <w:tcPr>
            <w:tcW w:w="2840" w:type="dxa"/>
            <w:vAlign w:val="bottom"/>
            <w:shd w:val="clear" w:color="auto" w:fill="EDEDED"/>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3707130</wp:posOffset>
            </wp:positionH>
            <wp:positionV relativeFrom="paragraph">
              <wp:posOffset>-548005</wp:posOffset>
            </wp:positionV>
            <wp:extent cx="1371600" cy="1454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371600"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40" w:space="100"/>
            <w:col w:w="8600"/>
          </w:cols>
          <w:pgMar w:left="320" w:top="459" w:right="439" w:bottom="1440" w:gutter="0" w:footer="0" w:header="0"/>
          <w:type w:val="continuous"/>
        </w:sectPr>
      </w:pPr>
    </w:p>
    <w:p>
      <w:pPr>
        <w:spacing w:after="0" w:line="34" w:lineRule="exact"/>
        <w:rPr>
          <w:sz w:val="20"/>
          <w:szCs w:val="20"/>
          <w:color w:val="auto"/>
        </w:rPr>
      </w:pPr>
    </w:p>
    <w:p>
      <w:pPr>
        <w:jc w:val="right"/>
        <w:ind w:left="800"/>
        <w:spacing w:after="0" w:line="301" w:lineRule="auto"/>
        <w:rPr>
          <w:sz w:val="20"/>
          <w:szCs w:val="20"/>
          <w:color w:val="auto"/>
        </w:rPr>
      </w:pPr>
      <w:r>
        <w:rPr>
          <w:rFonts w:ascii="Arial" w:cs="Arial" w:eastAsia="Arial" w:hAnsi="Arial"/>
          <w:sz w:val="17"/>
          <w:szCs w:val="17"/>
          <w:b w:val="1"/>
          <w:bCs w:val="1"/>
          <w:color w:val="FFFFFF"/>
        </w:rPr>
        <w:t>PUBLIC COMPANY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217805</wp:posOffset>
            </wp:positionV>
            <wp:extent cx="1534160" cy="42037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534160" cy="420370"/>
                    </a:xfrm>
                    <a:prstGeom prst="rect">
                      <a:avLst/>
                    </a:prstGeom>
                    <a:noFill/>
                  </pic:spPr>
                </pic:pic>
              </a:graphicData>
            </a:graphic>
          </wp:anchor>
        </w:drawing>
      </w:r>
    </w:p>
    <w:p>
      <w:pPr>
        <w:spacing w:after="0" w:line="35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FFFFFF"/>
        </w:rPr>
        <w:t>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397510</wp:posOffset>
            </wp:positionV>
            <wp:extent cx="1534160" cy="5575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53416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ind w:left="480"/>
        <w:spacing w:after="0" w:line="275" w:lineRule="auto"/>
        <w:rPr>
          <w:sz w:val="20"/>
          <w:szCs w:val="20"/>
          <w:color w:val="auto"/>
        </w:rPr>
      </w:pPr>
      <w:r>
        <w:rPr>
          <w:rFonts w:ascii="Arial" w:cs="Arial" w:eastAsia="Arial" w:hAnsi="Arial"/>
          <w:sz w:val="17"/>
          <w:szCs w:val="17"/>
          <w:b w:val="1"/>
          <w:bCs w:val="1"/>
          <w:color w:val="FFFFFF"/>
        </w:rPr>
        <w:t>REGULATED INDUSTRIES AND REGULATORY ISSUES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239395</wp:posOffset>
            </wp:positionV>
            <wp:extent cx="1534160" cy="4629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534160" cy="462915"/>
                    </a:xfrm>
                    <a:prstGeom prst="rect">
                      <a:avLst/>
                    </a:prstGeom>
                    <a:noFill/>
                  </pic:spPr>
                </pic:pic>
              </a:graphicData>
            </a:graphic>
          </wp:anchor>
        </w:drawing>
      </w:r>
    </w:p>
    <w:p>
      <w:pPr>
        <w:spacing w:after="0" w:line="388" w:lineRule="exact"/>
        <w:rPr>
          <w:sz w:val="20"/>
          <w:szCs w:val="20"/>
          <w:color w:val="auto"/>
        </w:rPr>
      </w:pPr>
    </w:p>
    <w:p>
      <w:pPr>
        <w:jc w:val="both"/>
        <w:ind w:left="980" w:hanging="339"/>
        <w:spacing w:after="0" w:line="271" w:lineRule="auto"/>
        <w:rPr>
          <w:sz w:val="20"/>
          <w:szCs w:val="20"/>
          <w:color w:val="auto"/>
        </w:rPr>
      </w:pPr>
      <w:r>
        <w:rPr>
          <w:rFonts w:ascii="Arial" w:cs="Arial" w:eastAsia="Arial" w:hAnsi="Arial"/>
          <w:sz w:val="18"/>
          <w:szCs w:val="18"/>
          <w:b w:val="1"/>
          <w:bCs w:val="1"/>
          <w:color w:val="FFFFFF"/>
        </w:rPr>
        <w:t>RISK MANAGEMENT AND CONTROLS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0"/>
        </w:trPr>
        <w:tc>
          <w:tcPr>
            <w:tcW w:w="200" w:type="dxa"/>
            <w:vAlign w:val="bottom"/>
            <w:shd w:val="clear" w:color="auto" w:fill="EDEDED"/>
          </w:tcPr>
          <w:p>
            <w:pPr>
              <w:ind w:left="120"/>
              <w:spacing w:after="0"/>
              <w:rPr>
                <w:sz w:val="20"/>
                <w:szCs w:val="20"/>
                <w:color w:val="auto"/>
              </w:rPr>
            </w:pPr>
            <w:r>
              <w:rPr>
                <w:rFonts w:ascii="Arial" w:cs="Arial" w:eastAsia="Arial" w:hAnsi="Arial"/>
                <w:sz w:val="14"/>
                <w:szCs w:val="14"/>
                <w:color w:val="004876"/>
              </w:rPr>
              <w:t>•</w:t>
            </w:r>
          </w:p>
        </w:tc>
        <w:tc>
          <w:tcPr>
            <w:tcW w:w="5580" w:type="dxa"/>
            <w:vAlign w:val="bottom"/>
            <w:shd w:val="clear" w:color="auto" w:fill="EDEDED"/>
          </w:tcPr>
          <w:p>
            <w:pPr>
              <w:ind w:left="40"/>
              <w:spacing w:after="0"/>
              <w:rPr>
                <w:sz w:val="20"/>
                <w:szCs w:val="20"/>
                <w:color w:val="auto"/>
              </w:rPr>
            </w:pPr>
            <w:r>
              <w:rPr>
                <w:rFonts w:ascii="Arial" w:cs="Arial" w:eastAsia="Arial" w:hAnsi="Arial"/>
                <w:sz w:val="14"/>
                <w:szCs w:val="14"/>
                <w:color w:val="auto"/>
              </w:rPr>
              <w:t>Knowledge of public company governance matters, policies and best practices assists</w:t>
            </w:r>
          </w:p>
        </w:tc>
        <w:tc>
          <w:tcPr>
            <w:tcW w:w="2820" w:type="dxa"/>
            <w:vAlign w:val="bottom"/>
            <w:shd w:val="clear" w:color="auto" w:fill="EDEDED"/>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0" w:type="dxa"/>
            <w:vAlign w:val="bottom"/>
            <w:shd w:val="clear" w:color="auto" w:fill="EDEDED"/>
          </w:tcPr>
          <w:p>
            <w:pPr>
              <w:spacing w:after="0"/>
              <w:rPr>
                <w:sz w:val="14"/>
                <w:szCs w:val="14"/>
                <w:color w:val="auto"/>
              </w:rPr>
            </w:pPr>
          </w:p>
        </w:tc>
        <w:tc>
          <w:tcPr>
            <w:tcW w:w="5580" w:type="dxa"/>
            <w:vAlign w:val="bottom"/>
            <w:shd w:val="clear" w:color="auto" w:fill="EDEDED"/>
          </w:tcPr>
          <w:p>
            <w:pPr>
              <w:ind w:left="60"/>
              <w:spacing w:after="0"/>
              <w:rPr>
                <w:sz w:val="20"/>
                <w:szCs w:val="20"/>
                <w:color w:val="auto"/>
              </w:rPr>
            </w:pPr>
            <w:r>
              <w:rPr>
                <w:rFonts w:ascii="Arial" w:cs="Arial" w:eastAsia="Arial" w:hAnsi="Arial"/>
                <w:sz w:val="14"/>
                <w:szCs w:val="14"/>
                <w:color w:val="auto"/>
              </w:rPr>
              <w:t>the Board in considering and adopting applicable corporate governance practices,</w:t>
            </w:r>
          </w:p>
        </w:tc>
        <w:tc>
          <w:tcPr>
            <w:tcW w:w="2820" w:type="dxa"/>
            <w:vAlign w:val="bottom"/>
            <w:shd w:val="clear" w:color="auto" w:fill="EDEDED"/>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 w:type="dxa"/>
            <w:vAlign w:val="bottom"/>
            <w:shd w:val="clear" w:color="auto" w:fill="EDEDED"/>
          </w:tcPr>
          <w:p>
            <w:pPr>
              <w:spacing w:after="0"/>
              <w:rPr>
                <w:sz w:val="14"/>
                <w:szCs w:val="14"/>
                <w:color w:val="auto"/>
              </w:rPr>
            </w:pPr>
          </w:p>
        </w:tc>
        <w:tc>
          <w:tcPr>
            <w:tcW w:w="5580" w:type="dxa"/>
            <w:vAlign w:val="bottom"/>
            <w:shd w:val="clear" w:color="auto" w:fill="EDEDED"/>
          </w:tcPr>
          <w:p>
            <w:pPr>
              <w:ind w:left="60"/>
              <w:spacing w:after="0"/>
              <w:rPr>
                <w:sz w:val="20"/>
                <w:szCs w:val="20"/>
                <w:color w:val="auto"/>
              </w:rPr>
            </w:pPr>
            <w:r>
              <w:rPr>
                <w:rFonts w:ascii="Arial" w:cs="Arial" w:eastAsia="Arial" w:hAnsi="Arial"/>
                <w:sz w:val="14"/>
                <w:szCs w:val="14"/>
                <w:color w:val="auto"/>
              </w:rPr>
              <w:t>interacting with stakeholders and understanding the impact of various policies on the</w:t>
            </w:r>
          </w:p>
        </w:tc>
        <w:tc>
          <w:tcPr>
            <w:tcW w:w="2820" w:type="dxa"/>
            <w:vAlign w:val="bottom"/>
            <w:vMerge w:val="restart"/>
            <w:shd w:val="clear" w:color="auto" w:fill="EDEDED"/>
          </w:tcPr>
          <w:p>
            <w:pPr>
              <w:ind w:left="60"/>
              <w:spacing w:after="0"/>
              <w:rPr>
                <w:sz w:val="20"/>
                <w:szCs w:val="20"/>
                <w:color w:val="auto"/>
              </w:rPr>
            </w:pPr>
            <w:r>
              <w:rPr>
                <w:rFonts w:ascii="Arial" w:cs="Arial" w:eastAsia="Arial" w:hAnsi="Arial"/>
                <w:sz w:val="16"/>
                <w:szCs w:val="16"/>
                <w:color w:val="004876"/>
              </w:rPr>
              <w:t>10 Nominees</w:t>
            </w:r>
          </w:p>
        </w:tc>
        <w:tc>
          <w:tcPr>
            <w:tcW w:w="0" w:type="dxa"/>
            <w:vAlign w:val="bottom"/>
          </w:tcPr>
          <w:p>
            <w:pPr>
              <w:spacing w:after="0"/>
              <w:rPr>
                <w:sz w:val="1"/>
                <w:szCs w:val="1"/>
                <w:color w:val="auto"/>
              </w:rPr>
            </w:pPr>
          </w:p>
        </w:tc>
      </w:tr>
      <w:tr>
        <w:trPr>
          <w:trHeight w:val="157"/>
        </w:trPr>
        <w:tc>
          <w:tcPr>
            <w:tcW w:w="200" w:type="dxa"/>
            <w:vAlign w:val="bottom"/>
            <w:shd w:val="clear" w:color="auto" w:fill="EDEDED"/>
          </w:tcPr>
          <w:p>
            <w:pPr>
              <w:spacing w:after="0"/>
              <w:rPr>
                <w:sz w:val="13"/>
                <w:szCs w:val="13"/>
                <w:color w:val="auto"/>
              </w:rPr>
            </w:pPr>
          </w:p>
        </w:tc>
        <w:tc>
          <w:tcPr>
            <w:tcW w:w="5580" w:type="dxa"/>
            <w:vAlign w:val="bottom"/>
            <w:shd w:val="clear" w:color="auto" w:fill="EDEDED"/>
          </w:tcPr>
          <w:p>
            <w:pPr>
              <w:ind w:left="60"/>
              <w:spacing w:after="0" w:line="157" w:lineRule="exact"/>
              <w:rPr>
                <w:sz w:val="20"/>
                <w:szCs w:val="20"/>
                <w:color w:val="auto"/>
              </w:rPr>
            </w:pPr>
            <w:r>
              <w:rPr>
                <w:rFonts w:ascii="Arial" w:cs="Arial" w:eastAsia="Arial" w:hAnsi="Arial"/>
                <w:sz w:val="14"/>
                <w:szCs w:val="14"/>
                <w:color w:val="auto"/>
              </w:rPr>
              <w:t>Firm’s functions</w:t>
            </w:r>
          </w:p>
        </w:tc>
        <w:tc>
          <w:tcPr>
            <w:tcW w:w="2820" w:type="dxa"/>
            <w:vAlign w:val="bottom"/>
            <w:vMerge w:val="continue"/>
            <w:shd w:val="clear" w:color="auto" w:fill="EDEDED"/>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558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0" w:type="dxa"/>
            <w:vAlign w:val="bottom"/>
            <w:shd w:val="clear" w:color="auto" w:fill="EDEDED"/>
          </w:tcPr>
          <w:p>
            <w:pPr>
              <w:ind w:left="120"/>
              <w:spacing w:after="0"/>
              <w:rPr>
                <w:sz w:val="20"/>
                <w:szCs w:val="20"/>
                <w:color w:val="auto"/>
              </w:rPr>
            </w:pPr>
            <w:r>
              <w:rPr>
                <w:rFonts w:ascii="Arial" w:cs="Arial" w:eastAsia="Arial" w:hAnsi="Arial"/>
                <w:sz w:val="14"/>
                <w:szCs w:val="14"/>
                <w:color w:val="004876"/>
              </w:rPr>
              <w:t>•</w:t>
            </w:r>
          </w:p>
        </w:tc>
        <w:tc>
          <w:tcPr>
            <w:tcW w:w="5580" w:type="dxa"/>
            <w:vAlign w:val="bottom"/>
            <w:shd w:val="clear" w:color="auto" w:fill="EDEDED"/>
          </w:tcPr>
          <w:p>
            <w:pPr>
              <w:ind w:left="40"/>
              <w:spacing w:after="0"/>
              <w:rPr>
                <w:sz w:val="20"/>
                <w:szCs w:val="20"/>
                <w:color w:val="auto"/>
              </w:rPr>
            </w:pPr>
            <w:r>
              <w:rPr>
                <w:rFonts w:ascii="Arial" w:cs="Arial" w:eastAsia="Arial" w:hAnsi="Arial"/>
                <w:sz w:val="14"/>
                <w:szCs w:val="14"/>
                <w:color w:val="auto"/>
              </w:rPr>
              <w:t>Experience with or oversight of innovative technology, cybersecurity, information</w:t>
            </w:r>
          </w:p>
        </w:tc>
        <w:tc>
          <w:tcPr>
            <w:tcW w:w="2820" w:type="dxa"/>
            <w:vAlign w:val="bottom"/>
            <w:shd w:val="clear" w:color="auto" w:fill="EDEDED"/>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0" w:type="dxa"/>
            <w:vAlign w:val="bottom"/>
            <w:shd w:val="clear" w:color="auto" w:fill="EDEDED"/>
          </w:tcPr>
          <w:p>
            <w:pPr>
              <w:spacing w:after="0"/>
              <w:rPr>
                <w:sz w:val="14"/>
                <w:szCs w:val="14"/>
                <w:color w:val="auto"/>
              </w:rPr>
            </w:pPr>
          </w:p>
        </w:tc>
        <w:tc>
          <w:tcPr>
            <w:tcW w:w="5580" w:type="dxa"/>
            <w:vAlign w:val="bottom"/>
            <w:shd w:val="clear" w:color="auto" w:fill="EDEDED"/>
          </w:tcPr>
          <w:p>
            <w:pPr>
              <w:ind w:left="60"/>
              <w:spacing w:after="0"/>
              <w:rPr>
                <w:sz w:val="20"/>
                <w:szCs w:val="20"/>
                <w:color w:val="auto"/>
              </w:rPr>
            </w:pPr>
            <w:r>
              <w:rPr>
                <w:rFonts w:ascii="Arial" w:cs="Arial" w:eastAsia="Arial" w:hAnsi="Arial"/>
                <w:sz w:val="14"/>
                <w:szCs w:val="14"/>
                <w:color w:val="auto"/>
              </w:rPr>
              <w:t>systems/data management, fintech or privacy is important in overseeing the security</w:t>
            </w:r>
          </w:p>
        </w:tc>
        <w:tc>
          <w:tcPr>
            <w:tcW w:w="2820" w:type="dxa"/>
            <w:vAlign w:val="bottom"/>
            <w:shd w:val="clear" w:color="auto" w:fill="EDEDED"/>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 w:type="dxa"/>
            <w:vAlign w:val="bottom"/>
            <w:shd w:val="clear" w:color="auto" w:fill="EDEDED"/>
          </w:tcPr>
          <w:p>
            <w:pPr>
              <w:spacing w:after="0"/>
              <w:rPr>
                <w:sz w:val="14"/>
                <w:szCs w:val="14"/>
                <w:color w:val="auto"/>
              </w:rPr>
            </w:pPr>
          </w:p>
        </w:tc>
        <w:tc>
          <w:tcPr>
            <w:tcW w:w="5580" w:type="dxa"/>
            <w:vAlign w:val="bottom"/>
            <w:shd w:val="clear" w:color="auto" w:fill="EDEDED"/>
          </w:tcPr>
          <w:p>
            <w:pPr>
              <w:ind w:left="60"/>
              <w:spacing w:after="0"/>
              <w:rPr>
                <w:sz w:val="20"/>
                <w:szCs w:val="20"/>
                <w:color w:val="auto"/>
              </w:rPr>
            </w:pPr>
            <w:r>
              <w:rPr>
                <w:rFonts w:ascii="Arial" w:cs="Arial" w:eastAsia="Arial" w:hAnsi="Arial"/>
                <w:sz w:val="14"/>
                <w:szCs w:val="14"/>
                <w:color w:val="auto"/>
              </w:rPr>
              <w:t>of the Firm’s operations, assets and systems as well as the Firm’s ongoing investment</w:t>
            </w:r>
          </w:p>
        </w:tc>
        <w:tc>
          <w:tcPr>
            <w:tcW w:w="2820" w:type="dxa"/>
            <w:vAlign w:val="bottom"/>
            <w:vMerge w:val="restart"/>
            <w:shd w:val="clear" w:color="auto" w:fill="EDEDED"/>
          </w:tcPr>
          <w:p>
            <w:pPr>
              <w:ind w:left="60"/>
              <w:spacing w:after="0"/>
              <w:rPr>
                <w:sz w:val="20"/>
                <w:szCs w:val="20"/>
                <w:color w:val="auto"/>
              </w:rPr>
            </w:pPr>
            <w:r>
              <w:rPr>
                <w:rFonts w:ascii="Arial" w:cs="Arial" w:eastAsia="Arial" w:hAnsi="Arial"/>
                <w:sz w:val="16"/>
                <w:szCs w:val="16"/>
                <w:color w:val="004876"/>
              </w:rPr>
              <w:t>7 Nominees</w:t>
            </w:r>
          </w:p>
        </w:tc>
        <w:tc>
          <w:tcPr>
            <w:tcW w:w="0" w:type="dxa"/>
            <w:vAlign w:val="bottom"/>
          </w:tcPr>
          <w:p>
            <w:pPr>
              <w:spacing w:after="0"/>
              <w:rPr>
                <w:sz w:val="1"/>
                <w:szCs w:val="1"/>
                <w:color w:val="auto"/>
              </w:rPr>
            </w:pPr>
          </w:p>
        </w:tc>
      </w:tr>
      <w:tr>
        <w:trPr>
          <w:trHeight w:val="157"/>
        </w:trPr>
        <w:tc>
          <w:tcPr>
            <w:tcW w:w="200" w:type="dxa"/>
            <w:vAlign w:val="bottom"/>
            <w:shd w:val="clear" w:color="auto" w:fill="EDEDED"/>
          </w:tcPr>
          <w:p>
            <w:pPr>
              <w:spacing w:after="0"/>
              <w:rPr>
                <w:sz w:val="13"/>
                <w:szCs w:val="13"/>
                <w:color w:val="auto"/>
              </w:rPr>
            </w:pPr>
          </w:p>
        </w:tc>
        <w:tc>
          <w:tcPr>
            <w:tcW w:w="5580" w:type="dxa"/>
            <w:vAlign w:val="bottom"/>
            <w:shd w:val="clear" w:color="auto" w:fill="EDEDED"/>
          </w:tcPr>
          <w:p>
            <w:pPr>
              <w:ind w:left="60"/>
              <w:spacing w:after="0" w:line="157" w:lineRule="exact"/>
              <w:rPr>
                <w:sz w:val="20"/>
                <w:szCs w:val="20"/>
                <w:color w:val="auto"/>
              </w:rPr>
            </w:pPr>
            <w:r>
              <w:rPr>
                <w:rFonts w:ascii="Arial" w:cs="Arial" w:eastAsia="Arial" w:hAnsi="Arial"/>
                <w:sz w:val="14"/>
                <w:szCs w:val="14"/>
                <w:color w:val="auto"/>
              </w:rPr>
              <w:t>in and development of innovative technology</w:t>
            </w:r>
          </w:p>
        </w:tc>
        <w:tc>
          <w:tcPr>
            <w:tcW w:w="2820" w:type="dxa"/>
            <w:vAlign w:val="bottom"/>
            <w:vMerge w:val="continue"/>
            <w:shd w:val="clear" w:color="auto" w:fill="EDEDED"/>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558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0" w:type="dxa"/>
            <w:vAlign w:val="bottom"/>
            <w:shd w:val="clear" w:color="auto" w:fill="EDEDED"/>
          </w:tcPr>
          <w:p>
            <w:pPr>
              <w:ind w:left="120"/>
              <w:spacing w:after="0"/>
              <w:rPr>
                <w:sz w:val="20"/>
                <w:szCs w:val="20"/>
                <w:color w:val="auto"/>
              </w:rPr>
            </w:pPr>
            <w:r>
              <w:rPr>
                <w:rFonts w:ascii="Arial" w:cs="Arial" w:eastAsia="Arial" w:hAnsi="Arial"/>
                <w:sz w:val="14"/>
                <w:szCs w:val="14"/>
                <w:color w:val="004876"/>
              </w:rPr>
              <w:t>•</w:t>
            </w:r>
          </w:p>
        </w:tc>
        <w:tc>
          <w:tcPr>
            <w:tcW w:w="5580" w:type="dxa"/>
            <w:vAlign w:val="bottom"/>
            <w:shd w:val="clear" w:color="auto" w:fill="EDEDED"/>
          </w:tcPr>
          <w:p>
            <w:pPr>
              <w:ind w:left="40"/>
              <w:spacing w:after="0"/>
              <w:rPr>
                <w:sz w:val="20"/>
                <w:szCs w:val="20"/>
                <w:color w:val="auto"/>
              </w:rPr>
            </w:pPr>
            <w:r>
              <w:rPr>
                <w:rFonts w:ascii="Arial" w:cs="Arial" w:eastAsia="Arial" w:hAnsi="Arial"/>
                <w:sz w:val="14"/>
                <w:szCs w:val="14"/>
                <w:color w:val="auto"/>
              </w:rPr>
              <w:t>Experience with regulated businesses, regulatory requirements and relationships with</w:t>
            </w:r>
          </w:p>
        </w:tc>
        <w:tc>
          <w:tcPr>
            <w:tcW w:w="2820" w:type="dxa"/>
            <w:vAlign w:val="bottom"/>
            <w:shd w:val="clear" w:color="auto" w:fill="EDEDED"/>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0" w:type="dxa"/>
            <w:vAlign w:val="bottom"/>
            <w:shd w:val="clear" w:color="auto" w:fill="EDEDED"/>
          </w:tcPr>
          <w:p>
            <w:pPr>
              <w:spacing w:after="0"/>
              <w:rPr>
                <w:sz w:val="14"/>
                <w:szCs w:val="14"/>
                <w:color w:val="auto"/>
              </w:rPr>
            </w:pPr>
          </w:p>
        </w:tc>
        <w:tc>
          <w:tcPr>
            <w:tcW w:w="5580" w:type="dxa"/>
            <w:vAlign w:val="bottom"/>
            <w:shd w:val="clear" w:color="auto" w:fill="EDEDED"/>
          </w:tcPr>
          <w:p>
            <w:pPr>
              <w:ind w:left="60"/>
              <w:spacing w:after="0"/>
              <w:rPr>
                <w:sz w:val="20"/>
                <w:szCs w:val="20"/>
                <w:color w:val="auto"/>
              </w:rPr>
            </w:pPr>
            <w:r>
              <w:rPr>
                <w:rFonts w:ascii="Arial" w:cs="Arial" w:eastAsia="Arial" w:hAnsi="Arial"/>
                <w:sz w:val="14"/>
                <w:szCs w:val="14"/>
                <w:color w:val="auto"/>
              </w:rPr>
              <w:t>global regulators is important because the Firm operates in a heavily regulated</w:t>
            </w:r>
          </w:p>
        </w:tc>
        <w:tc>
          <w:tcPr>
            <w:tcW w:w="2820" w:type="dxa"/>
            <w:vAlign w:val="bottom"/>
            <w:shd w:val="clear" w:color="auto" w:fill="EDEDED"/>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0" w:type="dxa"/>
            <w:vAlign w:val="bottom"/>
            <w:shd w:val="clear" w:color="auto" w:fill="EDEDED"/>
          </w:tcPr>
          <w:p>
            <w:pPr>
              <w:spacing w:after="0"/>
              <w:rPr>
                <w:sz w:val="14"/>
                <w:szCs w:val="14"/>
                <w:color w:val="auto"/>
              </w:rPr>
            </w:pPr>
          </w:p>
        </w:tc>
        <w:tc>
          <w:tcPr>
            <w:tcW w:w="5580" w:type="dxa"/>
            <w:vAlign w:val="bottom"/>
            <w:shd w:val="clear" w:color="auto" w:fill="EDEDED"/>
          </w:tcPr>
          <w:p>
            <w:pPr>
              <w:ind w:left="60"/>
              <w:spacing w:after="0"/>
              <w:rPr>
                <w:sz w:val="20"/>
                <w:szCs w:val="20"/>
                <w:color w:val="auto"/>
              </w:rPr>
            </w:pPr>
            <w:r>
              <w:rPr>
                <w:rFonts w:ascii="Arial" w:cs="Arial" w:eastAsia="Arial" w:hAnsi="Arial"/>
                <w:sz w:val="14"/>
                <w:szCs w:val="14"/>
                <w:color w:val="auto"/>
              </w:rPr>
              <w:t>industry</w:t>
            </w:r>
          </w:p>
        </w:tc>
        <w:tc>
          <w:tcPr>
            <w:tcW w:w="2820" w:type="dxa"/>
            <w:vAlign w:val="bottom"/>
            <w:vMerge w:val="restart"/>
            <w:shd w:val="clear" w:color="auto" w:fill="EDEDED"/>
          </w:tcPr>
          <w:p>
            <w:pPr>
              <w:ind w:left="60"/>
              <w:spacing w:after="0"/>
              <w:rPr>
                <w:sz w:val="20"/>
                <w:szCs w:val="20"/>
                <w:color w:val="auto"/>
              </w:rPr>
            </w:pPr>
            <w:r>
              <w:rPr>
                <w:rFonts w:ascii="Arial" w:cs="Arial" w:eastAsia="Arial" w:hAnsi="Arial"/>
                <w:sz w:val="16"/>
                <w:szCs w:val="16"/>
                <w:color w:val="004876"/>
              </w:rPr>
              <w:t>10 Nominees</w:t>
            </w:r>
          </w:p>
        </w:tc>
        <w:tc>
          <w:tcPr>
            <w:tcW w:w="0" w:type="dxa"/>
            <w:vAlign w:val="bottom"/>
          </w:tcPr>
          <w:p>
            <w:pPr>
              <w:spacing w:after="0"/>
              <w:rPr>
                <w:sz w:val="1"/>
                <w:szCs w:val="1"/>
                <w:color w:val="auto"/>
              </w:rPr>
            </w:pPr>
          </w:p>
        </w:tc>
      </w:tr>
      <w:tr>
        <w:trPr>
          <w:trHeight w:val="127"/>
        </w:trPr>
        <w:tc>
          <w:tcPr>
            <w:tcW w:w="200" w:type="dxa"/>
            <w:vAlign w:val="bottom"/>
            <w:shd w:val="clear" w:color="auto" w:fill="EDEDED"/>
          </w:tcPr>
          <w:p>
            <w:pPr>
              <w:spacing w:after="0"/>
              <w:rPr>
                <w:sz w:val="11"/>
                <w:szCs w:val="11"/>
                <w:color w:val="auto"/>
              </w:rPr>
            </w:pPr>
          </w:p>
        </w:tc>
        <w:tc>
          <w:tcPr>
            <w:tcW w:w="5580" w:type="dxa"/>
            <w:vAlign w:val="bottom"/>
            <w:shd w:val="clear" w:color="auto" w:fill="EDEDED"/>
          </w:tcPr>
          <w:p>
            <w:pPr>
              <w:spacing w:after="0"/>
              <w:rPr>
                <w:sz w:val="11"/>
                <w:szCs w:val="11"/>
                <w:color w:val="auto"/>
              </w:rPr>
            </w:pPr>
          </w:p>
        </w:tc>
        <w:tc>
          <w:tcPr>
            <w:tcW w:w="2820" w:type="dxa"/>
            <w:vAlign w:val="bottom"/>
            <w:vMerge w:val="continue"/>
            <w:shd w:val="clear" w:color="auto" w:fill="EDEDED"/>
          </w:tcPr>
          <w:p>
            <w:pPr>
              <w:spacing w:after="0"/>
              <w:rPr>
                <w:sz w:val="11"/>
                <w:szCs w:val="11"/>
                <w:color w:val="auto"/>
              </w:rPr>
            </w:pPr>
          </w:p>
        </w:tc>
        <w:tc>
          <w:tcPr>
            <w:tcW w:w="0" w:type="dxa"/>
            <w:vAlign w:val="bottom"/>
          </w:tcPr>
          <w:p>
            <w:pPr>
              <w:spacing w:after="0"/>
              <w:rPr>
                <w:sz w:val="1"/>
                <w:szCs w:val="1"/>
                <w:color w:val="auto"/>
              </w:rPr>
            </w:pPr>
          </w:p>
        </w:tc>
      </w:tr>
      <w:tr>
        <w:trPr>
          <w:trHeight w:val="236"/>
        </w:trPr>
        <w:tc>
          <w:tcPr>
            <w:tcW w:w="200" w:type="dxa"/>
            <w:vAlign w:val="bottom"/>
            <w:shd w:val="clear" w:color="auto" w:fill="EDEDED"/>
          </w:tcPr>
          <w:p>
            <w:pPr>
              <w:spacing w:after="0"/>
              <w:rPr>
                <w:sz w:val="20"/>
                <w:szCs w:val="20"/>
                <w:color w:val="auto"/>
              </w:rPr>
            </w:pPr>
          </w:p>
        </w:tc>
        <w:tc>
          <w:tcPr>
            <w:tcW w:w="5580" w:type="dxa"/>
            <w:vAlign w:val="bottom"/>
            <w:shd w:val="clear" w:color="auto" w:fill="EDEDED"/>
          </w:tcPr>
          <w:p>
            <w:pPr>
              <w:spacing w:after="0"/>
              <w:rPr>
                <w:sz w:val="20"/>
                <w:szCs w:val="20"/>
                <w:color w:val="auto"/>
              </w:rPr>
            </w:pPr>
          </w:p>
        </w:tc>
        <w:tc>
          <w:tcPr>
            <w:tcW w:w="2820" w:type="dxa"/>
            <w:vAlign w:val="bottom"/>
            <w:shd w:val="clear" w:color="auto" w:fill="EDEDED"/>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558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0" w:type="dxa"/>
            <w:vAlign w:val="bottom"/>
            <w:shd w:val="clear" w:color="auto" w:fill="EDEDED"/>
          </w:tcPr>
          <w:p>
            <w:pPr>
              <w:ind w:left="120"/>
              <w:spacing w:after="0"/>
              <w:rPr>
                <w:sz w:val="20"/>
                <w:szCs w:val="20"/>
                <w:color w:val="auto"/>
              </w:rPr>
            </w:pPr>
            <w:r>
              <w:rPr>
                <w:rFonts w:ascii="Arial" w:cs="Arial" w:eastAsia="Arial" w:hAnsi="Arial"/>
                <w:sz w:val="14"/>
                <w:szCs w:val="14"/>
                <w:color w:val="004876"/>
              </w:rPr>
              <w:t>•</w:t>
            </w:r>
          </w:p>
        </w:tc>
        <w:tc>
          <w:tcPr>
            <w:tcW w:w="5580" w:type="dxa"/>
            <w:vAlign w:val="bottom"/>
            <w:shd w:val="clear" w:color="auto" w:fill="EDEDED"/>
          </w:tcPr>
          <w:p>
            <w:pPr>
              <w:ind w:left="40"/>
              <w:spacing w:after="0"/>
              <w:rPr>
                <w:sz w:val="20"/>
                <w:szCs w:val="20"/>
                <w:color w:val="auto"/>
              </w:rPr>
            </w:pPr>
            <w:r>
              <w:rPr>
                <w:rFonts w:ascii="Arial" w:cs="Arial" w:eastAsia="Arial" w:hAnsi="Arial"/>
                <w:sz w:val="14"/>
                <w:szCs w:val="14"/>
                <w:color w:val="auto"/>
              </w:rPr>
              <w:t>Skills and experience in assessment and management of business and financial risk</w:t>
            </w:r>
          </w:p>
        </w:tc>
        <w:tc>
          <w:tcPr>
            <w:tcW w:w="2820" w:type="dxa"/>
            <w:vAlign w:val="bottom"/>
            <w:shd w:val="clear" w:color="auto" w:fill="EDEDED"/>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0" w:type="dxa"/>
            <w:vAlign w:val="bottom"/>
            <w:shd w:val="clear" w:color="auto" w:fill="EDEDED"/>
          </w:tcPr>
          <w:p>
            <w:pPr>
              <w:spacing w:after="0"/>
              <w:rPr>
                <w:sz w:val="14"/>
                <w:szCs w:val="14"/>
                <w:color w:val="auto"/>
              </w:rPr>
            </w:pPr>
          </w:p>
        </w:tc>
        <w:tc>
          <w:tcPr>
            <w:tcW w:w="5580" w:type="dxa"/>
            <w:vAlign w:val="bottom"/>
            <w:shd w:val="clear" w:color="auto" w:fill="EDEDED"/>
          </w:tcPr>
          <w:p>
            <w:pPr>
              <w:ind w:left="60"/>
              <w:spacing w:after="0"/>
              <w:rPr>
                <w:sz w:val="20"/>
                <w:szCs w:val="20"/>
                <w:color w:val="auto"/>
              </w:rPr>
            </w:pPr>
            <w:r>
              <w:rPr>
                <w:rFonts w:ascii="Arial" w:cs="Arial" w:eastAsia="Arial" w:hAnsi="Arial"/>
                <w:sz w:val="14"/>
                <w:szCs w:val="14"/>
                <w:color w:val="auto"/>
              </w:rPr>
              <w:t>factors allow the Board to effectively oversee risk management and understand the</w:t>
            </w:r>
          </w:p>
        </w:tc>
        <w:tc>
          <w:tcPr>
            <w:tcW w:w="2820" w:type="dxa"/>
            <w:vAlign w:val="bottom"/>
            <w:shd w:val="clear" w:color="auto" w:fill="EDEDED"/>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0" w:type="dxa"/>
            <w:vAlign w:val="bottom"/>
            <w:shd w:val="clear" w:color="auto" w:fill="EDEDED"/>
          </w:tcPr>
          <w:p>
            <w:pPr>
              <w:spacing w:after="0"/>
              <w:rPr>
                <w:sz w:val="14"/>
                <w:szCs w:val="14"/>
                <w:color w:val="auto"/>
              </w:rPr>
            </w:pPr>
          </w:p>
        </w:tc>
        <w:tc>
          <w:tcPr>
            <w:tcW w:w="5580" w:type="dxa"/>
            <w:vAlign w:val="bottom"/>
            <w:shd w:val="clear" w:color="auto" w:fill="EDEDED"/>
          </w:tcPr>
          <w:p>
            <w:pPr>
              <w:ind w:left="60"/>
              <w:spacing w:after="0"/>
              <w:rPr>
                <w:sz w:val="20"/>
                <w:szCs w:val="20"/>
                <w:color w:val="auto"/>
              </w:rPr>
            </w:pPr>
            <w:r>
              <w:rPr>
                <w:rFonts w:ascii="Arial" w:cs="Arial" w:eastAsia="Arial" w:hAnsi="Arial"/>
                <w:sz w:val="14"/>
                <w:szCs w:val="14"/>
                <w:color w:val="auto"/>
              </w:rPr>
              <w:t>most significant risks facing the Firm</w:t>
            </w:r>
          </w:p>
        </w:tc>
        <w:tc>
          <w:tcPr>
            <w:tcW w:w="2820" w:type="dxa"/>
            <w:vAlign w:val="bottom"/>
            <w:vMerge w:val="restart"/>
            <w:shd w:val="clear" w:color="auto" w:fill="EDEDED"/>
          </w:tcPr>
          <w:p>
            <w:pPr>
              <w:ind w:left="60"/>
              <w:spacing w:after="0"/>
              <w:rPr>
                <w:sz w:val="20"/>
                <w:szCs w:val="20"/>
                <w:color w:val="auto"/>
              </w:rPr>
            </w:pPr>
            <w:r>
              <w:rPr>
                <w:rFonts w:ascii="Arial" w:cs="Arial" w:eastAsia="Arial" w:hAnsi="Arial"/>
                <w:sz w:val="16"/>
                <w:szCs w:val="16"/>
                <w:color w:val="004876"/>
              </w:rPr>
              <w:t>10 Nominees</w:t>
            </w:r>
          </w:p>
        </w:tc>
        <w:tc>
          <w:tcPr>
            <w:tcW w:w="0" w:type="dxa"/>
            <w:vAlign w:val="bottom"/>
          </w:tcPr>
          <w:p>
            <w:pPr>
              <w:spacing w:after="0"/>
              <w:rPr>
                <w:sz w:val="1"/>
                <w:szCs w:val="1"/>
                <w:color w:val="auto"/>
              </w:rPr>
            </w:pPr>
          </w:p>
        </w:tc>
      </w:tr>
      <w:tr>
        <w:trPr>
          <w:trHeight w:val="128"/>
        </w:trPr>
        <w:tc>
          <w:tcPr>
            <w:tcW w:w="200" w:type="dxa"/>
            <w:vAlign w:val="bottom"/>
            <w:shd w:val="clear" w:color="auto" w:fill="EDEDED"/>
          </w:tcPr>
          <w:p>
            <w:pPr>
              <w:spacing w:after="0"/>
              <w:rPr>
                <w:sz w:val="11"/>
                <w:szCs w:val="11"/>
                <w:color w:val="auto"/>
              </w:rPr>
            </w:pPr>
          </w:p>
        </w:tc>
        <w:tc>
          <w:tcPr>
            <w:tcW w:w="5580" w:type="dxa"/>
            <w:vAlign w:val="bottom"/>
            <w:shd w:val="clear" w:color="auto" w:fill="EDEDED"/>
          </w:tcPr>
          <w:p>
            <w:pPr>
              <w:spacing w:after="0"/>
              <w:rPr>
                <w:sz w:val="11"/>
                <w:szCs w:val="11"/>
                <w:color w:val="auto"/>
              </w:rPr>
            </w:pPr>
          </w:p>
        </w:tc>
        <w:tc>
          <w:tcPr>
            <w:tcW w:w="2820" w:type="dxa"/>
            <w:vAlign w:val="bottom"/>
            <w:vMerge w:val="continue"/>
            <w:shd w:val="clear" w:color="auto" w:fill="EDEDED"/>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 w:type="dxa"/>
            <w:vAlign w:val="bottom"/>
            <w:shd w:val="clear" w:color="auto" w:fill="EDEDED"/>
          </w:tcPr>
          <w:p>
            <w:pPr>
              <w:spacing w:after="0"/>
              <w:rPr>
                <w:sz w:val="7"/>
                <w:szCs w:val="7"/>
                <w:color w:val="auto"/>
              </w:rPr>
            </w:pPr>
          </w:p>
        </w:tc>
        <w:tc>
          <w:tcPr>
            <w:tcW w:w="5580" w:type="dxa"/>
            <w:vAlign w:val="bottom"/>
            <w:shd w:val="clear" w:color="auto" w:fill="EDEDED"/>
          </w:tcPr>
          <w:p>
            <w:pPr>
              <w:spacing w:after="0"/>
              <w:rPr>
                <w:sz w:val="7"/>
                <w:szCs w:val="7"/>
                <w:color w:val="auto"/>
              </w:rPr>
            </w:pPr>
          </w:p>
        </w:tc>
        <w:tc>
          <w:tcPr>
            <w:tcW w:w="2820" w:type="dxa"/>
            <w:vAlign w:val="bottom"/>
            <w:shd w:val="clear" w:color="auto" w:fill="EDEDED"/>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3707130</wp:posOffset>
            </wp:positionH>
            <wp:positionV relativeFrom="paragraph">
              <wp:posOffset>-2108200</wp:posOffset>
            </wp:positionV>
            <wp:extent cx="1371600" cy="1460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371600" cy="146050"/>
                    </a:xfrm>
                    <a:prstGeom prst="rect">
                      <a:avLst/>
                    </a:prstGeom>
                    <a:noFill/>
                  </pic:spPr>
                </pic:pic>
              </a:graphicData>
            </a:graphic>
          </wp:anchor>
        </w:drawing>
        <w:drawing>
          <wp:anchor simplePos="0" relativeHeight="251657728" behindDoc="1" locked="0" layoutInCell="0" allowOverlap="1">
            <wp:simplePos x="0" y="0"/>
            <wp:positionH relativeFrom="column">
              <wp:posOffset>3707130</wp:posOffset>
            </wp:positionH>
            <wp:positionV relativeFrom="paragraph">
              <wp:posOffset>-1559560</wp:posOffset>
            </wp:positionV>
            <wp:extent cx="1371600" cy="1460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371600" cy="146050"/>
                    </a:xfrm>
                    <a:prstGeom prst="rect">
                      <a:avLst/>
                    </a:prstGeom>
                    <a:noFill/>
                  </pic:spPr>
                </pic:pic>
              </a:graphicData>
            </a:graphic>
          </wp:anchor>
        </w:drawing>
        <w:drawing>
          <wp:anchor simplePos="0" relativeHeight="251657728" behindDoc="1" locked="0" layoutInCell="0" allowOverlap="1">
            <wp:simplePos x="0" y="0"/>
            <wp:positionH relativeFrom="column">
              <wp:posOffset>3707130</wp:posOffset>
            </wp:positionH>
            <wp:positionV relativeFrom="paragraph">
              <wp:posOffset>-1010920</wp:posOffset>
            </wp:positionV>
            <wp:extent cx="1371600" cy="1460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371600" cy="146050"/>
                    </a:xfrm>
                    <a:prstGeom prst="rect">
                      <a:avLst/>
                    </a:prstGeom>
                    <a:noFill/>
                  </pic:spPr>
                </pic:pic>
              </a:graphicData>
            </a:graphic>
          </wp:anchor>
        </w:drawing>
        <w:drawing>
          <wp:anchor simplePos="0" relativeHeight="251657728" behindDoc="1" locked="0" layoutInCell="0" allowOverlap="1">
            <wp:simplePos x="0" y="0"/>
            <wp:positionH relativeFrom="column">
              <wp:posOffset>3707130</wp:posOffset>
            </wp:positionH>
            <wp:positionV relativeFrom="paragraph">
              <wp:posOffset>-325120</wp:posOffset>
            </wp:positionV>
            <wp:extent cx="1371600" cy="1460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371600" cy="146050"/>
                    </a:xfrm>
                    <a:prstGeom prst="rect">
                      <a:avLst/>
                    </a:prstGeom>
                    <a:noFill/>
                  </pic:spPr>
                </pic:pic>
              </a:graphicData>
            </a:graphic>
          </wp:anchor>
        </w:drawing>
        <w:drawing>
          <wp:anchor simplePos="0" relativeHeight="251657728" behindDoc="1" locked="0" layoutInCell="0" allowOverlap="1">
            <wp:simplePos x="0" y="0"/>
            <wp:positionH relativeFrom="column">
              <wp:posOffset>-1538605</wp:posOffset>
            </wp:positionH>
            <wp:positionV relativeFrom="paragraph">
              <wp:posOffset>248285</wp:posOffset>
            </wp:positionV>
            <wp:extent cx="7029450" cy="1968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029450" cy="1968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40" w:space="100"/>
            <w:col w:w="8600"/>
          </w:cols>
          <w:pgMar w:left="320" w:top="459" w:right="439" w:bottom="1440" w:gutter="0" w:footer="0" w:header="0"/>
          <w:type w:val="continuous"/>
        </w:sectPr>
      </w:pPr>
    </w:p>
    <w:p>
      <w:pPr>
        <w:spacing w:after="0" w:line="269" w:lineRule="exact"/>
        <w:rPr>
          <w:sz w:val="20"/>
          <w:szCs w:val="20"/>
          <w:color w:val="auto"/>
        </w:rPr>
      </w:pPr>
    </w:p>
    <w:p>
      <w:pPr>
        <w:jc w:val="center"/>
        <w:ind w:right="-99"/>
        <w:spacing w:after="0"/>
        <w:rPr>
          <w:sz w:val="20"/>
          <w:szCs w:val="20"/>
          <w:color w:val="auto"/>
        </w:rPr>
      </w:pPr>
      <w:r>
        <w:rPr>
          <w:rFonts w:ascii="Arial" w:cs="Arial" w:eastAsia="Arial" w:hAnsi="Arial"/>
          <w:sz w:val="13"/>
          <w:szCs w:val="13"/>
          <w:b w:val="1"/>
          <w:bCs w:val="1"/>
          <w:color w:val="004876"/>
        </w:rPr>
        <w:t>13</w:t>
      </w:r>
    </w:p>
    <w:p>
      <w:pPr>
        <w:sectPr>
          <w:pgSz w:w="11900" w:h="16838" w:orient="portrait"/>
          <w:cols w:equalWidth="0" w:num="1">
            <w:col w:w="11140"/>
          </w:cols>
          <w:pgMar w:left="320" w:top="459" w:right="43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4876"/>
        </w:rPr>
        <w:t>ELECTION OF DIRECTORS |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160655</wp:posOffset>
            </wp:positionV>
            <wp:extent cx="7029450" cy="35236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029450" cy="352361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04876"/>
        </w:rPr>
        <w:t xml:space="preserve">Age: </w:t>
      </w:r>
      <w:r>
        <w:rPr>
          <w:rFonts w:ascii="Arial" w:cs="Arial" w:eastAsia="Arial" w:hAnsi="Arial"/>
          <w:sz w:val="16"/>
          <w:szCs w:val="16"/>
          <w:color w:val="000000"/>
        </w:rPr>
        <w:t>64</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04876"/>
        </w:rPr>
        <w:t xml:space="preserve">Director since: </w:t>
      </w:r>
      <w:r>
        <w:rPr>
          <w:rFonts w:ascii="Arial" w:cs="Arial" w:eastAsia="Arial" w:hAnsi="Arial"/>
          <w:sz w:val="16"/>
          <w:szCs w:val="16"/>
          <w:color w:val="000000"/>
        </w:rPr>
        <w:t>2013</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04876"/>
        </w:rPr>
        <w:t>Committees:</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Risk Committee (Chair)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43"/>
          <w:szCs w:val="43"/>
          <w:color w:val="004876"/>
        </w:rPr>
        <w:t>Linda B. Bammann</w:t>
      </w:r>
    </w:p>
    <w:p>
      <w:pPr>
        <w:spacing w:after="0" w:line="100" w:lineRule="exact"/>
        <w:rPr>
          <w:sz w:val="20"/>
          <w:szCs w:val="20"/>
          <w:color w:val="auto"/>
        </w:rPr>
      </w:pPr>
    </w:p>
    <w:p>
      <w:pPr>
        <w:spacing w:after="0"/>
        <w:rPr>
          <w:sz w:val="20"/>
          <w:szCs w:val="20"/>
          <w:color w:val="auto"/>
        </w:rPr>
      </w:pPr>
      <w:r>
        <w:rPr>
          <w:rFonts w:ascii="Arial" w:cs="Arial" w:eastAsia="Arial" w:hAnsi="Arial"/>
          <w:sz w:val="22"/>
          <w:szCs w:val="22"/>
          <w:i w:val="1"/>
          <w:iCs w:val="1"/>
          <w:color w:val="004876"/>
        </w:rPr>
        <w:t>Retired Deputy Head of Risk Management of JPMorgan Chase &amp; Co.</w:t>
      </w:r>
    </w:p>
    <w:p>
      <w:pPr>
        <w:spacing w:after="0" w:line="200" w:lineRule="exact"/>
        <w:rPr>
          <w:sz w:val="20"/>
          <w:szCs w:val="20"/>
          <w:color w:val="auto"/>
        </w:rPr>
      </w:pPr>
    </w:p>
    <w:p>
      <w:pPr>
        <w:spacing w:after="0" w:line="320" w:lineRule="exact"/>
        <w:rPr>
          <w:sz w:val="20"/>
          <w:szCs w:val="20"/>
          <w:color w:val="auto"/>
        </w:rPr>
      </w:pPr>
    </w:p>
    <w:p>
      <w:pPr>
        <w:ind w:right="220"/>
        <w:spacing w:after="0" w:line="251" w:lineRule="auto"/>
        <w:rPr>
          <w:sz w:val="20"/>
          <w:szCs w:val="20"/>
          <w:color w:val="auto"/>
        </w:rPr>
      </w:pPr>
      <w:r>
        <w:rPr>
          <w:rFonts w:ascii="Arial" w:cs="Arial" w:eastAsia="Arial" w:hAnsi="Arial"/>
          <w:sz w:val="16"/>
          <w:szCs w:val="16"/>
          <w:color w:val="auto"/>
        </w:rPr>
        <w:t>Through her service on other boards, including as Chair of the Business and Risk Committee of the Federal Home Loan Mortgage Corporation, and her management tenure at JPMorgan Chase and Bank One Corporation, Ms. Bammann has developed insight and wide-ranging experience in financial services and extensive expertise in risk management and regulatory issues.</w:t>
      </w:r>
    </w:p>
    <w:p>
      <w:pPr>
        <w:spacing w:after="0" w:line="195" w:lineRule="exact"/>
        <w:rPr>
          <w:sz w:val="20"/>
          <w:szCs w:val="20"/>
          <w:color w:val="auto"/>
        </w:rPr>
      </w:pPr>
    </w:p>
    <w:p>
      <w:pPr>
        <w:sectPr>
          <w:pgSz w:w="11900" w:h="16838" w:orient="portrait"/>
          <w:cols w:equalWidth="0" w:num="2">
            <w:col w:w="1800" w:space="540"/>
            <w:col w:w="8800"/>
          </w:cols>
          <w:pgMar w:left="320" w:top="459" w:right="439" w:bottom="1440" w:gutter="0" w:footer="0" w:header="0"/>
          <w:type w:val="continuous"/>
        </w:sectPr>
      </w:pPr>
    </w:p>
    <w:p>
      <w:pPr>
        <w:ind w:left="120"/>
        <w:spacing w:after="0" w:line="259" w:lineRule="auto"/>
        <w:rPr>
          <w:sz w:val="20"/>
          <w:szCs w:val="20"/>
          <w:color w:val="auto"/>
        </w:rPr>
      </w:pPr>
      <w:r>
        <w:rPr>
          <w:rFonts w:ascii="Arial" w:cs="Arial" w:eastAsia="Arial" w:hAnsi="Arial"/>
          <w:sz w:val="16"/>
          <w:szCs w:val="16"/>
          <w:b w:val="1"/>
          <w:bCs w:val="1"/>
          <w:color w:val="004876"/>
        </w:rPr>
        <w:t>Director Qualification Highlights: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Financial services</w:t>
      </w:r>
    </w:p>
    <w:p>
      <w:pPr>
        <w:spacing w:after="0" w:line="46" w:lineRule="exact"/>
        <w:rPr>
          <w:sz w:val="20"/>
          <w:szCs w:val="20"/>
          <w:color w:val="auto"/>
        </w:rPr>
      </w:pPr>
    </w:p>
    <w:p>
      <w:pPr>
        <w:ind w:left="120" w:right="100"/>
        <w:spacing w:after="0" w:line="260" w:lineRule="auto"/>
        <w:rPr>
          <w:sz w:val="20"/>
          <w:szCs w:val="20"/>
          <w:color w:val="auto"/>
        </w:rPr>
      </w:pPr>
      <w:r>
        <w:rPr>
          <w:rFonts w:ascii="Arial" w:cs="Arial" w:eastAsia="Arial" w:hAnsi="Arial"/>
          <w:sz w:val="16"/>
          <w:szCs w:val="16"/>
          <w:color w:val="auto"/>
        </w:rPr>
        <w:t>Regulated industries and regulatory issues</w:t>
      </w:r>
    </w:p>
    <w:p>
      <w:pPr>
        <w:spacing w:after="0" w:line="20" w:lineRule="exact"/>
        <w:rPr>
          <w:sz w:val="20"/>
          <w:szCs w:val="20"/>
          <w:color w:val="auto"/>
        </w:rPr>
      </w:pPr>
    </w:p>
    <w:p>
      <w:pPr>
        <w:ind w:left="120" w:right="20"/>
        <w:spacing w:after="0" w:line="260" w:lineRule="auto"/>
        <w:rPr>
          <w:sz w:val="20"/>
          <w:szCs w:val="20"/>
          <w:color w:val="auto"/>
        </w:rPr>
      </w:pPr>
      <w:r>
        <w:rPr>
          <w:rFonts w:ascii="Arial" w:cs="Arial" w:eastAsia="Arial" w:hAnsi="Arial"/>
          <w:sz w:val="16"/>
          <w:szCs w:val="16"/>
          <w:color w:val="auto"/>
        </w:rPr>
        <w:t>Risk management and controls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680085</wp:posOffset>
            </wp:positionV>
            <wp:extent cx="779780" cy="9601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79780" cy="9601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10"/>
        <w:spacing w:after="0"/>
        <w:rPr>
          <w:sz w:val="20"/>
          <w:szCs w:val="20"/>
          <w:color w:val="auto"/>
        </w:rPr>
      </w:pPr>
      <w:r>
        <w:rPr>
          <w:rFonts w:ascii="Arial" w:cs="Arial" w:eastAsia="Arial" w:hAnsi="Arial"/>
          <w:sz w:val="16"/>
          <w:szCs w:val="16"/>
          <w:b w:val="1"/>
          <w:bCs w:val="1"/>
          <w:color w:val="004876"/>
        </w:rPr>
        <w:t>Career Highlights</w:t>
      </w:r>
    </w:p>
    <w:p>
      <w:pPr>
        <w:spacing w:after="0" w:line="25" w:lineRule="exact"/>
        <w:rPr>
          <w:sz w:val="20"/>
          <w:szCs w:val="20"/>
          <w:color w:val="auto"/>
        </w:rPr>
      </w:pPr>
    </w:p>
    <w:p>
      <w:pPr>
        <w:ind w:left="10" w:right="80"/>
        <w:spacing w:after="0" w:line="260" w:lineRule="auto"/>
        <w:rPr>
          <w:sz w:val="20"/>
          <w:szCs w:val="20"/>
          <w:color w:val="auto"/>
        </w:rPr>
      </w:pPr>
      <w:r>
        <w:rPr>
          <w:rFonts w:ascii="Arial" w:cs="Arial" w:eastAsia="Arial" w:hAnsi="Arial"/>
          <w:sz w:val="16"/>
          <w:szCs w:val="16"/>
          <w:color w:val="auto"/>
        </w:rPr>
        <w:t>JPMorgan Chase &amp; Co., a financial services company (merged with Bank One Corporation in July 2004)</w:t>
      </w:r>
    </w:p>
    <w:p>
      <w:pPr>
        <w:spacing w:after="0" w:line="20" w:lineRule="exact"/>
        <w:rPr>
          <w:sz w:val="20"/>
          <w:szCs w:val="20"/>
          <w:color w:val="auto"/>
        </w:rPr>
      </w:pPr>
    </w:p>
    <w:p>
      <w:pPr>
        <w:ind w:left="130" w:hanging="130"/>
        <w:spacing w:after="0"/>
        <w:tabs>
          <w:tab w:leader="none" w:pos="130" w:val="left"/>
        </w:tabs>
        <w:numPr>
          <w:ilvl w:val="0"/>
          <w:numId w:val="29"/>
        </w:numPr>
        <w:rPr>
          <w:rFonts w:ascii="Arial" w:cs="Arial" w:eastAsia="Arial" w:hAnsi="Arial"/>
          <w:sz w:val="16"/>
          <w:szCs w:val="16"/>
          <w:color w:val="004876"/>
        </w:rPr>
      </w:pPr>
      <w:r>
        <w:rPr>
          <w:rFonts w:ascii="Arial" w:cs="Arial" w:eastAsia="Arial" w:hAnsi="Arial"/>
          <w:sz w:val="16"/>
          <w:szCs w:val="16"/>
          <w:color w:val="auto"/>
        </w:rPr>
        <w:t>Deputy Head of Risk Management (2004–2005)</w:t>
      </w:r>
    </w:p>
    <w:p>
      <w:pPr>
        <w:spacing w:after="0" w:line="45" w:lineRule="exact"/>
        <w:rPr>
          <w:rFonts w:ascii="Arial" w:cs="Arial" w:eastAsia="Arial" w:hAnsi="Arial"/>
          <w:sz w:val="16"/>
          <w:szCs w:val="16"/>
          <w:color w:val="004876"/>
        </w:rPr>
      </w:pPr>
    </w:p>
    <w:p>
      <w:pPr>
        <w:ind w:left="150" w:right="140" w:hanging="150"/>
        <w:spacing w:after="0" w:line="260" w:lineRule="auto"/>
        <w:tabs>
          <w:tab w:leader="none" w:pos="144" w:val="left"/>
        </w:tabs>
        <w:numPr>
          <w:ilvl w:val="0"/>
          <w:numId w:val="29"/>
        </w:numPr>
        <w:rPr>
          <w:rFonts w:ascii="Arial" w:cs="Arial" w:eastAsia="Arial" w:hAnsi="Arial"/>
          <w:sz w:val="16"/>
          <w:szCs w:val="16"/>
          <w:color w:val="004876"/>
        </w:rPr>
      </w:pPr>
      <w:r>
        <w:rPr>
          <w:rFonts w:ascii="Arial" w:cs="Arial" w:eastAsia="Arial" w:hAnsi="Arial"/>
          <w:sz w:val="16"/>
          <w:szCs w:val="16"/>
          <w:color w:val="auto"/>
        </w:rPr>
        <w:t>Chief Risk Management Officer and Executive Vice President, Bank One Corporation (2001–2004)</w:t>
      </w:r>
    </w:p>
    <w:p>
      <w:pPr>
        <w:spacing w:after="0" w:line="19" w:lineRule="exact"/>
        <w:rPr>
          <w:rFonts w:ascii="Arial" w:cs="Arial" w:eastAsia="Arial" w:hAnsi="Arial"/>
          <w:sz w:val="16"/>
          <w:szCs w:val="16"/>
          <w:color w:val="004876"/>
        </w:rPr>
      </w:pPr>
    </w:p>
    <w:p>
      <w:pPr>
        <w:ind w:left="150" w:hanging="150"/>
        <w:spacing w:after="0" w:line="260" w:lineRule="auto"/>
        <w:tabs>
          <w:tab w:leader="none" w:pos="144" w:val="left"/>
        </w:tabs>
        <w:numPr>
          <w:ilvl w:val="0"/>
          <w:numId w:val="29"/>
        </w:numPr>
        <w:rPr>
          <w:rFonts w:ascii="Arial" w:cs="Arial" w:eastAsia="Arial" w:hAnsi="Arial"/>
          <w:sz w:val="16"/>
          <w:szCs w:val="16"/>
          <w:color w:val="004876"/>
        </w:rPr>
      </w:pPr>
      <w:r>
        <w:rPr>
          <w:rFonts w:ascii="Arial" w:cs="Arial" w:eastAsia="Arial" w:hAnsi="Arial"/>
          <w:sz w:val="16"/>
          <w:szCs w:val="16"/>
          <w:color w:val="auto"/>
        </w:rPr>
        <w:t>Senior Managing Director, Banc One Capital Markets (2000–2001)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516890</wp:posOffset>
            </wp:positionV>
            <wp:extent cx="8890" cy="39173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890" cy="39173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b w:val="1"/>
          <w:bCs w:val="1"/>
          <w:color w:val="004876"/>
        </w:rPr>
        <w:t>Other Public Company Directorships</w:t>
      </w:r>
    </w:p>
    <w:p>
      <w:pPr>
        <w:spacing w:after="0" w:line="25" w:lineRule="exact"/>
        <w:rPr>
          <w:sz w:val="20"/>
          <w:szCs w:val="20"/>
          <w:color w:val="auto"/>
        </w:rPr>
      </w:pPr>
    </w:p>
    <w:p>
      <w:pPr>
        <w:ind w:left="140" w:hanging="133"/>
        <w:spacing w:after="0"/>
        <w:tabs>
          <w:tab w:leader="none" w:pos="140" w:val="left"/>
        </w:tabs>
        <w:numPr>
          <w:ilvl w:val="0"/>
          <w:numId w:val="30"/>
        </w:numPr>
        <w:rPr>
          <w:rFonts w:ascii="Arial" w:cs="Arial" w:eastAsia="Arial" w:hAnsi="Arial"/>
          <w:sz w:val="16"/>
          <w:szCs w:val="16"/>
          <w:color w:val="004876"/>
        </w:rPr>
      </w:pPr>
      <w:r>
        <w:rPr>
          <w:rFonts w:ascii="Arial" w:cs="Arial" w:eastAsia="Arial" w:hAnsi="Arial"/>
          <w:sz w:val="16"/>
          <w:szCs w:val="16"/>
          <w:color w:val="auto"/>
        </w:rPr>
        <w:t>Federal Home Loan Mortgage Corporation (2008–2013)</w:t>
      </w:r>
    </w:p>
    <w:p>
      <w:pPr>
        <w:spacing w:after="0" w:line="45" w:lineRule="exact"/>
        <w:rPr>
          <w:rFonts w:ascii="Arial" w:cs="Arial" w:eastAsia="Arial" w:hAnsi="Arial"/>
          <w:sz w:val="16"/>
          <w:szCs w:val="16"/>
          <w:color w:val="004876"/>
        </w:rPr>
      </w:pPr>
    </w:p>
    <w:p>
      <w:pPr>
        <w:ind w:left="140" w:hanging="133"/>
        <w:spacing w:after="0"/>
        <w:tabs>
          <w:tab w:leader="none" w:pos="140" w:val="left"/>
        </w:tabs>
        <w:numPr>
          <w:ilvl w:val="0"/>
          <w:numId w:val="30"/>
        </w:numPr>
        <w:rPr>
          <w:rFonts w:ascii="Arial" w:cs="Arial" w:eastAsia="Arial" w:hAnsi="Arial"/>
          <w:sz w:val="16"/>
          <w:szCs w:val="16"/>
          <w:color w:val="004876"/>
        </w:rPr>
      </w:pPr>
      <w:r>
        <w:rPr>
          <w:rFonts w:ascii="Arial" w:cs="Arial" w:eastAsia="Arial" w:hAnsi="Arial"/>
          <w:sz w:val="16"/>
          <w:szCs w:val="16"/>
          <w:color w:val="auto"/>
        </w:rPr>
        <w:t>Manulife Financial Corporation (2009–2012)</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004876"/>
        </w:rPr>
        <w:t>Other Experience</w:t>
      </w:r>
    </w:p>
    <w:p>
      <w:pPr>
        <w:spacing w:after="0" w:line="25" w:lineRule="exact"/>
        <w:rPr>
          <w:sz w:val="20"/>
          <w:szCs w:val="20"/>
          <w:color w:val="auto"/>
        </w:rPr>
      </w:pPr>
    </w:p>
    <w:p>
      <w:pPr>
        <w:ind w:left="140" w:hanging="133"/>
        <w:spacing w:after="0"/>
        <w:tabs>
          <w:tab w:leader="none" w:pos="140" w:val="left"/>
        </w:tabs>
        <w:numPr>
          <w:ilvl w:val="0"/>
          <w:numId w:val="31"/>
        </w:numPr>
        <w:rPr>
          <w:rFonts w:ascii="Arial" w:cs="Arial" w:eastAsia="Arial" w:hAnsi="Arial"/>
          <w:sz w:val="16"/>
          <w:szCs w:val="16"/>
          <w:color w:val="004876"/>
        </w:rPr>
      </w:pPr>
      <w:r>
        <w:rPr>
          <w:rFonts w:ascii="Arial" w:cs="Arial" w:eastAsia="Arial" w:hAnsi="Arial"/>
          <w:sz w:val="16"/>
          <w:szCs w:val="16"/>
          <w:color w:val="auto"/>
        </w:rPr>
        <w:t>Former Board Member, Risk Management Association</w:t>
      </w:r>
    </w:p>
    <w:p>
      <w:pPr>
        <w:spacing w:after="0" w:line="45" w:lineRule="exact"/>
        <w:rPr>
          <w:rFonts w:ascii="Arial" w:cs="Arial" w:eastAsia="Arial" w:hAnsi="Arial"/>
          <w:sz w:val="16"/>
          <w:szCs w:val="16"/>
          <w:color w:val="004876"/>
        </w:rPr>
      </w:pPr>
    </w:p>
    <w:p>
      <w:pPr>
        <w:ind w:left="160" w:right="800" w:hanging="153"/>
        <w:spacing w:after="0" w:line="260" w:lineRule="auto"/>
        <w:tabs>
          <w:tab w:leader="none" w:pos="154" w:val="left"/>
        </w:tabs>
        <w:numPr>
          <w:ilvl w:val="0"/>
          <w:numId w:val="31"/>
        </w:numPr>
        <w:rPr>
          <w:rFonts w:ascii="Arial" w:cs="Arial" w:eastAsia="Arial" w:hAnsi="Arial"/>
          <w:sz w:val="16"/>
          <w:szCs w:val="16"/>
          <w:color w:val="004876"/>
        </w:rPr>
      </w:pPr>
      <w:r>
        <w:rPr>
          <w:rFonts w:ascii="Arial" w:cs="Arial" w:eastAsia="Arial" w:hAnsi="Arial"/>
          <w:sz w:val="16"/>
          <w:szCs w:val="16"/>
          <w:color w:val="auto"/>
        </w:rPr>
        <w:t>Former Chair, Loan Syndications and Trading Association</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color w:val="004876"/>
        </w:rPr>
        <w:t>Education</w:t>
      </w:r>
    </w:p>
    <w:p>
      <w:pPr>
        <w:spacing w:after="0" w:line="25" w:lineRule="exact"/>
        <w:rPr>
          <w:sz w:val="20"/>
          <w:szCs w:val="20"/>
          <w:color w:val="auto"/>
        </w:rPr>
      </w:pPr>
    </w:p>
    <w:p>
      <w:pPr>
        <w:ind w:left="140" w:hanging="133"/>
        <w:spacing w:after="0"/>
        <w:tabs>
          <w:tab w:leader="none" w:pos="140" w:val="left"/>
        </w:tabs>
        <w:numPr>
          <w:ilvl w:val="0"/>
          <w:numId w:val="32"/>
        </w:numPr>
        <w:rPr>
          <w:rFonts w:ascii="Arial" w:cs="Arial" w:eastAsia="Arial" w:hAnsi="Arial"/>
          <w:sz w:val="16"/>
          <w:szCs w:val="16"/>
          <w:color w:val="004876"/>
        </w:rPr>
      </w:pPr>
      <w:r>
        <w:rPr>
          <w:rFonts w:ascii="Arial" w:cs="Arial" w:eastAsia="Arial" w:hAnsi="Arial"/>
          <w:sz w:val="16"/>
          <w:szCs w:val="16"/>
          <w:color w:val="auto"/>
        </w:rPr>
        <w:t>Graduate of Stanford University</w:t>
      </w:r>
    </w:p>
    <w:p>
      <w:pPr>
        <w:spacing w:after="0" w:line="45" w:lineRule="exact"/>
        <w:rPr>
          <w:rFonts w:ascii="Arial" w:cs="Arial" w:eastAsia="Arial" w:hAnsi="Arial"/>
          <w:sz w:val="16"/>
          <w:szCs w:val="16"/>
          <w:color w:val="004876"/>
        </w:rPr>
      </w:pPr>
    </w:p>
    <w:p>
      <w:pPr>
        <w:ind w:left="140" w:hanging="133"/>
        <w:spacing w:after="0"/>
        <w:tabs>
          <w:tab w:leader="none" w:pos="140" w:val="left"/>
        </w:tabs>
        <w:numPr>
          <w:ilvl w:val="0"/>
          <w:numId w:val="32"/>
        </w:numPr>
        <w:rPr>
          <w:rFonts w:ascii="Arial" w:cs="Arial" w:eastAsia="Arial" w:hAnsi="Arial"/>
          <w:sz w:val="16"/>
          <w:szCs w:val="16"/>
          <w:color w:val="004876"/>
        </w:rPr>
      </w:pPr>
      <w:r>
        <w:rPr>
          <w:rFonts w:ascii="Arial" w:cs="Arial" w:eastAsia="Arial" w:hAnsi="Arial"/>
          <w:sz w:val="16"/>
          <w:szCs w:val="16"/>
          <w:color w:val="auto"/>
        </w:rPr>
        <w:t>M.A., Public Policy, University of Michigan</w:t>
      </w:r>
    </w:p>
    <w:p>
      <w:pPr>
        <w:spacing w:after="0" w:line="200" w:lineRule="exact"/>
        <w:rPr>
          <w:sz w:val="20"/>
          <w:szCs w:val="20"/>
          <w:color w:val="auto"/>
        </w:rPr>
      </w:pPr>
    </w:p>
    <w:p>
      <w:pPr>
        <w:sectPr>
          <w:pgSz w:w="11900" w:h="16838" w:orient="portrait"/>
          <w:cols w:equalWidth="0" w:num="3">
            <w:col w:w="1760" w:space="570"/>
            <w:col w:w="3950" w:space="660"/>
            <w:col w:w="4200"/>
          </w:cols>
          <w:pgMar w:left="320" w:top="459"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04876"/>
        </w:rPr>
        <w:t xml:space="preserve">Age: </w:t>
      </w:r>
      <w:r>
        <w:rPr>
          <w:rFonts w:ascii="Arial" w:cs="Arial" w:eastAsia="Arial" w:hAnsi="Arial"/>
          <w:sz w:val="16"/>
          <w:szCs w:val="16"/>
          <w:color w:val="000000"/>
        </w:rPr>
        <w:t>61</w:t>
      </w:r>
    </w:p>
    <w:p>
      <w:pPr>
        <w:spacing w:after="0" w:line="86" w:lineRule="exact"/>
        <w:rPr>
          <w:sz w:val="20"/>
          <w:szCs w:val="20"/>
          <w:color w:val="auto"/>
        </w:rPr>
      </w:pPr>
    </w:p>
    <w:p>
      <w:pPr>
        <w:ind w:left="120"/>
        <w:spacing w:after="0" w:line="259" w:lineRule="auto"/>
        <w:rPr>
          <w:sz w:val="20"/>
          <w:szCs w:val="20"/>
          <w:color w:val="auto"/>
        </w:rPr>
      </w:pPr>
      <w:r>
        <w:rPr>
          <w:rFonts w:ascii="Arial" w:cs="Arial" w:eastAsia="Arial" w:hAnsi="Arial"/>
          <w:sz w:val="16"/>
          <w:szCs w:val="16"/>
          <w:b w:val="1"/>
          <w:bCs w:val="1"/>
          <w:color w:val="004876"/>
        </w:rPr>
        <w:t xml:space="preserve">Director since: </w:t>
      </w:r>
      <w:r>
        <w:rPr>
          <w:rFonts w:ascii="Arial" w:cs="Arial" w:eastAsia="Arial" w:hAnsi="Arial"/>
          <w:sz w:val="16"/>
          <w:szCs w:val="16"/>
          <w:color w:val="000000"/>
        </w:rPr>
        <w:t>2004</w:t>
      </w:r>
      <w:r>
        <w:rPr>
          <w:rFonts w:ascii="Arial" w:cs="Arial" w:eastAsia="Arial" w:hAnsi="Arial"/>
          <w:sz w:val="16"/>
          <w:szCs w:val="16"/>
          <w:b w:val="1"/>
          <w:bCs w:val="1"/>
          <w:color w:val="004876"/>
        </w:rPr>
        <w:t xml:space="preserve"> </w:t>
      </w:r>
      <w:r>
        <w:rPr>
          <w:rFonts w:ascii="Arial" w:cs="Arial" w:eastAsia="Arial" w:hAnsi="Arial"/>
          <w:sz w:val="16"/>
          <w:szCs w:val="16"/>
          <w:color w:val="000000"/>
        </w:rPr>
        <w:t>and Director of Bank One Corporation from 2003 to 2004</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04876"/>
        </w:rPr>
        <w:t>Committees:</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spacing w:after="0"/>
        <w:rPr>
          <w:sz w:val="20"/>
          <w:szCs w:val="20"/>
          <w:color w:val="auto"/>
        </w:rPr>
      </w:pPr>
      <w:r>
        <w:rPr>
          <w:rFonts w:ascii="Arial" w:cs="Arial" w:eastAsia="Arial" w:hAnsi="Arial"/>
          <w:sz w:val="43"/>
          <w:szCs w:val="43"/>
          <w:color w:val="004876"/>
        </w:rPr>
        <w:t>Stephen B. Burke</w:t>
      </w:r>
    </w:p>
    <w:p>
      <w:pPr>
        <w:spacing w:after="0" w:line="100" w:lineRule="exact"/>
        <w:rPr>
          <w:sz w:val="20"/>
          <w:szCs w:val="20"/>
          <w:color w:val="auto"/>
        </w:rPr>
      </w:pPr>
    </w:p>
    <w:p>
      <w:pPr>
        <w:spacing w:after="0"/>
        <w:rPr>
          <w:sz w:val="20"/>
          <w:szCs w:val="20"/>
          <w:color w:val="auto"/>
        </w:rPr>
      </w:pPr>
      <w:r>
        <w:rPr>
          <w:rFonts w:ascii="Arial" w:cs="Arial" w:eastAsia="Arial" w:hAnsi="Arial"/>
          <w:sz w:val="22"/>
          <w:szCs w:val="22"/>
          <w:i w:val="1"/>
          <w:iCs w:val="1"/>
          <w:color w:val="004876"/>
        </w:rPr>
        <w:t>Chairman of NBCUniversal, LLC</w:t>
      </w:r>
    </w:p>
    <w:p>
      <w:pPr>
        <w:spacing w:after="0" w:line="200" w:lineRule="exact"/>
        <w:rPr>
          <w:sz w:val="20"/>
          <w:szCs w:val="20"/>
          <w:color w:val="auto"/>
        </w:rPr>
      </w:pPr>
    </w:p>
    <w:p>
      <w:pPr>
        <w:spacing w:after="0" w:line="320"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Mr. Burke’s roles at Comcast Corporation and his prior work at other large global media corporations have given him broad exposure to the challenges associated with managing large and diverse businesses. In these roles, he has dealt with a variety of issues including audit and financial reporting, risk management, executive compensation, sales and marketing, technology, and operations. These experiences have also provided Mr. Burke a background in regulated industries and international business. Mr. Burke will retire from his positions at NBCUniversal and Comcast in August 2020.</w:t>
      </w:r>
    </w:p>
    <w:p>
      <w:pPr>
        <w:spacing w:after="0" w:line="324" w:lineRule="exact"/>
        <w:rPr>
          <w:sz w:val="20"/>
          <w:szCs w:val="20"/>
          <w:color w:val="auto"/>
        </w:rPr>
      </w:pPr>
    </w:p>
    <w:p>
      <w:pPr>
        <w:sectPr>
          <w:pgSz w:w="11900" w:h="16838" w:orient="portrait"/>
          <w:cols w:equalWidth="0" w:num="2">
            <w:col w:w="1680" w:space="660"/>
            <w:col w:w="8800"/>
          </w:cols>
          <w:pgMar w:left="320" w:top="459" w:right="439" w:bottom="1440" w:gutter="0" w:footer="0" w:header="0"/>
          <w:type w:val="continuous"/>
        </w:sectPr>
      </w:pPr>
    </w:p>
    <w:p>
      <w:pPr>
        <w:ind w:left="120"/>
        <w:spacing w:after="0" w:line="253" w:lineRule="auto"/>
        <w:rPr>
          <w:sz w:val="20"/>
          <w:szCs w:val="20"/>
          <w:color w:val="auto"/>
        </w:rPr>
      </w:pPr>
      <w:r>
        <w:rPr>
          <w:rFonts w:ascii="Arial" w:cs="Arial" w:eastAsia="Arial" w:hAnsi="Arial"/>
          <w:sz w:val="16"/>
          <w:szCs w:val="16"/>
          <w:color w:val="auto"/>
        </w:rPr>
        <w:t>Corporate Governance &amp; Nominating Committee (Chair)</w:t>
      </w:r>
    </w:p>
    <w:p>
      <w:pPr>
        <w:spacing w:after="0" w:line="26" w:lineRule="exact"/>
        <w:rPr>
          <w:sz w:val="20"/>
          <w:szCs w:val="20"/>
          <w:color w:val="auto"/>
        </w:rPr>
      </w:pPr>
    </w:p>
    <w:p>
      <w:pPr>
        <w:ind w:left="120" w:right="20"/>
        <w:spacing w:after="0" w:line="253" w:lineRule="auto"/>
        <w:rPr>
          <w:sz w:val="20"/>
          <w:szCs w:val="20"/>
          <w:color w:val="auto"/>
        </w:rPr>
      </w:pPr>
      <w:r>
        <w:rPr>
          <w:rFonts w:ascii="Arial" w:cs="Arial" w:eastAsia="Arial" w:hAnsi="Arial"/>
          <w:sz w:val="16"/>
          <w:szCs w:val="16"/>
          <w:color w:val="auto"/>
        </w:rPr>
        <w:t>Compensation &amp; Management Development Committee</w:t>
      </w:r>
    </w:p>
    <w:p>
      <w:pPr>
        <w:spacing w:after="0" w:line="46" w:lineRule="exact"/>
        <w:rPr>
          <w:sz w:val="20"/>
          <w:szCs w:val="20"/>
          <w:color w:val="auto"/>
        </w:rPr>
      </w:pPr>
    </w:p>
    <w:p>
      <w:pPr>
        <w:ind w:left="120" w:right="160"/>
        <w:spacing w:after="0" w:line="259" w:lineRule="auto"/>
        <w:rPr>
          <w:sz w:val="20"/>
          <w:szCs w:val="20"/>
          <w:color w:val="auto"/>
        </w:rPr>
      </w:pPr>
      <w:r>
        <w:rPr>
          <w:rFonts w:ascii="Arial" w:cs="Arial" w:eastAsia="Arial" w:hAnsi="Arial"/>
          <w:sz w:val="16"/>
          <w:szCs w:val="16"/>
          <w:b w:val="1"/>
          <w:bCs w:val="1"/>
          <w:color w:val="004876"/>
        </w:rPr>
        <w:t>Director Qualification Highlights: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Financial and accounting</w:t>
      </w:r>
    </w:p>
    <w:p>
      <w:pPr>
        <w:spacing w:after="0" w:line="46" w:lineRule="exact"/>
        <w:rPr>
          <w:sz w:val="20"/>
          <w:szCs w:val="20"/>
          <w:color w:val="auto"/>
        </w:rPr>
      </w:pPr>
    </w:p>
    <w:p>
      <w:pPr>
        <w:ind w:left="120" w:right="240"/>
        <w:spacing w:after="0" w:line="260" w:lineRule="auto"/>
        <w:rPr>
          <w:sz w:val="20"/>
          <w:szCs w:val="20"/>
          <w:color w:val="auto"/>
        </w:rPr>
      </w:pPr>
      <w:r>
        <w:rPr>
          <w:rFonts w:ascii="Arial" w:cs="Arial" w:eastAsia="Arial" w:hAnsi="Arial"/>
          <w:sz w:val="16"/>
          <w:szCs w:val="16"/>
          <w:color w:val="auto"/>
        </w:rPr>
        <w:t>Leadership of a large, complex organization</w:t>
      </w:r>
    </w:p>
    <w:p>
      <w:pPr>
        <w:spacing w:after="0" w:line="20" w:lineRule="exact"/>
        <w:rPr>
          <w:sz w:val="20"/>
          <w:szCs w:val="20"/>
          <w:color w:val="auto"/>
        </w:rPr>
      </w:pPr>
    </w:p>
    <w:p>
      <w:pPr>
        <w:ind w:left="120" w:right="340"/>
        <w:spacing w:after="0" w:line="253" w:lineRule="auto"/>
        <w:rPr>
          <w:sz w:val="20"/>
          <w:szCs w:val="20"/>
          <w:color w:val="auto"/>
        </w:rPr>
      </w:pPr>
      <w:r>
        <w:rPr>
          <w:rFonts w:ascii="Arial" w:cs="Arial" w:eastAsia="Arial" w:hAnsi="Arial"/>
          <w:sz w:val="16"/>
          <w:szCs w:val="16"/>
          <w:color w:val="auto"/>
        </w:rPr>
        <w:t>Management development and succession planning</w:t>
      </w:r>
    </w:p>
    <w:p>
      <w:pPr>
        <w:spacing w:after="0" w:line="26" w:lineRule="exact"/>
        <w:rPr>
          <w:sz w:val="20"/>
          <w:szCs w:val="20"/>
          <w:color w:val="auto"/>
        </w:rPr>
      </w:pPr>
    </w:p>
    <w:p>
      <w:pPr>
        <w:ind w:left="120" w:right="260"/>
        <w:spacing w:after="0" w:line="260" w:lineRule="auto"/>
        <w:rPr>
          <w:sz w:val="20"/>
          <w:szCs w:val="20"/>
          <w:color w:val="auto"/>
        </w:rPr>
      </w:pPr>
      <w:r>
        <w:rPr>
          <w:rFonts w:ascii="Arial" w:cs="Arial" w:eastAsia="Arial" w:hAnsi="Arial"/>
          <w:sz w:val="16"/>
          <w:szCs w:val="16"/>
          <w:color w:val="auto"/>
        </w:rPr>
        <w:t>Regulated industries and regulatory issues</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ind w:left="10"/>
        <w:spacing w:after="0"/>
        <w:rPr>
          <w:sz w:val="20"/>
          <w:szCs w:val="20"/>
          <w:color w:val="auto"/>
        </w:rPr>
      </w:pPr>
      <w:r>
        <w:rPr>
          <w:rFonts w:ascii="Arial" w:cs="Arial" w:eastAsia="Arial" w:hAnsi="Arial"/>
          <w:sz w:val="16"/>
          <w:szCs w:val="16"/>
          <w:b w:val="1"/>
          <w:bCs w:val="1"/>
          <w:color w:val="004876"/>
        </w:rPr>
        <w:t>Career Highlights</w:t>
      </w:r>
    </w:p>
    <w:p>
      <w:pPr>
        <w:spacing w:after="0" w:line="25" w:lineRule="exact"/>
        <w:rPr>
          <w:sz w:val="20"/>
          <w:szCs w:val="20"/>
          <w:color w:val="auto"/>
        </w:rPr>
      </w:pPr>
    </w:p>
    <w:p>
      <w:pPr>
        <w:ind w:left="10"/>
        <w:spacing w:after="0" w:line="253" w:lineRule="auto"/>
        <w:rPr>
          <w:sz w:val="20"/>
          <w:szCs w:val="20"/>
          <w:color w:val="auto"/>
        </w:rPr>
      </w:pPr>
      <w:r>
        <w:rPr>
          <w:rFonts w:ascii="Arial" w:cs="Arial" w:eastAsia="Arial" w:hAnsi="Arial"/>
          <w:sz w:val="16"/>
          <w:szCs w:val="16"/>
          <w:color w:val="auto"/>
        </w:rPr>
        <w:t>Comcast Corporation/NBCUniversal, LLC, leading providers of entertainment, information and communication products and services</w:t>
      </w:r>
    </w:p>
    <w:p>
      <w:pPr>
        <w:spacing w:after="0" w:line="26" w:lineRule="exact"/>
        <w:rPr>
          <w:sz w:val="20"/>
          <w:szCs w:val="20"/>
          <w:color w:val="auto"/>
        </w:rPr>
      </w:pPr>
    </w:p>
    <w:p>
      <w:pPr>
        <w:ind w:left="150" w:right="380" w:hanging="150"/>
        <w:spacing w:after="0" w:line="260" w:lineRule="auto"/>
        <w:tabs>
          <w:tab w:leader="none" w:pos="144" w:val="left"/>
        </w:tabs>
        <w:numPr>
          <w:ilvl w:val="0"/>
          <w:numId w:val="33"/>
        </w:numPr>
        <w:rPr>
          <w:rFonts w:ascii="Arial" w:cs="Arial" w:eastAsia="Arial" w:hAnsi="Arial"/>
          <w:sz w:val="16"/>
          <w:szCs w:val="16"/>
          <w:color w:val="004876"/>
        </w:rPr>
      </w:pPr>
      <w:r>
        <w:rPr>
          <w:rFonts w:ascii="Arial" w:cs="Arial" w:eastAsia="Arial" w:hAnsi="Arial"/>
          <w:sz w:val="16"/>
          <w:szCs w:val="16"/>
          <w:color w:val="auto"/>
        </w:rPr>
        <w:t>Chairman of NBCUniversal, LLC and NBCUniversal Media, LLC (since 2020)</w:t>
      </w:r>
    </w:p>
    <w:p>
      <w:pPr>
        <w:spacing w:after="0" w:line="19" w:lineRule="exact"/>
        <w:rPr>
          <w:rFonts w:ascii="Arial" w:cs="Arial" w:eastAsia="Arial" w:hAnsi="Arial"/>
          <w:sz w:val="16"/>
          <w:szCs w:val="16"/>
          <w:color w:val="004876"/>
        </w:rPr>
      </w:pPr>
    </w:p>
    <w:p>
      <w:pPr>
        <w:ind w:left="150" w:right="660" w:hanging="150"/>
        <w:spacing w:after="0" w:line="260" w:lineRule="auto"/>
        <w:tabs>
          <w:tab w:leader="none" w:pos="144" w:val="left"/>
        </w:tabs>
        <w:numPr>
          <w:ilvl w:val="0"/>
          <w:numId w:val="33"/>
        </w:numPr>
        <w:rPr>
          <w:rFonts w:ascii="Arial" w:cs="Arial" w:eastAsia="Arial" w:hAnsi="Arial"/>
          <w:sz w:val="16"/>
          <w:szCs w:val="16"/>
          <w:color w:val="004876"/>
        </w:rPr>
      </w:pPr>
      <w:r>
        <w:rPr>
          <w:rFonts w:ascii="Arial" w:cs="Arial" w:eastAsia="Arial" w:hAnsi="Arial"/>
          <w:sz w:val="16"/>
          <w:szCs w:val="16"/>
          <w:color w:val="auto"/>
        </w:rPr>
        <w:t>Senior executive officer of Comcast Corporation (since 2011)</w:t>
      </w:r>
    </w:p>
    <w:p>
      <w:pPr>
        <w:spacing w:after="0" w:line="19" w:lineRule="exact"/>
        <w:rPr>
          <w:rFonts w:ascii="Arial" w:cs="Arial" w:eastAsia="Arial" w:hAnsi="Arial"/>
          <w:sz w:val="16"/>
          <w:szCs w:val="16"/>
          <w:color w:val="004876"/>
        </w:rPr>
      </w:pPr>
    </w:p>
    <w:p>
      <w:pPr>
        <w:ind w:left="150" w:right="120" w:hanging="150"/>
        <w:spacing w:after="0" w:line="260" w:lineRule="auto"/>
        <w:tabs>
          <w:tab w:leader="none" w:pos="144" w:val="left"/>
        </w:tabs>
        <w:numPr>
          <w:ilvl w:val="0"/>
          <w:numId w:val="33"/>
        </w:numPr>
        <w:rPr>
          <w:rFonts w:ascii="Arial" w:cs="Arial" w:eastAsia="Arial" w:hAnsi="Arial"/>
          <w:sz w:val="16"/>
          <w:szCs w:val="16"/>
          <w:color w:val="004876"/>
        </w:rPr>
      </w:pPr>
      <w:r>
        <w:rPr>
          <w:rFonts w:ascii="Arial" w:cs="Arial" w:eastAsia="Arial" w:hAnsi="Arial"/>
          <w:sz w:val="16"/>
          <w:szCs w:val="16"/>
          <w:color w:val="auto"/>
        </w:rPr>
        <w:t>Chief Executive Officer and President of NBCUniversal, LLC and NBCUniversal Media, LLC (2011-2019)</w:t>
      </w:r>
    </w:p>
    <w:p>
      <w:pPr>
        <w:spacing w:after="0" w:line="19" w:lineRule="exact"/>
        <w:rPr>
          <w:rFonts w:ascii="Arial" w:cs="Arial" w:eastAsia="Arial" w:hAnsi="Arial"/>
          <w:sz w:val="16"/>
          <w:szCs w:val="16"/>
          <w:color w:val="004876"/>
        </w:rPr>
      </w:pPr>
    </w:p>
    <w:p>
      <w:pPr>
        <w:ind w:left="130" w:hanging="130"/>
        <w:spacing w:after="0"/>
        <w:tabs>
          <w:tab w:leader="none" w:pos="130" w:val="left"/>
        </w:tabs>
        <w:numPr>
          <w:ilvl w:val="0"/>
          <w:numId w:val="33"/>
        </w:numPr>
        <w:rPr>
          <w:rFonts w:ascii="Arial" w:cs="Arial" w:eastAsia="Arial" w:hAnsi="Arial"/>
          <w:sz w:val="16"/>
          <w:szCs w:val="16"/>
          <w:color w:val="004876"/>
        </w:rPr>
      </w:pPr>
      <w:r>
        <w:rPr>
          <w:rFonts w:ascii="Arial" w:cs="Arial" w:eastAsia="Arial" w:hAnsi="Arial"/>
          <w:sz w:val="16"/>
          <w:szCs w:val="16"/>
          <w:color w:val="auto"/>
        </w:rPr>
        <w:t>Chief Operating Officer, Comcast (2004–2011)</w:t>
      </w:r>
    </w:p>
    <w:p>
      <w:pPr>
        <w:spacing w:after="0" w:line="45" w:lineRule="exact"/>
        <w:rPr>
          <w:rFonts w:ascii="Arial" w:cs="Arial" w:eastAsia="Arial" w:hAnsi="Arial"/>
          <w:sz w:val="16"/>
          <w:szCs w:val="16"/>
          <w:color w:val="004876"/>
        </w:rPr>
      </w:pPr>
    </w:p>
    <w:p>
      <w:pPr>
        <w:ind w:left="150" w:right="100" w:hanging="150"/>
        <w:spacing w:after="0" w:line="260" w:lineRule="auto"/>
        <w:tabs>
          <w:tab w:leader="none" w:pos="144" w:val="left"/>
        </w:tabs>
        <w:numPr>
          <w:ilvl w:val="0"/>
          <w:numId w:val="33"/>
        </w:numPr>
        <w:rPr>
          <w:rFonts w:ascii="Arial" w:cs="Arial" w:eastAsia="Arial" w:hAnsi="Arial"/>
          <w:sz w:val="16"/>
          <w:szCs w:val="16"/>
          <w:color w:val="004876"/>
        </w:rPr>
      </w:pPr>
      <w:r>
        <w:rPr>
          <w:rFonts w:ascii="Arial" w:cs="Arial" w:eastAsia="Arial" w:hAnsi="Arial"/>
          <w:sz w:val="16"/>
          <w:szCs w:val="16"/>
          <w:color w:val="auto"/>
        </w:rPr>
        <w:t>President, Comcast Cable Communications Inc. (1998–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-1405255</wp:posOffset>
            </wp:positionH>
            <wp:positionV relativeFrom="paragraph">
              <wp:posOffset>697230</wp:posOffset>
            </wp:positionV>
            <wp:extent cx="7029450" cy="1968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029450" cy="1968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b w:val="1"/>
          <w:bCs w:val="1"/>
          <w:color w:val="004876"/>
        </w:rPr>
        <w:t>Other Public Company Directorships</w:t>
      </w:r>
    </w:p>
    <w:p>
      <w:pPr>
        <w:spacing w:after="0" w:line="25" w:lineRule="exact"/>
        <w:rPr>
          <w:sz w:val="20"/>
          <w:szCs w:val="20"/>
          <w:color w:val="auto"/>
        </w:rPr>
      </w:pPr>
    </w:p>
    <w:p>
      <w:pPr>
        <w:ind w:left="140" w:hanging="133"/>
        <w:spacing w:after="0"/>
        <w:tabs>
          <w:tab w:leader="none" w:pos="140" w:val="left"/>
        </w:tabs>
        <w:numPr>
          <w:ilvl w:val="0"/>
          <w:numId w:val="34"/>
        </w:numPr>
        <w:rPr>
          <w:rFonts w:ascii="Arial" w:cs="Arial" w:eastAsia="Arial" w:hAnsi="Arial"/>
          <w:sz w:val="16"/>
          <w:szCs w:val="16"/>
          <w:color w:val="004876"/>
        </w:rPr>
      </w:pPr>
      <w:r>
        <w:rPr>
          <w:rFonts w:ascii="Arial" w:cs="Arial" w:eastAsia="Arial" w:hAnsi="Arial"/>
          <w:sz w:val="16"/>
          <w:szCs w:val="16"/>
          <w:color w:val="auto"/>
        </w:rPr>
        <w:t>Berkshire Hathaway Inc. (since 2009)</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004876"/>
        </w:rPr>
        <w:t>Education</w:t>
      </w:r>
    </w:p>
    <w:p>
      <w:pPr>
        <w:spacing w:after="0" w:line="25" w:lineRule="exact"/>
        <w:rPr>
          <w:sz w:val="20"/>
          <w:szCs w:val="20"/>
          <w:color w:val="auto"/>
        </w:rPr>
      </w:pPr>
    </w:p>
    <w:p>
      <w:pPr>
        <w:ind w:left="140" w:hanging="133"/>
        <w:spacing w:after="0"/>
        <w:tabs>
          <w:tab w:leader="none" w:pos="140" w:val="left"/>
        </w:tabs>
        <w:numPr>
          <w:ilvl w:val="0"/>
          <w:numId w:val="35"/>
        </w:numPr>
        <w:rPr>
          <w:rFonts w:ascii="Arial" w:cs="Arial" w:eastAsia="Arial" w:hAnsi="Arial"/>
          <w:sz w:val="16"/>
          <w:szCs w:val="16"/>
          <w:color w:val="004876"/>
        </w:rPr>
      </w:pPr>
      <w:r>
        <w:rPr>
          <w:rFonts w:ascii="Arial" w:cs="Arial" w:eastAsia="Arial" w:hAnsi="Arial"/>
          <w:sz w:val="16"/>
          <w:szCs w:val="16"/>
          <w:color w:val="auto"/>
        </w:rPr>
        <w:t>Graduate of Colgate University</w:t>
      </w:r>
    </w:p>
    <w:p>
      <w:pPr>
        <w:spacing w:after="0" w:line="45" w:lineRule="exact"/>
        <w:rPr>
          <w:rFonts w:ascii="Arial" w:cs="Arial" w:eastAsia="Arial" w:hAnsi="Arial"/>
          <w:sz w:val="16"/>
          <w:szCs w:val="16"/>
          <w:color w:val="004876"/>
        </w:rPr>
      </w:pPr>
    </w:p>
    <w:p>
      <w:pPr>
        <w:ind w:left="140" w:hanging="133"/>
        <w:spacing w:after="0"/>
        <w:tabs>
          <w:tab w:leader="none" w:pos="140" w:val="left"/>
        </w:tabs>
        <w:numPr>
          <w:ilvl w:val="0"/>
          <w:numId w:val="35"/>
        </w:numPr>
        <w:rPr>
          <w:rFonts w:ascii="Arial" w:cs="Arial" w:eastAsia="Arial" w:hAnsi="Arial"/>
          <w:sz w:val="16"/>
          <w:szCs w:val="16"/>
          <w:color w:val="004876"/>
        </w:rPr>
      </w:pPr>
      <w:r>
        <w:rPr>
          <w:rFonts w:ascii="Arial" w:cs="Arial" w:eastAsia="Arial" w:hAnsi="Arial"/>
          <w:sz w:val="16"/>
          <w:szCs w:val="16"/>
          <w:color w:val="auto"/>
        </w:rPr>
        <w:t>M.B.A., Harvard Business School</w:t>
      </w:r>
    </w:p>
    <w:p>
      <w:pPr>
        <w:spacing w:after="0" w:line="2250" w:lineRule="exact"/>
        <w:rPr>
          <w:sz w:val="20"/>
          <w:szCs w:val="20"/>
          <w:color w:val="auto"/>
        </w:rPr>
      </w:pPr>
    </w:p>
    <w:p>
      <w:pPr>
        <w:sectPr>
          <w:pgSz w:w="11900" w:h="16838" w:orient="portrait"/>
          <w:cols w:equalWidth="0" w:num="3">
            <w:col w:w="1920" w:space="410"/>
            <w:col w:w="4230" w:space="380"/>
            <w:col w:w="4200"/>
          </w:cols>
          <w:pgMar w:left="320" w:top="459" w:right="439" w:bottom="1440" w:gutter="0" w:footer="0" w:header="0"/>
          <w:type w:val="continuous"/>
        </w:sectPr>
      </w:pPr>
    </w:p>
    <w:p>
      <w:pPr>
        <w:spacing w:after="0" w:line="200" w:lineRule="exact"/>
        <w:rPr>
          <w:sz w:val="20"/>
          <w:szCs w:val="20"/>
          <w:color w:val="auto"/>
        </w:rPr>
      </w:pPr>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3"/>
          <w:szCs w:val="13"/>
          <w:b w:val="1"/>
          <w:bCs w:val="1"/>
          <w:color w:val="004876"/>
        </w:rPr>
        <w:t>14</w:t>
      </w:r>
    </w:p>
    <w:p>
      <w:pPr>
        <w:sectPr>
          <w:pgSz w:w="11900" w:h="16838" w:orient="portrait"/>
          <w:cols w:equalWidth="0" w:num="1">
            <w:col w:w="11140"/>
          </w:cols>
          <w:pgMar w:left="320" w:top="459" w:right="43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04876"/>
        </w:rPr>
        <w:t>CORPORATE GOVERNANCE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160655</wp:posOffset>
            </wp:positionV>
            <wp:extent cx="7029450" cy="37719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029450" cy="3771900"/>
                    </a:xfrm>
                    <a:prstGeom prst="rect">
                      <a:avLst/>
                    </a:prstGeom>
                    <a:noFill/>
                  </pic:spPr>
                </pic:pic>
              </a:graphicData>
            </a:graphic>
          </wp:anchor>
        </w:drawing>
      </w:r>
    </w:p>
    <w:p>
      <w:pPr>
        <w:sectPr>
          <w:pgSz w:w="11900" w:h="16838" w:orient="portrait"/>
          <w:cols w:equalWidth="0" w:num="1">
            <w:col w:w="11000"/>
          </w:cols>
          <w:pgMar w:left="320" w:top="459" w:right="5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04876"/>
        </w:rPr>
        <w:t xml:space="preserve">Age: </w:t>
      </w:r>
      <w:r>
        <w:rPr>
          <w:rFonts w:ascii="Arial" w:cs="Arial" w:eastAsia="Arial" w:hAnsi="Arial"/>
          <w:sz w:val="16"/>
          <w:szCs w:val="16"/>
          <w:color w:val="000000"/>
        </w:rPr>
        <w:t>49</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04876"/>
        </w:rPr>
        <w:t xml:space="preserve">Director since: </w:t>
      </w:r>
      <w:r>
        <w:rPr>
          <w:rFonts w:ascii="Arial" w:cs="Arial" w:eastAsia="Arial" w:hAnsi="Arial"/>
          <w:sz w:val="16"/>
          <w:szCs w:val="16"/>
          <w:color w:val="000000"/>
        </w:rPr>
        <w:t>2016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43"/>
          <w:szCs w:val="43"/>
          <w:color w:val="004876"/>
        </w:rPr>
        <w:t>Todd A. Combs</w:t>
      </w:r>
    </w:p>
    <w:p>
      <w:pPr>
        <w:spacing w:after="0" w:line="100" w:lineRule="exact"/>
        <w:rPr>
          <w:sz w:val="20"/>
          <w:szCs w:val="20"/>
          <w:color w:val="auto"/>
        </w:rPr>
      </w:pPr>
    </w:p>
    <w:p>
      <w:pPr>
        <w:spacing w:after="0"/>
        <w:rPr>
          <w:sz w:val="20"/>
          <w:szCs w:val="20"/>
          <w:color w:val="auto"/>
        </w:rPr>
      </w:pPr>
      <w:r>
        <w:rPr>
          <w:rFonts w:ascii="Arial" w:cs="Arial" w:eastAsia="Arial" w:hAnsi="Arial"/>
          <w:sz w:val="22"/>
          <w:szCs w:val="22"/>
          <w:i w:val="1"/>
          <w:iCs w:val="1"/>
          <w:color w:val="004876"/>
        </w:rPr>
        <w:t>Investment Officer at Berkshire Hathaway Inc.</w:t>
      </w:r>
    </w:p>
    <w:p>
      <w:pPr>
        <w:spacing w:after="0" w:line="200" w:lineRule="exact"/>
        <w:rPr>
          <w:sz w:val="20"/>
          <w:szCs w:val="20"/>
          <w:color w:val="auto"/>
        </w:rPr>
      </w:pPr>
    </w:p>
    <w:p>
      <w:pPr>
        <w:spacing w:after="0" w:line="320" w:lineRule="exact"/>
        <w:rPr>
          <w:sz w:val="20"/>
          <w:szCs w:val="20"/>
          <w:color w:val="auto"/>
        </w:rPr>
      </w:pPr>
    </w:p>
    <w:p>
      <w:pPr>
        <w:ind w:right="40"/>
        <w:spacing w:after="0" w:line="234" w:lineRule="auto"/>
        <w:rPr>
          <w:sz w:val="20"/>
          <w:szCs w:val="20"/>
          <w:color w:val="auto"/>
        </w:rPr>
      </w:pPr>
      <w:r>
        <w:rPr>
          <w:rFonts w:ascii="Arial" w:cs="Arial" w:eastAsia="Arial" w:hAnsi="Arial"/>
          <w:sz w:val="16"/>
          <w:szCs w:val="16"/>
          <w:color w:val="auto"/>
        </w:rPr>
        <w:t>Mr. Combs’ roles have provided him with extensive experience in financial markets, risk assessment and regulatory matters. His service on three of Berkshire Hathaway’s subsidiary boards has given him expertise and insight into matters such as corporate governance, strategy, succession planning and compensation.</w:t>
      </w:r>
    </w:p>
    <w:p>
      <w:pPr>
        <w:spacing w:after="0" w:line="2" w:lineRule="exact"/>
        <w:rPr>
          <w:sz w:val="20"/>
          <w:szCs w:val="20"/>
          <w:color w:val="auto"/>
        </w:rPr>
      </w:pPr>
    </w:p>
    <w:p>
      <w:pPr>
        <w:sectPr>
          <w:pgSz w:w="11900" w:h="16838" w:orient="portrait"/>
          <w:cols w:equalWidth="0" w:num="2">
            <w:col w:w="1660" w:space="680"/>
            <w:col w:w="8660"/>
          </w:cols>
          <w:pgMar w:left="320" w:top="459" w:right="579" w:bottom="1440" w:gutter="0" w:footer="0" w:header="0"/>
          <w:type w:val="continuous"/>
        </w:sectPr>
      </w:pPr>
    </w:p>
    <w:p>
      <w:pPr>
        <w:ind w:left="120"/>
        <w:spacing w:after="0"/>
        <w:rPr>
          <w:sz w:val="20"/>
          <w:szCs w:val="20"/>
          <w:color w:val="auto"/>
        </w:rPr>
      </w:pPr>
      <w:r>
        <w:rPr>
          <w:rFonts w:ascii="Arial" w:cs="Arial" w:eastAsia="Arial" w:hAnsi="Arial"/>
          <w:sz w:val="16"/>
          <w:szCs w:val="16"/>
          <w:b w:val="1"/>
          <w:bCs w:val="1"/>
          <w:color w:val="004876"/>
        </w:rPr>
        <w:t>Committees:</w:t>
      </w:r>
    </w:p>
    <w:p>
      <w:pPr>
        <w:spacing w:after="0" w:line="5" w:lineRule="exact"/>
        <w:rPr>
          <w:sz w:val="20"/>
          <w:szCs w:val="20"/>
          <w:color w:val="auto"/>
        </w:rPr>
      </w:pPr>
    </w:p>
    <w:p>
      <w:pPr>
        <w:ind w:left="120" w:right="20"/>
        <w:spacing w:after="0" w:line="253" w:lineRule="auto"/>
        <w:rPr>
          <w:sz w:val="20"/>
          <w:szCs w:val="20"/>
          <w:color w:val="auto"/>
        </w:rPr>
      </w:pPr>
      <w:r>
        <w:rPr>
          <w:rFonts w:ascii="Arial" w:cs="Arial" w:eastAsia="Arial" w:hAnsi="Arial"/>
          <w:sz w:val="16"/>
          <w:szCs w:val="16"/>
          <w:color w:val="auto"/>
        </w:rPr>
        <w:t>Compensation &amp; Management Development Committee</w:t>
      </w:r>
    </w:p>
    <w:p>
      <w:pPr>
        <w:spacing w:after="0" w:line="26" w:lineRule="exact"/>
        <w:rPr>
          <w:sz w:val="20"/>
          <w:szCs w:val="20"/>
          <w:color w:val="auto"/>
        </w:rPr>
      </w:pPr>
    </w:p>
    <w:p>
      <w:pPr>
        <w:ind w:left="120"/>
        <w:spacing w:after="0" w:line="260" w:lineRule="auto"/>
        <w:rPr>
          <w:sz w:val="20"/>
          <w:szCs w:val="20"/>
          <w:color w:val="auto"/>
        </w:rPr>
      </w:pPr>
      <w:r>
        <w:rPr>
          <w:rFonts w:ascii="Arial" w:cs="Arial" w:eastAsia="Arial" w:hAnsi="Arial"/>
          <w:sz w:val="16"/>
          <w:szCs w:val="16"/>
          <w:color w:val="auto"/>
        </w:rPr>
        <w:t>Corporate Governance &amp; Nominating Committee</w:t>
      </w:r>
    </w:p>
    <w:p>
      <w:pPr>
        <w:spacing w:after="0" w:line="20" w:lineRule="exact"/>
        <w:rPr>
          <w:sz w:val="20"/>
          <w:szCs w:val="20"/>
          <w:color w:val="auto"/>
        </w:rPr>
      </w:pPr>
    </w:p>
    <w:p>
      <w:pPr>
        <w:ind w:left="120" w:right="320"/>
        <w:spacing w:after="0" w:line="260" w:lineRule="auto"/>
        <w:rPr>
          <w:sz w:val="20"/>
          <w:szCs w:val="20"/>
          <w:color w:val="auto"/>
        </w:rPr>
      </w:pPr>
      <w:r>
        <w:rPr>
          <w:rFonts w:ascii="Arial" w:cs="Arial" w:eastAsia="Arial" w:hAnsi="Arial"/>
          <w:sz w:val="16"/>
          <w:szCs w:val="16"/>
          <w:color w:val="auto"/>
        </w:rPr>
        <w:t>Public Responsibility Committee</w:t>
      </w:r>
    </w:p>
    <w:p>
      <w:pPr>
        <w:spacing w:after="0" w:line="40" w:lineRule="exact"/>
        <w:rPr>
          <w:sz w:val="20"/>
          <w:szCs w:val="20"/>
          <w:color w:val="auto"/>
        </w:rPr>
      </w:pPr>
    </w:p>
    <w:p>
      <w:pPr>
        <w:ind w:left="120" w:right="160"/>
        <w:spacing w:after="0" w:line="259" w:lineRule="auto"/>
        <w:rPr>
          <w:sz w:val="20"/>
          <w:szCs w:val="20"/>
          <w:color w:val="auto"/>
        </w:rPr>
      </w:pPr>
      <w:r>
        <w:rPr>
          <w:rFonts w:ascii="Arial" w:cs="Arial" w:eastAsia="Arial" w:hAnsi="Arial"/>
          <w:sz w:val="16"/>
          <w:szCs w:val="16"/>
          <w:b w:val="1"/>
          <w:bCs w:val="1"/>
          <w:color w:val="004876"/>
        </w:rPr>
        <w:t>Director Qualification Highlights: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Financial services</w:t>
      </w:r>
    </w:p>
    <w:p>
      <w:pPr>
        <w:spacing w:after="0" w:line="46" w:lineRule="exact"/>
        <w:rPr>
          <w:sz w:val="20"/>
          <w:szCs w:val="20"/>
          <w:color w:val="auto"/>
        </w:rPr>
      </w:pPr>
    </w:p>
    <w:p>
      <w:pPr>
        <w:ind w:left="120" w:right="260"/>
        <w:spacing w:after="0" w:line="260" w:lineRule="auto"/>
        <w:rPr>
          <w:sz w:val="20"/>
          <w:szCs w:val="20"/>
          <w:color w:val="auto"/>
        </w:rPr>
      </w:pPr>
      <w:r>
        <w:rPr>
          <w:rFonts w:ascii="Arial" w:cs="Arial" w:eastAsia="Arial" w:hAnsi="Arial"/>
          <w:sz w:val="16"/>
          <w:szCs w:val="16"/>
          <w:color w:val="auto"/>
        </w:rPr>
        <w:t>Regulated industries and regulatory issues</w:t>
      </w:r>
    </w:p>
    <w:p>
      <w:pPr>
        <w:spacing w:after="0" w:line="20" w:lineRule="exact"/>
        <w:rPr>
          <w:sz w:val="20"/>
          <w:szCs w:val="20"/>
          <w:color w:val="auto"/>
        </w:rPr>
      </w:pPr>
    </w:p>
    <w:p>
      <w:pPr>
        <w:ind w:left="120" w:right="180"/>
        <w:spacing w:after="0" w:line="260" w:lineRule="auto"/>
        <w:rPr>
          <w:sz w:val="20"/>
          <w:szCs w:val="20"/>
          <w:color w:val="auto"/>
        </w:rPr>
      </w:pPr>
      <w:r>
        <w:rPr>
          <w:rFonts w:ascii="Arial" w:cs="Arial" w:eastAsia="Arial" w:hAnsi="Arial"/>
          <w:sz w:val="16"/>
          <w:szCs w:val="16"/>
          <w:color w:val="auto"/>
        </w:rPr>
        <w:t>Risk management and controls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148590</wp:posOffset>
            </wp:positionV>
            <wp:extent cx="779780" cy="9601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79780" cy="9601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9" w:lineRule="exact"/>
        <w:rPr>
          <w:sz w:val="20"/>
          <w:szCs w:val="20"/>
          <w:color w:val="auto"/>
        </w:rPr>
      </w:pPr>
    </w:p>
    <w:p>
      <w:pPr>
        <w:ind w:left="10"/>
        <w:spacing w:after="0"/>
        <w:rPr>
          <w:sz w:val="20"/>
          <w:szCs w:val="20"/>
          <w:color w:val="auto"/>
        </w:rPr>
      </w:pPr>
      <w:r>
        <w:rPr>
          <w:rFonts w:ascii="Arial" w:cs="Arial" w:eastAsia="Arial" w:hAnsi="Arial"/>
          <w:sz w:val="16"/>
          <w:szCs w:val="16"/>
          <w:b w:val="1"/>
          <w:bCs w:val="1"/>
          <w:color w:val="004876"/>
        </w:rPr>
        <w:t>Career Highlights</w:t>
      </w:r>
    </w:p>
    <w:p>
      <w:pPr>
        <w:spacing w:after="0" w:line="25" w:lineRule="exact"/>
        <w:rPr>
          <w:sz w:val="20"/>
          <w:szCs w:val="20"/>
          <w:color w:val="auto"/>
        </w:rPr>
      </w:pPr>
    </w:p>
    <w:p>
      <w:pPr>
        <w:ind w:left="10"/>
        <w:spacing w:after="0" w:line="250" w:lineRule="auto"/>
        <w:rPr>
          <w:sz w:val="20"/>
          <w:szCs w:val="20"/>
          <w:color w:val="auto"/>
        </w:rPr>
      </w:pPr>
      <w:r>
        <w:rPr>
          <w:rFonts w:ascii="Arial" w:cs="Arial" w:eastAsia="Arial" w:hAnsi="Arial"/>
          <w:sz w:val="16"/>
          <w:szCs w:val="16"/>
          <w:color w:val="auto"/>
        </w:rPr>
        <w:t>Berkshire Hathaway Inc., a holding company whose subsidiaries engage in a number of diverse business activities including finance, insurance and reinsurance, utilities and energy, freight rail transportation, manufacturing, retailing and other services</w:t>
      </w:r>
    </w:p>
    <w:p>
      <w:pPr>
        <w:spacing w:after="0" w:line="27" w:lineRule="exact"/>
        <w:rPr>
          <w:sz w:val="20"/>
          <w:szCs w:val="20"/>
          <w:color w:val="auto"/>
        </w:rPr>
      </w:pPr>
    </w:p>
    <w:p>
      <w:pPr>
        <w:ind w:left="130" w:hanging="130"/>
        <w:spacing w:after="0"/>
        <w:tabs>
          <w:tab w:leader="none" w:pos="130" w:val="left"/>
        </w:tabs>
        <w:numPr>
          <w:ilvl w:val="0"/>
          <w:numId w:val="36"/>
        </w:numPr>
        <w:rPr>
          <w:rFonts w:ascii="Arial" w:cs="Arial" w:eastAsia="Arial" w:hAnsi="Arial"/>
          <w:sz w:val="16"/>
          <w:szCs w:val="16"/>
          <w:color w:val="004876"/>
        </w:rPr>
      </w:pPr>
      <w:r>
        <w:rPr>
          <w:rFonts w:ascii="Arial" w:cs="Arial" w:eastAsia="Arial" w:hAnsi="Arial"/>
          <w:sz w:val="16"/>
          <w:szCs w:val="16"/>
          <w:color w:val="auto"/>
        </w:rPr>
        <w:t>President and CEO, GEICO (since 2020)</w:t>
      </w:r>
    </w:p>
    <w:p>
      <w:pPr>
        <w:spacing w:after="0" w:line="45" w:lineRule="exact"/>
        <w:rPr>
          <w:rFonts w:ascii="Arial" w:cs="Arial" w:eastAsia="Arial" w:hAnsi="Arial"/>
          <w:sz w:val="16"/>
          <w:szCs w:val="16"/>
          <w:color w:val="004876"/>
        </w:rPr>
      </w:pPr>
    </w:p>
    <w:p>
      <w:pPr>
        <w:ind w:left="130" w:hanging="130"/>
        <w:spacing w:after="0"/>
        <w:tabs>
          <w:tab w:leader="none" w:pos="130" w:val="left"/>
        </w:tabs>
        <w:numPr>
          <w:ilvl w:val="0"/>
          <w:numId w:val="36"/>
        </w:numPr>
        <w:rPr>
          <w:rFonts w:ascii="Arial" w:cs="Arial" w:eastAsia="Arial" w:hAnsi="Arial"/>
          <w:sz w:val="16"/>
          <w:szCs w:val="16"/>
          <w:color w:val="004876"/>
        </w:rPr>
      </w:pPr>
      <w:r>
        <w:rPr>
          <w:rFonts w:ascii="Arial" w:cs="Arial" w:eastAsia="Arial" w:hAnsi="Arial"/>
          <w:sz w:val="16"/>
          <w:szCs w:val="16"/>
          <w:color w:val="auto"/>
        </w:rPr>
        <w:t>Investment Officer (since 2010)</w:t>
      </w:r>
    </w:p>
    <w:p>
      <w:pPr>
        <w:spacing w:after="0" w:line="46" w:lineRule="exact"/>
        <w:rPr>
          <w:sz w:val="20"/>
          <w:szCs w:val="20"/>
          <w:color w:val="auto"/>
        </w:rPr>
      </w:pPr>
    </w:p>
    <w:p>
      <w:pPr>
        <w:ind w:left="10"/>
        <w:spacing w:after="0"/>
        <w:rPr>
          <w:sz w:val="20"/>
          <w:szCs w:val="20"/>
          <w:color w:val="auto"/>
        </w:rPr>
      </w:pPr>
      <w:r>
        <w:rPr>
          <w:rFonts w:ascii="Arial" w:cs="Arial" w:eastAsia="Arial" w:hAnsi="Arial"/>
          <w:sz w:val="16"/>
          <w:szCs w:val="16"/>
          <w:color w:val="auto"/>
        </w:rPr>
        <w:t>Castle Point Capital Management</w:t>
      </w:r>
    </w:p>
    <w:p>
      <w:pPr>
        <w:spacing w:after="0" w:line="46" w:lineRule="exact"/>
        <w:rPr>
          <w:sz w:val="20"/>
          <w:szCs w:val="20"/>
          <w:color w:val="auto"/>
        </w:rPr>
      </w:pPr>
    </w:p>
    <w:p>
      <w:pPr>
        <w:ind w:left="130" w:hanging="130"/>
        <w:spacing w:after="0"/>
        <w:tabs>
          <w:tab w:leader="none" w:pos="130" w:val="left"/>
        </w:tabs>
        <w:numPr>
          <w:ilvl w:val="0"/>
          <w:numId w:val="37"/>
        </w:numPr>
        <w:rPr>
          <w:rFonts w:ascii="Arial" w:cs="Arial" w:eastAsia="Arial" w:hAnsi="Arial"/>
          <w:sz w:val="16"/>
          <w:szCs w:val="16"/>
          <w:color w:val="004876"/>
        </w:rPr>
      </w:pPr>
      <w:r>
        <w:rPr>
          <w:rFonts w:ascii="Arial" w:cs="Arial" w:eastAsia="Arial" w:hAnsi="Arial"/>
          <w:sz w:val="16"/>
          <w:szCs w:val="16"/>
          <w:color w:val="auto"/>
        </w:rPr>
        <w:t>CEO and Managing Member (2005–2010)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525145</wp:posOffset>
            </wp:positionV>
            <wp:extent cx="8890" cy="354012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890" cy="35401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004876"/>
        </w:rPr>
        <w:t>Other Public Company Directorships</w:t>
      </w:r>
    </w:p>
    <w:p>
      <w:pPr>
        <w:spacing w:after="0" w:line="25" w:lineRule="exact"/>
        <w:rPr>
          <w:sz w:val="20"/>
          <w:szCs w:val="20"/>
          <w:color w:val="auto"/>
        </w:rPr>
      </w:pPr>
    </w:p>
    <w:p>
      <w:pPr>
        <w:ind w:left="140" w:hanging="133"/>
        <w:spacing w:after="0"/>
        <w:tabs>
          <w:tab w:leader="none" w:pos="140" w:val="left"/>
        </w:tabs>
        <w:numPr>
          <w:ilvl w:val="0"/>
          <w:numId w:val="38"/>
        </w:numPr>
        <w:rPr>
          <w:rFonts w:ascii="Arial" w:cs="Arial" w:eastAsia="Arial" w:hAnsi="Arial"/>
          <w:sz w:val="16"/>
          <w:szCs w:val="16"/>
          <w:color w:val="004876"/>
        </w:rPr>
      </w:pPr>
      <w:r>
        <w:rPr>
          <w:rFonts w:ascii="Arial" w:cs="Arial" w:eastAsia="Arial" w:hAnsi="Arial"/>
          <w:sz w:val="16"/>
          <w:szCs w:val="16"/>
          <w:color w:val="auto"/>
        </w:rPr>
        <w:t>None</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004876"/>
        </w:rPr>
        <w:t>Education</w:t>
      </w:r>
    </w:p>
    <w:p>
      <w:pPr>
        <w:spacing w:after="0" w:line="25" w:lineRule="exact"/>
        <w:rPr>
          <w:sz w:val="20"/>
          <w:szCs w:val="20"/>
          <w:color w:val="auto"/>
        </w:rPr>
      </w:pPr>
    </w:p>
    <w:p>
      <w:pPr>
        <w:ind w:left="140" w:hanging="133"/>
        <w:spacing w:after="0"/>
        <w:tabs>
          <w:tab w:leader="none" w:pos="140" w:val="left"/>
        </w:tabs>
        <w:numPr>
          <w:ilvl w:val="0"/>
          <w:numId w:val="39"/>
        </w:numPr>
        <w:rPr>
          <w:rFonts w:ascii="Arial" w:cs="Arial" w:eastAsia="Arial" w:hAnsi="Arial"/>
          <w:sz w:val="16"/>
          <w:szCs w:val="16"/>
          <w:color w:val="004876"/>
        </w:rPr>
      </w:pPr>
      <w:r>
        <w:rPr>
          <w:rFonts w:ascii="Arial" w:cs="Arial" w:eastAsia="Arial" w:hAnsi="Arial"/>
          <w:sz w:val="16"/>
          <w:szCs w:val="16"/>
          <w:color w:val="auto"/>
        </w:rPr>
        <w:t>Graduate of Florida State University</w:t>
      </w:r>
    </w:p>
    <w:p>
      <w:pPr>
        <w:spacing w:after="0" w:line="45" w:lineRule="exact"/>
        <w:rPr>
          <w:rFonts w:ascii="Arial" w:cs="Arial" w:eastAsia="Arial" w:hAnsi="Arial"/>
          <w:sz w:val="16"/>
          <w:szCs w:val="16"/>
          <w:color w:val="004876"/>
        </w:rPr>
      </w:pPr>
    </w:p>
    <w:p>
      <w:pPr>
        <w:ind w:left="140" w:hanging="133"/>
        <w:spacing w:after="0"/>
        <w:tabs>
          <w:tab w:leader="none" w:pos="140" w:val="left"/>
        </w:tabs>
        <w:numPr>
          <w:ilvl w:val="0"/>
          <w:numId w:val="39"/>
        </w:numPr>
        <w:rPr>
          <w:rFonts w:ascii="Arial" w:cs="Arial" w:eastAsia="Arial" w:hAnsi="Arial"/>
          <w:sz w:val="16"/>
          <w:szCs w:val="16"/>
          <w:color w:val="004876"/>
        </w:rPr>
      </w:pPr>
      <w:r>
        <w:rPr>
          <w:rFonts w:ascii="Arial" w:cs="Arial" w:eastAsia="Arial" w:hAnsi="Arial"/>
          <w:sz w:val="16"/>
          <w:szCs w:val="16"/>
          <w:color w:val="auto"/>
        </w:rPr>
        <w:t>M.B.A., Columbia Business School</w:t>
      </w:r>
    </w:p>
    <w:p>
      <w:pPr>
        <w:spacing w:after="0" w:line="1737" w:lineRule="exact"/>
        <w:rPr>
          <w:sz w:val="20"/>
          <w:szCs w:val="20"/>
          <w:color w:val="auto"/>
        </w:rPr>
      </w:pPr>
    </w:p>
    <w:p>
      <w:pPr>
        <w:sectPr>
          <w:pgSz w:w="11900" w:h="16838" w:orient="portrait"/>
          <w:cols w:equalWidth="0" w:num="3">
            <w:col w:w="1920" w:space="410"/>
            <w:col w:w="3910" w:space="700"/>
            <w:col w:w="4060"/>
          </w:cols>
          <w:pgMar w:left="320" w:top="459" w:right="5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04876"/>
        </w:rPr>
        <w:t xml:space="preserve">Age: </w:t>
      </w:r>
      <w:r>
        <w:rPr>
          <w:rFonts w:ascii="Arial" w:cs="Arial" w:eastAsia="Arial" w:hAnsi="Arial"/>
          <w:sz w:val="16"/>
          <w:szCs w:val="16"/>
          <w:color w:val="000000"/>
        </w:rPr>
        <w:t>66</w:t>
      </w:r>
    </w:p>
    <w:p>
      <w:pPr>
        <w:spacing w:after="0" w:line="86" w:lineRule="exact"/>
        <w:rPr>
          <w:sz w:val="20"/>
          <w:szCs w:val="20"/>
          <w:color w:val="auto"/>
        </w:rPr>
      </w:pPr>
    </w:p>
    <w:p>
      <w:pPr>
        <w:ind w:left="120"/>
        <w:spacing w:after="0" w:line="255" w:lineRule="auto"/>
        <w:rPr>
          <w:sz w:val="20"/>
          <w:szCs w:val="20"/>
          <w:color w:val="auto"/>
        </w:rPr>
      </w:pPr>
      <w:r>
        <w:rPr>
          <w:rFonts w:ascii="Arial" w:cs="Arial" w:eastAsia="Arial" w:hAnsi="Arial"/>
          <w:sz w:val="16"/>
          <w:szCs w:val="16"/>
          <w:b w:val="1"/>
          <w:bCs w:val="1"/>
          <w:color w:val="004876"/>
        </w:rPr>
        <w:t xml:space="preserve">Director since: </w:t>
      </w:r>
      <w:r>
        <w:rPr>
          <w:rFonts w:ascii="Arial" w:cs="Arial" w:eastAsia="Arial" w:hAnsi="Arial"/>
          <w:sz w:val="16"/>
          <w:szCs w:val="16"/>
          <w:color w:val="000000"/>
        </w:rPr>
        <w:t>2004</w:t>
      </w:r>
      <w:r>
        <w:rPr>
          <w:rFonts w:ascii="Arial" w:cs="Arial" w:eastAsia="Arial" w:hAnsi="Arial"/>
          <w:sz w:val="16"/>
          <w:szCs w:val="16"/>
          <w:b w:val="1"/>
          <w:bCs w:val="1"/>
          <w:color w:val="004876"/>
        </w:rPr>
        <w:t xml:space="preserve"> </w:t>
      </w:r>
      <w:r>
        <w:rPr>
          <w:rFonts w:ascii="Arial" w:cs="Arial" w:eastAsia="Arial" w:hAnsi="Arial"/>
          <w:sz w:val="16"/>
          <w:szCs w:val="16"/>
          <w:color w:val="000000"/>
        </w:rPr>
        <w:t>and Director of Bank One Corporation from</w:t>
      </w:r>
    </w:p>
    <w:p>
      <w:pPr>
        <w:spacing w:after="0" w:line="20" w:lineRule="exact"/>
        <w:rPr>
          <w:sz w:val="20"/>
          <w:szCs w:val="20"/>
          <w:color w:val="auto"/>
        </w:rPr>
      </w:pPr>
      <w:r>
        <w:rPr>
          <w:sz w:val="20"/>
          <w:szCs w:val="20"/>
          <w:color w:val="auto"/>
        </w:rPr>
        <w:br w:type="column"/>
      </w:r>
    </w:p>
    <w:p>
      <w:pPr>
        <w:spacing w:after="0" w:line="256" w:lineRule="exact"/>
        <w:rPr>
          <w:sz w:val="20"/>
          <w:szCs w:val="20"/>
          <w:color w:val="auto"/>
        </w:rPr>
      </w:pPr>
    </w:p>
    <w:p>
      <w:pPr>
        <w:spacing w:after="0"/>
        <w:rPr>
          <w:sz w:val="20"/>
          <w:szCs w:val="20"/>
          <w:color w:val="auto"/>
        </w:rPr>
      </w:pPr>
      <w:r>
        <w:rPr>
          <w:rFonts w:ascii="Arial" w:cs="Arial" w:eastAsia="Arial" w:hAnsi="Arial"/>
          <w:sz w:val="43"/>
          <w:szCs w:val="43"/>
          <w:color w:val="004876"/>
        </w:rPr>
        <w:t>James S. Crown</w:t>
      </w:r>
    </w:p>
    <w:p>
      <w:pPr>
        <w:spacing w:after="0" w:line="100" w:lineRule="exact"/>
        <w:rPr>
          <w:sz w:val="20"/>
          <w:szCs w:val="20"/>
          <w:color w:val="auto"/>
        </w:rPr>
      </w:pPr>
    </w:p>
    <w:p>
      <w:pPr>
        <w:spacing w:after="0"/>
        <w:rPr>
          <w:sz w:val="20"/>
          <w:szCs w:val="20"/>
          <w:color w:val="auto"/>
        </w:rPr>
      </w:pPr>
      <w:r>
        <w:rPr>
          <w:rFonts w:ascii="Arial" w:cs="Arial" w:eastAsia="Arial" w:hAnsi="Arial"/>
          <w:sz w:val="22"/>
          <w:szCs w:val="22"/>
          <w:i w:val="1"/>
          <w:iCs w:val="1"/>
          <w:color w:val="004876"/>
        </w:rPr>
        <w:t>Chairman and Chief Executive Officer of Henry Crown and Company</w:t>
      </w:r>
    </w:p>
    <w:p>
      <w:pPr>
        <w:spacing w:after="0" w:line="200" w:lineRule="exact"/>
        <w:rPr>
          <w:sz w:val="20"/>
          <w:szCs w:val="20"/>
          <w:color w:val="auto"/>
        </w:rPr>
      </w:pPr>
    </w:p>
    <w:p>
      <w:pPr>
        <w:spacing w:after="0" w:line="320"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Mr. Crown’s position with Henry Crown and Company and his service on other public company boards have given him extensive experience with risk management, audit and financial reporting, investment management, capital markets activity and executive compensation matters.</w:t>
      </w:r>
    </w:p>
    <w:p>
      <w:pPr>
        <w:spacing w:after="0" w:line="242" w:lineRule="exact"/>
        <w:rPr>
          <w:sz w:val="20"/>
          <w:szCs w:val="20"/>
          <w:color w:val="auto"/>
        </w:rPr>
      </w:pPr>
    </w:p>
    <w:p>
      <w:pPr>
        <w:sectPr>
          <w:pgSz w:w="11900" w:h="16838" w:orient="portrait"/>
          <w:cols w:equalWidth="0" w:num="2">
            <w:col w:w="1680" w:space="660"/>
            <w:col w:w="8660"/>
          </w:cols>
          <w:pgMar w:left="320" w:top="459" w:right="579" w:bottom="1440" w:gutter="0" w:footer="0" w:header="0"/>
          <w:type w:val="continuous"/>
        </w:sectPr>
      </w:pPr>
    </w:p>
    <w:p>
      <w:pPr>
        <w:ind w:left="120"/>
        <w:spacing w:after="0"/>
        <w:rPr>
          <w:sz w:val="20"/>
          <w:szCs w:val="20"/>
          <w:color w:val="auto"/>
        </w:rPr>
      </w:pPr>
      <w:r>
        <w:rPr>
          <w:rFonts w:ascii="Arial" w:cs="Arial" w:eastAsia="Arial" w:hAnsi="Arial"/>
          <w:sz w:val="16"/>
          <w:szCs w:val="16"/>
          <w:color w:val="auto"/>
        </w:rPr>
        <w:t>1991 to 2004</w:t>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04876"/>
        </w:rPr>
        <w:t>Committees:</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Risk Committee</w:t>
      </w:r>
    </w:p>
    <w:p>
      <w:pPr>
        <w:spacing w:after="0" w:line="66" w:lineRule="exact"/>
        <w:rPr>
          <w:sz w:val="20"/>
          <w:szCs w:val="20"/>
          <w:color w:val="auto"/>
        </w:rPr>
      </w:pPr>
    </w:p>
    <w:p>
      <w:pPr>
        <w:ind w:left="120"/>
        <w:spacing w:after="0" w:line="259" w:lineRule="auto"/>
        <w:rPr>
          <w:sz w:val="20"/>
          <w:szCs w:val="20"/>
          <w:color w:val="auto"/>
        </w:rPr>
      </w:pPr>
      <w:r>
        <w:rPr>
          <w:rFonts w:ascii="Arial" w:cs="Arial" w:eastAsia="Arial" w:hAnsi="Arial"/>
          <w:sz w:val="16"/>
          <w:szCs w:val="16"/>
          <w:b w:val="1"/>
          <w:bCs w:val="1"/>
          <w:color w:val="004876"/>
        </w:rPr>
        <w:t>Director Qualification Highlights: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Financial services</w:t>
      </w:r>
    </w:p>
    <w:p>
      <w:pPr>
        <w:spacing w:after="0" w:line="46" w:lineRule="exact"/>
        <w:rPr>
          <w:sz w:val="20"/>
          <w:szCs w:val="20"/>
          <w:color w:val="auto"/>
        </w:rPr>
      </w:pPr>
    </w:p>
    <w:p>
      <w:pPr>
        <w:ind w:left="120" w:right="180"/>
        <w:spacing w:after="0" w:line="253" w:lineRule="auto"/>
        <w:rPr>
          <w:sz w:val="20"/>
          <w:szCs w:val="20"/>
          <w:color w:val="auto"/>
        </w:rPr>
      </w:pPr>
      <w:r>
        <w:rPr>
          <w:rFonts w:ascii="Arial" w:cs="Arial" w:eastAsia="Arial" w:hAnsi="Arial"/>
          <w:sz w:val="16"/>
          <w:szCs w:val="16"/>
          <w:color w:val="auto"/>
        </w:rPr>
        <w:t>Management development and succession planning</w:t>
      </w:r>
    </w:p>
    <w:p>
      <w:pPr>
        <w:spacing w:after="0" w:line="26" w:lineRule="exact"/>
        <w:rPr>
          <w:sz w:val="20"/>
          <w:szCs w:val="20"/>
          <w:color w:val="auto"/>
        </w:rPr>
      </w:pPr>
    </w:p>
    <w:p>
      <w:pPr>
        <w:ind w:left="120" w:right="20"/>
        <w:spacing w:after="0" w:line="260" w:lineRule="auto"/>
        <w:rPr>
          <w:sz w:val="20"/>
          <w:szCs w:val="20"/>
          <w:color w:val="auto"/>
        </w:rPr>
      </w:pPr>
      <w:r>
        <w:rPr>
          <w:rFonts w:ascii="Arial" w:cs="Arial" w:eastAsia="Arial" w:hAnsi="Arial"/>
          <w:sz w:val="16"/>
          <w:szCs w:val="16"/>
          <w:color w:val="auto"/>
        </w:rPr>
        <w:t>Risk management and controls</w:t>
      </w:r>
    </w:p>
    <w:p>
      <w:pPr>
        <w:spacing w:after="0" w:line="20" w:lineRule="exact"/>
        <w:rPr>
          <w:sz w:val="20"/>
          <w:szCs w:val="20"/>
          <w:color w:val="auto"/>
        </w:rPr>
      </w:pPr>
      <w:r>
        <w:rPr>
          <w:sz w:val="20"/>
          <w:szCs w:val="20"/>
          <w:color w:val="auto"/>
        </w:rPr>
        <w:br w:type="column"/>
      </w:r>
    </w:p>
    <w:p>
      <w:pPr>
        <w:ind w:left="10"/>
        <w:spacing w:after="0"/>
        <w:rPr>
          <w:sz w:val="20"/>
          <w:szCs w:val="20"/>
          <w:color w:val="auto"/>
        </w:rPr>
      </w:pPr>
      <w:r>
        <w:rPr>
          <w:rFonts w:ascii="Arial" w:cs="Arial" w:eastAsia="Arial" w:hAnsi="Arial"/>
          <w:sz w:val="16"/>
          <w:szCs w:val="16"/>
          <w:b w:val="1"/>
          <w:bCs w:val="1"/>
          <w:color w:val="004876"/>
        </w:rPr>
        <w:t>Career Highlights</w:t>
      </w:r>
    </w:p>
    <w:p>
      <w:pPr>
        <w:spacing w:after="0" w:line="5" w:lineRule="exact"/>
        <w:rPr>
          <w:sz w:val="20"/>
          <w:szCs w:val="20"/>
          <w:color w:val="auto"/>
        </w:rPr>
      </w:pPr>
    </w:p>
    <w:p>
      <w:pPr>
        <w:jc w:val="both"/>
        <w:ind w:left="10"/>
        <w:spacing w:after="0" w:line="253" w:lineRule="auto"/>
        <w:rPr>
          <w:sz w:val="20"/>
          <w:szCs w:val="20"/>
          <w:color w:val="auto"/>
        </w:rPr>
      </w:pPr>
      <w:r>
        <w:rPr>
          <w:rFonts w:ascii="Arial" w:cs="Arial" w:eastAsia="Arial" w:hAnsi="Arial"/>
          <w:sz w:val="16"/>
          <w:szCs w:val="16"/>
          <w:color w:val="auto"/>
        </w:rPr>
        <w:t>Henry Crown and Company, a privately owned investment company that invests in public and private securities, real estate, and operating companies</w:t>
      </w:r>
    </w:p>
    <w:p>
      <w:pPr>
        <w:spacing w:after="0" w:line="26" w:lineRule="exact"/>
        <w:rPr>
          <w:sz w:val="20"/>
          <w:szCs w:val="20"/>
          <w:color w:val="auto"/>
        </w:rPr>
      </w:pPr>
    </w:p>
    <w:p>
      <w:pPr>
        <w:ind w:left="150" w:right="1320" w:hanging="150"/>
        <w:spacing w:after="0" w:line="260" w:lineRule="auto"/>
        <w:tabs>
          <w:tab w:leader="none" w:pos="144" w:val="left"/>
        </w:tabs>
        <w:numPr>
          <w:ilvl w:val="0"/>
          <w:numId w:val="40"/>
        </w:numPr>
        <w:rPr>
          <w:rFonts w:ascii="Arial" w:cs="Arial" w:eastAsia="Arial" w:hAnsi="Arial"/>
          <w:sz w:val="16"/>
          <w:szCs w:val="16"/>
          <w:color w:val="004876"/>
        </w:rPr>
      </w:pPr>
      <w:r>
        <w:rPr>
          <w:rFonts w:ascii="Arial" w:cs="Arial" w:eastAsia="Arial" w:hAnsi="Arial"/>
          <w:sz w:val="16"/>
          <w:szCs w:val="16"/>
          <w:color w:val="auto"/>
        </w:rPr>
        <w:t>Chairman and Chief Executive Officer (since 2018)</w:t>
      </w:r>
    </w:p>
    <w:p>
      <w:pPr>
        <w:spacing w:after="0" w:line="19" w:lineRule="exact"/>
        <w:rPr>
          <w:rFonts w:ascii="Arial" w:cs="Arial" w:eastAsia="Arial" w:hAnsi="Arial"/>
          <w:sz w:val="16"/>
          <w:szCs w:val="16"/>
          <w:color w:val="004876"/>
        </w:rPr>
      </w:pPr>
    </w:p>
    <w:p>
      <w:pPr>
        <w:ind w:left="130" w:hanging="130"/>
        <w:spacing w:after="0"/>
        <w:tabs>
          <w:tab w:leader="none" w:pos="130" w:val="left"/>
        </w:tabs>
        <w:numPr>
          <w:ilvl w:val="0"/>
          <w:numId w:val="40"/>
        </w:numPr>
        <w:rPr>
          <w:rFonts w:ascii="Arial" w:cs="Arial" w:eastAsia="Arial" w:hAnsi="Arial"/>
          <w:sz w:val="16"/>
          <w:szCs w:val="16"/>
          <w:color w:val="004876"/>
        </w:rPr>
      </w:pPr>
      <w:r>
        <w:rPr>
          <w:rFonts w:ascii="Arial" w:cs="Arial" w:eastAsia="Arial" w:hAnsi="Arial"/>
          <w:sz w:val="16"/>
          <w:szCs w:val="16"/>
          <w:color w:val="auto"/>
        </w:rPr>
        <w:t>President (2002–2017)</w:t>
      </w:r>
    </w:p>
    <w:p>
      <w:pPr>
        <w:spacing w:after="0" w:line="45" w:lineRule="exact"/>
        <w:rPr>
          <w:rFonts w:ascii="Arial" w:cs="Arial" w:eastAsia="Arial" w:hAnsi="Arial"/>
          <w:sz w:val="16"/>
          <w:szCs w:val="16"/>
          <w:color w:val="004876"/>
        </w:rPr>
      </w:pPr>
    </w:p>
    <w:p>
      <w:pPr>
        <w:ind w:left="130" w:hanging="130"/>
        <w:spacing w:after="0"/>
        <w:tabs>
          <w:tab w:leader="none" w:pos="130" w:val="left"/>
        </w:tabs>
        <w:numPr>
          <w:ilvl w:val="0"/>
          <w:numId w:val="40"/>
        </w:numPr>
        <w:rPr>
          <w:rFonts w:ascii="Arial" w:cs="Arial" w:eastAsia="Arial" w:hAnsi="Arial"/>
          <w:sz w:val="16"/>
          <w:szCs w:val="16"/>
          <w:color w:val="004876"/>
        </w:rPr>
      </w:pPr>
      <w:r>
        <w:rPr>
          <w:rFonts w:ascii="Arial" w:cs="Arial" w:eastAsia="Arial" w:hAnsi="Arial"/>
          <w:sz w:val="16"/>
          <w:szCs w:val="16"/>
          <w:color w:val="auto"/>
        </w:rPr>
        <w:t>Vice President (1985–2002)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-1405255</wp:posOffset>
            </wp:positionH>
            <wp:positionV relativeFrom="paragraph">
              <wp:posOffset>1210945</wp:posOffset>
            </wp:positionV>
            <wp:extent cx="7029450" cy="1968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029450" cy="1968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004876"/>
        </w:rPr>
        <w:t>Other Public Company Directorships</w:t>
      </w:r>
    </w:p>
    <w:p>
      <w:pPr>
        <w:spacing w:after="0" w:line="5" w:lineRule="exact"/>
        <w:rPr>
          <w:sz w:val="20"/>
          <w:szCs w:val="20"/>
          <w:color w:val="auto"/>
        </w:rPr>
      </w:pPr>
    </w:p>
    <w:p>
      <w:pPr>
        <w:ind w:left="160" w:hanging="153"/>
        <w:spacing w:after="0" w:line="260" w:lineRule="auto"/>
        <w:tabs>
          <w:tab w:leader="none" w:pos="154" w:val="left"/>
        </w:tabs>
        <w:numPr>
          <w:ilvl w:val="0"/>
          <w:numId w:val="41"/>
        </w:numPr>
        <w:rPr>
          <w:rFonts w:ascii="Arial" w:cs="Arial" w:eastAsia="Arial" w:hAnsi="Arial"/>
          <w:sz w:val="16"/>
          <w:szCs w:val="16"/>
          <w:color w:val="004876"/>
        </w:rPr>
      </w:pPr>
      <w:r>
        <w:rPr>
          <w:rFonts w:ascii="Arial" w:cs="Arial" w:eastAsia="Arial" w:hAnsi="Arial"/>
          <w:sz w:val="16"/>
          <w:szCs w:val="16"/>
          <w:color w:val="auto"/>
        </w:rPr>
        <w:t>General Dynamics (since 1987) — Lead Director since 2010</w:t>
      </w:r>
    </w:p>
    <w:p>
      <w:pPr>
        <w:spacing w:after="0" w:line="19" w:lineRule="exact"/>
        <w:rPr>
          <w:rFonts w:ascii="Arial" w:cs="Arial" w:eastAsia="Arial" w:hAnsi="Arial"/>
          <w:sz w:val="16"/>
          <w:szCs w:val="16"/>
          <w:color w:val="004876"/>
        </w:rPr>
      </w:pPr>
    </w:p>
    <w:p>
      <w:pPr>
        <w:ind w:left="140" w:hanging="133"/>
        <w:spacing w:after="0"/>
        <w:tabs>
          <w:tab w:leader="none" w:pos="140" w:val="left"/>
        </w:tabs>
        <w:numPr>
          <w:ilvl w:val="0"/>
          <w:numId w:val="41"/>
        </w:numPr>
        <w:rPr>
          <w:rFonts w:ascii="Arial" w:cs="Arial" w:eastAsia="Arial" w:hAnsi="Arial"/>
          <w:sz w:val="16"/>
          <w:szCs w:val="16"/>
          <w:color w:val="004876"/>
        </w:rPr>
      </w:pPr>
      <w:r>
        <w:rPr>
          <w:rFonts w:ascii="Arial" w:cs="Arial" w:eastAsia="Arial" w:hAnsi="Arial"/>
          <w:sz w:val="16"/>
          <w:szCs w:val="16"/>
          <w:color w:val="auto"/>
        </w:rPr>
        <w:t>Sara Lee Corporation (1998-2012)</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004876"/>
        </w:rPr>
        <w:t>Other Experience</w:t>
      </w:r>
    </w:p>
    <w:p>
      <w:pPr>
        <w:spacing w:after="0" w:line="25" w:lineRule="exact"/>
        <w:rPr>
          <w:sz w:val="20"/>
          <w:szCs w:val="20"/>
          <w:color w:val="auto"/>
        </w:rPr>
      </w:pPr>
    </w:p>
    <w:p>
      <w:pPr>
        <w:ind w:left="140" w:hanging="133"/>
        <w:spacing w:after="0"/>
        <w:tabs>
          <w:tab w:leader="none" w:pos="140" w:val="left"/>
        </w:tabs>
        <w:numPr>
          <w:ilvl w:val="0"/>
          <w:numId w:val="42"/>
        </w:numPr>
        <w:rPr>
          <w:rFonts w:ascii="Arial" w:cs="Arial" w:eastAsia="Arial" w:hAnsi="Arial"/>
          <w:sz w:val="16"/>
          <w:szCs w:val="16"/>
          <w:color w:val="004876"/>
        </w:rPr>
      </w:pPr>
      <w:r>
        <w:rPr>
          <w:rFonts w:ascii="Arial" w:cs="Arial" w:eastAsia="Arial" w:hAnsi="Arial"/>
          <w:sz w:val="16"/>
          <w:szCs w:val="16"/>
          <w:color w:val="auto"/>
        </w:rPr>
        <w:t>Chairman of the Board of Trustees, Aspen Institute</w:t>
      </w:r>
    </w:p>
    <w:p>
      <w:pPr>
        <w:spacing w:after="0" w:line="45" w:lineRule="exact"/>
        <w:rPr>
          <w:rFonts w:ascii="Arial" w:cs="Arial" w:eastAsia="Arial" w:hAnsi="Arial"/>
          <w:sz w:val="16"/>
          <w:szCs w:val="16"/>
          <w:color w:val="004876"/>
        </w:rPr>
      </w:pPr>
    </w:p>
    <w:p>
      <w:pPr>
        <w:ind w:left="140" w:hanging="133"/>
        <w:spacing w:after="0"/>
        <w:tabs>
          <w:tab w:leader="none" w:pos="140" w:val="left"/>
        </w:tabs>
        <w:numPr>
          <w:ilvl w:val="0"/>
          <w:numId w:val="42"/>
        </w:numPr>
        <w:rPr>
          <w:rFonts w:ascii="Arial" w:cs="Arial" w:eastAsia="Arial" w:hAnsi="Arial"/>
          <w:sz w:val="16"/>
          <w:szCs w:val="16"/>
          <w:color w:val="004876"/>
        </w:rPr>
      </w:pPr>
      <w:r>
        <w:rPr>
          <w:rFonts w:ascii="Arial" w:cs="Arial" w:eastAsia="Arial" w:hAnsi="Arial"/>
          <w:sz w:val="16"/>
          <w:szCs w:val="16"/>
          <w:color w:val="auto"/>
        </w:rPr>
        <w:t>Trustee, Museum of Science and Industry</w:t>
      </w:r>
    </w:p>
    <w:p>
      <w:pPr>
        <w:spacing w:after="0" w:line="45" w:lineRule="exact"/>
        <w:rPr>
          <w:rFonts w:ascii="Arial" w:cs="Arial" w:eastAsia="Arial" w:hAnsi="Arial"/>
          <w:sz w:val="16"/>
          <w:szCs w:val="16"/>
          <w:color w:val="004876"/>
        </w:rPr>
      </w:pPr>
    </w:p>
    <w:p>
      <w:pPr>
        <w:ind w:left="140" w:hanging="133"/>
        <w:spacing w:after="0"/>
        <w:tabs>
          <w:tab w:leader="none" w:pos="140" w:val="left"/>
        </w:tabs>
        <w:numPr>
          <w:ilvl w:val="0"/>
          <w:numId w:val="42"/>
        </w:numPr>
        <w:rPr>
          <w:rFonts w:ascii="Arial" w:cs="Arial" w:eastAsia="Arial" w:hAnsi="Arial"/>
          <w:sz w:val="16"/>
          <w:szCs w:val="16"/>
          <w:color w:val="004876"/>
        </w:rPr>
      </w:pPr>
      <w:r>
        <w:rPr>
          <w:rFonts w:ascii="Arial" w:cs="Arial" w:eastAsia="Arial" w:hAnsi="Arial"/>
          <w:sz w:val="16"/>
          <w:szCs w:val="16"/>
          <w:color w:val="auto"/>
        </w:rPr>
        <w:t>Trustee, University of Chicago</w:t>
      </w:r>
    </w:p>
    <w:p>
      <w:pPr>
        <w:spacing w:after="0" w:line="45" w:lineRule="exact"/>
        <w:rPr>
          <w:rFonts w:ascii="Arial" w:cs="Arial" w:eastAsia="Arial" w:hAnsi="Arial"/>
          <w:sz w:val="16"/>
          <w:szCs w:val="16"/>
          <w:color w:val="004876"/>
        </w:rPr>
      </w:pPr>
    </w:p>
    <w:p>
      <w:pPr>
        <w:ind w:left="140" w:hanging="133"/>
        <w:spacing w:after="0"/>
        <w:tabs>
          <w:tab w:leader="none" w:pos="140" w:val="left"/>
        </w:tabs>
        <w:numPr>
          <w:ilvl w:val="0"/>
          <w:numId w:val="42"/>
        </w:numPr>
        <w:rPr>
          <w:rFonts w:ascii="Arial" w:cs="Arial" w:eastAsia="Arial" w:hAnsi="Arial"/>
          <w:sz w:val="16"/>
          <w:szCs w:val="16"/>
          <w:color w:val="004876"/>
        </w:rPr>
      </w:pPr>
      <w:r>
        <w:rPr>
          <w:rFonts w:ascii="Arial" w:cs="Arial" w:eastAsia="Arial" w:hAnsi="Arial"/>
          <w:sz w:val="16"/>
          <w:szCs w:val="16"/>
          <w:color w:val="auto"/>
        </w:rPr>
        <w:t>Member, American Academy of Arts and Sciences</w:t>
      </w:r>
    </w:p>
    <w:p>
      <w:pPr>
        <w:spacing w:after="0" w:line="45" w:lineRule="exact"/>
        <w:rPr>
          <w:rFonts w:ascii="Arial" w:cs="Arial" w:eastAsia="Arial" w:hAnsi="Arial"/>
          <w:sz w:val="16"/>
          <w:szCs w:val="16"/>
          <w:color w:val="004876"/>
        </w:rPr>
      </w:pPr>
    </w:p>
    <w:p>
      <w:pPr>
        <w:ind w:left="160" w:right="340" w:hanging="153"/>
        <w:spacing w:after="0" w:line="260" w:lineRule="auto"/>
        <w:tabs>
          <w:tab w:leader="none" w:pos="154" w:val="left"/>
        </w:tabs>
        <w:numPr>
          <w:ilvl w:val="0"/>
          <w:numId w:val="42"/>
        </w:numPr>
        <w:rPr>
          <w:rFonts w:ascii="Arial" w:cs="Arial" w:eastAsia="Arial" w:hAnsi="Arial"/>
          <w:sz w:val="16"/>
          <w:szCs w:val="16"/>
          <w:color w:val="004876"/>
        </w:rPr>
      </w:pPr>
      <w:r>
        <w:rPr>
          <w:rFonts w:ascii="Arial" w:cs="Arial" w:eastAsia="Arial" w:hAnsi="Arial"/>
          <w:sz w:val="16"/>
          <w:szCs w:val="16"/>
          <w:color w:val="auto"/>
        </w:rPr>
        <w:t>Former member, President’s Intelligence Advisory Board</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color w:val="004876"/>
        </w:rPr>
        <w:t>Education</w:t>
      </w:r>
    </w:p>
    <w:p>
      <w:pPr>
        <w:spacing w:after="0" w:line="25" w:lineRule="exact"/>
        <w:rPr>
          <w:sz w:val="20"/>
          <w:szCs w:val="20"/>
          <w:color w:val="auto"/>
        </w:rPr>
      </w:pPr>
    </w:p>
    <w:p>
      <w:pPr>
        <w:ind w:left="140" w:hanging="133"/>
        <w:spacing w:after="0"/>
        <w:tabs>
          <w:tab w:leader="none" w:pos="140" w:val="left"/>
        </w:tabs>
        <w:numPr>
          <w:ilvl w:val="0"/>
          <w:numId w:val="43"/>
        </w:numPr>
        <w:rPr>
          <w:rFonts w:ascii="Arial" w:cs="Arial" w:eastAsia="Arial" w:hAnsi="Arial"/>
          <w:sz w:val="16"/>
          <w:szCs w:val="16"/>
          <w:color w:val="004876"/>
        </w:rPr>
      </w:pPr>
      <w:r>
        <w:rPr>
          <w:rFonts w:ascii="Arial" w:cs="Arial" w:eastAsia="Arial" w:hAnsi="Arial"/>
          <w:sz w:val="16"/>
          <w:szCs w:val="16"/>
          <w:color w:val="auto"/>
        </w:rPr>
        <w:t>Graduate of Hampshire College</w:t>
      </w:r>
    </w:p>
    <w:p>
      <w:pPr>
        <w:spacing w:after="0" w:line="45" w:lineRule="exact"/>
        <w:rPr>
          <w:rFonts w:ascii="Arial" w:cs="Arial" w:eastAsia="Arial" w:hAnsi="Arial"/>
          <w:sz w:val="16"/>
          <w:szCs w:val="16"/>
          <w:color w:val="004876"/>
        </w:rPr>
      </w:pPr>
    </w:p>
    <w:p>
      <w:pPr>
        <w:ind w:left="140" w:hanging="133"/>
        <w:spacing w:after="0"/>
        <w:tabs>
          <w:tab w:leader="none" w:pos="140" w:val="left"/>
        </w:tabs>
        <w:numPr>
          <w:ilvl w:val="0"/>
          <w:numId w:val="43"/>
        </w:numPr>
        <w:rPr>
          <w:rFonts w:ascii="Arial" w:cs="Arial" w:eastAsia="Arial" w:hAnsi="Arial"/>
          <w:sz w:val="16"/>
          <w:szCs w:val="16"/>
          <w:color w:val="004876"/>
        </w:rPr>
      </w:pPr>
      <w:r>
        <w:rPr>
          <w:rFonts w:ascii="Arial" w:cs="Arial" w:eastAsia="Arial" w:hAnsi="Arial"/>
          <w:sz w:val="16"/>
          <w:szCs w:val="16"/>
          <w:color w:val="auto"/>
        </w:rPr>
        <w:t>J.D., Stanford University Law School</w:t>
      </w:r>
    </w:p>
    <w:p>
      <w:pPr>
        <w:spacing w:after="0" w:line="200" w:lineRule="exact"/>
        <w:rPr>
          <w:sz w:val="20"/>
          <w:szCs w:val="20"/>
          <w:color w:val="auto"/>
        </w:rPr>
      </w:pPr>
    </w:p>
    <w:p>
      <w:pPr>
        <w:sectPr>
          <w:pgSz w:w="11900" w:h="16838" w:orient="portrait"/>
          <w:cols w:equalWidth="0" w:num="3">
            <w:col w:w="1760" w:space="570"/>
            <w:col w:w="4170" w:space="440"/>
            <w:col w:w="4060"/>
          </w:cols>
          <w:pgMar w:left="320" w:top="459" w:right="579" w:bottom="1440" w:gutter="0" w:footer="0" w:header="0"/>
          <w:type w:val="continuous"/>
        </w:sectPr>
      </w:pPr>
    </w:p>
    <w:p>
      <w:pPr>
        <w:spacing w:after="0" w:line="286" w:lineRule="exact"/>
        <w:rPr>
          <w:sz w:val="20"/>
          <w:szCs w:val="20"/>
          <w:color w:val="auto"/>
        </w:rPr>
      </w:pPr>
    </w:p>
    <w:p>
      <w:pPr>
        <w:jc w:val="center"/>
        <w:ind w:right="-239"/>
        <w:spacing w:after="0"/>
        <w:rPr>
          <w:sz w:val="20"/>
          <w:szCs w:val="20"/>
          <w:color w:val="auto"/>
        </w:rPr>
      </w:pPr>
      <w:r>
        <w:rPr>
          <w:rFonts w:ascii="Arial" w:cs="Arial" w:eastAsia="Arial" w:hAnsi="Arial"/>
          <w:sz w:val="13"/>
          <w:szCs w:val="13"/>
          <w:b w:val="1"/>
          <w:bCs w:val="1"/>
          <w:color w:val="004876"/>
        </w:rPr>
        <w:t>15</w:t>
      </w:r>
    </w:p>
    <w:p>
      <w:pPr>
        <w:sectPr>
          <w:pgSz w:w="11900" w:h="16838" w:orient="portrait"/>
          <w:cols w:equalWidth="0" w:num="1">
            <w:col w:w="11000"/>
          </w:cols>
          <w:pgMar w:left="320" w:top="459" w:right="57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4876"/>
        </w:rPr>
        <w:t>ELECTION OF DIRECTORS |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160655</wp:posOffset>
            </wp:positionV>
            <wp:extent cx="7029450" cy="35750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029450" cy="357505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04876"/>
        </w:rPr>
        <w:t xml:space="preserve">Age: </w:t>
      </w:r>
      <w:r>
        <w:rPr>
          <w:rFonts w:ascii="Arial" w:cs="Arial" w:eastAsia="Arial" w:hAnsi="Arial"/>
          <w:sz w:val="16"/>
          <w:szCs w:val="16"/>
          <w:color w:val="000000"/>
        </w:rPr>
        <w:t>64</w:t>
      </w:r>
    </w:p>
    <w:p>
      <w:pPr>
        <w:spacing w:after="0" w:line="86" w:lineRule="exact"/>
        <w:rPr>
          <w:sz w:val="20"/>
          <w:szCs w:val="20"/>
          <w:color w:val="auto"/>
        </w:rPr>
      </w:pPr>
    </w:p>
    <w:p>
      <w:pPr>
        <w:jc w:val="both"/>
        <w:ind w:left="120"/>
        <w:spacing w:after="0" w:line="255" w:lineRule="auto"/>
        <w:rPr>
          <w:sz w:val="20"/>
          <w:szCs w:val="20"/>
          <w:color w:val="auto"/>
        </w:rPr>
      </w:pPr>
      <w:r>
        <w:rPr>
          <w:rFonts w:ascii="Arial" w:cs="Arial" w:eastAsia="Arial" w:hAnsi="Arial"/>
          <w:sz w:val="16"/>
          <w:szCs w:val="16"/>
          <w:b w:val="1"/>
          <w:bCs w:val="1"/>
          <w:color w:val="004876"/>
        </w:rPr>
        <w:t xml:space="preserve">Director since: </w:t>
      </w:r>
      <w:r>
        <w:rPr>
          <w:rFonts w:ascii="Arial" w:cs="Arial" w:eastAsia="Arial" w:hAnsi="Arial"/>
          <w:sz w:val="16"/>
          <w:szCs w:val="16"/>
          <w:color w:val="000000"/>
        </w:rPr>
        <w:t>2004</w:t>
      </w:r>
      <w:r>
        <w:rPr>
          <w:rFonts w:ascii="Arial" w:cs="Arial" w:eastAsia="Arial" w:hAnsi="Arial"/>
          <w:sz w:val="16"/>
          <w:szCs w:val="16"/>
          <w:b w:val="1"/>
          <w:bCs w:val="1"/>
          <w:color w:val="004876"/>
        </w:rPr>
        <w:t xml:space="preserve"> </w:t>
      </w:r>
      <w:r>
        <w:rPr>
          <w:rFonts w:ascii="Arial" w:cs="Arial" w:eastAsia="Arial" w:hAnsi="Arial"/>
          <w:sz w:val="16"/>
          <w:szCs w:val="16"/>
          <w:color w:val="000000"/>
        </w:rPr>
        <w:t>and Chairman of the Board of Bank 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43"/>
          <w:szCs w:val="43"/>
          <w:color w:val="004876"/>
        </w:rPr>
        <w:t>James Dimon</w:t>
      </w:r>
    </w:p>
    <w:p>
      <w:pPr>
        <w:spacing w:after="0" w:line="100" w:lineRule="exact"/>
        <w:rPr>
          <w:sz w:val="20"/>
          <w:szCs w:val="20"/>
          <w:color w:val="auto"/>
        </w:rPr>
      </w:pPr>
    </w:p>
    <w:p>
      <w:pPr>
        <w:spacing w:after="0"/>
        <w:rPr>
          <w:sz w:val="20"/>
          <w:szCs w:val="20"/>
          <w:color w:val="auto"/>
        </w:rPr>
      </w:pPr>
      <w:r>
        <w:rPr>
          <w:rFonts w:ascii="Arial" w:cs="Arial" w:eastAsia="Arial" w:hAnsi="Arial"/>
          <w:sz w:val="22"/>
          <w:szCs w:val="22"/>
          <w:i w:val="1"/>
          <w:iCs w:val="1"/>
          <w:color w:val="004876"/>
        </w:rPr>
        <w:t>Chairman and Chief Executive Officer of JPMorgan Chase &amp; Co.</w:t>
      </w:r>
    </w:p>
    <w:p>
      <w:pPr>
        <w:spacing w:after="0" w:line="200" w:lineRule="exact"/>
        <w:rPr>
          <w:sz w:val="20"/>
          <w:szCs w:val="20"/>
          <w:color w:val="auto"/>
        </w:rPr>
      </w:pPr>
    </w:p>
    <w:p>
      <w:pPr>
        <w:spacing w:after="0" w:line="320" w:lineRule="exact"/>
        <w:rPr>
          <w:sz w:val="20"/>
          <w:szCs w:val="20"/>
          <w:color w:val="auto"/>
        </w:rPr>
      </w:pPr>
    </w:p>
    <w:p>
      <w:pPr>
        <w:jc w:val="both"/>
        <w:ind w:right="80"/>
        <w:spacing w:after="0" w:line="253" w:lineRule="auto"/>
        <w:rPr>
          <w:sz w:val="20"/>
          <w:szCs w:val="20"/>
          <w:color w:val="auto"/>
        </w:rPr>
      </w:pPr>
      <w:r>
        <w:rPr>
          <w:rFonts w:ascii="Arial" w:cs="Arial" w:eastAsia="Arial" w:hAnsi="Arial"/>
          <w:sz w:val="16"/>
          <w:szCs w:val="16"/>
          <w:color w:val="auto"/>
        </w:rPr>
        <w:t>Mr. Dimon is an experienced leader in the financial services industry and has extensive international business expertise. As CEO, he is knowledgeable about all aspects of the Firm’s business activities. His work has given him substantial insight into the regulatory process.</w:t>
      </w:r>
    </w:p>
    <w:p>
      <w:pPr>
        <w:spacing w:after="0" w:line="242" w:lineRule="exact"/>
        <w:rPr>
          <w:sz w:val="20"/>
          <w:szCs w:val="20"/>
          <w:color w:val="auto"/>
        </w:rPr>
      </w:pPr>
    </w:p>
    <w:p>
      <w:pPr>
        <w:sectPr>
          <w:pgSz w:w="11900" w:h="16838" w:orient="portrait"/>
          <w:cols w:equalWidth="0" w:num="2">
            <w:col w:w="1660" w:space="560"/>
            <w:col w:w="8920"/>
          </w:cols>
          <w:pgMar w:left="320" w:top="459" w:right="439" w:bottom="1440" w:gutter="0" w:footer="0" w:header="0"/>
          <w:type w:val="continuous"/>
        </w:sectPr>
      </w:pPr>
    </w:p>
    <w:p>
      <w:pPr>
        <w:ind w:left="120" w:right="420"/>
        <w:spacing w:after="0" w:line="260" w:lineRule="auto"/>
        <w:rPr>
          <w:sz w:val="20"/>
          <w:szCs w:val="20"/>
          <w:color w:val="auto"/>
        </w:rPr>
      </w:pPr>
      <w:r>
        <w:rPr>
          <w:rFonts w:ascii="Arial" w:cs="Arial" w:eastAsia="Arial" w:hAnsi="Arial"/>
          <w:sz w:val="16"/>
          <w:szCs w:val="16"/>
          <w:color w:val="auto"/>
        </w:rPr>
        <w:t>Corporation from 2000 to 2004</w:t>
      </w:r>
    </w:p>
    <w:p>
      <w:pPr>
        <w:spacing w:after="0" w:line="40" w:lineRule="exact"/>
        <w:rPr>
          <w:sz w:val="20"/>
          <w:szCs w:val="20"/>
          <w:color w:val="auto"/>
        </w:rPr>
      </w:pPr>
    </w:p>
    <w:p>
      <w:pPr>
        <w:ind w:left="120"/>
        <w:spacing w:after="0" w:line="259" w:lineRule="auto"/>
        <w:rPr>
          <w:sz w:val="20"/>
          <w:szCs w:val="20"/>
          <w:color w:val="auto"/>
        </w:rPr>
      </w:pPr>
      <w:r>
        <w:rPr>
          <w:rFonts w:ascii="Arial" w:cs="Arial" w:eastAsia="Arial" w:hAnsi="Arial"/>
          <w:sz w:val="16"/>
          <w:szCs w:val="16"/>
          <w:b w:val="1"/>
          <w:bCs w:val="1"/>
          <w:color w:val="004876"/>
        </w:rPr>
        <w:t>Director Qualification Highlights: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Financial services</w:t>
      </w:r>
    </w:p>
    <w:p>
      <w:pPr>
        <w:spacing w:after="0" w:line="46" w:lineRule="exact"/>
        <w:rPr>
          <w:sz w:val="20"/>
          <w:szCs w:val="20"/>
          <w:color w:val="auto"/>
        </w:rPr>
      </w:pPr>
    </w:p>
    <w:p>
      <w:pPr>
        <w:ind w:left="120" w:right="80"/>
        <w:spacing w:after="0" w:line="260" w:lineRule="auto"/>
        <w:rPr>
          <w:sz w:val="20"/>
          <w:szCs w:val="20"/>
          <w:color w:val="auto"/>
        </w:rPr>
      </w:pPr>
      <w:r>
        <w:rPr>
          <w:rFonts w:ascii="Arial" w:cs="Arial" w:eastAsia="Arial" w:hAnsi="Arial"/>
          <w:sz w:val="16"/>
          <w:szCs w:val="16"/>
          <w:color w:val="auto"/>
        </w:rPr>
        <w:t>Leadership of a large, complex organization</w:t>
      </w:r>
    </w:p>
    <w:p>
      <w:pPr>
        <w:spacing w:after="0" w:line="20" w:lineRule="exact"/>
        <w:rPr>
          <w:sz w:val="20"/>
          <w:szCs w:val="20"/>
          <w:color w:val="auto"/>
        </w:rPr>
      </w:pPr>
    </w:p>
    <w:p>
      <w:pPr>
        <w:ind w:left="120" w:right="180"/>
        <w:spacing w:after="0" w:line="253" w:lineRule="auto"/>
        <w:rPr>
          <w:sz w:val="20"/>
          <w:szCs w:val="20"/>
          <w:color w:val="auto"/>
        </w:rPr>
      </w:pPr>
      <w:r>
        <w:rPr>
          <w:rFonts w:ascii="Arial" w:cs="Arial" w:eastAsia="Arial" w:hAnsi="Arial"/>
          <w:sz w:val="16"/>
          <w:szCs w:val="16"/>
          <w:color w:val="auto"/>
        </w:rPr>
        <w:t>Management development and succession planning</w:t>
      </w:r>
    </w:p>
    <w:p>
      <w:pPr>
        <w:spacing w:after="0" w:line="26" w:lineRule="exact"/>
        <w:rPr>
          <w:sz w:val="20"/>
          <w:szCs w:val="20"/>
          <w:color w:val="auto"/>
        </w:rPr>
      </w:pPr>
    </w:p>
    <w:p>
      <w:pPr>
        <w:ind w:left="120" w:right="100"/>
        <w:spacing w:after="0" w:line="260" w:lineRule="auto"/>
        <w:rPr>
          <w:sz w:val="20"/>
          <w:szCs w:val="20"/>
          <w:color w:val="auto"/>
        </w:rPr>
      </w:pPr>
      <w:r>
        <w:rPr>
          <w:rFonts w:ascii="Arial" w:cs="Arial" w:eastAsia="Arial" w:hAnsi="Arial"/>
          <w:sz w:val="16"/>
          <w:szCs w:val="16"/>
          <w:color w:val="auto"/>
        </w:rPr>
        <w:t>Regulated industries and regulatory issues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004876"/>
        </w:rPr>
        <w:t>Career Highlights</w:t>
      </w:r>
    </w:p>
    <w:p>
      <w:pPr>
        <w:spacing w:after="0" w:line="5" w:lineRule="exact"/>
        <w:rPr>
          <w:sz w:val="20"/>
          <w:szCs w:val="20"/>
          <w:color w:val="auto"/>
        </w:rPr>
      </w:pPr>
    </w:p>
    <w:p>
      <w:pPr>
        <w:ind w:right="260"/>
        <w:spacing w:after="0" w:line="260" w:lineRule="auto"/>
        <w:rPr>
          <w:sz w:val="20"/>
          <w:szCs w:val="20"/>
          <w:color w:val="auto"/>
        </w:rPr>
      </w:pPr>
      <w:r>
        <w:rPr>
          <w:rFonts w:ascii="Arial" w:cs="Arial" w:eastAsia="Arial" w:hAnsi="Arial"/>
          <w:sz w:val="16"/>
          <w:szCs w:val="16"/>
          <w:color w:val="auto"/>
        </w:rPr>
        <w:t>JPMorgan Chase &amp; Co., a financial services company (merged with Bank One Corporation in July 2004)</w:t>
      </w:r>
    </w:p>
    <w:p>
      <w:pPr>
        <w:spacing w:after="0" w:line="20" w:lineRule="exact"/>
        <w:rPr>
          <w:sz w:val="20"/>
          <w:szCs w:val="20"/>
          <w:color w:val="auto"/>
        </w:rPr>
      </w:pPr>
    </w:p>
    <w:p>
      <w:pPr>
        <w:ind w:left="140" w:hanging="138"/>
        <w:spacing w:after="0" w:line="260" w:lineRule="auto"/>
        <w:tabs>
          <w:tab w:leader="none" w:pos="134" w:val="left"/>
        </w:tabs>
        <w:numPr>
          <w:ilvl w:val="0"/>
          <w:numId w:val="44"/>
        </w:numPr>
        <w:rPr>
          <w:rFonts w:ascii="Arial" w:cs="Arial" w:eastAsia="Arial" w:hAnsi="Arial"/>
          <w:sz w:val="16"/>
          <w:szCs w:val="16"/>
          <w:color w:val="004876"/>
        </w:rPr>
      </w:pPr>
      <w:r>
        <w:rPr>
          <w:rFonts w:ascii="Arial" w:cs="Arial" w:eastAsia="Arial" w:hAnsi="Arial"/>
          <w:sz w:val="16"/>
          <w:szCs w:val="16"/>
          <w:color w:val="auto"/>
        </w:rPr>
        <w:t>Chairman of the Board (since 2006) and Director (since 2004); Chief Executive Officer (since 2005)</w:t>
      </w:r>
    </w:p>
    <w:p>
      <w:pPr>
        <w:spacing w:after="0" w:line="19" w:lineRule="exact"/>
        <w:rPr>
          <w:rFonts w:ascii="Arial" w:cs="Arial" w:eastAsia="Arial" w:hAnsi="Arial"/>
          <w:sz w:val="16"/>
          <w:szCs w:val="16"/>
          <w:color w:val="004876"/>
        </w:rPr>
      </w:pPr>
    </w:p>
    <w:p>
      <w:pPr>
        <w:ind w:left="140" w:hanging="138"/>
        <w:spacing w:after="0"/>
        <w:tabs>
          <w:tab w:leader="none" w:pos="140" w:val="left"/>
        </w:tabs>
        <w:numPr>
          <w:ilvl w:val="0"/>
          <w:numId w:val="44"/>
        </w:numPr>
        <w:rPr>
          <w:rFonts w:ascii="Arial" w:cs="Arial" w:eastAsia="Arial" w:hAnsi="Arial"/>
          <w:sz w:val="16"/>
          <w:szCs w:val="16"/>
          <w:color w:val="004876"/>
        </w:rPr>
      </w:pPr>
      <w:r>
        <w:rPr>
          <w:rFonts w:ascii="Arial" w:cs="Arial" w:eastAsia="Arial" w:hAnsi="Arial"/>
          <w:sz w:val="16"/>
          <w:szCs w:val="16"/>
          <w:color w:val="auto"/>
        </w:rPr>
        <w:t>President (2004–2018)</w:t>
      </w:r>
    </w:p>
    <w:p>
      <w:pPr>
        <w:spacing w:after="0" w:line="45" w:lineRule="exact"/>
        <w:rPr>
          <w:rFonts w:ascii="Arial" w:cs="Arial" w:eastAsia="Arial" w:hAnsi="Arial"/>
          <w:sz w:val="16"/>
          <w:szCs w:val="16"/>
          <w:color w:val="004876"/>
        </w:rPr>
      </w:pPr>
    </w:p>
    <w:p>
      <w:pPr>
        <w:ind w:left="140" w:hanging="138"/>
        <w:spacing w:after="0"/>
        <w:tabs>
          <w:tab w:leader="none" w:pos="140" w:val="left"/>
        </w:tabs>
        <w:numPr>
          <w:ilvl w:val="0"/>
          <w:numId w:val="44"/>
        </w:numPr>
        <w:rPr>
          <w:rFonts w:ascii="Arial" w:cs="Arial" w:eastAsia="Arial" w:hAnsi="Arial"/>
          <w:sz w:val="16"/>
          <w:szCs w:val="16"/>
          <w:color w:val="004876"/>
        </w:rPr>
      </w:pPr>
      <w:r>
        <w:rPr>
          <w:rFonts w:ascii="Arial" w:cs="Arial" w:eastAsia="Arial" w:hAnsi="Arial"/>
          <w:sz w:val="16"/>
          <w:szCs w:val="16"/>
          <w:color w:val="auto"/>
        </w:rPr>
        <w:t>Chief Operating Officer (2004–2005)</w:t>
      </w:r>
    </w:p>
    <w:p>
      <w:pPr>
        <w:spacing w:after="0" w:line="45" w:lineRule="exact"/>
        <w:rPr>
          <w:rFonts w:ascii="Arial" w:cs="Arial" w:eastAsia="Arial" w:hAnsi="Arial"/>
          <w:sz w:val="16"/>
          <w:szCs w:val="16"/>
          <w:color w:val="004876"/>
        </w:rPr>
      </w:pPr>
    </w:p>
    <w:p>
      <w:pPr>
        <w:ind w:left="140" w:right="320" w:hanging="138"/>
        <w:spacing w:after="0" w:line="260" w:lineRule="auto"/>
        <w:tabs>
          <w:tab w:leader="none" w:pos="134" w:val="left"/>
        </w:tabs>
        <w:numPr>
          <w:ilvl w:val="0"/>
          <w:numId w:val="44"/>
        </w:numPr>
        <w:rPr>
          <w:rFonts w:ascii="Arial" w:cs="Arial" w:eastAsia="Arial" w:hAnsi="Arial"/>
          <w:sz w:val="16"/>
          <w:szCs w:val="16"/>
          <w:color w:val="004876"/>
        </w:rPr>
      </w:pPr>
      <w:r>
        <w:rPr>
          <w:rFonts w:ascii="Arial" w:cs="Arial" w:eastAsia="Arial" w:hAnsi="Arial"/>
          <w:sz w:val="16"/>
          <w:szCs w:val="16"/>
          <w:color w:val="auto"/>
        </w:rPr>
        <w:t>Chairman and Chief Executive Officer at Bank One Corporation (2000–2004)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568325</wp:posOffset>
            </wp:positionV>
            <wp:extent cx="8255" cy="36087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255" cy="3608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004876"/>
        </w:rPr>
        <w:t>Other Public Company Directorships</w:t>
      </w:r>
    </w:p>
    <w:p>
      <w:pPr>
        <w:spacing w:after="0" w:line="5" w:lineRule="exact"/>
        <w:rPr>
          <w:sz w:val="20"/>
          <w:szCs w:val="20"/>
          <w:color w:val="auto"/>
        </w:rPr>
      </w:pPr>
    </w:p>
    <w:p>
      <w:pPr>
        <w:ind w:left="140" w:hanging="133"/>
        <w:spacing w:after="0"/>
        <w:tabs>
          <w:tab w:leader="none" w:pos="140" w:val="left"/>
        </w:tabs>
        <w:numPr>
          <w:ilvl w:val="0"/>
          <w:numId w:val="45"/>
        </w:numPr>
        <w:rPr>
          <w:rFonts w:ascii="Arial" w:cs="Arial" w:eastAsia="Arial" w:hAnsi="Arial"/>
          <w:sz w:val="16"/>
          <w:szCs w:val="16"/>
          <w:color w:val="004876"/>
        </w:rPr>
      </w:pPr>
      <w:r>
        <w:rPr>
          <w:rFonts w:ascii="Arial" w:cs="Arial" w:eastAsia="Arial" w:hAnsi="Arial"/>
          <w:sz w:val="16"/>
          <w:szCs w:val="16"/>
          <w:color w:val="auto"/>
        </w:rPr>
        <w:t>None</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004876"/>
        </w:rPr>
        <w:t>Other Experience</w:t>
      </w:r>
    </w:p>
    <w:p>
      <w:pPr>
        <w:spacing w:after="0" w:line="25" w:lineRule="exact"/>
        <w:rPr>
          <w:sz w:val="20"/>
          <w:szCs w:val="20"/>
          <w:color w:val="auto"/>
        </w:rPr>
      </w:pPr>
    </w:p>
    <w:p>
      <w:pPr>
        <w:ind w:left="140" w:hanging="133"/>
        <w:spacing w:after="0"/>
        <w:tabs>
          <w:tab w:leader="none" w:pos="140" w:val="left"/>
        </w:tabs>
        <w:numPr>
          <w:ilvl w:val="0"/>
          <w:numId w:val="46"/>
        </w:numPr>
        <w:rPr>
          <w:rFonts w:ascii="Arial" w:cs="Arial" w:eastAsia="Arial" w:hAnsi="Arial"/>
          <w:sz w:val="16"/>
          <w:szCs w:val="16"/>
          <w:color w:val="004876"/>
        </w:rPr>
      </w:pPr>
      <w:r>
        <w:rPr>
          <w:rFonts w:ascii="Arial" w:cs="Arial" w:eastAsia="Arial" w:hAnsi="Arial"/>
          <w:sz w:val="16"/>
          <w:szCs w:val="16"/>
          <w:color w:val="auto"/>
        </w:rPr>
        <w:t>Member of Board of Deans, Harvard Business School</w:t>
      </w:r>
    </w:p>
    <w:p>
      <w:pPr>
        <w:spacing w:after="0" w:line="45" w:lineRule="exact"/>
        <w:rPr>
          <w:rFonts w:ascii="Arial" w:cs="Arial" w:eastAsia="Arial" w:hAnsi="Arial"/>
          <w:sz w:val="16"/>
          <w:szCs w:val="16"/>
          <w:color w:val="004876"/>
        </w:rPr>
      </w:pPr>
    </w:p>
    <w:p>
      <w:pPr>
        <w:ind w:left="140" w:hanging="133"/>
        <w:spacing w:after="0"/>
        <w:tabs>
          <w:tab w:leader="none" w:pos="140" w:val="left"/>
        </w:tabs>
        <w:numPr>
          <w:ilvl w:val="0"/>
          <w:numId w:val="46"/>
        </w:numPr>
        <w:rPr>
          <w:rFonts w:ascii="Arial" w:cs="Arial" w:eastAsia="Arial" w:hAnsi="Arial"/>
          <w:sz w:val="16"/>
          <w:szCs w:val="16"/>
          <w:color w:val="004876"/>
        </w:rPr>
      </w:pPr>
      <w:r>
        <w:rPr>
          <w:rFonts w:ascii="Arial" w:cs="Arial" w:eastAsia="Arial" w:hAnsi="Arial"/>
          <w:sz w:val="16"/>
          <w:szCs w:val="16"/>
          <w:color w:val="auto"/>
        </w:rPr>
        <w:t>Director, Catalyst</w:t>
      </w:r>
    </w:p>
    <w:p>
      <w:pPr>
        <w:spacing w:after="0" w:line="45" w:lineRule="exact"/>
        <w:rPr>
          <w:rFonts w:ascii="Arial" w:cs="Arial" w:eastAsia="Arial" w:hAnsi="Arial"/>
          <w:sz w:val="16"/>
          <w:szCs w:val="16"/>
          <w:color w:val="004876"/>
        </w:rPr>
      </w:pPr>
    </w:p>
    <w:p>
      <w:pPr>
        <w:ind w:left="140" w:hanging="133"/>
        <w:spacing w:after="0"/>
        <w:tabs>
          <w:tab w:leader="none" w:pos="140" w:val="left"/>
        </w:tabs>
        <w:numPr>
          <w:ilvl w:val="0"/>
          <w:numId w:val="46"/>
        </w:numPr>
        <w:rPr>
          <w:rFonts w:ascii="Arial" w:cs="Arial" w:eastAsia="Arial" w:hAnsi="Arial"/>
          <w:sz w:val="16"/>
          <w:szCs w:val="16"/>
          <w:color w:val="004876"/>
        </w:rPr>
      </w:pPr>
      <w:r>
        <w:rPr>
          <w:rFonts w:ascii="Arial" w:cs="Arial" w:eastAsia="Arial" w:hAnsi="Arial"/>
          <w:sz w:val="16"/>
          <w:szCs w:val="16"/>
          <w:color w:val="auto"/>
        </w:rPr>
        <w:t>Member, Business Roundtable</w:t>
      </w:r>
    </w:p>
    <w:p>
      <w:pPr>
        <w:spacing w:after="0" w:line="45" w:lineRule="exact"/>
        <w:rPr>
          <w:rFonts w:ascii="Arial" w:cs="Arial" w:eastAsia="Arial" w:hAnsi="Arial"/>
          <w:sz w:val="16"/>
          <w:szCs w:val="16"/>
          <w:color w:val="004876"/>
        </w:rPr>
      </w:pPr>
    </w:p>
    <w:p>
      <w:pPr>
        <w:ind w:left="140" w:hanging="133"/>
        <w:spacing w:after="0"/>
        <w:tabs>
          <w:tab w:leader="none" w:pos="140" w:val="left"/>
        </w:tabs>
        <w:numPr>
          <w:ilvl w:val="0"/>
          <w:numId w:val="46"/>
        </w:numPr>
        <w:rPr>
          <w:rFonts w:ascii="Arial" w:cs="Arial" w:eastAsia="Arial" w:hAnsi="Arial"/>
          <w:sz w:val="16"/>
          <w:szCs w:val="16"/>
          <w:color w:val="004876"/>
        </w:rPr>
      </w:pPr>
      <w:r>
        <w:rPr>
          <w:rFonts w:ascii="Arial" w:cs="Arial" w:eastAsia="Arial" w:hAnsi="Arial"/>
          <w:sz w:val="16"/>
          <w:szCs w:val="16"/>
          <w:color w:val="auto"/>
        </w:rPr>
        <w:t>Member, Business Council</w:t>
      </w:r>
    </w:p>
    <w:p>
      <w:pPr>
        <w:spacing w:after="0" w:line="45" w:lineRule="exact"/>
        <w:rPr>
          <w:rFonts w:ascii="Arial" w:cs="Arial" w:eastAsia="Arial" w:hAnsi="Arial"/>
          <w:sz w:val="16"/>
          <w:szCs w:val="16"/>
          <w:color w:val="004876"/>
        </w:rPr>
      </w:pPr>
    </w:p>
    <w:p>
      <w:pPr>
        <w:ind w:left="140" w:hanging="133"/>
        <w:spacing w:after="0"/>
        <w:tabs>
          <w:tab w:leader="none" w:pos="140" w:val="left"/>
        </w:tabs>
        <w:numPr>
          <w:ilvl w:val="0"/>
          <w:numId w:val="46"/>
        </w:numPr>
        <w:rPr>
          <w:rFonts w:ascii="Arial" w:cs="Arial" w:eastAsia="Arial" w:hAnsi="Arial"/>
          <w:sz w:val="16"/>
          <w:szCs w:val="16"/>
          <w:color w:val="004876"/>
        </w:rPr>
      </w:pPr>
      <w:r>
        <w:rPr>
          <w:rFonts w:ascii="Arial" w:cs="Arial" w:eastAsia="Arial" w:hAnsi="Arial"/>
          <w:sz w:val="16"/>
          <w:szCs w:val="16"/>
          <w:color w:val="auto"/>
        </w:rPr>
        <w:t>Trustee, New York University School of Medicine</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004876"/>
        </w:rPr>
        <w:t>Education</w:t>
      </w:r>
    </w:p>
    <w:p>
      <w:pPr>
        <w:spacing w:after="0" w:line="25" w:lineRule="exact"/>
        <w:rPr>
          <w:sz w:val="20"/>
          <w:szCs w:val="20"/>
          <w:color w:val="auto"/>
        </w:rPr>
      </w:pPr>
    </w:p>
    <w:p>
      <w:pPr>
        <w:ind w:left="140" w:hanging="133"/>
        <w:spacing w:after="0"/>
        <w:tabs>
          <w:tab w:leader="none" w:pos="140" w:val="left"/>
        </w:tabs>
        <w:numPr>
          <w:ilvl w:val="0"/>
          <w:numId w:val="47"/>
        </w:numPr>
        <w:rPr>
          <w:rFonts w:ascii="Arial" w:cs="Arial" w:eastAsia="Arial" w:hAnsi="Arial"/>
          <w:sz w:val="16"/>
          <w:szCs w:val="16"/>
          <w:color w:val="004876"/>
        </w:rPr>
      </w:pPr>
      <w:r>
        <w:rPr>
          <w:rFonts w:ascii="Arial" w:cs="Arial" w:eastAsia="Arial" w:hAnsi="Arial"/>
          <w:sz w:val="16"/>
          <w:szCs w:val="16"/>
          <w:color w:val="auto"/>
        </w:rPr>
        <w:t>Graduate of Tufts University</w:t>
      </w:r>
    </w:p>
    <w:p>
      <w:pPr>
        <w:spacing w:after="0" w:line="45" w:lineRule="exact"/>
        <w:rPr>
          <w:rFonts w:ascii="Arial" w:cs="Arial" w:eastAsia="Arial" w:hAnsi="Arial"/>
          <w:sz w:val="16"/>
          <w:szCs w:val="16"/>
          <w:color w:val="004876"/>
        </w:rPr>
      </w:pPr>
    </w:p>
    <w:p>
      <w:pPr>
        <w:ind w:left="140" w:hanging="133"/>
        <w:spacing w:after="0"/>
        <w:tabs>
          <w:tab w:leader="none" w:pos="140" w:val="left"/>
        </w:tabs>
        <w:numPr>
          <w:ilvl w:val="0"/>
          <w:numId w:val="47"/>
        </w:numPr>
        <w:rPr>
          <w:rFonts w:ascii="Arial" w:cs="Arial" w:eastAsia="Arial" w:hAnsi="Arial"/>
          <w:sz w:val="16"/>
          <w:szCs w:val="16"/>
          <w:color w:val="004876"/>
        </w:rPr>
      </w:pPr>
      <w:r>
        <w:rPr>
          <w:rFonts w:ascii="Arial" w:cs="Arial" w:eastAsia="Arial" w:hAnsi="Arial"/>
          <w:sz w:val="16"/>
          <w:szCs w:val="16"/>
          <w:color w:val="auto"/>
        </w:rPr>
        <w:t>M.B.A., Harvard Business School</w:t>
      </w:r>
    </w:p>
    <w:p>
      <w:pPr>
        <w:spacing w:after="0" w:line="200" w:lineRule="exact"/>
        <w:rPr>
          <w:sz w:val="20"/>
          <w:szCs w:val="20"/>
          <w:color w:val="auto"/>
        </w:rPr>
      </w:pPr>
    </w:p>
    <w:p>
      <w:pPr>
        <w:sectPr>
          <w:pgSz w:w="11900" w:h="16838" w:orient="portrait"/>
          <w:cols w:equalWidth="0" w:num="3">
            <w:col w:w="1760" w:space="460"/>
            <w:col w:w="4120" w:space="600"/>
            <w:col w:w="4200"/>
          </w:cols>
          <w:pgMar w:left="320" w:top="459"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04876"/>
        </w:rPr>
        <w:t xml:space="preserve">Age: </w:t>
      </w:r>
      <w:r>
        <w:rPr>
          <w:rFonts w:ascii="Arial" w:cs="Arial" w:eastAsia="Arial" w:hAnsi="Arial"/>
          <w:sz w:val="16"/>
          <w:szCs w:val="16"/>
          <w:color w:val="000000"/>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-1064895</wp:posOffset>
            </wp:positionV>
            <wp:extent cx="779780" cy="9601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79780" cy="960120"/>
                    </a:xfrm>
                    <a:prstGeom prst="rect">
                      <a:avLst/>
                    </a:prstGeom>
                    <a:noFill/>
                  </pic:spPr>
                </pic:pic>
              </a:graphicData>
            </a:graphic>
          </wp:anchor>
        </w:drawing>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04876"/>
        </w:rPr>
        <w:t xml:space="preserve">Director since: </w:t>
      </w:r>
      <w:r>
        <w:rPr>
          <w:rFonts w:ascii="Arial" w:cs="Arial" w:eastAsia="Arial" w:hAnsi="Arial"/>
          <w:sz w:val="16"/>
          <w:szCs w:val="16"/>
          <w:color w:val="000000"/>
        </w:rPr>
        <w:t>2012</w:t>
      </w:r>
    </w:p>
    <w:p>
      <w:pPr>
        <w:spacing w:after="0" w:line="20" w:lineRule="exact"/>
        <w:rPr>
          <w:sz w:val="20"/>
          <w:szCs w:val="20"/>
          <w:color w:val="auto"/>
        </w:rPr>
      </w:pPr>
      <w:r>
        <w:rPr>
          <w:sz w:val="20"/>
          <w:szCs w:val="20"/>
          <w:color w:val="auto"/>
        </w:rPr>
        <w:br w:type="column"/>
      </w:r>
    </w:p>
    <w:p>
      <w:pPr>
        <w:spacing w:after="0" w:line="281" w:lineRule="exact"/>
        <w:rPr>
          <w:sz w:val="20"/>
          <w:szCs w:val="20"/>
          <w:color w:val="auto"/>
        </w:rPr>
      </w:pPr>
    </w:p>
    <w:p>
      <w:pPr>
        <w:spacing w:after="0"/>
        <w:rPr>
          <w:sz w:val="20"/>
          <w:szCs w:val="20"/>
          <w:color w:val="auto"/>
        </w:rPr>
      </w:pPr>
      <w:r>
        <w:rPr>
          <w:rFonts w:ascii="Arial" w:cs="Arial" w:eastAsia="Arial" w:hAnsi="Arial"/>
          <w:sz w:val="43"/>
          <w:szCs w:val="43"/>
          <w:color w:val="004876"/>
        </w:rPr>
        <w:t>Timothy P. Flynn</w:t>
      </w:r>
    </w:p>
    <w:p>
      <w:pPr>
        <w:spacing w:after="0" w:line="73" w:lineRule="exact"/>
        <w:rPr>
          <w:sz w:val="20"/>
          <w:szCs w:val="20"/>
          <w:color w:val="auto"/>
        </w:rPr>
      </w:pPr>
    </w:p>
    <w:p>
      <w:pPr>
        <w:spacing w:after="0"/>
        <w:rPr>
          <w:sz w:val="20"/>
          <w:szCs w:val="20"/>
          <w:color w:val="auto"/>
        </w:rPr>
      </w:pPr>
      <w:r>
        <w:rPr>
          <w:rFonts w:ascii="Arial" w:cs="Arial" w:eastAsia="Arial" w:hAnsi="Arial"/>
          <w:sz w:val="22"/>
          <w:szCs w:val="22"/>
          <w:i w:val="1"/>
          <w:iCs w:val="1"/>
          <w:color w:val="004876"/>
        </w:rPr>
        <w:t>Retired Chairman and Chief Executive Officer of KPMG</w:t>
      </w:r>
    </w:p>
    <w:p>
      <w:pPr>
        <w:spacing w:after="0" w:line="200" w:lineRule="exact"/>
        <w:rPr>
          <w:sz w:val="20"/>
          <w:szCs w:val="20"/>
          <w:color w:val="auto"/>
        </w:rPr>
      </w:pPr>
    </w:p>
    <w:p>
      <w:pPr>
        <w:spacing w:after="0" w:line="293" w:lineRule="exact"/>
        <w:rPr>
          <w:sz w:val="20"/>
          <w:szCs w:val="20"/>
          <w:color w:val="auto"/>
        </w:rPr>
      </w:pPr>
    </w:p>
    <w:p>
      <w:pPr>
        <w:ind w:right="500"/>
        <w:spacing w:after="0" w:line="253" w:lineRule="auto"/>
        <w:rPr>
          <w:sz w:val="20"/>
          <w:szCs w:val="20"/>
          <w:color w:val="auto"/>
        </w:rPr>
      </w:pPr>
      <w:r>
        <w:rPr>
          <w:rFonts w:ascii="Arial" w:cs="Arial" w:eastAsia="Arial" w:hAnsi="Arial"/>
          <w:sz w:val="16"/>
          <w:szCs w:val="16"/>
          <w:color w:val="auto"/>
        </w:rPr>
        <w:t>Through his leadership positions at KPMG, Mr. Flynn gained perspective on the evolving business and regulatory environment, expertise in many of the issues facing complex, global companies, and extensive experience in financial services, auditing matters and risk management.</w:t>
      </w:r>
    </w:p>
    <w:p>
      <w:pPr>
        <w:spacing w:after="0" w:line="181" w:lineRule="exact"/>
        <w:rPr>
          <w:sz w:val="20"/>
          <w:szCs w:val="20"/>
          <w:color w:val="auto"/>
        </w:rPr>
      </w:pPr>
    </w:p>
    <w:p>
      <w:pPr>
        <w:sectPr>
          <w:pgSz w:w="11900" w:h="16838" w:orient="portrait"/>
          <w:cols w:equalWidth="0" w:num="2">
            <w:col w:w="1660" w:space="560"/>
            <w:col w:w="8920"/>
          </w:cols>
          <w:pgMar w:left="320" w:top="459" w:right="439" w:bottom="1440" w:gutter="0" w:footer="0" w:header="0"/>
          <w:type w:val="continuous"/>
        </w:sectPr>
      </w:pPr>
    </w:p>
    <w:p>
      <w:pPr>
        <w:ind w:left="120"/>
        <w:spacing w:after="0"/>
        <w:rPr>
          <w:sz w:val="20"/>
          <w:szCs w:val="20"/>
          <w:color w:val="auto"/>
        </w:rPr>
      </w:pPr>
      <w:r>
        <w:rPr>
          <w:rFonts w:ascii="Arial" w:cs="Arial" w:eastAsia="Arial" w:hAnsi="Arial"/>
          <w:sz w:val="16"/>
          <w:szCs w:val="16"/>
          <w:b w:val="1"/>
          <w:bCs w:val="1"/>
          <w:color w:val="004876"/>
        </w:rPr>
        <w:t>Committees:</w:t>
      </w:r>
    </w:p>
    <w:p>
      <w:pPr>
        <w:spacing w:after="0" w:line="25" w:lineRule="exact"/>
        <w:rPr>
          <w:sz w:val="20"/>
          <w:szCs w:val="20"/>
          <w:color w:val="auto"/>
        </w:rPr>
      </w:pPr>
    </w:p>
    <w:p>
      <w:pPr>
        <w:ind w:left="120" w:right="160"/>
        <w:spacing w:after="0" w:line="260" w:lineRule="auto"/>
        <w:rPr>
          <w:sz w:val="20"/>
          <w:szCs w:val="20"/>
          <w:color w:val="auto"/>
        </w:rPr>
      </w:pPr>
      <w:r>
        <w:rPr>
          <w:rFonts w:ascii="Arial" w:cs="Arial" w:eastAsia="Arial" w:hAnsi="Arial"/>
          <w:sz w:val="16"/>
          <w:szCs w:val="16"/>
          <w:color w:val="auto"/>
        </w:rPr>
        <w:t>Public Responsibility Committee (Chair)</w:t>
      </w:r>
    </w:p>
    <w:p>
      <w:pPr>
        <w:spacing w:after="0" w:line="2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Audit Committee</w:t>
      </w:r>
    </w:p>
    <w:p>
      <w:pPr>
        <w:spacing w:after="0" w:line="66" w:lineRule="exact"/>
        <w:rPr>
          <w:sz w:val="20"/>
          <w:szCs w:val="20"/>
          <w:color w:val="auto"/>
        </w:rPr>
      </w:pPr>
    </w:p>
    <w:p>
      <w:pPr>
        <w:ind w:left="120"/>
        <w:spacing w:after="0" w:line="259" w:lineRule="auto"/>
        <w:rPr>
          <w:sz w:val="20"/>
          <w:szCs w:val="20"/>
          <w:color w:val="auto"/>
        </w:rPr>
      </w:pPr>
      <w:r>
        <w:rPr>
          <w:rFonts w:ascii="Arial" w:cs="Arial" w:eastAsia="Arial" w:hAnsi="Arial"/>
          <w:sz w:val="16"/>
          <w:szCs w:val="16"/>
          <w:b w:val="1"/>
          <w:bCs w:val="1"/>
          <w:color w:val="004876"/>
        </w:rPr>
        <w:t>Director Qualification Highlights: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Financial services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Financial and</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accounting</w:t>
      </w:r>
    </w:p>
    <w:p>
      <w:pPr>
        <w:spacing w:after="0" w:line="46" w:lineRule="exact"/>
        <w:rPr>
          <w:sz w:val="20"/>
          <w:szCs w:val="20"/>
          <w:color w:val="auto"/>
        </w:rPr>
      </w:pPr>
    </w:p>
    <w:p>
      <w:pPr>
        <w:ind w:left="120" w:right="80"/>
        <w:spacing w:after="0" w:line="260" w:lineRule="auto"/>
        <w:rPr>
          <w:sz w:val="20"/>
          <w:szCs w:val="20"/>
          <w:color w:val="auto"/>
        </w:rPr>
      </w:pPr>
      <w:r>
        <w:rPr>
          <w:rFonts w:ascii="Arial" w:cs="Arial" w:eastAsia="Arial" w:hAnsi="Arial"/>
          <w:sz w:val="16"/>
          <w:szCs w:val="16"/>
          <w:color w:val="auto"/>
        </w:rPr>
        <w:t>Leadership of a large, complex organization</w:t>
      </w:r>
    </w:p>
    <w:p>
      <w:pPr>
        <w:spacing w:after="0" w:line="20" w:lineRule="exact"/>
        <w:rPr>
          <w:sz w:val="20"/>
          <w:szCs w:val="20"/>
          <w:color w:val="auto"/>
        </w:rPr>
      </w:pPr>
    </w:p>
    <w:p>
      <w:pPr>
        <w:ind w:left="120" w:right="20"/>
        <w:spacing w:after="0" w:line="260" w:lineRule="auto"/>
        <w:rPr>
          <w:sz w:val="20"/>
          <w:szCs w:val="20"/>
          <w:color w:val="auto"/>
        </w:rPr>
      </w:pPr>
      <w:r>
        <w:rPr>
          <w:rFonts w:ascii="Arial" w:cs="Arial" w:eastAsia="Arial" w:hAnsi="Arial"/>
          <w:sz w:val="16"/>
          <w:szCs w:val="16"/>
          <w:color w:val="auto"/>
        </w:rPr>
        <w:t>Risk management and controls</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004876"/>
        </w:rPr>
        <w:t>Career Highlights</w:t>
      </w:r>
    </w:p>
    <w:p>
      <w:pPr>
        <w:spacing w:after="0" w:line="25" w:lineRule="exact"/>
        <w:rPr>
          <w:sz w:val="20"/>
          <w:szCs w:val="20"/>
          <w:color w:val="auto"/>
        </w:rPr>
      </w:pPr>
    </w:p>
    <w:p>
      <w:pPr>
        <w:ind w:right="340"/>
        <w:spacing w:after="0" w:line="260" w:lineRule="auto"/>
        <w:rPr>
          <w:sz w:val="20"/>
          <w:szCs w:val="20"/>
          <w:color w:val="auto"/>
        </w:rPr>
      </w:pPr>
      <w:r>
        <w:rPr>
          <w:rFonts w:ascii="Arial" w:cs="Arial" w:eastAsia="Arial" w:hAnsi="Arial"/>
          <w:sz w:val="16"/>
          <w:szCs w:val="16"/>
          <w:color w:val="auto"/>
        </w:rPr>
        <w:t>KPMG International, a global professional services organization providing audit, tax and advisory services</w:t>
      </w:r>
    </w:p>
    <w:p>
      <w:pPr>
        <w:spacing w:after="0" w:line="20" w:lineRule="exact"/>
        <w:rPr>
          <w:sz w:val="20"/>
          <w:szCs w:val="20"/>
          <w:color w:val="auto"/>
        </w:rPr>
      </w:pPr>
    </w:p>
    <w:p>
      <w:pPr>
        <w:ind w:left="140" w:hanging="138"/>
        <w:spacing w:after="0"/>
        <w:tabs>
          <w:tab w:leader="none" w:pos="140" w:val="left"/>
        </w:tabs>
        <w:numPr>
          <w:ilvl w:val="0"/>
          <w:numId w:val="48"/>
        </w:numPr>
        <w:rPr>
          <w:rFonts w:ascii="Arial" w:cs="Arial" w:eastAsia="Arial" w:hAnsi="Arial"/>
          <w:sz w:val="16"/>
          <w:szCs w:val="16"/>
          <w:color w:val="004876"/>
        </w:rPr>
      </w:pPr>
      <w:r>
        <w:rPr>
          <w:rFonts w:ascii="Arial" w:cs="Arial" w:eastAsia="Arial" w:hAnsi="Arial"/>
          <w:sz w:val="16"/>
          <w:szCs w:val="16"/>
          <w:color w:val="auto"/>
        </w:rPr>
        <w:t>Chairman, KPMG International (2007–2011)</w:t>
      </w:r>
    </w:p>
    <w:p>
      <w:pPr>
        <w:spacing w:after="0" w:line="45" w:lineRule="exact"/>
        <w:rPr>
          <w:rFonts w:ascii="Arial" w:cs="Arial" w:eastAsia="Arial" w:hAnsi="Arial"/>
          <w:sz w:val="16"/>
          <w:szCs w:val="16"/>
          <w:color w:val="004876"/>
        </w:rPr>
      </w:pPr>
    </w:p>
    <w:p>
      <w:pPr>
        <w:ind w:left="140" w:hanging="138"/>
        <w:spacing w:after="0"/>
        <w:tabs>
          <w:tab w:leader="none" w:pos="140" w:val="left"/>
        </w:tabs>
        <w:numPr>
          <w:ilvl w:val="0"/>
          <w:numId w:val="48"/>
        </w:numPr>
        <w:rPr>
          <w:rFonts w:ascii="Arial" w:cs="Arial" w:eastAsia="Arial" w:hAnsi="Arial"/>
          <w:sz w:val="16"/>
          <w:szCs w:val="16"/>
          <w:color w:val="004876"/>
        </w:rPr>
      </w:pPr>
      <w:r>
        <w:rPr>
          <w:rFonts w:ascii="Arial" w:cs="Arial" w:eastAsia="Arial" w:hAnsi="Arial"/>
          <w:sz w:val="16"/>
          <w:szCs w:val="16"/>
          <w:color w:val="auto"/>
        </w:rPr>
        <w:t>Chairman, KPMG LLP (2005–2010)</w:t>
      </w:r>
    </w:p>
    <w:p>
      <w:pPr>
        <w:spacing w:after="0" w:line="45" w:lineRule="exact"/>
        <w:rPr>
          <w:rFonts w:ascii="Arial" w:cs="Arial" w:eastAsia="Arial" w:hAnsi="Arial"/>
          <w:sz w:val="16"/>
          <w:szCs w:val="16"/>
          <w:color w:val="004876"/>
        </w:rPr>
      </w:pPr>
    </w:p>
    <w:p>
      <w:pPr>
        <w:ind w:left="140" w:hanging="138"/>
        <w:spacing w:after="0"/>
        <w:tabs>
          <w:tab w:leader="none" w:pos="140" w:val="left"/>
        </w:tabs>
        <w:numPr>
          <w:ilvl w:val="0"/>
          <w:numId w:val="48"/>
        </w:numPr>
        <w:rPr>
          <w:rFonts w:ascii="Arial" w:cs="Arial" w:eastAsia="Arial" w:hAnsi="Arial"/>
          <w:sz w:val="16"/>
          <w:szCs w:val="16"/>
          <w:color w:val="004876"/>
        </w:rPr>
      </w:pPr>
      <w:r>
        <w:rPr>
          <w:rFonts w:ascii="Arial" w:cs="Arial" w:eastAsia="Arial" w:hAnsi="Arial"/>
          <w:sz w:val="16"/>
          <w:szCs w:val="16"/>
          <w:color w:val="auto"/>
        </w:rPr>
        <w:t>Chief Executive Officer, KPMG LLP (2005–2008)</w:t>
      </w:r>
    </w:p>
    <w:p>
      <w:pPr>
        <w:spacing w:after="0" w:line="45" w:lineRule="exact"/>
        <w:rPr>
          <w:rFonts w:ascii="Arial" w:cs="Arial" w:eastAsia="Arial" w:hAnsi="Arial"/>
          <w:sz w:val="16"/>
          <w:szCs w:val="16"/>
          <w:color w:val="004876"/>
        </w:rPr>
      </w:pPr>
    </w:p>
    <w:p>
      <w:pPr>
        <w:ind w:left="140" w:hanging="138"/>
        <w:spacing w:after="0" w:line="260" w:lineRule="auto"/>
        <w:tabs>
          <w:tab w:leader="none" w:pos="134" w:val="left"/>
        </w:tabs>
        <w:numPr>
          <w:ilvl w:val="0"/>
          <w:numId w:val="48"/>
        </w:numPr>
        <w:rPr>
          <w:rFonts w:ascii="Arial" w:cs="Arial" w:eastAsia="Arial" w:hAnsi="Arial"/>
          <w:sz w:val="16"/>
          <w:szCs w:val="16"/>
          <w:color w:val="004876"/>
        </w:rPr>
      </w:pPr>
      <w:r>
        <w:rPr>
          <w:rFonts w:ascii="Arial" w:cs="Arial" w:eastAsia="Arial" w:hAnsi="Arial"/>
          <w:sz w:val="16"/>
          <w:szCs w:val="16"/>
          <w:color w:val="auto"/>
        </w:rPr>
        <w:t>Vice Chairman, Audit and Risk Advisory Services, KPMG LLP (2001–2005)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-1335405</wp:posOffset>
            </wp:positionH>
            <wp:positionV relativeFrom="paragraph">
              <wp:posOffset>1271270</wp:posOffset>
            </wp:positionV>
            <wp:extent cx="7029450" cy="1974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029450" cy="1974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004876"/>
        </w:rPr>
        <w:t>Other Public Company Directorships</w:t>
      </w:r>
    </w:p>
    <w:p>
      <w:pPr>
        <w:spacing w:after="0" w:line="25" w:lineRule="exact"/>
        <w:rPr>
          <w:sz w:val="20"/>
          <w:szCs w:val="20"/>
          <w:color w:val="auto"/>
        </w:rPr>
      </w:pPr>
    </w:p>
    <w:p>
      <w:pPr>
        <w:ind w:left="140" w:hanging="133"/>
        <w:spacing w:after="0"/>
        <w:tabs>
          <w:tab w:leader="none" w:pos="140" w:val="left"/>
        </w:tabs>
        <w:numPr>
          <w:ilvl w:val="0"/>
          <w:numId w:val="49"/>
        </w:numPr>
        <w:rPr>
          <w:rFonts w:ascii="Arial" w:cs="Arial" w:eastAsia="Arial" w:hAnsi="Arial"/>
          <w:sz w:val="16"/>
          <w:szCs w:val="16"/>
          <w:color w:val="004876"/>
        </w:rPr>
      </w:pPr>
      <w:r>
        <w:rPr>
          <w:rFonts w:ascii="Arial" w:cs="Arial" w:eastAsia="Arial" w:hAnsi="Arial"/>
          <w:sz w:val="16"/>
          <w:szCs w:val="16"/>
          <w:color w:val="auto"/>
        </w:rPr>
        <w:t>United Healthcare (since 2017)</w:t>
      </w:r>
    </w:p>
    <w:p>
      <w:pPr>
        <w:spacing w:after="0" w:line="45" w:lineRule="exact"/>
        <w:rPr>
          <w:rFonts w:ascii="Arial" w:cs="Arial" w:eastAsia="Arial" w:hAnsi="Arial"/>
          <w:sz w:val="16"/>
          <w:szCs w:val="16"/>
          <w:color w:val="004876"/>
        </w:rPr>
      </w:pPr>
    </w:p>
    <w:p>
      <w:pPr>
        <w:ind w:left="140" w:hanging="133"/>
        <w:spacing w:after="0"/>
        <w:tabs>
          <w:tab w:leader="none" w:pos="140" w:val="left"/>
        </w:tabs>
        <w:numPr>
          <w:ilvl w:val="0"/>
          <w:numId w:val="49"/>
        </w:numPr>
        <w:rPr>
          <w:rFonts w:ascii="Arial" w:cs="Arial" w:eastAsia="Arial" w:hAnsi="Arial"/>
          <w:sz w:val="16"/>
          <w:szCs w:val="16"/>
          <w:color w:val="004876"/>
        </w:rPr>
      </w:pPr>
      <w:r>
        <w:rPr>
          <w:rFonts w:ascii="Arial" w:cs="Arial" w:eastAsia="Arial" w:hAnsi="Arial"/>
          <w:sz w:val="16"/>
          <w:szCs w:val="16"/>
          <w:color w:val="auto"/>
        </w:rPr>
        <w:t>Alcoa Corporation (since 2016)</w:t>
      </w:r>
    </w:p>
    <w:p>
      <w:pPr>
        <w:spacing w:after="0" w:line="45" w:lineRule="exact"/>
        <w:rPr>
          <w:rFonts w:ascii="Arial" w:cs="Arial" w:eastAsia="Arial" w:hAnsi="Arial"/>
          <w:sz w:val="16"/>
          <w:szCs w:val="16"/>
          <w:color w:val="004876"/>
        </w:rPr>
      </w:pPr>
    </w:p>
    <w:p>
      <w:pPr>
        <w:ind w:left="140" w:hanging="133"/>
        <w:spacing w:after="0"/>
        <w:tabs>
          <w:tab w:leader="none" w:pos="140" w:val="left"/>
        </w:tabs>
        <w:numPr>
          <w:ilvl w:val="0"/>
          <w:numId w:val="49"/>
        </w:numPr>
        <w:rPr>
          <w:rFonts w:ascii="Arial" w:cs="Arial" w:eastAsia="Arial" w:hAnsi="Arial"/>
          <w:sz w:val="16"/>
          <w:szCs w:val="16"/>
          <w:color w:val="004876"/>
        </w:rPr>
      </w:pPr>
      <w:r>
        <w:rPr>
          <w:rFonts w:ascii="Arial" w:cs="Arial" w:eastAsia="Arial" w:hAnsi="Arial"/>
          <w:sz w:val="16"/>
          <w:szCs w:val="16"/>
          <w:color w:val="auto"/>
        </w:rPr>
        <w:t>Wal-Mart Stores, Inc. (since 2012)</w:t>
      </w:r>
    </w:p>
    <w:p>
      <w:pPr>
        <w:spacing w:after="0" w:line="45" w:lineRule="exact"/>
        <w:rPr>
          <w:rFonts w:ascii="Arial" w:cs="Arial" w:eastAsia="Arial" w:hAnsi="Arial"/>
          <w:sz w:val="16"/>
          <w:szCs w:val="16"/>
          <w:color w:val="004876"/>
        </w:rPr>
      </w:pPr>
    </w:p>
    <w:p>
      <w:pPr>
        <w:ind w:left="140" w:hanging="133"/>
        <w:spacing w:after="0"/>
        <w:tabs>
          <w:tab w:leader="none" w:pos="140" w:val="left"/>
        </w:tabs>
        <w:numPr>
          <w:ilvl w:val="0"/>
          <w:numId w:val="49"/>
        </w:numPr>
        <w:rPr>
          <w:rFonts w:ascii="Arial" w:cs="Arial" w:eastAsia="Arial" w:hAnsi="Arial"/>
          <w:sz w:val="16"/>
          <w:szCs w:val="16"/>
          <w:color w:val="004876"/>
        </w:rPr>
      </w:pPr>
      <w:r>
        <w:rPr>
          <w:rFonts w:ascii="Arial" w:cs="Arial" w:eastAsia="Arial" w:hAnsi="Arial"/>
          <w:sz w:val="16"/>
          <w:szCs w:val="16"/>
          <w:color w:val="auto"/>
        </w:rPr>
        <w:t>Chubb Corporation (2013–2016)</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004876"/>
        </w:rPr>
        <w:t>Other Experience</w:t>
      </w:r>
    </w:p>
    <w:p>
      <w:pPr>
        <w:spacing w:after="0" w:line="25" w:lineRule="exact"/>
        <w:rPr>
          <w:sz w:val="20"/>
          <w:szCs w:val="20"/>
          <w:color w:val="auto"/>
        </w:rPr>
      </w:pPr>
    </w:p>
    <w:p>
      <w:pPr>
        <w:ind w:left="160" w:right="640" w:hanging="153"/>
        <w:spacing w:after="0" w:line="260" w:lineRule="auto"/>
        <w:tabs>
          <w:tab w:leader="none" w:pos="154" w:val="left"/>
        </w:tabs>
        <w:numPr>
          <w:ilvl w:val="0"/>
          <w:numId w:val="50"/>
        </w:numPr>
        <w:rPr>
          <w:rFonts w:ascii="Arial" w:cs="Arial" w:eastAsia="Arial" w:hAnsi="Arial"/>
          <w:sz w:val="16"/>
          <w:szCs w:val="16"/>
          <w:color w:val="004876"/>
        </w:rPr>
      </w:pPr>
      <w:r>
        <w:rPr>
          <w:rFonts w:ascii="Arial" w:cs="Arial" w:eastAsia="Arial" w:hAnsi="Arial"/>
          <w:sz w:val="16"/>
          <w:szCs w:val="16"/>
          <w:color w:val="auto"/>
        </w:rPr>
        <w:t>Member of Board of Trustees, The University of St. Thomas</w:t>
      </w:r>
    </w:p>
    <w:p>
      <w:pPr>
        <w:spacing w:after="0" w:line="19" w:lineRule="exact"/>
        <w:rPr>
          <w:rFonts w:ascii="Arial" w:cs="Arial" w:eastAsia="Arial" w:hAnsi="Arial"/>
          <w:sz w:val="16"/>
          <w:szCs w:val="16"/>
          <w:color w:val="004876"/>
        </w:rPr>
      </w:pPr>
    </w:p>
    <w:p>
      <w:pPr>
        <w:ind w:left="140" w:hanging="133"/>
        <w:spacing w:after="0"/>
        <w:tabs>
          <w:tab w:leader="none" w:pos="140" w:val="left"/>
        </w:tabs>
        <w:numPr>
          <w:ilvl w:val="0"/>
          <w:numId w:val="50"/>
        </w:numPr>
        <w:rPr>
          <w:rFonts w:ascii="Arial" w:cs="Arial" w:eastAsia="Arial" w:hAnsi="Arial"/>
          <w:sz w:val="16"/>
          <w:szCs w:val="16"/>
          <w:color w:val="004876"/>
        </w:rPr>
      </w:pPr>
      <w:r>
        <w:rPr>
          <w:rFonts w:ascii="Arial" w:cs="Arial" w:eastAsia="Arial" w:hAnsi="Arial"/>
          <w:sz w:val="16"/>
          <w:szCs w:val="16"/>
          <w:color w:val="auto"/>
        </w:rPr>
        <w:t>Former Trustee, Financial Accounting Standards Board</w:t>
      </w:r>
    </w:p>
    <w:p>
      <w:pPr>
        <w:spacing w:after="0" w:line="45" w:lineRule="exact"/>
        <w:rPr>
          <w:rFonts w:ascii="Arial" w:cs="Arial" w:eastAsia="Arial" w:hAnsi="Arial"/>
          <w:sz w:val="16"/>
          <w:szCs w:val="16"/>
          <w:color w:val="004876"/>
        </w:rPr>
      </w:pPr>
    </w:p>
    <w:p>
      <w:pPr>
        <w:ind w:left="160" w:right="80" w:hanging="153"/>
        <w:spacing w:after="0" w:line="260" w:lineRule="auto"/>
        <w:tabs>
          <w:tab w:leader="none" w:pos="154" w:val="left"/>
        </w:tabs>
        <w:numPr>
          <w:ilvl w:val="0"/>
          <w:numId w:val="50"/>
        </w:numPr>
        <w:rPr>
          <w:rFonts w:ascii="Arial" w:cs="Arial" w:eastAsia="Arial" w:hAnsi="Arial"/>
          <w:sz w:val="16"/>
          <w:szCs w:val="16"/>
          <w:color w:val="004876"/>
        </w:rPr>
      </w:pPr>
      <w:r>
        <w:rPr>
          <w:rFonts w:ascii="Arial" w:cs="Arial" w:eastAsia="Arial" w:hAnsi="Arial"/>
          <w:sz w:val="16"/>
          <w:szCs w:val="16"/>
          <w:color w:val="auto"/>
        </w:rPr>
        <w:t>Former Member, World Economic Forum’s International Business Council</w:t>
      </w:r>
    </w:p>
    <w:p>
      <w:pPr>
        <w:spacing w:after="0" w:line="19" w:lineRule="exact"/>
        <w:rPr>
          <w:rFonts w:ascii="Arial" w:cs="Arial" w:eastAsia="Arial" w:hAnsi="Arial"/>
          <w:sz w:val="16"/>
          <w:szCs w:val="16"/>
          <w:color w:val="004876"/>
        </w:rPr>
      </w:pPr>
    </w:p>
    <w:p>
      <w:pPr>
        <w:ind w:left="160" w:right="660" w:hanging="153"/>
        <w:spacing w:after="0" w:line="260" w:lineRule="auto"/>
        <w:tabs>
          <w:tab w:leader="none" w:pos="154" w:val="left"/>
        </w:tabs>
        <w:numPr>
          <w:ilvl w:val="0"/>
          <w:numId w:val="50"/>
        </w:numPr>
        <w:rPr>
          <w:rFonts w:ascii="Arial" w:cs="Arial" w:eastAsia="Arial" w:hAnsi="Arial"/>
          <w:sz w:val="16"/>
          <w:szCs w:val="16"/>
          <w:color w:val="004876"/>
        </w:rPr>
      </w:pPr>
      <w:r>
        <w:rPr>
          <w:rFonts w:ascii="Arial" w:cs="Arial" w:eastAsia="Arial" w:hAnsi="Arial"/>
          <w:sz w:val="16"/>
          <w:szCs w:val="16"/>
          <w:color w:val="auto"/>
        </w:rPr>
        <w:t>Former Board Member, International Integrated Reporting Council</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b w:val="1"/>
          <w:bCs w:val="1"/>
          <w:color w:val="004876"/>
        </w:rPr>
        <w:t>Education</w:t>
      </w:r>
    </w:p>
    <w:p>
      <w:pPr>
        <w:spacing w:after="0" w:line="25" w:lineRule="exact"/>
        <w:rPr>
          <w:sz w:val="20"/>
          <w:szCs w:val="20"/>
          <w:color w:val="auto"/>
        </w:rPr>
      </w:pPr>
    </w:p>
    <w:p>
      <w:pPr>
        <w:ind w:left="140" w:hanging="133"/>
        <w:spacing w:after="0"/>
        <w:tabs>
          <w:tab w:leader="none" w:pos="140" w:val="left"/>
        </w:tabs>
        <w:numPr>
          <w:ilvl w:val="0"/>
          <w:numId w:val="51"/>
        </w:numPr>
        <w:rPr>
          <w:rFonts w:ascii="Arial" w:cs="Arial" w:eastAsia="Arial" w:hAnsi="Arial"/>
          <w:sz w:val="16"/>
          <w:szCs w:val="16"/>
          <w:color w:val="004876"/>
        </w:rPr>
      </w:pPr>
      <w:r>
        <w:rPr>
          <w:rFonts w:ascii="Arial" w:cs="Arial" w:eastAsia="Arial" w:hAnsi="Arial"/>
          <w:sz w:val="16"/>
          <w:szCs w:val="16"/>
          <w:color w:val="auto"/>
        </w:rPr>
        <w:t>Graduate of The University of St. Thomas</w:t>
      </w:r>
    </w:p>
    <w:p>
      <w:pPr>
        <w:spacing w:after="0" w:line="200" w:lineRule="exact"/>
        <w:rPr>
          <w:sz w:val="20"/>
          <w:szCs w:val="20"/>
          <w:color w:val="auto"/>
        </w:rPr>
      </w:pPr>
    </w:p>
    <w:p>
      <w:pPr>
        <w:sectPr>
          <w:pgSz w:w="11900" w:h="16838" w:orient="portrait"/>
          <w:cols w:equalWidth="0" w:num="3">
            <w:col w:w="1760" w:space="460"/>
            <w:col w:w="4240" w:space="480"/>
            <w:col w:w="4200"/>
          </w:cols>
          <w:pgMar w:left="320" w:top="459" w:right="439" w:bottom="1440" w:gutter="0" w:footer="0" w:header="0"/>
          <w:type w:val="continuous"/>
        </w:sectPr>
      </w:pPr>
    </w:p>
    <w:p>
      <w:pPr>
        <w:spacing w:after="0" w:line="286" w:lineRule="exact"/>
        <w:rPr>
          <w:sz w:val="20"/>
          <w:szCs w:val="20"/>
          <w:color w:val="auto"/>
        </w:rPr>
      </w:pPr>
    </w:p>
    <w:p>
      <w:pPr>
        <w:jc w:val="center"/>
        <w:ind w:right="-99"/>
        <w:spacing w:after="0"/>
        <w:rPr>
          <w:sz w:val="20"/>
          <w:szCs w:val="20"/>
          <w:color w:val="auto"/>
        </w:rPr>
      </w:pPr>
      <w:r>
        <w:rPr>
          <w:rFonts w:ascii="Arial" w:cs="Arial" w:eastAsia="Arial" w:hAnsi="Arial"/>
          <w:sz w:val="13"/>
          <w:szCs w:val="13"/>
          <w:b w:val="1"/>
          <w:bCs w:val="1"/>
          <w:color w:val="004876"/>
        </w:rPr>
        <w:t>16</w:t>
      </w:r>
    </w:p>
    <w:p>
      <w:pPr>
        <w:sectPr>
          <w:pgSz w:w="11900" w:h="16838" w:orient="portrait"/>
          <w:cols w:equalWidth="0" w:num="1">
            <w:col w:w="11140"/>
          </w:cols>
          <w:pgMar w:left="320" w:top="459" w:right="43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04876"/>
        </w:rPr>
        <w:t>CORPORATE GOVERNANCE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160655</wp:posOffset>
            </wp:positionV>
            <wp:extent cx="7029450" cy="40551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029450" cy="4055110"/>
                    </a:xfrm>
                    <a:prstGeom prst="rect">
                      <a:avLst/>
                    </a:prstGeom>
                    <a:noFill/>
                  </pic:spPr>
                </pic:pic>
              </a:graphicData>
            </a:graphic>
          </wp:anchor>
        </w:drawing>
      </w:r>
    </w:p>
    <w:p>
      <w:pPr>
        <w:sectPr>
          <w:pgSz w:w="11900" w:h="16838" w:orient="portrait"/>
          <w:cols w:equalWidth="0" w:num="1">
            <w:col w:w="11120"/>
          </w:cols>
          <w:pgMar w:left="320" w:top="459"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04876"/>
        </w:rPr>
        <w:t xml:space="preserve">Age: </w:t>
      </w:r>
      <w:r>
        <w:rPr>
          <w:rFonts w:ascii="Arial" w:cs="Arial" w:eastAsia="Arial" w:hAnsi="Arial"/>
          <w:sz w:val="16"/>
          <w:szCs w:val="16"/>
          <w:color w:val="000000"/>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-1064895</wp:posOffset>
            </wp:positionV>
            <wp:extent cx="779780" cy="9601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clrChange>
                        <a:clrFrom>
                          <a:srgbClr val="000000"/>
                        </a:clrFrom>
                        <a:clrTo>
                          <a:srgbClr val="000000">
                            <a:alpha val="0"/>
                          </a:srgbClr>
                        </a:clrTo>
                      </a:clrChange>
                      <a:extLst>
                        <a:ext uri="{28A0092B-C50C-407E-A947-70E740481C1C}"/>
                      </a:extLst>
                    </a:blip>
                    <a:srcRect/>
                    <a:stretch>
                      <a:fillRect/>
                    </a:stretch>
                  </pic:blipFill>
                  <pic:spPr bwMode="auto">
                    <a:xfrm>
                      <a:off x="0" y="0"/>
                      <a:ext cx="779780" cy="96012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-1064895</wp:posOffset>
            </wp:positionV>
            <wp:extent cx="779780" cy="9601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clrChange>
                        <a:clrFrom>
                          <a:srgbClr val="FFFFFF"/>
                        </a:clrFrom>
                        <a:clrTo>
                          <a:srgbClr val="FFFFFF">
                            <a:alpha val="0"/>
                          </a:srgbClr>
                        </a:clrTo>
                      </a:clrChange>
                      <a:extLst>
                        <a:ext uri="{28A0092B-C50C-407E-A947-70E740481C1C}"/>
                      </a:extLst>
                    </a:blip>
                    <a:srcRect/>
                    <a:stretch>
                      <a:fillRect/>
                    </a:stretch>
                  </pic:blipFill>
                  <pic:spPr bwMode="auto">
                    <a:xfrm>
                      <a:off x="0" y="0"/>
                      <a:ext cx="779780" cy="960120"/>
                    </a:xfrm>
                    <a:prstGeom prst="rect">
                      <a:avLst/>
                    </a:prstGeom>
                    <a:noFill/>
                  </pic:spPr>
                </pic:pic>
              </a:graphicData>
            </a:graphic>
          </wp:anchor>
        </w:drawing>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04876"/>
        </w:rPr>
        <w:t xml:space="preserve">Director since: </w:t>
      </w:r>
      <w:r>
        <w:rPr>
          <w:rFonts w:ascii="Arial" w:cs="Arial" w:eastAsia="Arial" w:hAnsi="Arial"/>
          <w:sz w:val="16"/>
          <w:szCs w:val="16"/>
          <w:color w:val="000000"/>
        </w:rPr>
        <w:t>2018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43"/>
          <w:szCs w:val="43"/>
          <w:color w:val="004876"/>
        </w:rPr>
        <w:t>Mellody Hobson</w:t>
      </w:r>
    </w:p>
    <w:p>
      <w:pPr>
        <w:spacing w:after="0" w:line="100" w:lineRule="exact"/>
        <w:rPr>
          <w:sz w:val="20"/>
          <w:szCs w:val="20"/>
          <w:color w:val="auto"/>
        </w:rPr>
      </w:pPr>
    </w:p>
    <w:p>
      <w:pPr>
        <w:spacing w:after="0"/>
        <w:rPr>
          <w:sz w:val="20"/>
          <w:szCs w:val="20"/>
          <w:color w:val="auto"/>
        </w:rPr>
      </w:pPr>
      <w:r>
        <w:rPr>
          <w:rFonts w:ascii="Arial" w:cs="Arial" w:eastAsia="Arial" w:hAnsi="Arial"/>
          <w:sz w:val="22"/>
          <w:szCs w:val="22"/>
          <w:i w:val="1"/>
          <w:iCs w:val="1"/>
          <w:color w:val="004876"/>
        </w:rPr>
        <w:t>Co-CEO and President of Ariel Investments, LLC</w:t>
      </w:r>
    </w:p>
    <w:p>
      <w:pPr>
        <w:spacing w:after="0" w:line="200" w:lineRule="exact"/>
        <w:rPr>
          <w:sz w:val="20"/>
          <w:szCs w:val="20"/>
          <w:color w:val="auto"/>
        </w:rPr>
      </w:pPr>
    </w:p>
    <w:p>
      <w:pPr>
        <w:spacing w:after="0" w:line="320" w:lineRule="exact"/>
        <w:rPr>
          <w:sz w:val="20"/>
          <w:szCs w:val="20"/>
          <w:color w:val="auto"/>
        </w:rPr>
      </w:pPr>
    </w:p>
    <w:p>
      <w:pPr>
        <w:jc w:val="both"/>
        <w:ind w:right="400"/>
        <w:spacing w:after="0" w:line="253" w:lineRule="auto"/>
        <w:rPr>
          <w:sz w:val="20"/>
          <w:szCs w:val="20"/>
          <w:color w:val="auto"/>
        </w:rPr>
      </w:pPr>
      <w:r>
        <w:rPr>
          <w:rFonts w:ascii="Arial" w:cs="Arial" w:eastAsia="Arial" w:hAnsi="Arial"/>
          <w:sz w:val="16"/>
          <w:szCs w:val="16"/>
          <w:color w:val="auto"/>
        </w:rPr>
        <w:t>Ms. Hobson’s roles at Ariel Investments, LLC, as well as on public company boards, have provided her with significant experience in financial services and financial markets, corporate governance, strategic planning, operations, regulatory issues and international business.</w:t>
      </w:r>
    </w:p>
    <w:p>
      <w:pPr>
        <w:spacing w:after="0" w:line="127" w:lineRule="exact"/>
        <w:rPr>
          <w:sz w:val="20"/>
          <w:szCs w:val="20"/>
          <w:color w:val="auto"/>
        </w:rPr>
      </w:pPr>
    </w:p>
    <w:p>
      <w:pPr>
        <w:sectPr>
          <w:pgSz w:w="11900" w:h="16838" w:orient="portrait"/>
          <w:cols w:equalWidth="0" w:num="2">
            <w:col w:w="1660" w:space="560"/>
            <w:col w:w="8900"/>
          </w:cols>
          <w:pgMar w:left="320" w:top="459" w:right="459" w:bottom="1440" w:gutter="0" w:footer="0" w:header="0"/>
          <w:type w:val="continuous"/>
        </w:sectPr>
      </w:pPr>
    </w:p>
    <w:p>
      <w:pPr>
        <w:ind w:left="120"/>
        <w:spacing w:after="0"/>
        <w:rPr>
          <w:sz w:val="20"/>
          <w:szCs w:val="20"/>
          <w:color w:val="auto"/>
        </w:rPr>
      </w:pPr>
      <w:r>
        <w:rPr>
          <w:rFonts w:ascii="Arial" w:cs="Arial" w:eastAsia="Arial" w:hAnsi="Arial"/>
          <w:sz w:val="16"/>
          <w:szCs w:val="16"/>
          <w:b w:val="1"/>
          <w:bCs w:val="1"/>
          <w:color w:val="004876"/>
        </w:rPr>
        <w:t>Committees:</w:t>
      </w:r>
    </w:p>
    <w:p>
      <w:pPr>
        <w:spacing w:after="0" w:line="25" w:lineRule="exact"/>
        <w:rPr>
          <w:sz w:val="20"/>
          <w:szCs w:val="20"/>
          <w:color w:val="auto"/>
        </w:rPr>
      </w:pPr>
    </w:p>
    <w:p>
      <w:pPr>
        <w:ind w:left="120" w:right="160"/>
        <w:spacing w:after="0" w:line="260" w:lineRule="auto"/>
        <w:rPr>
          <w:sz w:val="20"/>
          <w:szCs w:val="20"/>
          <w:color w:val="auto"/>
        </w:rPr>
      </w:pPr>
      <w:r>
        <w:rPr>
          <w:rFonts w:ascii="Arial" w:cs="Arial" w:eastAsia="Arial" w:hAnsi="Arial"/>
          <w:sz w:val="16"/>
          <w:szCs w:val="16"/>
          <w:color w:val="auto"/>
        </w:rPr>
        <w:t>Public Responsibility Committee</w:t>
      </w:r>
    </w:p>
    <w:p>
      <w:pPr>
        <w:spacing w:after="0" w:line="2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Risk Committee</w:t>
      </w:r>
    </w:p>
    <w:p>
      <w:pPr>
        <w:spacing w:after="0" w:line="66" w:lineRule="exact"/>
        <w:rPr>
          <w:sz w:val="20"/>
          <w:szCs w:val="20"/>
          <w:color w:val="auto"/>
        </w:rPr>
      </w:pPr>
    </w:p>
    <w:p>
      <w:pPr>
        <w:ind w:left="120"/>
        <w:spacing w:after="0" w:line="259" w:lineRule="auto"/>
        <w:rPr>
          <w:sz w:val="20"/>
          <w:szCs w:val="20"/>
          <w:color w:val="auto"/>
        </w:rPr>
      </w:pPr>
      <w:r>
        <w:rPr>
          <w:rFonts w:ascii="Arial" w:cs="Arial" w:eastAsia="Arial" w:hAnsi="Arial"/>
          <w:sz w:val="16"/>
          <w:szCs w:val="16"/>
          <w:b w:val="1"/>
          <w:bCs w:val="1"/>
          <w:color w:val="004876"/>
        </w:rPr>
        <w:t>Director Qualification Highlights: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Financial services</w:t>
      </w:r>
    </w:p>
    <w:p>
      <w:pPr>
        <w:spacing w:after="0" w:line="46" w:lineRule="exact"/>
        <w:rPr>
          <w:sz w:val="20"/>
          <w:szCs w:val="20"/>
          <w:color w:val="auto"/>
        </w:rPr>
      </w:pPr>
    </w:p>
    <w:p>
      <w:pPr>
        <w:ind w:left="120" w:right="180"/>
        <w:spacing w:after="0" w:line="253" w:lineRule="auto"/>
        <w:rPr>
          <w:sz w:val="20"/>
          <w:szCs w:val="20"/>
          <w:color w:val="auto"/>
        </w:rPr>
      </w:pPr>
      <w:r>
        <w:rPr>
          <w:rFonts w:ascii="Arial" w:cs="Arial" w:eastAsia="Arial" w:hAnsi="Arial"/>
          <w:sz w:val="16"/>
          <w:szCs w:val="16"/>
          <w:color w:val="auto"/>
        </w:rPr>
        <w:t>Management development and succession planning</w:t>
      </w:r>
    </w:p>
    <w:p>
      <w:pPr>
        <w:spacing w:after="0" w:line="26" w:lineRule="exact"/>
        <w:rPr>
          <w:sz w:val="20"/>
          <w:szCs w:val="20"/>
          <w:color w:val="auto"/>
        </w:rPr>
      </w:pPr>
    </w:p>
    <w:p>
      <w:pPr>
        <w:ind w:left="120" w:right="100"/>
        <w:spacing w:after="0" w:line="260" w:lineRule="auto"/>
        <w:rPr>
          <w:sz w:val="20"/>
          <w:szCs w:val="20"/>
          <w:color w:val="auto"/>
        </w:rPr>
      </w:pPr>
      <w:r>
        <w:rPr>
          <w:rFonts w:ascii="Arial" w:cs="Arial" w:eastAsia="Arial" w:hAnsi="Arial"/>
          <w:sz w:val="16"/>
          <w:szCs w:val="16"/>
          <w:color w:val="auto"/>
        </w:rPr>
        <w:t>Regulated industries and regulatory issues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722630</wp:posOffset>
            </wp:positionV>
            <wp:extent cx="779780" cy="9601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79780" cy="9601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004876"/>
        </w:rPr>
        <w:t>Career Highlights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Ariel Investments, LLC, an investment management firm</w:t>
      </w:r>
    </w:p>
    <w:p>
      <w:pPr>
        <w:spacing w:after="0" w:line="46" w:lineRule="exact"/>
        <w:rPr>
          <w:sz w:val="20"/>
          <w:szCs w:val="20"/>
          <w:color w:val="auto"/>
        </w:rPr>
      </w:pPr>
    </w:p>
    <w:p>
      <w:pPr>
        <w:ind w:left="140" w:hanging="138"/>
        <w:spacing w:after="0"/>
        <w:tabs>
          <w:tab w:leader="none" w:pos="140" w:val="left"/>
        </w:tabs>
        <w:numPr>
          <w:ilvl w:val="0"/>
          <w:numId w:val="52"/>
        </w:numPr>
        <w:rPr>
          <w:rFonts w:ascii="Arial" w:cs="Arial" w:eastAsia="Arial" w:hAnsi="Arial"/>
          <w:sz w:val="16"/>
          <w:szCs w:val="16"/>
          <w:color w:val="004876"/>
        </w:rPr>
      </w:pPr>
      <w:r>
        <w:rPr>
          <w:rFonts w:ascii="Arial" w:cs="Arial" w:eastAsia="Arial" w:hAnsi="Arial"/>
          <w:sz w:val="16"/>
          <w:szCs w:val="16"/>
          <w:color w:val="auto"/>
        </w:rPr>
        <w:t>Co-CEO (since 2019)</w:t>
      </w:r>
    </w:p>
    <w:p>
      <w:pPr>
        <w:spacing w:after="0" w:line="45" w:lineRule="exact"/>
        <w:rPr>
          <w:rFonts w:ascii="Arial" w:cs="Arial" w:eastAsia="Arial" w:hAnsi="Arial"/>
          <w:sz w:val="16"/>
          <w:szCs w:val="16"/>
          <w:color w:val="004876"/>
        </w:rPr>
      </w:pPr>
    </w:p>
    <w:p>
      <w:pPr>
        <w:ind w:left="140" w:hanging="138"/>
        <w:spacing w:after="0"/>
        <w:tabs>
          <w:tab w:leader="none" w:pos="140" w:val="left"/>
        </w:tabs>
        <w:numPr>
          <w:ilvl w:val="0"/>
          <w:numId w:val="52"/>
        </w:numPr>
        <w:rPr>
          <w:rFonts w:ascii="Arial" w:cs="Arial" w:eastAsia="Arial" w:hAnsi="Arial"/>
          <w:sz w:val="16"/>
          <w:szCs w:val="16"/>
          <w:color w:val="004876"/>
        </w:rPr>
      </w:pPr>
      <w:r>
        <w:rPr>
          <w:rFonts w:ascii="Arial" w:cs="Arial" w:eastAsia="Arial" w:hAnsi="Arial"/>
          <w:sz w:val="16"/>
          <w:szCs w:val="16"/>
          <w:color w:val="auto"/>
        </w:rPr>
        <w:t>President and Director (since 2000)</w:t>
      </w:r>
    </w:p>
    <w:p>
      <w:pPr>
        <w:spacing w:after="0" w:line="45" w:lineRule="exact"/>
        <w:rPr>
          <w:rFonts w:ascii="Arial" w:cs="Arial" w:eastAsia="Arial" w:hAnsi="Arial"/>
          <w:sz w:val="16"/>
          <w:szCs w:val="16"/>
          <w:color w:val="004876"/>
        </w:rPr>
      </w:pPr>
    </w:p>
    <w:p>
      <w:pPr>
        <w:ind w:left="140" w:right="40" w:hanging="138"/>
        <w:spacing w:after="0" w:line="260" w:lineRule="auto"/>
        <w:tabs>
          <w:tab w:leader="none" w:pos="134" w:val="left"/>
        </w:tabs>
        <w:numPr>
          <w:ilvl w:val="0"/>
          <w:numId w:val="52"/>
        </w:numPr>
        <w:rPr>
          <w:rFonts w:ascii="Arial" w:cs="Arial" w:eastAsia="Arial" w:hAnsi="Arial"/>
          <w:sz w:val="16"/>
          <w:szCs w:val="16"/>
          <w:color w:val="004876"/>
        </w:rPr>
      </w:pPr>
      <w:r>
        <w:rPr>
          <w:rFonts w:ascii="Arial" w:cs="Arial" w:eastAsia="Arial" w:hAnsi="Arial"/>
          <w:sz w:val="16"/>
          <w:szCs w:val="16"/>
          <w:color w:val="auto"/>
        </w:rPr>
        <w:t>Chairman of the Board of Trustees of Ariel Investment Trust, a registered investment company (since 2006)</w:t>
      </w:r>
    </w:p>
    <w:p>
      <w:pPr>
        <w:spacing w:after="0" w:line="101"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Regular contributor and analyst on finance, the markets and economic trends for CBS News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1116965</wp:posOffset>
            </wp:positionV>
            <wp:extent cx="8255" cy="29400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255" cy="2940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43"/>
          <w:szCs w:val="43"/>
          <w:color w:val="004876"/>
        </w:rPr>
        <w:t>Michael A. Neal</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004876"/>
        </w:rPr>
        <w:t>Other Public Company Directorships</w:t>
      </w:r>
    </w:p>
    <w:p>
      <w:pPr>
        <w:spacing w:after="0" w:line="25" w:lineRule="exact"/>
        <w:rPr>
          <w:sz w:val="20"/>
          <w:szCs w:val="20"/>
          <w:color w:val="auto"/>
        </w:rPr>
      </w:pPr>
    </w:p>
    <w:p>
      <w:pPr>
        <w:ind w:left="160" w:right="60" w:hanging="153"/>
        <w:spacing w:after="0" w:line="260" w:lineRule="auto"/>
        <w:tabs>
          <w:tab w:leader="none" w:pos="154" w:val="left"/>
        </w:tabs>
        <w:numPr>
          <w:ilvl w:val="0"/>
          <w:numId w:val="53"/>
        </w:numPr>
        <w:rPr>
          <w:rFonts w:ascii="Arial" w:cs="Arial" w:eastAsia="Arial" w:hAnsi="Arial"/>
          <w:sz w:val="16"/>
          <w:szCs w:val="16"/>
          <w:color w:val="004876"/>
        </w:rPr>
      </w:pPr>
      <w:r>
        <w:rPr>
          <w:rFonts w:ascii="Arial" w:cs="Arial" w:eastAsia="Arial" w:hAnsi="Arial"/>
          <w:sz w:val="16"/>
          <w:szCs w:val="16"/>
          <w:color w:val="auto"/>
        </w:rPr>
        <w:t>Starbucks Corporation (since 2005) — Vice Chair since 2018</w:t>
      </w:r>
    </w:p>
    <w:p>
      <w:pPr>
        <w:spacing w:after="0" w:line="19" w:lineRule="exact"/>
        <w:rPr>
          <w:rFonts w:ascii="Arial" w:cs="Arial" w:eastAsia="Arial" w:hAnsi="Arial"/>
          <w:sz w:val="16"/>
          <w:szCs w:val="16"/>
          <w:color w:val="004876"/>
        </w:rPr>
      </w:pPr>
    </w:p>
    <w:p>
      <w:pPr>
        <w:ind w:left="140" w:hanging="133"/>
        <w:spacing w:after="0"/>
        <w:tabs>
          <w:tab w:leader="none" w:pos="140" w:val="left"/>
        </w:tabs>
        <w:numPr>
          <w:ilvl w:val="0"/>
          <w:numId w:val="53"/>
        </w:numPr>
        <w:rPr>
          <w:rFonts w:ascii="Arial" w:cs="Arial" w:eastAsia="Arial" w:hAnsi="Arial"/>
          <w:sz w:val="16"/>
          <w:szCs w:val="16"/>
          <w:color w:val="004876"/>
        </w:rPr>
      </w:pPr>
      <w:r>
        <w:rPr>
          <w:rFonts w:ascii="Arial" w:cs="Arial" w:eastAsia="Arial" w:hAnsi="Arial"/>
          <w:sz w:val="16"/>
          <w:szCs w:val="16"/>
          <w:color w:val="auto"/>
        </w:rPr>
        <w:t>DreamWorks Animation SKG, Inc. (2004–2016)</w:t>
      </w:r>
    </w:p>
    <w:p>
      <w:pPr>
        <w:spacing w:after="0" w:line="45" w:lineRule="exact"/>
        <w:rPr>
          <w:rFonts w:ascii="Arial" w:cs="Arial" w:eastAsia="Arial" w:hAnsi="Arial"/>
          <w:sz w:val="16"/>
          <w:szCs w:val="16"/>
          <w:color w:val="004876"/>
        </w:rPr>
      </w:pPr>
    </w:p>
    <w:p>
      <w:pPr>
        <w:ind w:left="140" w:hanging="133"/>
        <w:spacing w:after="0"/>
        <w:tabs>
          <w:tab w:leader="none" w:pos="140" w:val="left"/>
        </w:tabs>
        <w:numPr>
          <w:ilvl w:val="0"/>
          <w:numId w:val="53"/>
        </w:numPr>
        <w:rPr>
          <w:rFonts w:ascii="Arial" w:cs="Arial" w:eastAsia="Arial" w:hAnsi="Arial"/>
          <w:sz w:val="16"/>
          <w:szCs w:val="16"/>
          <w:color w:val="004876"/>
        </w:rPr>
      </w:pPr>
      <w:r>
        <w:rPr>
          <w:rFonts w:ascii="Arial" w:cs="Arial" w:eastAsia="Arial" w:hAnsi="Arial"/>
          <w:sz w:val="16"/>
          <w:szCs w:val="16"/>
          <w:color w:val="auto"/>
        </w:rPr>
        <w:t>The Estée Lauder Companies Inc. (2005–2018)</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004876"/>
        </w:rPr>
        <w:t>Other Experience</w:t>
      </w:r>
    </w:p>
    <w:p>
      <w:pPr>
        <w:spacing w:after="0" w:line="25" w:lineRule="exact"/>
        <w:rPr>
          <w:sz w:val="20"/>
          <w:szCs w:val="20"/>
          <w:color w:val="auto"/>
        </w:rPr>
      </w:pPr>
    </w:p>
    <w:p>
      <w:pPr>
        <w:ind w:left="140" w:hanging="133"/>
        <w:spacing w:after="0"/>
        <w:tabs>
          <w:tab w:leader="none" w:pos="140" w:val="left"/>
        </w:tabs>
        <w:numPr>
          <w:ilvl w:val="0"/>
          <w:numId w:val="54"/>
        </w:numPr>
        <w:rPr>
          <w:rFonts w:ascii="Arial" w:cs="Arial" w:eastAsia="Arial" w:hAnsi="Arial"/>
          <w:sz w:val="16"/>
          <w:szCs w:val="16"/>
          <w:color w:val="004876"/>
        </w:rPr>
      </w:pPr>
      <w:r>
        <w:rPr>
          <w:rFonts w:ascii="Arial" w:cs="Arial" w:eastAsia="Arial" w:hAnsi="Arial"/>
          <w:sz w:val="16"/>
          <w:szCs w:val="16"/>
          <w:color w:val="auto"/>
        </w:rPr>
        <w:t>Chair, After School Matters</w:t>
      </w:r>
    </w:p>
    <w:p>
      <w:pPr>
        <w:spacing w:after="0" w:line="45" w:lineRule="exact"/>
        <w:rPr>
          <w:rFonts w:ascii="Arial" w:cs="Arial" w:eastAsia="Arial" w:hAnsi="Arial"/>
          <w:sz w:val="16"/>
          <w:szCs w:val="16"/>
          <w:color w:val="004876"/>
        </w:rPr>
      </w:pPr>
    </w:p>
    <w:p>
      <w:pPr>
        <w:ind w:left="160" w:right="580" w:hanging="153"/>
        <w:spacing w:after="0" w:line="260" w:lineRule="auto"/>
        <w:tabs>
          <w:tab w:leader="none" w:pos="154" w:val="left"/>
        </w:tabs>
        <w:numPr>
          <w:ilvl w:val="0"/>
          <w:numId w:val="54"/>
        </w:numPr>
        <w:rPr>
          <w:rFonts w:ascii="Arial" w:cs="Arial" w:eastAsia="Arial" w:hAnsi="Arial"/>
          <w:sz w:val="16"/>
          <w:szCs w:val="16"/>
          <w:color w:val="004876"/>
        </w:rPr>
      </w:pPr>
      <w:r>
        <w:rPr>
          <w:rFonts w:ascii="Arial" w:cs="Arial" w:eastAsia="Arial" w:hAnsi="Arial"/>
          <w:sz w:val="16"/>
          <w:szCs w:val="16"/>
          <w:color w:val="auto"/>
        </w:rPr>
        <w:t>Ex Officio / Former Chair, The Economic Club of Chicago</w:t>
      </w:r>
    </w:p>
    <w:p>
      <w:pPr>
        <w:spacing w:after="0" w:line="19" w:lineRule="exact"/>
        <w:rPr>
          <w:rFonts w:ascii="Arial" w:cs="Arial" w:eastAsia="Arial" w:hAnsi="Arial"/>
          <w:sz w:val="16"/>
          <w:szCs w:val="16"/>
          <w:color w:val="004876"/>
        </w:rPr>
      </w:pPr>
    </w:p>
    <w:p>
      <w:pPr>
        <w:ind w:left="160" w:right="560" w:hanging="153"/>
        <w:spacing w:after="0" w:line="260" w:lineRule="auto"/>
        <w:tabs>
          <w:tab w:leader="none" w:pos="154" w:val="left"/>
        </w:tabs>
        <w:numPr>
          <w:ilvl w:val="0"/>
          <w:numId w:val="54"/>
        </w:numPr>
        <w:rPr>
          <w:rFonts w:ascii="Arial" w:cs="Arial" w:eastAsia="Arial" w:hAnsi="Arial"/>
          <w:sz w:val="16"/>
          <w:szCs w:val="16"/>
          <w:color w:val="004876"/>
        </w:rPr>
      </w:pPr>
      <w:r>
        <w:rPr>
          <w:rFonts w:ascii="Arial" w:cs="Arial" w:eastAsia="Arial" w:hAnsi="Arial"/>
          <w:sz w:val="16"/>
          <w:szCs w:val="16"/>
          <w:color w:val="auto"/>
        </w:rPr>
        <w:t>Executive Committee of the Board of Governors, Investment Company Institute</w:t>
      </w:r>
    </w:p>
    <w:p>
      <w:pPr>
        <w:spacing w:after="0" w:line="19" w:lineRule="exact"/>
        <w:rPr>
          <w:rFonts w:ascii="Arial" w:cs="Arial" w:eastAsia="Arial" w:hAnsi="Arial"/>
          <w:sz w:val="16"/>
          <w:szCs w:val="16"/>
          <w:color w:val="004876"/>
        </w:rPr>
      </w:pPr>
    </w:p>
    <w:p>
      <w:pPr>
        <w:ind w:left="140" w:hanging="133"/>
        <w:spacing w:after="0"/>
        <w:tabs>
          <w:tab w:leader="none" w:pos="140" w:val="left"/>
        </w:tabs>
        <w:numPr>
          <w:ilvl w:val="0"/>
          <w:numId w:val="54"/>
        </w:numPr>
        <w:rPr>
          <w:rFonts w:ascii="Arial" w:cs="Arial" w:eastAsia="Arial" w:hAnsi="Arial"/>
          <w:sz w:val="16"/>
          <w:szCs w:val="16"/>
          <w:color w:val="004876"/>
        </w:rPr>
      </w:pPr>
      <w:r>
        <w:rPr>
          <w:rFonts w:ascii="Arial" w:cs="Arial" w:eastAsia="Arial" w:hAnsi="Arial"/>
          <w:sz w:val="16"/>
          <w:szCs w:val="16"/>
          <w:color w:val="auto"/>
        </w:rPr>
        <w:t>Vice Chair, World Business Chicago</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004876"/>
        </w:rPr>
        <w:t>Education</w:t>
      </w:r>
    </w:p>
    <w:p>
      <w:pPr>
        <w:spacing w:after="0" w:line="25" w:lineRule="exact"/>
        <w:rPr>
          <w:sz w:val="20"/>
          <w:szCs w:val="20"/>
          <w:color w:val="auto"/>
        </w:rPr>
      </w:pPr>
    </w:p>
    <w:p>
      <w:pPr>
        <w:ind w:left="160" w:hanging="153"/>
        <w:spacing w:after="0" w:line="260" w:lineRule="auto"/>
        <w:tabs>
          <w:tab w:leader="none" w:pos="154" w:val="left"/>
        </w:tabs>
        <w:numPr>
          <w:ilvl w:val="0"/>
          <w:numId w:val="55"/>
        </w:numPr>
        <w:rPr>
          <w:rFonts w:ascii="Arial" w:cs="Arial" w:eastAsia="Arial" w:hAnsi="Arial"/>
          <w:sz w:val="16"/>
          <w:szCs w:val="16"/>
          <w:color w:val="004876"/>
        </w:rPr>
      </w:pPr>
      <w:r>
        <w:rPr>
          <w:rFonts w:ascii="Arial" w:cs="Arial" w:eastAsia="Arial" w:hAnsi="Arial"/>
          <w:sz w:val="16"/>
          <w:szCs w:val="16"/>
          <w:color w:val="auto"/>
        </w:rPr>
        <w:t>Graduate of the Woodrow Wilson School of International Relations and Public Policy at Princeton University</w:t>
      </w:r>
    </w:p>
    <w:p>
      <w:pPr>
        <w:spacing w:after="0" w:line="1069" w:lineRule="exact"/>
        <w:rPr>
          <w:sz w:val="20"/>
          <w:szCs w:val="20"/>
          <w:color w:val="auto"/>
        </w:rPr>
      </w:pPr>
    </w:p>
    <w:p>
      <w:pPr>
        <w:sectPr>
          <w:pgSz w:w="11900" w:h="16838" w:orient="portrait"/>
          <w:cols w:equalWidth="0" w:num="3">
            <w:col w:w="1760" w:space="460"/>
            <w:col w:w="4040" w:space="680"/>
            <w:col w:w="4180"/>
          </w:cols>
          <w:pgMar w:left="320" w:top="459"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04876"/>
        </w:rPr>
        <w:t xml:space="preserve">Age: </w:t>
      </w:r>
      <w:r>
        <w:rPr>
          <w:rFonts w:ascii="Arial" w:cs="Arial" w:eastAsia="Arial" w:hAnsi="Arial"/>
          <w:sz w:val="16"/>
          <w:szCs w:val="16"/>
          <w:color w:val="000000"/>
        </w:rPr>
        <w:t>67</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04876"/>
        </w:rPr>
        <w:t xml:space="preserve">Director since: </w:t>
      </w:r>
      <w:r>
        <w:rPr>
          <w:rFonts w:ascii="Arial" w:cs="Arial" w:eastAsia="Arial" w:hAnsi="Arial"/>
          <w:sz w:val="16"/>
          <w:szCs w:val="16"/>
          <w:color w:val="000000"/>
        </w:rPr>
        <w:t>2014</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04876"/>
        </w:rPr>
        <w:t>Committees:</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Risk Committee</w:t>
      </w:r>
    </w:p>
    <w:p>
      <w:pPr>
        <w:spacing w:after="0" w:line="66" w:lineRule="exact"/>
        <w:rPr>
          <w:sz w:val="20"/>
          <w:szCs w:val="20"/>
          <w:color w:val="auto"/>
        </w:rPr>
      </w:pPr>
    </w:p>
    <w:p>
      <w:pPr>
        <w:ind w:left="120"/>
        <w:spacing w:after="0" w:line="259" w:lineRule="auto"/>
        <w:rPr>
          <w:sz w:val="20"/>
          <w:szCs w:val="20"/>
          <w:color w:val="auto"/>
        </w:rPr>
      </w:pPr>
      <w:r>
        <w:rPr>
          <w:rFonts w:ascii="Arial" w:cs="Arial" w:eastAsia="Arial" w:hAnsi="Arial"/>
          <w:sz w:val="16"/>
          <w:szCs w:val="16"/>
          <w:b w:val="1"/>
          <w:bCs w:val="1"/>
          <w:color w:val="004876"/>
        </w:rPr>
        <w:t>Director Qualification Highlights:</w:t>
      </w:r>
    </w:p>
    <w:p>
      <w:pPr>
        <w:spacing w:after="0" w:line="20" w:lineRule="exact"/>
        <w:rPr>
          <w:sz w:val="20"/>
          <w:szCs w:val="20"/>
          <w:color w:val="auto"/>
        </w:rPr>
      </w:pPr>
      <w:r>
        <w:rPr>
          <w:sz w:val="20"/>
          <w:szCs w:val="20"/>
          <w:color w:val="auto"/>
        </w:rPr>
        <w:br w:type="column"/>
      </w:r>
    </w:p>
    <w:p>
      <w:pPr>
        <w:ind w:right="760"/>
        <w:spacing w:after="0" w:line="257" w:lineRule="auto"/>
        <w:rPr>
          <w:sz w:val="20"/>
          <w:szCs w:val="20"/>
          <w:color w:val="auto"/>
        </w:rPr>
      </w:pPr>
      <w:r>
        <w:rPr>
          <w:rFonts w:ascii="Arial" w:cs="Arial" w:eastAsia="Arial" w:hAnsi="Arial"/>
          <w:sz w:val="22"/>
          <w:szCs w:val="22"/>
          <w:i w:val="1"/>
          <w:iCs w:val="1"/>
          <w:color w:val="004876"/>
        </w:rPr>
        <w:t>Retired Vice Chairman of General Electric Company and Retired Chairman and Chief Executive Officer of GE Capital</w:t>
      </w:r>
    </w:p>
    <w:p>
      <w:pPr>
        <w:spacing w:after="0" w:line="200" w:lineRule="exact"/>
        <w:rPr>
          <w:sz w:val="20"/>
          <w:szCs w:val="20"/>
          <w:color w:val="auto"/>
        </w:rPr>
      </w:pPr>
    </w:p>
    <w:p>
      <w:pPr>
        <w:spacing w:after="0" w:line="274"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Mr. Neal has extensive experience managing large, complex businesses in regulated industries around the world. During his career with General Electric and GE Capital, Mr. Neal oversaw the provision of financial services and products to consumers and businesses of all sizes globally. His professional background has provided him with extensive expertise and insight in risk management, strategic planning and operations, finance and financial reporting, government and regulatory relations, and management development and succession planning.</w:t>
      </w:r>
    </w:p>
    <w:p>
      <w:pPr>
        <w:spacing w:after="0" w:line="162" w:lineRule="exact"/>
        <w:rPr>
          <w:sz w:val="20"/>
          <w:szCs w:val="20"/>
          <w:color w:val="auto"/>
        </w:rPr>
      </w:pPr>
    </w:p>
    <w:p>
      <w:pPr>
        <w:sectPr>
          <w:pgSz w:w="11900" w:h="16838" w:orient="portrait"/>
          <w:cols w:equalWidth="0" w:num="2">
            <w:col w:w="1760" w:space="460"/>
            <w:col w:w="8900"/>
          </w:cols>
          <w:pgMar w:left="320" w:top="459" w:right="459" w:bottom="1440" w:gutter="0" w:footer="0" w:header="0"/>
          <w:type w:val="continuous"/>
        </w:sectPr>
      </w:pPr>
    </w:p>
    <w:p>
      <w:pPr>
        <w:ind w:left="120"/>
        <w:spacing w:after="0"/>
        <w:rPr>
          <w:sz w:val="20"/>
          <w:szCs w:val="20"/>
          <w:color w:val="auto"/>
        </w:rPr>
      </w:pPr>
      <w:r>
        <w:rPr>
          <w:rFonts w:ascii="Arial" w:cs="Arial" w:eastAsia="Arial" w:hAnsi="Arial"/>
          <w:sz w:val="16"/>
          <w:szCs w:val="16"/>
          <w:color w:val="auto"/>
        </w:rPr>
        <w:t>Financial services</w:t>
      </w:r>
    </w:p>
    <w:p>
      <w:pPr>
        <w:spacing w:after="0" w:line="46" w:lineRule="exact"/>
        <w:rPr>
          <w:sz w:val="20"/>
          <w:szCs w:val="20"/>
          <w:color w:val="auto"/>
        </w:rPr>
      </w:pPr>
    </w:p>
    <w:p>
      <w:pPr>
        <w:ind w:left="120"/>
        <w:spacing w:after="0" w:line="260" w:lineRule="auto"/>
        <w:rPr>
          <w:sz w:val="20"/>
          <w:szCs w:val="20"/>
          <w:color w:val="auto"/>
        </w:rPr>
      </w:pPr>
      <w:r>
        <w:rPr>
          <w:rFonts w:ascii="Arial" w:cs="Arial" w:eastAsia="Arial" w:hAnsi="Arial"/>
          <w:sz w:val="16"/>
          <w:szCs w:val="16"/>
          <w:color w:val="auto"/>
        </w:rPr>
        <w:t>International business operations</w:t>
      </w:r>
    </w:p>
    <w:p>
      <w:pPr>
        <w:spacing w:after="0" w:line="20" w:lineRule="exact"/>
        <w:rPr>
          <w:sz w:val="20"/>
          <w:szCs w:val="20"/>
          <w:color w:val="auto"/>
        </w:rPr>
      </w:pPr>
    </w:p>
    <w:p>
      <w:pPr>
        <w:ind w:left="120" w:right="60"/>
        <w:spacing w:after="0" w:line="260" w:lineRule="auto"/>
        <w:rPr>
          <w:sz w:val="20"/>
          <w:szCs w:val="20"/>
          <w:color w:val="auto"/>
        </w:rPr>
      </w:pPr>
      <w:r>
        <w:rPr>
          <w:rFonts w:ascii="Arial" w:cs="Arial" w:eastAsia="Arial" w:hAnsi="Arial"/>
          <w:sz w:val="16"/>
          <w:szCs w:val="16"/>
          <w:color w:val="auto"/>
        </w:rPr>
        <w:t>Leadership of large, complex organization</w:t>
      </w:r>
    </w:p>
    <w:p>
      <w:pPr>
        <w:spacing w:after="0" w:line="2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Technology</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b w:val="1"/>
          <w:bCs w:val="1"/>
          <w:color w:val="004876"/>
        </w:rPr>
        <w:t>Career Highlights</w:t>
      </w:r>
    </w:p>
    <w:p>
      <w:pPr>
        <w:spacing w:after="0" w:line="25"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General Electric Company, a global industrial and financial services company</w:t>
      </w:r>
    </w:p>
    <w:p>
      <w:pPr>
        <w:spacing w:after="0" w:line="20" w:lineRule="exact"/>
        <w:rPr>
          <w:sz w:val="20"/>
          <w:szCs w:val="20"/>
          <w:color w:val="auto"/>
        </w:rPr>
      </w:pPr>
    </w:p>
    <w:p>
      <w:pPr>
        <w:ind w:left="140" w:hanging="138"/>
        <w:spacing w:after="0"/>
        <w:tabs>
          <w:tab w:leader="none" w:pos="140" w:val="left"/>
        </w:tabs>
        <w:numPr>
          <w:ilvl w:val="0"/>
          <w:numId w:val="56"/>
        </w:numPr>
        <w:rPr>
          <w:rFonts w:ascii="Arial" w:cs="Arial" w:eastAsia="Arial" w:hAnsi="Arial"/>
          <w:sz w:val="16"/>
          <w:szCs w:val="16"/>
          <w:color w:val="004876"/>
        </w:rPr>
      </w:pPr>
      <w:r>
        <w:rPr>
          <w:rFonts w:ascii="Arial" w:cs="Arial" w:eastAsia="Arial" w:hAnsi="Arial"/>
          <w:sz w:val="16"/>
          <w:szCs w:val="16"/>
          <w:color w:val="auto"/>
        </w:rPr>
        <w:t>Vice Chairman (2005–2013)</w:t>
      </w:r>
    </w:p>
    <w:p>
      <w:pPr>
        <w:spacing w:after="0" w:line="45" w:lineRule="exact"/>
        <w:rPr>
          <w:rFonts w:ascii="Arial" w:cs="Arial" w:eastAsia="Arial" w:hAnsi="Arial"/>
          <w:sz w:val="16"/>
          <w:szCs w:val="16"/>
          <w:color w:val="004876"/>
        </w:rPr>
      </w:pPr>
    </w:p>
    <w:p>
      <w:pPr>
        <w:ind w:left="140" w:hanging="138"/>
        <w:spacing w:after="0" w:line="260" w:lineRule="auto"/>
        <w:tabs>
          <w:tab w:leader="none" w:pos="134" w:val="left"/>
        </w:tabs>
        <w:numPr>
          <w:ilvl w:val="0"/>
          <w:numId w:val="56"/>
        </w:numPr>
        <w:rPr>
          <w:rFonts w:ascii="Arial" w:cs="Arial" w:eastAsia="Arial" w:hAnsi="Arial"/>
          <w:sz w:val="16"/>
          <w:szCs w:val="16"/>
          <w:color w:val="004876"/>
        </w:rPr>
      </w:pPr>
      <w:r>
        <w:rPr>
          <w:rFonts w:ascii="Arial" w:cs="Arial" w:eastAsia="Arial" w:hAnsi="Arial"/>
          <w:sz w:val="16"/>
          <w:szCs w:val="16"/>
          <w:color w:val="auto"/>
        </w:rPr>
        <w:t>Chairman and Chief Executive Officer, GE Capital (2007–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-1335405</wp:posOffset>
            </wp:positionH>
            <wp:positionV relativeFrom="paragraph">
              <wp:posOffset>465455</wp:posOffset>
            </wp:positionV>
            <wp:extent cx="7029450" cy="1968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029450" cy="1968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b w:val="1"/>
          <w:bCs w:val="1"/>
          <w:color w:val="004876"/>
        </w:rPr>
        <w:t>Other Public Company Directorships</w:t>
      </w:r>
    </w:p>
    <w:p>
      <w:pPr>
        <w:spacing w:after="0" w:line="25" w:lineRule="exact"/>
        <w:rPr>
          <w:sz w:val="20"/>
          <w:szCs w:val="20"/>
          <w:color w:val="auto"/>
        </w:rPr>
      </w:pPr>
    </w:p>
    <w:p>
      <w:pPr>
        <w:ind w:left="140" w:hanging="133"/>
        <w:spacing w:after="0"/>
        <w:tabs>
          <w:tab w:leader="none" w:pos="140" w:val="left"/>
        </w:tabs>
        <w:numPr>
          <w:ilvl w:val="0"/>
          <w:numId w:val="57"/>
        </w:numPr>
        <w:rPr>
          <w:rFonts w:ascii="Arial" w:cs="Arial" w:eastAsia="Arial" w:hAnsi="Arial"/>
          <w:sz w:val="16"/>
          <w:szCs w:val="16"/>
          <w:color w:val="004876"/>
        </w:rPr>
      </w:pPr>
      <w:r>
        <w:rPr>
          <w:rFonts w:ascii="Arial" w:cs="Arial" w:eastAsia="Arial" w:hAnsi="Arial"/>
          <w:sz w:val="16"/>
          <w:szCs w:val="16"/>
          <w:color w:val="auto"/>
        </w:rPr>
        <w:t>None</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004876"/>
        </w:rPr>
        <w:t>Other Experience</w:t>
      </w:r>
    </w:p>
    <w:p>
      <w:pPr>
        <w:spacing w:after="0" w:line="25" w:lineRule="exact"/>
        <w:rPr>
          <w:sz w:val="20"/>
          <w:szCs w:val="20"/>
          <w:color w:val="auto"/>
        </w:rPr>
      </w:pPr>
    </w:p>
    <w:p>
      <w:pPr>
        <w:ind w:left="160" w:right="140" w:hanging="153"/>
        <w:spacing w:after="0" w:line="260" w:lineRule="auto"/>
        <w:tabs>
          <w:tab w:leader="none" w:pos="154" w:val="left"/>
        </w:tabs>
        <w:numPr>
          <w:ilvl w:val="0"/>
          <w:numId w:val="58"/>
        </w:numPr>
        <w:rPr>
          <w:rFonts w:ascii="Arial" w:cs="Arial" w:eastAsia="Arial" w:hAnsi="Arial"/>
          <w:sz w:val="16"/>
          <w:szCs w:val="16"/>
          <w:color w:val="004876"/>
        </w:rPr>
      </w:pPr>
      <w:r>
        <w:rPr>
          <w:rFonts w:ascii="Arial" w:cs="Arial" w:eastAsia="Arial" w:hAnsi="Arial"/>
          <w:sz w:val="16"/>
          <w:szCs w:val="16"/>
          <w:color w:val="auto"/>
        </w:rPr>
        <w:t>Trustee, The GT Foundation of the Georgia Institute of Technology</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color w:val="004876"/>
        </w:rPr>
        <w:t>Education</w:t>
      </w:r>
    </w:p>
    <w:p>
      <w:pPr>
        <w:spacing w:after="0" w:line="25" w:lineRule="exact"/>
        <w:rPr>
          <w:sz w:val="20"/>
          <w:szCs w:val="20"/>
          <w:color w:val="auto"/>
        </w:rPr>
      </w:pPr>
    </w:p>
    <w:p>
      <w:pPr>
        <w:ind w:left="140" w:hanging="133"/>
        <w:spacing w:after="0"/>
        <w:tabs>
          <w:tab w:leader="none" w:pos="140" w:val="left"/>
        </w:tabs>
        <w:numPr>
          <w:ilvl w:val="0"/>
          <w:numId w:val="59"/>
        </w:numPr>
        <w:rPr>
          <w:rFonts w:ascii="Arial" w:cs="Arial" w:eastAsia="Arial" w:hAnsi="Arial"/>
          <w:sz w:val="16"/>
          <w:szCs w:val="16"/>
          <w:color w:val="004876"/>
        </w:rPr>
      </w:pPr>
      <w:r>
        <w:rPr>
          <w:rFonts w:ascii="Arial" w:cs="Arial" w:eastAsia="Arial" w:hAnsi="Arial"/>
          <w:sz w:val="16"/>
          <w:szCs w:val="16"/>
          <w:color w:val="auto"/>
        </w:rPr>
        <w:t>Graduate of the Georgia Institute of Technology</w:t>
      </w:r>
    </w:p>
    <w:p>
      <w:pPr>
        <w:spacing w:after="0" w:line="200" w:lineRule="exact"/>
        <w:rPr>
          <w:sz w:val="20"/>
          <w:szCs w:val="20"/>
          <w:color w:val="auto"/>
        </w:rPr>
      </w:pPr>
    </w:p>
    <w:p>
      <w:pPr>
        <w:sectPr>
          <w:pgSz w:w="11900" w:h="16838" w:orient="portrait"/>
          <w:cols w:equalWidth="0" w:num="3">
            <w:col w:w="1700" w:space="520"/>
            <w:col w:w="4260" w:space="460"/>
            <w:col w:w="4180"/>
          </w:cols>
          <w:pgMar w:left="320" w:top="459" w:right="459" w:bottom="1440" w:gutter="0" w:footer="0" w:header="0"/>
          <w:type w:val="continuous"/>
        </w:sectPr>
      </w:pPr>
    </w:p>
    <w:p>
      <w:pPr>
        <w:spacing w:after="0" w:line="286" w:lineRule="exact"/>
        <w:rPr>
          <w:sz w:val="20"/>
          <w:szCs w:val="20"/>
          <w:color w:val="auto"/>
        </w:rPr>
      </w:pPr>
    </w:p>
    <w:p>
      <w:pPr>
        <w:jc w:val="center"/>
        <w:ind w:right="-119"/>
        <w:spacing w:after="0"/>
        <w:rPr>
          <w:sz w:val="20"/>
          <w:szCs w:val="20"/>
          <w:color w:val="auto"/>
        </w:rPr>
      </w:pPr>
      <w:r>
        <w:rPr>
          <w:rFonts w:ascii="Arial" w:cs="Arial" w:eastAsia="Arial" w:hAnsi="Arial"/>
          <w:sz w:val="13"/>
          <w:szCs w:val="13"/>
          <w:b w:val="1"/>
          <w:bCs w:val="1"/>
          <w:color w:val="004876"/>
        </w:rPr>
        <w:t>17</w:t>
      </w:r>
    </w:p>
    <w:p>
      <w:pPr>
        <w:sectPr>
          <w:pgSz w:w="11900" w:h="16838" w:orient="portrait"/>
          <w:cols w:equalWidth="0" w:num="1">
            <w:col w:w="11120"/>
          </w:cols>
          <w:pgMar w:left="320" w:top="459" w:right="45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4876"/>
        </w:rPr>
        <w:t>ELECTION OF DIRECTORS |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160655</wp:posOffset>
            </wp:positionV>
            <wp:extent cx="7029450" cy="421767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029450" cy="421767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04876"/>
        </w:rPr>
        <w:t xml:space="preserve">Age: </w:t>
      </w:r>
      <w:r>
        <w:rPr>
          <w:rFonts w:ascii="Arial" w:cs="Arial" w:eastAsia="Arial" w:hAnsi="Arial"/>
          <w:sz w:val="16"/>
          <w:szCs w:val="16"/>
          <w:color w:val="000000"/>
        </w:rPr>
        <w:t>81</w:t>
      </w:r>
    </w:p>
    <w:p>
      <w:pPr>
        <w:spacing w:after="0" w:line="86" w:lineRule="exact"/>
        <w:rPr>
          <w:sz w:val="20"/>
          <w:szCs w:val="20"/>
          <w:color w:val="auto"/>
        </w:rPr>
      </w:pPr>
    </w:p>
    <w:p>
      <w:pPr>
        <w:ind w:left="120" w:right="60"/>
        <w:spacing w:after="0" w:line="259" w:lineRule="auto"/>
        <w:rPr>
          <w:sz w:val="20"/>
          <w:szCs w:val="20"/>
          <w:color w:val="auto"/>
        </w:rPr>
      </w:pPr>
      <w:r>
        <w:rPr>
          <w:rFonts w:ascii="Arial" w:cs="Arial" w:eastAsia="Arial" w:hAnsi="Arial"/>
          <w:sz w:val="16"/>
          <w:szCs w:val="16"/>
          <w:b w:val="1"/>
          <w:bCs w:val="1"/>
          <w:color w:val="004876"/>
        </w:rPr>
        <w:t xml:space="preserve">Director since: </w:t>
      </w:r>
      <w:r>
        <w:rPr>
          <w:rFonts w:ascii="Arial" w:cs="Arial" w:eastAsia="Arial" w:hAnsi="Arial"/>
          <w:sz w:val="16"/>
          <w:szCs w:val="16"/>
          <w:color w:val="000000"/>
        </w:rPr>
        <w:t>2001 and</w:t>
      </w:r>
      <w:r>
        <w:rPr>
          <w:rFonts w:ascii="Arial" w:cs="Arial" w:eastAsia="Arial" w:hAnsi="Arial"/>
          <w:sz w:val="16"/>
          <w:szCs w:val="16"/>
          <w:b w:val="1"/>
          <w:bCs w:val="1"/>
          <w:color w:val="004876"/>
        </w:rPr>
        <w:t xml:space="preserve"> </w:t>
      </w:r>
      <w:r>
        <w:rPr>
          <w:rFonts w:ascii="Arial" w:cs="Arial" w:eastAsia="Arial" w:hAnsi="Arial"/>
          <w:sz w:val="16"/>
          <w:szCs w:val="16"/>
          <w:color w:val="000000"/>
        </w:rPr>
        <w:t>Director of J.P. Morgan &amp; Co. Incorporated from 1987 to 2000</w:t>
      </w:r>
    </w:p>
    <w:p>
      <w:pPr>
        <w:spacing w:after="0" w:line="43" w:lineRule="exact"/>
        <w:rPr>
          <w:sz w:val="20"/>
          <w:szCs w:val="20"/>
          <w:color w:val="auto"/>
        </w:rPr>
      </w:pPr>
    </w:p>
    <w:p>
      <w:pPr>
        <w:ind w:left="120" w:right="140"/>
        <w:spacing w:after="0" w:line="256" w:lineRule="auto"/>
        <w:rPr>
          <w:sz w:val="20"/>
          <w:szCs w:val="20"/>
          <w:color w:val="auto"/>
        </w:rPr>
      </w:pPr>
      <w:r>
        <w:rPr>
          <w:rFonts w:ascii="Arial" w:cs="Arial" w:eastAsia="Arial" w:hAnsi="Arial"/>
          <w:sz w:val="16"/>
          <w:szCs w:val="16"/>
          <w:b w:val="1"/>
          <w:bCs w:val="1"/>
          <w:color w:val="004876"/>
        </w:rPr>
        <w:t xml:space="preserve">Committees: </w:t>
      </w:r>
      <w:r>
        <w:rPr>
          <w:rFonts w:ascii="Arial" w:cs="Arial" w:eastAsia="Arial" w:hAnsi="Arial"/>
          <w:sz w:val="16"/>
          <w:szCs w:val="16"/>
          <w:color w:val="000000"/>
        </w:rPr>
        <w:t>Compensation &amp; Management Development Committee (Chair)</w:t>
      </w:r>
    </w:p>
    <w:p>
      <w:pPr>
        <w:spacing w:after="0" w:line="24" w:lineRule="exact"/>
        <w:rPr>
          <w:sz w:val="20"/>
          <w:szCs w:val="20"/>
          <w:color w:val="auto"/>
        </w:rPr>
      </w:pPr>
    </w:p>
    <w:p>
      <w:pPr>
        <w:ind w:left="120" w:right="120"/>
        <w:spacing w:after="0" w:line="260" w:lineRule="auto"/>
        <w:rPr>
          <w:sz w:val="20"/>
          <w:szCs w:val="20"/>
          <w:color w:val="auto"/>
        </w:rPr>
      </w:pPr>
      <w:r>
        <w:rPr>
          <w:rFonts w:ascii="Arial" w:cs="Arial" w:eastAsia="Arial" w:hAnsi="Arial"/>
          <w:sz w:val="16"/>
          <w:szCs w:val="16"/>
          <w:color w:val="auto"/>
        </w:rPr>
        <w:t>Corporate Governance &amp; Nominating Committee</w:t>
      </w:r>
    </w:p>
    <w:p>
      <w:pPr>
        <w:spacing w:after="0" w:line="40" w:lineRule="exact"/>
        <w:rPr>
          <w:sz w:val="20"/>
          <w:szCs w:val="20"/>
          <w:color w:val="auto"/>
        </w:rPr>
      </w:pPr>
    </w:p>
    <w:p>
      <w:pPr>
        <w:ind w:left="120" w:right="280"/>
        <w:spacing w:after="0" w:line="259" w:lineRule="auto"/>
        <w:rPr>
          <w:sz w:val="20"/>
          <w:szCs w:val="20"/>
          <w:color w:val="auto"/>
        </w:rPr>
      </w:pPr>
      <w:r>
        <w:rPr>
          <w:rFonts w:ascii="Arial" w:cs="Arial" w:eastAsia="Arial" w:hAnsi="Arial"/>
          <w:sz w:val="16"/>
          <w:szCs w:val="16"/>
          <w:b w:val="1"/>
          <w:bCs w:val="1"/>
          <w:color w:val="004876"/>
        </w:rPr>
        <w:t xml:space="preserve">Director Qualification Highlights: </w:t>
      </w:r>
      <w:r>
        <w:rPr>
          <w:rFonts w:ascii="Arial" w:cs="Arial" w:eastAsia="Arial" w:hAnsi="Arial"/>
          <w:sz w:val="16"/>
          <w:szCs w:val="16"/>
          <w:color w:val="000000"/>
        </w:rPr>
        <w:t>Leadership of a large, complex organization</w:t>
      </w:r>
    </w:p>
    <w:p>
      <w:pPr>
        <w:spacing w:after="0" w:line="22" w:lineRule="exact"/>
        <w:rPr>
          <w:sz w:val="20"/>
          <w:szCs w:val="20"/>
          <w:color w:val="auto"/>
        </w:rPr>
      </w:pPr>
    </w:p>
    <w:p>
      <w:pPr>
        <w:ind w:left="120"/>
        <w:spacing w:after="0" w:line="260" w:lineRule="auto"/>
        <w:rPr>
          <w:sz w:val="20"/>
          <w:szCs w:val="20"/>
          <w:color w:val="auto"/>
        </w:rPr>
      </w:pPr>
      <w:r>
        <w:rPr>
          <w:rFonts w:ascii="Arial" w:cs="Arial" w:eastAsia="Arial" w:hAnsi="Arial"/>
          <w:sz w:val="16"/>
          <w:szCs w:val="16"/>
          <w:color w:val="auto"/>
        </w:rPr>
        <w:t>Management development and succession planning</w:t>
      </w:r>
    </w:p>
    <w:p>
      <w:pPr>
        <w:spacing w:after="0" w:line="2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Public company</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governance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139065</wp:posOffset>
            </wp:positionV>
            <wp:extent cx="779780" cy="9601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79780" cy="9601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43"/>
          <w:szCs w:val="43"/>
          <w:color w:val="004876"/>
        </w:rPr>
        <w:t xml:space="preserve">Lee R. Raymond </w:t>
      </w:r>
      <w:r>
        <w:rPr>
          <w:rFonts w:ascii="Arial" w:cs="Arial" w:eastAsia="Arial" w:hAnsi="Arial"/>
          <w:sz w:val="30"/>
          <w:szCs w:val="30"/>
          <w:color w:val="004876"/>
        </w:rPr>
        <w:t>(Lead Independent Director)</w:t>
      </w:r>
    </w:p>
    <w:p>
      <w:pPr>
        <w:spacing w:after="0" w:line="100" w:lineRule="exact"/>
        <w:rPr>
          <w:sz w:val="20"/>
          <w:szCs w:val="20"/>
          <w:color w:val="auto"/>
        </w:rPr>
      </w:pPr>
    </w:p>
    <w:p>
      <w:pPr>
        <w:spacing w:after="0"/>
        <w:rPr>
          <w:sz w:val="20"/>
          <w:szCs w:val="20"/>
          <w:color w:val="auto"/>
        </w:rPr>
      </w:pPr>
      <w:r>
        <w:rPr>
          <w:rFonts w:ascii="Arial" w:cs="Arial" w:eastAsia="Arial" w:hAnsi="Arial"/>
          <w:sz w:val="22"/>
          <w:szCs w:val="22"/>
          <w:i w:val="1"/>
          <w:iCs w:val="1"/>
          <w:color w:val="004876"/>
        </w:rPr>
        <w:t>Retired Chairman and Chief Executive Officer of Exxon Mobil Corporation</w:t>
      </w:r>
    </w:p>
    <w:p>
      <w:pPr>
        <w:spacing w:after="0" w:line="398" w:lineRule="exact"/>
        <w:rPr>
          <w:sz w:val="20"/>
          <w:szCs w:val="20"/>
          <w:color w:val="auto"/>
        </w:rPr>
      </w:pPr>
    </w:p>
    <w:p>
      <w:pPr>
        <w:ind w:right="600"/>
        <w:spacing w:after="0" w:line="253" w:lineRule="auto"/>
        <w:rPr>
          <w:sz w:val="20"/>
          <w:szCs w:val="20"/>
          <w:color w:val="auto"/>
        </w:rPr>
      </w:pPr>
      <w:r>
        <w:rPr>
          <w:rFonts w:ascii="Arial" w:cs="Arial" w:eastAsia="Arial" w:hAnsi="Arial"/>
          <w:sz w:val="16"/>
          <w:szCs w:val="16"/>
          <w:color w:val="auto"/>
        </w:rPr>
        <w:t>During his tenure at ExxonMobil and its predecessors, Mr. Raymond gained experience in all aspects of business management, including audit and financial reporting, risk management, executive compensation, marketing and operating in a regulated industry. He also has extensive international business expertise.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200" w:type="dxa"/>
            <w:vAlign w:val="bottom"/>
          </w:tcPr>
          <w:p>
            <w:pPr>
              <w:spacing w:after="0"/>
              <w:rPr>
                <w:sz w:val="20"/>
                <w:szCs w:val="20"/>
                <w:color w:val="auto"/>
              </w:rPr>
            </w:pPr>
            <w:r>
              <w:rPr>
                <w:rFonts w:ascii="Arial" w:cs="Arial" w:eastAsia="Arial" w:hAnsi="Arial"/>
                <w:sz w:val="16"/>
                <w:szCs w:val="16"/>
                <w:b w:val="1"/>
                <w:bCs w:val="1"/>
                <w:color w:val="004876"/>
              </w:rPr>
              <w:t>Career Highlights</w:t>
            </w:r>
          </w:p>
        </w:tc>
        <w:tc>
          <w:tcPr>
            <w:tcW w:w="4300" w:type="dxa"/>
            <w:vAlign w:val="bottom"/>
            <w:vMerge w:val="restart"/>
          </w:tcPr>
          <w:p>
            <w:pPr>
              <w:ind w:left="300"/>
              <w:spacing w:after="0"/>
              <w:rPr>
                <w:sz w:val="20"/>
                <w:szCs w:val="20"/>
                <w:color w:val="auto"/>
              </w:rPr>
            </w:pPr>
            <w:r>
              <w:rPr>
                <w:rFonts w:ascii="Arial" w:cs="Arial" w:eastAsia="Arial" w:hAnsi="Arial"/>
                <w:sz w:val="16"/>
                <w:szCs w:val="16"/>
                <w:b w:val="1"/>
                <w:bCs w:val="1"/>
                <w:color w:val="004876"/>
              </w:rPr>
              <w:t>Other Public Company Directorships</w:t>
            </w:r>
          </w:p>
        </w:tc>
        <w:tc>
          <w:tcPr>
            <w:tcW w:w="0" w:type="dxa"/>
            <w:vAlign w:val="bottom"/>
          </w:tcPr>
          <w:p>
            <w:pPr>
              <w:spacing w:after="0"/>
              <w:rPr>
                <w:sz w:val="1"/>
                <w:szCs w:val="1"/>
                <w:color w:val="auto"/>
              </w:rPr>
            </w:pPr>
          </w:p>
        </w:tc>
      </w:tr>
      <w:tr>
        <w:trPr>
          <w:trHeight w:val="189"/>
        </w:trPr>
        <w:tc>
          <w:tcPr>
            <w:tcW w:w="4200" w:type="dxa"/>
            <w:vAlign w:val="bottom"/>
          </w:tcPr>
          <w:p>
            <w:pPr>
              <w:spacing w:after="0"/>
              <w:rPr>
                <w:sz w:val="20"/>
                <w:szCs w:val="20"/>
                <w:color w:val="auto"/>
              </w:rPr>
            </w:pPr>
            <w:r>
              <w:rPr>
                <w:rFonts w:ascii="Arial" w:cs="Arial" w:eastAsia="Arial" w:hAnsi="Arial"/>
                <w:sz w:val="16"/>
                <w:szCs w:val="16"/>
                <w:color w:val="auto"/>
              </w:rPr>
              <w:t>ExxonMobil, an international oil and gas company</w:t>
            </w:r>
          </w:p>
        </w:tc>
        <w:tc>
          <w:tcPr>
            <w:tcW w:w="4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200" w:type="dxa"/>
            <w:vAlign w:val="bottom"/>
          </w:tcPr>
          <w:p>
            <w:pPr>
              <w:spacing w:after="0"/>
              <w:rPr>
                <w:sz w:val="20"/>
                <w:szCs w:val="20"/>
                <w:color w:val="auto"/>
              </w:rPr>
            </w:pPr>
            <w:r>
              <w:rPr>
                <w:rFonts w:ascii="Arial" w:cs="Arial" w:eastAsia="Arial" w:hAnsi="Arial"/>
                <w:sz w:val="16"/>
                <w:szCs w:val="16"/>
                <w:color w:val="004876"/>
              </w:rPr>
              <w:t xml:space="preserve">• </w:t>
            </w:r>
            <w:r>
              <w:rPr>
                <w:rFonts w:ascii="Arial" w:cs="Arial" w:eastAsia="Arial" w:hAnsi="Arial"/>
                <w:sz w:val="16"/>
                <w:szCs w:val="16"/>
                <w:color w:val="000000"/>
              </w:rPr>
              <w:t>Chairman and Chief Executive Officer of ExxonMobil</w:t>
            </w:r>
          </w:p>
        </w:tc>
        <w:tc>
          <w:tcPr>
            <w:tcW w:w="4300" w:type="dxa"/>
            <w:vAlign w:val="bottom"/>
          </w:tcPr>
          <w:p>
            <w:pPr>
              <w:ind w:left="300"/>
              <w:spacing w:after="0"/>
              <w:rPr>
                <w:sz w:val="20"/>
                <w:szCs w:val="20"/>
                <w:color w:val="auto"/>
              </w:rPr>
            </w:pPr>
            <w:r>
              <w:rPr>
                <w:rFonts w:ascii="Arial" w:cs="Arial" w:eastAsia="Arial" w:hAnsi="Arial"/>
                <w:sz w:val="16"/>
                <w:szCs w:val="16"/>
                <w:color w:val="004876"/>
              </w:rPr>
              <w:t xml:space="preserve">• </w:t>
            </w:r>
            <w:r>
              <w:rPr>
                <w:rFonts w:ascii="Arial" w:cs="Arial" w:eastAsia="Arial" w:hAnsi="Arial"/>
                <w:sz w:val="16"/>
                <w:szCs w:val="16"/>
                <w:color w:val="000000"/>
              </w:rPr>
              <w:t>None</w:t>
            </w:r>
          </w:p>
        </w:tc>
        <w:tc>
          <w:tcPr>
            <w:tcW w:w="0" w:type="dxa"/>
            <w:vAlign w:val="bottom"/>
          </w:tcPr>
          <w:p>
            <w:pPr>
              <w:spacing w:after="0"/>
              <w:rPr>
                <w:sz w:val="1"/>
                <w:szCs w:val="1"/>
                <w:color w:val="auto"/>
              </w:rPr>
            </w:pPr>
          </w:p>
        </w:tc>
      </w:tr>
      <w:tr>
        <w:trPr>
          <w:trHeight w:val="195"/>
        </w:trPr>
        <w:tc>
          <w:tcPr>
            <w:tcW w:w="4200" w:type="dxa"/>
            <w:vAlign w:val="bottom"/>
          </w:tcPr>
          <w:p>
            <w:pPr>
              <w:ind w:left="140"/>
              <w:spacing w:after="0"/>
              <w:rPr>
                <w:sz w:val="20"/>
                <w:szCs w:val="20"/>
                <w:color w:val="auto"/>
              </w:rPr>
            </w:pPr>
            <w:r>
              <w:rPr>
                <w:rFonts w:ascii="Arial" w:cs="Arial" w:eastAsia="Arial" w:hAnsi="Arial"/>
                <w:sz w:val="16"/>
                <w:szCs w:val="16"/>
                <w:color w:val="auto"/>
              </w:rPr>
              <w:t>(1999–2005)</w:t>
            </w:r>
          </w:p>
        </w:tc>
        <w:tc>
          <w:tcPr>
            <w:tcW w:w="4300" w:type="dxa"/>
            <w:vAlign w:val="bottom"/>
            <w:vMerge w:val="restart"/>
          </w:tcPr>
          <w:p>
            <w:pPr>
              <w:ind w:left="300"/>
              <w:spacing w:after="0"/>
              <w:rPr>
                <w:sz w:val="20"/>
                <w:szCs w:val="20"/>
                <w:color w:val="auto"/>
              </w:rPr>
            </w:pPr>
            <w:r>
              <w:rPr>
                <w:rFonts w:ascii="Arial" w:cs="Arial" w:eastAsia="Arial" w:hAnsi="Arial"/>
                <w:sz w:val="16"/>
                <w:szCs w:val="16"/>
                <w:b w:val="1"/>
                <w:bCs w:val="1"/>
                <w:color w:val="004876"/>
              </w:rPr>
              <w:t>Other Experience</w:t>
            </w:r>
          </w:p>
        </w:tc>
        <w:tc>
          <w:tcPr>
            <w:tcW w:w="0" w:type="dxa"/>
            <w:vAlign w:val="bottom"/>
          </w:tcPr>
          <w:p>
            <w:pPr>
              <w:spacing w:after="0"/>
              <w:rPr>
                <w:sz w:val="1"/>
                <w:szCs w:val="1"/>
                <w:color w:val="auto"/>
              </w:rPr>
            </w:pPr>
          </w:p>
        </w:tc>
      </w:tr>
      <w:tr>
        <w:trPr>
          <w:trHeight w:val="75"/>
        </w:trPr>
        <w:tc>
          <w:tcPr>
            <w:tcW w:w="4200" w:type="dxa"/>
            <w:vAlign w:val="bottom"/>
            <w:vMerge w:val="restart"/>
          </w:tcPr>
          <w:p>
            <w:pPr>
              <w:spacing w:after="0"/>
              <w:rPr>
                <w:sz w:val="20"/>
                <w:szCs w:val="20"/>
                <w:color w:val="auto"/>
              </w:rPr>
            </w:pPr>
            <w:r>
              <w:rPr>
                <w:rFonts w:ascii="Arial" w:cs="Arial" w:eastAsia="Arial" w:hAnsi="Arial"/>
                <w:sz w:val="16"/>
                <w:szCs w:val="16"/>
                <w:color w:val="004876"/>
              </w:rPr>
              <w:t xml:space="preserve">• </w:t>
            </w:r>
            <w:r>
              <w:rPr>
                <w:rFonts w:ascii="Arial" w:cs="Arial" w:eastAsia="Arial" w:hAnsi="Arial"/>
                <w:sz w:val="16"/>
                <w:szCs w:val="16"/>
                <w:color w:val="000000"/>
              </w:rPr>
              <w:t>Chairman and Chief Executive Officer of Exxon</w:t>
            </w:r>
          </w:p>
        </w:tc>
        <w:tc>
          <w:tcPr>
            <w:tcW w:w="4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4200" w:type="dxa"/>
            <w:vAlign w:val="bottom"/>
            <w:vMerge w:val="continue"/>
          </w:tcPr>
          <w:p>
            <w:pPr>
              <w:spacing w:after="0"/>
              <w:rPr>
                <w:sz w:val="12"/>
                <w:szCs w:val="12"/>
                <w:color w:val="auto"/>
              </w:rPr>
            </w:pPr>
          </w:p>
        </w:tc>
        <w:tc>
          <w:tcPr>
            <w:tcW w:w="4300" w:type="dxa"/>
            <w:vAlign w:val="bottom"/>
          </w:tcPr>
          <w:p>
            <w:pPr>
              <w:ind w:left="300"/>
              <w:spacing w:after="0" w:line="148" w:lineRule="exact"/>
              <w:rPr>
                <w:sz w:val="20"/>
                <w:szCs w:val="20"/>
                <w:color w:val="auto"/>
              </w:rPr>
            </w:pPr>
            <w:r>
              <w:rPr>
                <w:rFonts w:ascii="Arial" w:cs="Arial" w:eastAsia="Arial" w:hAnsi="Arial"/>
                <w:sz w:val="16"/>
                <w:szCs w:val="16"/>
                <w:color w:val="004876"/>
              </w:rPr>
              <w:t xml:space="preserve">• </w:t>
            </w:r>
            <w:r>
              <w:rPr>
                <w:rFonts w:ascii="Arial" w:cs="Arial" w:eastAsia="Arial" w:hAnsi="Arial"/>
                <w:sz w:val="16"/>
                <w:szCs w:val="16"/>
                <w:color w:val="000000"/>
              </w:rPr>
              <w:t>Member, Council on Foreign Relations</w:t>
            </w:r>
          </w:p>
        </w:tc>
        <w:tc>
          <w:tcPr>
            <w:tcW w:w="0" w:type="dxa"/>
            <w:vAlign w:val="bottom"/>
          </w:tcPr>
          <w:p>
            <w:pPr>
              <w:spacing w:after="0"/>
              <w:rPr>
                <w:sz w:val="1"/>
                <w:szCs w:val="1"/>
                <w:color w:val="auto"/>
              </w:rPr>
            </w:pPr>
          </w:p>
        </w:tc>
      </w:tr>
      <w:tr>
        <w:trPr>
          <w:trHeight w:val="195"/>
        </w:trPr>
        <w:tc>
          <w:tcPr>
            <w:tcW w:w="4200" w:type="dxa"/>
            <w:vAlign w:val="bottom"/>
          </w:tcPr>
          <w:p>
            <w:pPr>
              <w:ind w:left="140"/>
              <w:spacing w:after="0"/>
              <w:rPr>
                <w:sz w:val="20"/>
                <w:szCs w:val="20"/>
                <w:color w:val="auto"/>
              </w:rPr>
            </w:pPr>
            <w:r>
              <w:rPr>
                <w:rFonts w:ascii="Arial" w:cs="Arial" w:eastAsia="Arial" w:hAnsi="Arial"/>
                <w:sz w:val="16"/>
                <w:szCs w:val="16"/>
                <w:color w:val="auto"/>
              </w:rPr>
              <w:t>Corporation (1993–1999)</w:t>
            </w:r>
          </w:p>
        </w:tc>
        <w:tc>
          <w:tcPr>
            <w:tcW w:w="4300" w:type="dxa"/>
            <w:vAlign w:val="bottom"/>
            <w:vMerge w:val="restart"/>
          </w:tcPr>
          <w:p>
            <w:pPr>
              <w:ind w:left="300"/>
              <w:spacing w:after="0"/>
              <w:rPr>
                <w:sz w:val="20"/>
                <w:szCs w:val="20"/>
                <w:color w:val="auto"/>
              </w:rPr>
            </w:pPr>
            <w:r>
              <w:rPr>
                <w:rFonts w:ascii="Arial" w:cs="Arial" w:eastAsia="Arial" w:hAnsi="Arial"/>
                <w:sz w:val="16"/>
                <w:szCs w:val="16"/>
                <w:color w:val="004876"/>
              </w:rPr>
              <w:t xml:space="preserve">• </w:t>
            </w:r>
            <w:r>
              <w:rPr>
                <w:rFonts w:ascii="Arial" w:cs="Arial" w:eastAsia="Arial" w:hAnsi="Arial"/>
                <w:sz w:val="16"/>
                <w:szCs w:val="16"/>
                <w:color w:val="000000"/>
              </w:rPr>
              <w:t>Emeritus Trustee, Mayo Clinic</w:t>
            </w:r>
          </w:p>
        </w:tc>
        <w:tc>
          <w:tcPr>
            <w:tcW w:w="0" w:type="dxa"/>
            <w:vAlign w:val="bottom"/>
          </w:tcPr>
          <w:p>
            <w:pPr>
              <w:spacing w:after="0"/>
              <w:rPr>
                <w:sz w:val="1"/>
                <w:szCs w:val="1"/>
                <w:color w:val="auto"/>
              </w:rPr>
            </w:pPr>
          </w:p>
        </w:tc>
      </w:tr>
      <w:tr>
        <w:trPr>
          <w:trHeight w:val="81"/>
        </w:trPr>
        <w:tc>
          <w:tcPr>
            <w:tcW w:w="4200" w:type="dxa"/>
            <w:vAlign w:val="bottom"/>
          </w:tcPr>
          <w:p>
            <w:pPr>
              <w:spacing w:after="0"/>
              <w:rPr>
                <w:sz w:val="7"/>
                <w:szCs w:val="7"/>
                <w:color w:val="auto"/>
              </w:rPr>
            </w:pPr>
          </w:p>
        </w:tc>
        <w:tc>
          <w:tcPr>
            <w:tcW w:w="4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4200" w:type="dxa"/>
            <w:vAlign w:val="bottom"/>
          </w:tcPr>
          <w:p>
            <w:pPr>
              <w:spacing w:after="0"/>
              <w:rPr>
                <w:sz w:val="19"/>
                <w:szCs w:val="19"/>
                <w:color w:val="auto"/>
              </w:rPr>
            </w:pPr>
          </w:p>
        </w:tc>
        <w:tc>
          <w:tcPr>
            <w:tcW w:w="4300" w:type="dxa"/>
            <w:vAlign w:val="bottom"/>
          </w:tcPr>
          <w:p>
            <w:pPr>
              <w:ind w:left="300"/>
              <w:spacing w:after="0"/>
              <w:rPr>
                <w:sz w:val="20"/>
                <w:szCs w:val="20"/>
                <w:color w:val="auto"/>
              </w:rPr>
            </w:pPr>
            <w:r>
              <w:rPr>
                <w:rFonts w:ascii="Arial" w:cs="Arial" w:eastAsia="Arial" w:hAnsi="Arial"/>
                <w:sz w:val="16"/>
                <w:szCs w:val="16"/>
                <w:color w:val="004876"/>
              </w:rPr>
              <w:t xml:space="preserve">• </w:t>
            </w:r>
            <w:r>
              <w:rPr>
                <w:rFonts w:ascii="Arial" w:cs="Arial" w:eastAsia="Arial" w:hAnsi="Arial"/>
                <w:sz w:val="16"/>
                <w:szCs w:val="16"/>
                <w:color w:val="000000"/>
              </w:rPr>
              <w:t>Member, National Academy of Engineering</w:t>
            </w:r>
          </w:p>
        </w:tc>
        <w:tc>
          <w:tcPr>
            <w:tcW w:w="0" w:type="dxa"/>
            <w:vAlign w:val="bottom"/>
          </w:tcPr>
          <w:p>
            <w:pPr>
              <w:spacing w:after="0"/>
              <w:rPr>
                <w:sz w:val="1"/>
                <w:szCs w:val="1"/>
                <w:color w:val="auto"/>
              </w:rPr>
            </w:pPr>
          </w:p>
        </w:tc>
      </w:tr>
      <w:tr>
        <w:trPr>
          <w:trHeight w:val="224"/>
        </w:trPr>
        <w:tc>
          <w:tcPr>
            <w:tcW w:w="4200" w:type="dxa"/>
            <w:vAlign w:val="bottom"/>
          </w:tcPr>
          <w:p>
            <w:pPr>
              <w:spacing w:after="0"/>
              <w:rPr>
                <w:sz w:val="19"/>
                <w:szCs w:val="19"/>
                <w:color w:val="auto"/>
              </w:rPr>
            </w:pPr>
          </w:p>
        </w:tc>
        <w:tc>
          <w:tcPr>
            <w:tcW w:w="4300" w:type="dxa"/>
            <w:vAlign w:val="bottom"/>
          </w:tcPr>
          <w:p>
            <w:pPr>
              <w:ind w:left="300"/>
              <w:spacing w:after="0"/>
              <w:rPr>
                <w:sz w:val="20"/>
                <w:szCs w:val="20"/>
                <w:color w:val="auto"/>
              </w:rPr>
            </w:pPr>
            <w:r>
              <w:rPr>
                <w:rFonts w:ascii="Arial" w:cs="Arial" w:eastAsia="Arial" w:hAnsi="Arial"/>
                <w:sz w:val="16"/>
                <w:szCs w:val="16"/>
                <w:color w:val="004876"/>
              </w:rPr>
              <w:t xml:space="preserve">• </w:t>
            </w:r>
            <w:r>
              <w:rPr>
                <w:rFonts w:ascii="Arial" w:cs="Arial" w:eastAsia="Arial" w:hAnsi="Arial"/>
                <w:sz w:val="16"/>
                <w:szCs w:val="16"/>
                <w:color w:val="000000"/>
              </w:rPr>
              <w:t>Member and past Chairman, National Petroleum</w:t>
            </w:r>
          </w:p>
        </w:tc>
        <w:tc>
          <w:tcPr>
            <w:tcW w:w="0" w:type="dxa"/>
            <w:vAlign w:val="bottom"/>
          </w:tcPr>
          <w:p>
            <w:pPr>
              <w:spacing w:after="0"/>
              <w:rPr>
                <w:sz w:val="1"/>
                <w:szCs w:val="1"/>
                <w:color w:val="auto"/>
              </w:rPr>
            </w:pPr>
          </w:p>
        </w:tc>
      </w:tr>
      <w:tr>
        <w:trPr>
          <w:trHeight w:val="195"/>
        </w:trPr>
        <w:tc>
          <w:tcPr>
            <w:tcW w:w="4200" w:type="dxa"/>
            <w:vAlign w:val="bottom"/>
          </w:tcPr>
          <w:p>
            <w:pPr>
              <w:spacing w:after="0"/>
              <w:rPr>
                <w:sz w:val="16"/>
                <w:szCs w:val="16"/>
                <w:color w:val="auto"/>
              </w:rPr>
            </w:pPr>
          </w:p>
        </w:tc>
        <w:tc>
          <w:tcPr>
            <w:tcW w:w="4300" w:type="dxa"/>
            <w:vAlign w:val="bottom"/>
          </w:tcPr>
          <w:p>
            <w:pPr>
              <w:ind w:left="460"/>
              <w:spacing w:after="0"/>
              <w:rPr>
                <w:sz w:val="20"/>
                <w:szCs w:val="20"/>
                <w:color w:val="auto"/>
              </w:rPr>
            </w:pPr>
            <w:r>
              <w:rPr>
                <w:rFonts w:ascii="Arial" w:cs="Arial" w:eastAsia="Arial" w:hAnsi="Arial"/>
                <w:sz w:val="16"/>
                <w:szCs w:val="16"/>
                <w:color w:val="auto"/>
              </w:rPr>
              <w:t>Council</w:t>
            </w:r>
          </w:p>
        </w:tc>
        <w:tc>
          <w:tcPr>
            <w:tcW w:w="0" w:type="dxa"/>
            <w:vAlign w:val="bottom"/>
          </w:tcPr>
          <w:p>
            <w:pPr>
              <w:spacing w:after="0"/>
              <w:rPr>
                <w:sz w:val="1"/>
                <w:szCs w:val="1"/>
                <w:color w:val="auto"/>
              </w:rPr>
            </w:pPr>
          </w:p>
        </w:tc>
      </w:tr>
      <w:tr>
        <w:trPr>
          <w:trHeight w:val="305"/>
        </w:trPr>
        <w:tc>
          <w:tcPr>
            <w:tcW w:w="4200" w:type="dxa"/>
            <w:vAlign w:val="bottom"/>
          </w:tcPr>
          <w:p>
            <w:pPr>
              <w:spacing w:after="0"/>
              <w:rPr>
                <w:sz w:val="24"/>
                <w:szCs w:val="24"/>
                <w:color w:val="auto"/>
              </w:rPr>
            </w:pPr>
          </w:p>
        </w:tc>
        <w:tc>
          <w:tcPr>
            <w:tcW w:w="4300" w:type="dxa"/>
            <w:vAlign w:val="bottom"/>
          </w:tcPr>
          <w:p>
            <w:pPr>
              <w:ind w:left="300"/>
              <w:spacing w:after="0"/>
              <w:rPr>
                <w:sz w:val="20"/>
                <w:szCs w:val="20"/>
                <w:color w:val="auto"/>
              </w:rPr>
            </w:pPr>
            <w:r>
              <w:rPr>
                <w:rFonts w:ascii="Arial" w:cs="Arial" w:eastAsia="Arial" w:hAnsi="Arial"/>
                <w:sz w:val="16"/>
                <w:szCs w:val="16"/>
                <w:b w:val="1"/>
                <w:bCs w:val="1"/>
                <w:color w:val="004876"/>
              </w:rPr>
              <w:t>Education</w:t>
            </w:r>
          </w:p>
        </w:tc>
        <w:tc>
          <w:tcPr>
            <w:tcW w:w="0" w:type="dxa"/>
            <w:vAlign w:val="bottom"/>
          </w:tcPr>
          <w:p>
            <w:pPr>
              <w:spacing w:after="0"/>
              <w:rPr>
                <w:sz w:val="1"/>
                <w:szCs w:val="1"/>
                <w:color w:val="auto"/>
              </w:rPr>
            </w:pPr>
          </w:p>
        </w:tc>
      </w:tr>
      <w:tr>
        <w:trPr>
          <w:trHeight w:val="195"/>
        </w:trPr>
        <w:tc>
          <w:tcPr>
            <w:tcW w:w="4200" w:type="dxa"/>
            <w:vAlign w:val="bottom"/>
          </w:tcPr>
          <w:p>
            <w:pPr>
              <w:spacing w:after="0"/>
              <w:rPr>
                <w:sz w:val="16"/>
                <w:szCs w:val="16"/>
                <w:color w:val="auto"/>
              </w:rPr>
            </w:pPr>
          </w:p>
        </w:tc>
        <w:tc>
          <w:tcPr>
            <w:tcW w:w="4300" w:type="dxa"/>
            <w:vAlign w:val="bottom"/>
          </w:tcPr>
          <w:p>
            <w:pPr>
              <w:ind w:left="300"/>
              <w:spacing w:after="0"/>
              <w:rPr>
                <w:sz w:val="20"/>
                <w:szCs w:val="20"/>
                <w:color w:val="auto"/>
              </w:rPr>
            </w:pPr>
            <w:r>
              <w:rPr>
                <w:rFonts w:ascii="Arial" w:cs="Arial" w:eastAsia="Arial" w:hAnsi="Arial"/>
                <w:sz w:val="16"/>
                <w:szCs w:val="16"/>
                <w:color w:val="004876"/>
              </w:rPr>
              <w:t xml:space="preserve">• </w:t>
            </w:r>
            <w:r>
              <w:rPr>
                <w:rFonts w:ascii="Arial" w:cs="Arial" w:eastAsia="Arial" w:hAnsi="Arial"/>
                <w:sz w:val="16"/>
                <w:szCs w:val="16"/>
                <w:color w:val="000000"/>
              </w:rPr>
              <w:t>Graduate of the University of Wisconsin</w:t>
            </w:r>
          </w:p>
        </w:tc>
        <w:tc>
          <w:tcPr>
            <w:tcW w:w="0" w:type="dxa"/>
            <w:vAlign w:val="bottom"/>
          </w:tcPr>
          <w:p>
            <w:pPr>
              <w:spacing w:after="0"/>
              <w:rPr>
                <w:sz w:val="1"/>
                <w:szCs w:val="1"/>
                <w:color w:val="auto"/>
              </w:rPr>
            </w:pPr>
          </w:p>
        </w:tc>
      </w:tr>
      <w:tr>
        <w:trPr>
          <w:trHeight w:val="230"/>
        </w:trPr>
        <w:tc>
          <w:tcPr>
            <w:tcW w:w="4200" w:type="dxa"/>
            <w:vAlign w:val="bottom"/>
          </w:tcPr>
          <w:p>
            <w:pPr>
              <w:spacing w:after="0"/>
              <w:rPr>
                <w:sz w:val="19"/>
                <w:szCs w:val="19"/>
                <w:color w:val="auto"/>
              </w:rPr>
            </w:pPr>
          </w:p>
        </w:tc>
        <w:tc>
          <w:tcPr>
            <w:tcW w:w="4300" w:type="dxa"/>
            <w:vAlign w:val="bottom"/>
          </w:tcPr>
          <w:p>
            <w:pPr>
              <w:ind w:left="300"/>
              <w:spacing w:after="0"/>
              <w:rPr>
                <w:sz w:val="20"/>
                <w:szCs w:val="20"/>
                <w:color w:val="auto"/>
              </w:rPr>
            </w:pPr>
            <w:r>
              <w:rPr>
                <w:rFonts w:ascii="Arial" w:cs="Arial" w:eastAsia="Arial" w:hAnsi="Arial"/>
                <w:sz w:val="16"/>
                <w:szCs w:val="16"/>
                <w:color w:val="004876"/>
              </w:rPr>
              <w:t xml:space="preserve">• </w:t>
            </w:r>
            <w:r>
              <w:rPr>
                <w:rFonts w:ascii="Arial" w:cs="Arial" w:eastAsia="Arial" w:hAnsi="Arial"/>
                <w:sz w:val="16"/>
                <w:szCs w:val="16"/>
                <w:color w:val="000000"/>
              </w:rPr>
              <w:t>Ph.D., Chemical Engineering, University of Minnesota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767080</wp:posOffset>
            </wp:positionV>
            <wp:extent cx="8890" cy="33947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890" cy="3394710"/>
                    </a:xfrm>
                    <a:prstGeom prst="rect">
                      <a:avLst/>
                    </a:prstGeom>
                    <a:noFill/>
                  </pic:spPr>
                </pic:pic>
              </a:graphicData>
            </a:graphic>
          </wp:anchor>
        </w:drawing>
      </w:r>
    </w:p>
    <w:p>
      <w:pPr>
        <w:spacing w:after="0" w:line="1188" w:lineRule="exact"/>
        <w:rPr>
          <w:sz w:val="20"/>
          <w:szCs w:val="20"/>
          <w:color w:val="auto"/>
        </w:rPr>
      </w:pPr>
    </w:p>
    <w:p>
      <w:pPr>
        <w:sectPr>
          <w:pgSz w:w="11900" w:h="16838" w:orient="portrait"/>
          <w:cols w:equalWidth="0" w:num="2">
            <w:col w:w="2040" w:space="400"/>
            <w:col w:w="8700"/>
          </w:cols>
          <w:pgMar w:left="320" w:top="459"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04876"/>
        </w:rPr>
        <w:t xml:space="preserve">Age: </w:t>
      </w:r>
      <w:r>
        <w:rPr>
          <w:rFonts w:ascii="Arial" w:cs="Arial" w:eastAsia="Arial" w:hAnsi="Arial"/>
          <w:sz w:val="16"/>
          <w:szCs w:val="16"/>
          <w:color w:val="000000"/>
        </w:rPr>
        <w:t>62</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04876"/>
        </w:rPr>
        <w:t xml:space="preserve">Nominated in: </w:t>
      </w:r>
      <w:r>
        <w:rPr>
          <w:rFonts w:ascii="Arial" w:cs="Arial" w:eastAsia="Arial" w:hAnsi="Arial"/>
          <w:sz w:val="16"/>
          <w:szCs w:val="16"/>
          <w:color w:val="000000"/>
        </w:rPr>
        <w:t>2020</w:t>
      </w:r>
    </w:p>
    <w:p>
      <w:pPr>
        <w:spacing w:after="0" w:line="86" w:lineRule="exact"/>
        <w:rPr>
          <w:sz w:val="20"/>
          <w:szCs w:val="20"/>
          <w:color w:val="auto"/>
        </w:rPr>
      </w:pPr>
    </w:p>
    <w:p>
      <w:pPr>
        <w:ind w:left="120" w:right="280"/>
        <w:spacing w:after="0" w:line="259" w:lineRule="auto"/>
        <w:rPr>
          <w:sz w:val="20"/>
          <w:szCs w:val="20"/>
          <w:color w:val="auto"/>
        </w:rPr>
      </w:pPr>
      <w:r>
        <w:rPr>
          <w:rFonts w:ascii="Arial" w:cs="Arial" w:eastAsia="Arial" w:hAnsi="Arial"/>
          <w:sz w:val="16"/>
          <w:szCs w:val="16"/>
          <w:b w:val="1"/>
          <w:bCs w:val="1"/>
          <w:color w:val="004876"/>
        </w:rPr>
        <w:t xml:space="preserve">Director Qualification Highlights: </w:t>
      </w:r>
      <w:r>
        <w:rPr>
          <w:rFonts w:ascii="Arial" w:cs="Arial" w:eastAsia="Arial" w:hAnsi="Arial"/>
          <w:sz w:val="16"/>
          <w:szCs w:val="16"/>
          <w:color w:val="000000"/>
        </w:rPr>
        <w:t>Leadership of a large, complex organization</w:t>
      </w:r>
    </w:p>
    <w:p>
      <w:pPr>
        <w:spacing w:after="0" w:line="22" w:lineRule="exact"/>
        <w:rPr>
          <w:sz w:val="20"/>
          <w:szCs w:val="20"/>
          <w:color w:val="auto"/>
        </w:rPr>
      </w:pPr>
    </w:p>
    <w:p>
      <w:pPr>
        <w:ind w:left="120"/>
        <w:spacing w:after="0" w:line="260" w:lineRule="auto"/>
        <w:rPr>
          <w:sz w:val="20"/>
          <w:szCs w:val="20"/>
          <w:color w:val="auto"/>
        </w:rPr>
      </w:pPr>
      <w:r>
        <w:rPr>
          <w:rFonts w:ascii="Arial" w:cs="Arial" w:eastAsia="Arial" w:hAnsi="Arial"/>
          <w:sz w:val="16"/>
          <w:szCs w:val="16"/>
          <w:color w:val="auto"/>
        </w:rPr>
        <w:t>Management development and succession planning</w:t>
      </w:r>
    </w:p>
    <w:p>
      <w:pPr>
        <w:spacing w:after="0" w:line="2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Public company</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governance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Technology</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spacing w:after="0"/>
        <w:rPr>
          <w:sz w:val="20"/>
          <w:szCs w:val="20"/>
          <w:color w:val="auto"/>
        </w:rPr>
      </w:pPr>
      <w:r>
        <w:rPr>
          <w:rFonts w:ascii="Arial" w:cs="Arial" w:eastAsia="Arial" w:hAnsi="Arial"/>
          <w:sz w:val="43"/>
          <w:szCs w:val="43"/>
          <w:color w:val="004876"/>
        </w:rPr>
        <w:t>Virginia M. Rometty</w:t>
      </w:r>
    </w:p>
    <w:p>
      <w:pPr>
        <w:spacing w:after="0" w:line="100" w:lineRule="exact"/>
        <w:rPr>
          <w:sz w:val="20"/>
          <w:szCs w:val="20"/>
          <w:color w:val="auto"/>
        </w:rPr>
      </w:pPr>
    </w:p>
    <w:p>
      <w:pPr>
        <w:ind w:right="640"/>
        <w:spacing w:after="0" w:line="257" w:lineRule="auto"/>
        <w:rPr>
          <w:sz w:val="20"/>
          <w:szCs w:val="20"/>
          <w:color w:val="auto"/>
        </w:rPr>
      </w:pPr>
      <w:r>
        <w:rPr>
          <w:rFonts w:ascii="Arial" w:cs="Arial" w:eastAsia="Arial" w:hAnsi="Arial"/>
          <w:sz w:val="22"/>
          <w:szCs w:val="22"/>
          <w:i w:val="1"/>
          <w:iCs w:val="1"/>
          <w:color w:val="004876"/>
        </w:rPr>
        <w:t>Chairman, President and Chief Executive Officer of International Business Machines Corporation (“IBM”)</w:t>
      </w:r>
    </w:p>
    <w:p>
      <w:pPr>
        <w:spacing w:after="0" w:line="353"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During her tenure spanning four decades at IBM, Mrs. Rometty has gained extensive expertise in technology, and experience in all aspects of leading a complex global business, including succession planning, public company governance, as well as operational and regulatory issues. Mrs. Rometty will retire from the President and Chief Executive Officer roles at IBM on April 6, 2020 and will continue as Executive Chairman of the Board.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320" w:type="dxa"/>
            <w:vAlign w:val="bottom"/>
          </w:tcPr>
          <w:p>
            <w:pPr>
              <w:spacing w:after="0"/>
              <w:rPr>
                <w:sz w:val="20"/>
                <w:szCs w:val="20"/>
                <w:color w:val="auto"/>
              </w:rPr>
            </w:pPr>
            <w:r>
              <w:rPr>
                <w:rFonts w:ascii="Arial" w:cs="Arial" w:eastAsia="Arial" w:hAnsi="Arial"/>
                <w:sz w:val="16"/>
                <w:szCs w:val="16"/>
                <w:b w:val="1"/>
                <w:bCs w:val="1"/>
                <w:color w:val="004876"/>
              </w:rPr>
              <w:t>Career Highlights</w:t>
            </w:r>
          </w:p>
        </w:tc>
        <w:tc>
          <w:tcPr>
            <w:tcW w:w="4260" w:type="dxa"/>
            <w:vAlign w:val="bottom"/>
          </w:tcPr>
          <w:p>
            <w:pPr>
              <w:ind w:left="180"/>
              <w:spacing w:after="0"/>
              <w:rPr>
                <w:sz w:val="20"/>
                <w:szCs w:val="20"/>
                <w:color w:val="auto"/>
              </w:rPr>
            </w:pPr>
            <w:r>
              <w:rPr>
                <w:rFonts w:ascii="Arial" w:cs="Arial" w:eastAsia="Arial" w:hAnsi="Arial"/>
                <w:sz w:val="16"/>
                <w:szCs w:val="16"/>
                <w:b w:val="1"/>
                <w:bCs w:val="1"/>
                <w:color w:val="004876"/>
              </w:rPr>
              <w:t>Other Public Company Directorships</w:t>
            </w:r>
          </w:p>
        </w:tc>
        <w:tc>
          <w:tcPr>
            <w:tcW w:w="0" w:type="dxa"/>
            <w:vAlign w:val="bottom"/>
          </w:tcPr>
          <w:p>
            <w:pPr>
              <w:spacing w:after="0"/>
              <w:rPr>
                <w:sz w:val="1"/>
                <w:szCs w:val="1"/>
                <w:color w:val="auto"/>
              </w:rPr>
            </w:pPr>
          </w:p>
        </w:tc>
      </w:tr>
      <w:tr>
        <w:trPr>
          <w:trHeight w:val="195"/>
        </w:trPr>
        <w:tc>
          <w:tcPr>
            <w:tcW w:w="4320" w:type="dxa"/>
            <w:vAlign w:val="bottom"/>
          </w:tcPr>
          <w:p>
            <w:pPr>
              <w:spacing w:after="0"/>
              <w:rPr>
                <w:sz w:val="20"/>
                <w:szCs w:val="20"/>
                <w:color w:val="auto"/>
              </w:rPr>
            </w:pPr>
            <w:r>
              <w:rPr>
                <w:rFonts w:ascii="Arial" w:cs="Arial" w:eastAsia="Arial" w:hAnsi="Arial"/>
                <w:sz w:val="16"/>
                <w:szCs w:val="16"/>
                <w:color w:val="auto"/>
              </w:rPr>
              <w:t>IBM, a global information technology company</w:t>
            </w:r>
          </w:p>
        </w:tc>
        <w:tc>
          <w:tcPr>
            <w:tcW w:w="4260" w:type="dxa"/>
            <w:vAlign w:val="bottom"/>
          </w:tcPr>
          <w:p>
            <w:pPr>
              <w:ind w:left="180"/>
              <w:spacing w:after="0"/>
              <w:rPr>
                <w:sz w:val="20"/>
                <w:szCs w:val="20"/>
                <w:color w:val="auto"/>
              </w:rPr>
            </w:pPr>
            <w:r>
              <w:rPr>
                <w:rFonts w:ascii="Arial" w:cs="Arial" w:eastAsia="Arial" w:hAnsi="Arial"/>
                <w:sz w:val="16"/>
                <w:szCs w:val="16"/>
                <w:color w:val="004876"/>
              </w:rPr>
              <w:t xml:space="preserve">• </w:t>
            </w:r>
            <w:r>
              <w:rPr>
                <w:rFonts w:ascii="Arial" w:cs="Arial" w:eastAsia="Arial" w:hAnsi="Arial"/>
                <w:sz w:val="16"/>
                <w:szCs w:val="16"/>
                <w:color w:val="000000"/>
              </w:rPr>
              <w:t>IBM (since 2012)</w:t>
            </w:r>
          </w:p>
        </w:tc>
        <w:tc>
          <w:tcPr>
            <w:tcW w:w="0" w:type="dxa"/>
            <w:vAlign w:val="bottom"/>
          </w:tcPr>
          <w:p>
            <w:pPr>
              <w:spacing w:after="0"/>
              <w:rPr>
                <w:sz w:val="1"/>
                <w:szCs w:val="1"/>
                <w:color w:val="auto"/>
              </w:rPr>
            </w:pPr>
          </w:p>
        </w:tc>
      </w:tr>
      <w:tr>
        <w:trPr>
          <w:trHeight w:val="224"/>
        </w:trPr>
        <w:tc>
          <w:tcPr>
            <w:tcW w:w="4320" w:type="dxa"/>
            <w:vAlign w:val="bottom"/>
          </w:tcPr>
          <w:p>
            <w:pPr>
              <w:spacing w:after="0"/>
              <w:rPr>
                <w:sz w:val="20"/>
                <w:szCs w:val="20"/>
                <w:color w:val="auto"/>
              </w:rPr>
            </w:pPr>
            <w:r>
              <w:rPr>
                <w:rFonts w:ascii="Arial" w:cs="Arial" w:eastAsia="Arial" w:hAnsi="Arial"/>
                <w:sz w:val="16"/>
                <w:szCs w:val="16"/>
                <w:color w:val="004876"/>
              </w:rPr>
              <w:t xml:space="preserve">• </w:t>
            </w:r>
            <w:r>
              <w:rPr>
                <w:rFonts w:ascii="Arial" w:cs="Arial" w:eastAsia="Arial" w:hAnsi="Arial"/>
                <w:sz w:val="16"/>
                <w:szCs w:val="16"/>
                <w:color w:val="000000"/>
              </w:rPr>
              <w:t>Chairman, President and Chief Executive Officer of IBM</w:t>
            </w:r>
          </w:p>
        </w:tc>
        <w:tc>
          <w:tcPr>
            <w:tcW w:w="4260" w:type="dxa"/>
            <w:vAlign w:val="bottom"/>
            <w:vMerge w:val="restart"/>
          </w:tcPr>
          <w:p>
            <w:pPr>
              <w:ind w:left="180"/>
              <w:spacing w:after="0"/>
              <w:rPr>
                <w:sz w:val="20"/>
                <w:szCs w:val="20"/>
                <w:color w:val="auto"/>
              </w:rPr>
            </w:pPr>
            <w:r>
              <w:rPr>
                <w:rFonts w:ascii="Arial" w:cs="Arial" w:eastAsia="Arial" w:hAnsi="Arial"/>
                <w:sz w:val="16"/>
                <w:szCs w:val="16"/>
                <w:b w:val="1"/>
                <w:bCs w:val="1"/>
                <w:color w:val="004876"/>
              </w:rPr>
              <w:t>Other Experience</w:t>
            </w:r>
          </w:p>
        </w:tc>
        <w:tc>
          <w:tcPr>
            <w:tcW w:w="0" w:type="dxa"/>
            <w:vAlign w:val="bottom"/>
          </w:tcPr>
          <w:p>
            <w:pPr>
              <w:spacing w:after="0"/>
              <w:rPr>
                <w:sz w:val="1"/>
                <w:szCs w:val="1"/>
                <w:color w:val="auto"/>
              </w:rPr>
            </w:pPr>
          </w:p>
        </w:tc>
      </w:tr>
      <w:tr>
        <w:trPr>
          <w:trHeight w:val="81"/>
        </w:trPr>
        <w:tc>
          <w:tcPr>
            <w:tcW w:w="4320" w:type="dxa"/>
            <w:vAlign w:val="bottom"/>
            <w:vMerge w:val="restart"/>
          </w:tcPr>
          <w:p>
            <w:pPr>
              <w:ind w:left="140"/>
              <w:spacing w:after="0"/>
              <w:rPr>
                <w:sz w:val="20"/>
                <w:szCs w:val="20"/>
                <w:color w:val="auto"/>
              </w:rPr>
            </w:pPr>
            <w:r>
              <w:rPr>
                <w:rFonts w:ascii="Arial" w:cs="Arial" w:eastAsia="Arial" w:hAnsi="Arial"/>
                <w:sz w:val="16"/>
                <w:szCs w:val="16"/>
                <w:color w:val="auto"/>
              </w:rPr>
              <w:t>(since 2012)</w:t>
            </w:r>
          </w:p>
        </w:tc>
        <w:tc>
          <w:tcPr>
            <w:tcW w:w="4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4320" w:type="dxa"/>
            <w:vAlign w:val="bottom"/>
            <w:vMerge w:val="continue"/>
          </w:tcPr>
          <w:p>
            <w:pPr>
              <w:spacing w:after="0"/>
              <w:rPr>
                <w:sz w:val="9"/>
                <w:szCs w:val="9"/>
                <w:color w:val="auto"/>
              </w:rPr>
            </w:pPr>
          </w:p>
        </w:tc>
        <w:tc>
          <w:tcPr>
            <w:tcW w:w="4260" w:type="dxa"/>
            <w:vAlign w:val="bottom"/>
            <w:vMerge w:val="restart"/>
          </w:tcPr>
          <w:p>
            <w:pPr>
              <w:ind w:left="180"/>
              <w:spacing w:after="0"/>
              <w:rPr>
                <w:sz w:val="20"/>
                <w:szCs w:val="20"/>
                <w:color w:val="auto"/>
              </w:rPr>
            </w:pPr>
            <w:r>
              <w:rPr>
                <w:rFonts w:ascii="Arial" w:cs="Arial" w:eastAsia="Arial" w:hAnsi="Arial"/>
                <w:sz w:val="16"/>
                <w:szCs w:val="16"/>
                <w:color w:val="004876"/>
              </w:rPr>
              <w:t xml:space="preserve">• </w:t>
            </w:r>
            <w:r>
              <w:rPr>
                <w:rFonts w:ascii="Arial" w:cs="Arial" w:eastAsia="Arial" w:hAnsi="Arial"/>
                <w:sz w:val="16"/>
                <w:szCs w:val="16"/>
                <w:color w:val="000000"/>
              </w:rPr>
              <w:t>Member, Business Roundtable</w:t>
            </w:r>
          </w:p>
        </w:tc>
        <w:tc>
          <w:tcPr>
            <w:tcW w:w="0" w:type="dxa"/>
            <w:vAlign w:val="bottom"/>
          </w:tcPr>
          <w:p>
            <w:pPr>
              <w:spacing w:after="0"/>
              <w:rPr>
                <w:sz w:val="1"/>
                <w:szCs w:val="1"/>
                <w:color w:val="auto"/>
              </w:rPr>
            </w:pPr>
          </w:p>
        </w:tc>
      </w:tr>
      <w:tr>
        <w:trPr>
          <w:trHeight w:val="81"/>
        </w:trPr>
        <w:tc>
          <w:tcPr>
            <w:tcW w:w="4320" w:type="dxa"/>
            <w:vAlign w:val="bottom"/>
          </w:tcPr>
          <w:p>
            <w:pPr>
              <w:spacing w:after="0"/>
              <w:rPr>
                <w:sz w:val="7"/>
                <w:szCs w:val="7"/>
                <w:color w:val="auto"/>
              </w:rPr>
            </w:pPr>
          </w:p>
        </w:tc>
        <w:tc>
          <w:tcPr>
            <w:tcW w:w="4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4320" w:type="dxa"/>
            <w:vAlign w:val="bottom"/>
          </w:tcPr>
          <w:p>
            <w:pPr>
              <w:spacing w:after="0"/>
              <w:rPr>
                <w:sz w:val="19"/>
                <w:szCs w:val="19"/>
                <w:color w:val="auto"/>
              </w:rPr>
            </w:pPr>
          </w:p>
        </w:tc>
        <w:tc>
          <w:tcPr>
            <w:tcW w:w="4260" w:type="dxa"/>
            <w:vAlign w:val="bottom"/>
          </w:tcPr>
          <w:p>
            <w:pPr>
              <w:ind w:left="180"/>
              <w:spacing w:after="0"/>
              <w:rPr>
                <w:sz w:val="20"/>
                <w:szCs w:val="20"/>
                <w:color w:val="auto"/>
              </w:rPr>
            </w:pPr>
            <w:r>
              <w:rPr>
                <w:rFonts w:ascii="Arial" w:cs="Arial" w:eastAsia="Arial" w:hAnsi="Arial"/>
                <w:sz w:val="16"/>
                <w:szCs w:val="16"/>
                <w:color w:val="004876"/>
              </w:rPr>
              <w:t xml:space="preserve">• </w:t>
            </w:r>
            <w:r>
              <w:rPr>
                <w:rFonts w:ascii="Arial" w:cs="Arial" w:eastAsia="Arial" w:hAnsi="Arial"/>
                <w:sz w:val="16"/>
                <w:szCs w:val="16"/>
                <w:color w:val="000000"/>
              </w:rPr>
              <w:t>Member, Council on Foreign Relations</w:t>
            </w:r>
          </w:p>
        </w:tc>
        <w:tc>
          <w:tcPr>
            <w:tcW w:w="0" w:type="dxa"/>
            <w:vAlign w:val="bottom"/>
          </w:tcPr>
          <w:p>
            <w:pPr>
              <w:spacing w:after="0"/>
              <w:rPr>
                <w:sz w:val="1"/>
                <w:szCs w:val="1"/>
                <w:color w:val="auto"/>
              </w:rPr>
            </w:pPr>
          </w:p>
        </w:tc>
      </w:tr>
      <w:tr>
        <w:trPr>
          <w:trHeight w:val="230"/>
        </w:trPr>
        <w:tc>
          <w:tcPr>
            <w:tcW w:w="4320" w:type="dxa"/>
            <w:vAlign w:val="bottom"/>
          </w:tcPr>
          <w:p>
            <w:pPr>
              <w:spacing w:after="0"/>
              <w:rPr>
                <w:sz w:val="19"/>
                <w:szCs w:val="19"/>
                <w:color w:val="auto"/>
              </w:rPr>
            </w:pPr>
          </w:p>
        </w:tc>
        <w:tc>
          <w:tcPr>
            <w:tcW w:w="4260" w:type="dxa"/>
            <w:vAlign w:val="bottom"/>
          </w:tcPr>
          <w:p>
            <w:pPr>
              <w:ind w:left="180"/>
              <w:spacing w:after="0"/>
              <w:rPr>
                <w:sz w:val="20"/>
                <w:szCs w:val="20"/>
                <w:color w:val="auto"/>
              </w:rPr>
            </w:pPr>
            <w:r>
              <w:rPr>
                <w:rFonts w:ascii="Arial" w:cs="Arial" w:eastAsia="Arial" w:hAnsi="Arial"/>
                <w:sz w:val="16"/>
                <w:szCs w:val="16"/>
                <w:color w:val="004876"/>
              </w:rPr>
              <w:t xml:space="preserve">• </w:t>
            </w:r>
            <w:r>
              <w:rPr>
                <w:rFonts w:ascii="Arial" w:cs="Arial" w:eastAsia="Arial" w:hAnsi="Arial"/>
                <w:sz w:val="16"/>
                <w:szCs w:val="16"/>
                <w:color w:val="000000"/>
              </w:rPr>
              <w:t>Member, Peterson Institute for International Economics</w:t>
            </w:r>
          </w:p>
        </w:tc>
        <w:tc>
          <w:tcPr>
            <w:tcW w:w="0" w:type="dxa"/>
            <w:vAlign w:val="bottom"/>
          </w:tcPr>
          <w:p>
            <w:pPr>
              <w:spacing w:after="0"/>
              <w:rPr>
                <w:sz w:val="1"/>
                <w:szCs w:val="1"/>
                <w:color w:val="auto"/>
              </w:rPr>
            </w:pPr>
          </w:p>
        </w:tc>
      </w:tr>
      <w:tr>
        <w:trPr>
          <w:trHeight w:val="229"/>
        </w:trPr>
        <w:tc>
          <w:tcPr>
            <w:tcW w:w="4320" w:type="dxa"/>
            <w:vAlign w:val="bottom"/>
          </w:tcPr>
          <w:p>
            <w:pPr>
              <w:spacing w:after="0"/>
              <w:rPr>
                <w:sz w:val="19"/>
                <w:szCs w:val="19"/>
                <w:color w:val="auto"/>
              </w:rPr>
            </w:pPr>
          </w:p>
        </w:tc>
        <w:tc>
          <w:tcPr>
            <w:tcW w:w="4260" w:type="dxa"/>
            <w:vAlign w:val="bottom"/>
          </w:tcPr>
          <w:p>
            <w:pPr>
              <w:ind w:left="180"/>
              <w:spacing w:after="0"/>
              <w:rPr>
                <w:sz w:val="20"/>
                <w:szCs w:val="20"/>
                <w:color w:val="auto"/>
              </w:rPr>
            </w:pPr>
            <w:r>
              <w:rPr>
                <w:rFonts w:ascii="Arial" w:cs="Arial" w:eastAsia="Arial" w:hAnsi="Arial"/>
                <w:sz w:val="16"/>
                <w:szCs w:val="16"/>
                <w:color w:val="004876"/>
              </w:rPr>
              <w:t xml:space="preserve">• </w:t>
            </w:r>
            <w:r>
              <w:rPr>
                <w:rFonts w:ascii="Arial" w:cs="Arial" w:eastAsia="Arial" w:hAnsi="Arial"/>
                <w:sz w:val="16"/>
                <w:szCs w:val="16"/>
                <w:color w:val="000000"/>
              </w:rPr>
              <w:t>Board of Trustees, Northwestern University</w:t>
            </w:r>
          </w:p>
        </w:tc>
        <w:tc>
          <w:tcPr>
            <w:tcW w:w="0" w:type="dxa"/>
            <w:vAlign w:val="bottom"/>
          </w:tcPr>
          <w:p>
            <w:pPr>
              <w:spacing w:after="0"/>
              <w:rPr>
                <w:sz w:val="1"/>
                <w:szCs w:val="1"/>
                <w:color w:val="auto"/>
              </w:rPr>
            </w:pPr>
          </w:p>
        </w:tc>
      </w:tr>
      <w:tr>
        <w:trPr>
          <w:trHeight w:val="224"/>
        </w:trPr>
        <w:tc>
          <w:tcPr>
            <w:tcW w:w="4320" w:type="dxa"/>
            <w:vAlign w:val="bottom"/>
          </w:tcPr>
          <w:p>
            <w:pPr>
              <w:spacing w:after="0"/>
              <w:rPr>
                <w:sz w:val="19"/>
                <w:szCs w:val="19"/>
                <w:color w:val="auto"/>
              </w:rPr>
            </w:pPr>
          </w:p>
        </w:tc>
        <w:tc>
          <w:tcPr>
            <w:tcW w:w="4260" w:type="dxa"/>
            <w:vAlign w:val="bottom"/>
          </w:tcPr>
          <w:p>
            <w:pPr>
              <w:ind w:left="180"/>
              <w:spacing w:after="0"/>
              <w:rPr>
                <w:sz w:val="20"/>
                <w:szCs w:val="20"/>
                <w:color w:val="auto"/>
              </w:rPr>
            </w:pPr>
            <w:r>
              <w:rPr>
                <w:rFonts w:ascii="Arial" w:cs="Arial" w:eastAsia="Arial" w:hAnsi="Arial"/>
                <w:sz w:val="16"/>
                <w:szCs w:val="16"/>
                <w:color w:val="004876"/>
              </w:rPr>
              <w:t xml:space="preserve">• </w:t>
            </w:r>
            <w:r>
              <w:rPr>
                <w:rFonts w:ascii="Arial" w:cs="Arial" w:eastAsia="Arial" w:hAnsi="Arial"/>
                <w:sz w:val="16"/>
                <w:szCs w:val="16"/>
                <w:color w:val="000000"/>
              </w:rPr>
              <w:t>Board of Overseers and Managers, Memorial Sloan-</w:t>
            </w:r>
          </w:p>
        </w:tc>
        <w:tc>
          <w:tcPr>
            <w:tcW w:w="0" w:type="dxa"/>
            <w:vAlign w:val="bottom"/>
          </w:tcPr>
          <w:p>
            <w:pPr>
              <w:spacing w:after="0"/>
              <w:rPr>
                <w:sz w:val="1"/>
                <w:szCs w:val="1"/>
                <w:color w:val="auto"/>
              </w:rPr>
            </w:pPr>
          </w:p>
        </w:tc>
      </w:tr>
      <w:tr>
        <w:trPr>
          <w:trHeight w:val="195"/>
        </w:trPr>
        <w:tc>
          <w:tcPr>
            <w:tcW w:w="4320" w:type="dxa"/>
            <w:vAlign w:val="bottom"/>
          </w:tcPr>
          <w:p>
            <w:pPr>
              <w:spacing w:after="0"/>
              <w:rPr>
                <w:sz w:val="16"/>
                <w:szCs w:val="16"/>
                <w:color w:val="auto"/>
              </w:rPr>
            </w:pPr>
          </w:p>
        </w:tc>
        <w:tc>
          <w:tcPr>
            <w:tcW w:w="4260" w:type="dxa"/>
            <w:vAlign w:val="bottom"/>
          </w:tcPr>
          <w:p>
            <w:pPr>
              <w:ind w:left="340"/>
              <w:spacing w:after="0"/>
              <w:rPr>
                <w:sz w:val="20"/>
                <w:szCs w:val="20"/>
                <w:color w:val="auto"/>
              </w:rPr>
            </w:pPr>
            <w:r>
              <w:rPr>
                <w:rFonts w:ascii="Arial" w:cs="Arial" w:eastAsia="Arial" w:hAnsi="Arial"/>
                <w:sz w:val="16"/>
                <w:szCs w:val="16"/>
                <w:color w:val="auto"/>
              </w:rPr>
              <w:t>Kettering Cancer Center</w:t>
            </w:r>
          </w:p>
        </w:tc>
        <w:tc>
          <w:tcPr>
            <w:tcW w:w="0" w:type="dxa"/>
            <w:vAlign w:val="bottom"/>
          </w:tcPr>
          <w:p>
            <w:pPr>
              <w:spacing w:after="0"/>
              <w:rPr>
                <w:sz w:val="1"/>
                <w:szCs w:val="1"/>
                <w:color w:val="auto"/>
              </w:rPr>
            </w:pPr>
          </w:p>
        </w:tc>
      </w:tr>
      <w:tr>
        <w:trPr>
          <w:trHeight w:val="229"/>
        </w:trPr>
        <w:tc>
          <w:tcPr>
            <w:tcW w:w="4320" w:type="dxa"/>
            <w:vAlign w:val="bottom"/>
          </w:tcPr>
          <w:p>
            <w:pPr>
              <w:spacing w:after="0"/>
              <w:rPr>
                <w:sz w:val="19"/>
                <w:szCs w:val="19"/>
                <w:color w:val="auto"/>
              </w:rPr>
            </w:pPr>
          </w:p>
        </w:tc>
        <w:tc>
          <w:tcPr>
            <w:tcW w:w="4260" w:type="dxa"/>
            <w:vAlign w:val="bottom"/>
          </w:tcPr>
          <w:p>
            <w:pPr>
              <w:ind w:left="180"/>
              <w:spacing w:after="0"/>
              <w:rPr>
                <w:sz w:val="20"/>
                <w:szCs w:val="20"/>
                <w:color w:val="auto"/>
              </w:rPr>
            </w:pPr>
            <w:r>
              <w:rPr>
                <w:rFonts w:ascii="Arial" w:cs="Arial" w:eastAsia="Arial" w:hAnsi="Arial"/>
                <w:sz w:val="16"/>
                <w:szCs w:val="16"/>
                <w:color w:val="004876"/>
              </w:rPr>
              <w:t xml:space="preserve">• </w:t>
            </w:r>
            <w:r>
              <w:rPr>
                <w:rFonts w:ascii="Arial" w:cs="Arial" w:eastAsia="Arial" w:hAnsi="Arial"/>
                <w:sz w:val="16"/>
                <w:szCs w:val="16"/>
                <w:color w:val="000000"/>
              </w:rPr>
              <w:t>Former Member, President’s Export Council</w:t>
            </w:r>
          </w:p>
        </w:tc>
        <w:tc>
          <w:tcPr>
            <w:tcW w:w="0" w:type="dxa"/>
            <w:vAlign w:val="bottom"/>
          </w:tcPr>
          <w:p>
            <w:pPr>
              <w:spacing w:after="0"/>
              <w:rPr>
                <w:sz w:val="1"/>
                <w:szCs w:val="1"/>
                <w:color w:val="auto"/>
              </w:rPr>
            </w:pPr>
          </w:p>
        </w:tc>
      </w:tr>
      <w:tr>
        <w:trPr>
          <w:trHeight w:val="305"/>
        </w:trPr>
        <w:tc>
          <w:tcPr>
            <w:tcW w:w="4320" w:type="dxa"/>
            <w:vAlign w:val="bottom"/>
          </w:tcPr>
          <w:p>
            <w:pPr>
              <w:spacing w:after="0"/>
              <w:rPr>
                <w:sz w:val="24"/>
                <w:szCs w:val="24"/>
                <w:color w:val="auto"/>
              </w:rPr>
            </w:pPr>
          </w:p>
        </w:tc>
        <w:tc>
          <w:tcPr>
            <w:tcW w:w="4260" w:type="dxa"/>
            <w:vAlign w:val="bottom"/>
          </w:tcPr>
          <w:p>
            <w:pPr>
              <w:ind w:left="180"/>
              <w:spacing w:after="0"/>
              <w:rPr>
                <w:sz w:val="20"/>
                <w:szCs w:val="20"/>
                <w:color w:val="auto"/>
              </w:rPr>
            </w:pPr>
            <w:r>
              <w:rPr>
                <w:rFonts w:ascii="Arial" w:cs="Arial" w:eastAsia="Arial" w:hAnsi="Arial"/>
                <w:sz w:val="16"/>
                <w:szCs w:val="16"/>
                <w:b w:val="1"/>
                <w:bCs w:val="1"/>
                <w:color w:val="004876"/>
              </w:rPr>
              <w:t>Education</w:t>
            </w:r>
          </w:p>
        </w:tc>
        <w:tc>
          <w:tcPr>
            <w:tcW w:w="0" w:type="dxa"/>
            <w:vAlign w:val="bottom"/>
          </w:tcPr>
          <w:p>
            <w:pPr>
              <w:spacing w:after="0"/>
              <w:rPr>
                <w:sz w:val="1"/>
                <w:szCs w:val="1"/>
                <w:color w:val="auto"/>
              </w:rPr>
            </w:pPr>
          </w:p>
        </w:tc>
      </w:tr>
      <w:tr>
        <w:trPr>
          <w:trHeight w:val="195"/>
        </w:trPr>
        <w:tc>
          <w:tcPr>
            <w:tcW w:w="4320" w:type="dxa"/>
            <w:vAlign w:val="bottom"/>
          </w:tcPr>
          <w:p>
            <w:pPr>
              <w:spacing w:after="0"/>
              <w:rPr>
                <w:sz w:val="16"/>
                <w:szCs w:val="16"/>
                <w:color w:val="auto"/>
              </w:rPr>
            </w:pPr>
          </w:p>
        </w:tc>
        <w:tc>
          <w:tcPr>
            <w:tcW w:w="4260" w:type="dxa"/>
            <w:vAlign w:val="bottom"/>
          </w:tcPr>
          <w:p>
            <w:pPr>
              <w:ind w:left="180"/>
              <w:spacing w:after="0"/>
              <w:rPr>
                <w:sz w:val="20"/>
                <w:szCs w:val="20"/>
                <w:color w:val="auto"/>
              </w:rPr>
            </w:pPr>
            <w:r>
              <w:rPr>
                <w:rFonts w:ascii="Arial" w:cs="Arial" w:eastAsia="Arial" w:hAnsi="Arial"/>
                <w:sz w:val="16"/>
                <w:szCs w:val="16"/>
                <w:color w:val="004876"/>
              </w:rPr>
              <w:t xml:space="preserve">• </w:t>
            </w:r>
            <w:r>
              <w:rPr>
                <w:rFonts w:ascii="Arial" w:cs="Arial" w:eastAsia="Arial" w:hAnsi="Arial"/>
                <w:sz w:val="16"/>
                <w:szCs w:val="16"/>
                <w:color w:val="000000"/>
              </w:rPr>
              <w:t>Graduate of Northwestern University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-1475105</wp:posOffset>
            </wp:positionH>
            <wp:positionV relativeFrom="paragraph">
              <wp:posOffset>252095</wp:posOffset>
            </wp:positionV>
            <wp:extent cx="7029450" cy="1968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029450" cy="1968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40" w:space="400"/>
            <w:col w:w="8700"/>
          </w:cols>
          <w:pgMar w:left="320" w:top="459" w:right="439" w:bottom="1440" w:gutter="0" w:footer="0" w:header="0"/>
          <w:type w:val="continuous"/>
        </w:sectPr>
      </w:pPr>
    </w:p>
    <w:p>
      <w:pPr>
        <w:spacing w:after="0" w:line="275" w:lineRule="exact"/>
        <w:rPr>
          <w:sz w:val="20"/>
          <w:szCs w:val="20"/>
          <w:color w:val="auto"/>
        </w:rPr>
      </w:pPr>
    </w:p>
    <w:p>
      <w:pPr>
        <w:jc w:val="center"/>
        <w:ind w:right="-99"/>
        <w:spacing w:after="0"/>
        <w:rPr>
          <w:sz w:val="20"/>
          <w:szCs w:val="20"/>
          <w:color w:val="auto"/>
        </w:rPr>
      </w:pPr>
      <w:r>
        <w:rPr>
          <w:rFonts w:ascii="Arial" w:cs="Arial" w:eastAsia="Arial" w:hAnsi="Arial"/>
          <w:sz w:val="13"/>
          <w:szCs w:val="13"/>
          <w:b w:val="1"/>
          <w:bCs w:val="1"/>
          <w:color w:val="004876"/>
        </w:rPr>
        <w:t>18</w:t>
      </w:r>
    </w:p>
    <w:p>
      <w:pPr>
        <w:sectPr>
          <w:pgSz w:w="11900" w:h="16838" w:orient="portrait"/>
          <w:cols w:equalWidth="0" w:num="1">
            <w:col w:w="11140"/>
          </w:cols>
          <w:pgMar w:left="320" w:top="459" w:right="43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04876"/>
        </w:rPr>
        <w:t>CORPORATE GOVERNANCE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160655</wp:posOffset>
            </wp:positionV>
            <wp:extent cx="7029450" cy="3257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029450" cy="325755"/>
                    </a:xfrm>
                    <a:prstGeom prst="rect">
                      <a:avLst/>
                    </a:prstGeom>
                    <a:noFill/>
                  </pic:spPr>
                </pic:pic>
              </a:graphicData>
            </a:graphic>
          </wp:anchor>
        </w:drawing>
      </w:r>
    </w:p>
    <w:p>
      <w:pPr>
        <w:sectPr>
          <w:pgSz w:w="11900" w:h="16838" w:orient="portrait"/>
          <w:cols w:equalWidth="0" w:num="1">
            <w:col w:w="11100"/>
          </w:cols>
          <w:pgMar w:left="320" w:top="459"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20"/>
        <w:spacing w:after="0"/>
        <w:rPr>
          <w:sz w:val="20"/>
          <w:szCs w:val="20"/>
          <w:color w:val="auto"/>
        </w:rPr>
      </w:pPr>
      <w:r>
        <w:rPr>
          <w:rFonts w:ascii="Arial" w:cs="Arial" w:eastAsia="Arial" w:hAnsi="Arial"/>
          <w:sz w:val="29"/>
          <w:szCs w:val="29"/>
          <w:color w:val="004876"/>
        </w:rPr>
        <w:t>Director independence</w:t>
      </w:r>
    </w:p>
    <w:p>
      <w:pPr>
        <w:spacing w:after="0" w:line="183" w:lineRule="exact"/>
        <w:rPr>
          <w:sz w:val="20"/>
          <w:szCs w:val="20"/>
          <w:color w:val="auto"/>
        </w:rPr>
      </w:pPr>
    </w:p>
    <w:p>
      <w:pPr>
        <w:ind w:left="120" w:right="40"/>
        <w:spacing w:after="0" w:line="257" w:lineRule="auto"/>
        <w:rPr>
          <w:sz w:val="20"/>
          <w:szCs w:val="20"/>
          <w:color w:val="auto"/>
        </w:rPr>
      </w:pPr>
      <w:r>
        <w:rPr>
          <w:rFonts w:ascii="Arial" w:cs="Arial" w:eastAsia="Arial" w:hAnsi="Arial"/>
          <w:sz w:val="17"/>
          <w:szCs w:val="17"/>
          <w:color w:val="auto"/>
        </w:rPr>
        <w:t>All of the Firm’s non-management Board members and the new director nominee are independent, under both the NYSE corporate governance listing standards and the Firm’s independence standards as set forth in its Governance Principles.</w:t>
      </w:r>
    </w:p>
    <w:p>
      <w:pPr>
        <w:spacing w:after="0" w:line="81"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color w:val="auto"/>
        </w:rPr>
        <w:t>To be considered independent, a director must have no disqualifying relationships as defined by the NYSE, and the Board must have affirmatively determined that he or she has no material relationships with JPMorgan Chase, either directly or as a partner, shareholder or officer of another organization that has a relationship with the Firm.</w:t>
      </w:r>
    </w:p>
    <w:p>
      <w:pPr>
        <w:spacing w:after="0" w:line="97" w:lineRule="exact"/>
        <w:rPr>
          <w:sz w:val="20"/>
          <w:szCs w:val="20"/>
          <w:color w:val="auto"/>
        </w:rPr>
      </w:pPr>
    </w:p>
    <w:p>
      <w:pPr>
        <w:ind w:left="120"/>
        <w:spacing w:after="0" w:line="250" w:lineRule="auto"/>
        <w:rPr>
          <w:sz w:val="20"/>
          <w:szCs w:val="20"/>
          <w:color w:val="auto"/>
        </w:rPr>
      </w:pPr>
      <w:r>
        <w:rPr>
          <w:rFonts w:ascii="Arial" w:cs="Arial" w:eastAsia="Arial" w:hAnsi="Arial"/>
          <w:sz w:val="17"/>
          <w:szCs w:val="17"/>
          <w:color w:val="auto"/>
        </w:rPr>
        <w:t>In assessing the materiality of relationships with the Firm, the Board considers relevant facts and circumstances. Given the nature and broad scope of the products and services provided by the Firm, there are from time to time ordinary course of business transactions between the Firm and a director, his or her immediate family members, or principal business affiliations. These may include, among other relationships: extensions of credit; provision of other financial and financial advisory products and services; business transactions for property or services; and charitable contributions made by the JPMorgan Chase Foundation or the Firm to a nonprofit organization of which a director is an officer. The Board reviews these relationships to assess their materiality and determine if any such relationship would impair the independence and judgment of the relevant director.</w:t>
      </w:r>
    </w:p>
    <w:p>
      <w:pPr>
        <w:spacing w:after="0" w:line="92" w:lineRule="exact"/>
        <w:rPr>
          <w:sz w:val="20"/>
          <w:szCs w:val="20"/>
          <w:color w:val="auto"/>
        </w:rPr>
      </w:pPr>
    </w:p>
    <w:p>
      <w:pPr>
        <w:ind w:left="120" w:right="200"/>
        <w:spacing w:after="0"/>
        <w:rPr>
          <w:sz w:val="20"/>
          <w:szCs w:val="20"/>
          <w:color w:val="auto"/>
        </w:rPr>
      </w:pPr>
      <w:r>
        <w:rPr>
          <w:rFonts w:ascii="Arial" w:cs="Arial" w:eastAsia="Arial" w:hAnsi="Arial"/>
          <w:sz w:val="18"/>
          <w:szCs w:val="18"/>
          <w:color w:val="auto"/>
        </w:rPr>
        <w:t>The relationships and transactions the Board considered in evaluating each director’s and director nominee’s independence were as follows:</w:t>
      </w:r>
    </w:p>
    <w:p>
      <w:pPr>
        <w:spacing w:after="0" w:line="108" w:lineRule="exact"/>
        <w:rPr>
          <w:sz w:val="20"/>
          <w:szCs w:val="20"/>
          <w:color w:val="auto"/>
        </w:rPr>
      </w:pPr>
    </w:p>
    <w:p>
      <w:pPr>
        <w:ind w:left="300" w:right="20" w:hanging="184"/>
        <w:spacing w:after="0" w:line="238" w:lineRule="auto"/>
        <w:tabs>
          <w:tab w:leader="none" w:pos="300" w:val="left"/>
        </w:tabs>
        <w:numPr>
          <w:ilvl w:val="0"/>
          <w:numId w:val="60"/>
        </w:numPr>
        <w:rPr>
          <w:rFonts w:ascii="Arial" w:cs="Arial" w:eastAsia="Arial" w:hAnsi="Arial"/>
          <w:sz w:val="18"/>
          <w:szCs w:val="18"/>
          <w:color w:val="004876"/>
        </w:rPr>
      </w:pPr>
      <w:r>
        <w:rPr>
          <w:rFonts w:ascii="Arial" w:cs="Arial" w:eastAsia="Arial" w:hAnsi="Arial"/>
          <w:sz w:val="18"/>
          <w:szCs w:val="18"/>
          <w:color w:val="auto"/>
        </w:rPr>
        <w:t>Consumer credit: a line of credit provided to director Jackson; and credit cards issued to directors Bammann, Bell, Crown, Flynn, Jackson, Neal, and Raymond, and their immediate family members</w:t>
      </w:r>
    </w:p>
    <w:p>
      <w:pPr>
        <w:spacing w:after="0" w:line="110" w:lineRule="exact"/>
        <w:rPr>
          <w:rFonts w:ascii="Arial" w:cs="Arial" w:eastAsia="Arial" w:hAnsi="Arial"/>
          <w:sz w:val="18"/>
          <w:szCs w:val="18"/>
          <w:color w:val="004876"/>
        </w:rPr>
      </w:pPr>
    </w:p>
    <w:p>
      <w:pPr>
        <w:ind w:left="300" w:right="260" w:hanging="184"/>
        <w:spacing w:after="0" w:line="234" w:lineRule="auto"/>
        <w:tabs>
          <w:tab w:leader="none" w:pos="300" w:val="left"/>
        </w:tabs>
        <w:numPr>
          <w:ilvl w:val="0"/>
          <w:numId w:val="60"/>
        </w:numPr>
        <w:rPr>
          <w:rFonts w:ascii="Arial" w:cs="Arial" w:eastAsia="Arial" w:hAnsi="Arial"/>
          <w:sz w:val="18"/>
          <w:szCs w:val="18"/>
          <w:color w:val="004876"/>
        </w:rPr>
      </w:pPr>
      <w:r>
        <w:rPr>
          <w:rFonts w:ascii="Arial" w:cs="Arial" w:eastAsia="Arial" w:hAnsi="Arial"/>
          <w:sz w:val="18"/>
          <w:szCs w:val="18"/>
          <w:color w:val="auto"/>
        </w:rPr>
        <w:t>Wholesale credit: extensions of credit and other financial and financial advisory products and services provided to: NBCUniversal, LLC and Comcast Corporation, for which</w:t>
      </w:r>
    </w:p>
    <w:p>
      <w:pPr>
        <w:spacing w:after="0" w:line="2" w:lineRule="exact"/>
        <w:rPr>
          <w:rFonts w:ascii="Arial" w:cs="Arial" w:eastAsia="Arial" w:hAnsi="Arial"/>
          <w:sz w:val="18"/>
          <w:szCs w:val="18"/>
          <w:color w:val="004876"/>
        </w:rPr>
      </w:pPr>
    </w:p>
    <w:p>
      <w:pPr>
        <w:ind w:left="300" w:right="40"/>
        <w:spacing w:after="0" w:line="234" w:lineRule="auto"/>
        <w:rPr>
          <w:rFonts w:ascii="Arial" w:cs="Arial" w:eastAsia="Arial" w:hAnsi="Arial"/>
          <w:sz w:val="18"/>
          <w:szCs w:val="18"/>
          <w:color w:val="004876"/>
        </w:rPr>
      </w:pPr>
      <w:r>
        <w:rPr>
          <w:rFonts w:ascii="Arial" w:cs="Arial" w:eastAsia="Arial" w:hAnsi="Arial"/>
          <w:sz w:val="18"/>
          <w:szCs w:val="18"/>
          <w:color w:val="auto"/>
        </w:rPr>
        <w:t>Mr. Burke is Chairman and a senior executive, respectively, and their subsidiaries; Berkshire Hathaway Inc., for which</w:t>
      </w:r>
    </w:p>
    <w:p>
      <w:pPr>
        <w:spacing w:after="0" w:line="1" w:lineRule="exact"/>
        <w:rPr>
          <w:rFonts w:ascii="Arial" w:cs="Arial" w:eastAsia="Arial" w:hAnsi="Arial"/>
          <w:sz w:val="18"/>
          <w:szCs w:val="18"/>
          <w:color w:val="004876"/>
        </w:rPr>
      </w:pPr>
    </w:p>
    <w:p>
      <w:pPr>
        <w:ind w:left="300" w:right="80"/>
        <w:spacing w:after="0" w:line="238" w:lineRule="auto"/>
        <w:rPr>
          <w:rFonts w:ascii="Arial" w:cs="Arial" w:eastAsia="Arial" w:hAnsi="Arial"/>
          <w:sz w:val="18"/>
          <w:szCs w:val="18"/>
          <w:color w:val="004876"/>
        </w:rPr>
      </w:pPr>
      <w:r>
        <w:rPr>
          <w:rFonts w:ascii="Arial" w:cs="Arial" w:eastAsia="Arial" w:hAnsi="Arial"/>
          <w:sz w:val="18"/>
          <w:szCs w:val="18"/>
          <w:color w:val="auto"/>
        </w:rPr>
        <w:t>Mr. Combs is an Investment Officer, and its subsidiaries; Henry Crown and Company, for which Mr. Crown is Chairman and Chief Executive Officer, and other Crown family-owned entities; Ariel Investments, LLC, for which Ms. Hobson is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66" w:right="140"/>
        <w:spacing w:after="0" w:line="236" w:lineRule="auto"/>
        <w:rPr>
          <w:sz w:val="20"/>
          <w:szCs w:val="20"/>
          <w:color w:val="auto"/>
        </w:rPr>
      </w:pPr>
      <w:r>
        <w:rPr>
          <w:rFonts w:ascii="Arial" w:cs="Arial" w:eastAsia="Arial" w:hAnsi="Arial"/>
          <w:sz w:val="18"/>
          <w:szCs w:val="18"/>
          <w:color w:val="auto"/>
        </w:rPr>
        <w:t>Co-Chief Executive Officer and President, and its subsidiaries and funds; certain entities wholly-owned by Ms. Hobson’s spouse; portfolio companies that have among its principal shareholders funds managed by The Energy &amp; Minerals Group, for which a son of Mr. Raymond is the Chief Executive Officer; and International Business Machines Corporation, for which Mrs. Rometty is the Chairman, President and Chief Executive Officer, and its subsidiaries</w:t>
      </w:r>
    </w:p>
    <w:p>
      <w:pPr>
        <w:spacing w:after="0" w:line="113" w:lineRule="exact"/>
        <w:rPr>
          <w:sz w:val="20"/>
          <w:szCs w:val="20"/>
          <w:color w:val="auto"/>
        </w:rPr>
      </w:pPr>
    </w:p>
    <w:p>
      <w:pPr>
        <w:ind w:left="166" w:hanging="166"/>
        <w:spacing w:after="0" w:line="236" w:lineRule="auto"/>
        <w:tabs>
          <w:tab w:leader="none" w:pos="166" w:val="left"/>
        </w:tabs>
        <w:numPr>
          <w:ilvl w:val="0"/>
          <w:numId w:val="61"/>
        </w:numPr>
        <w:rPr>
          <w:rFonts w:ascii="Arial" w:cs="Arial" w:eastAsia="Arial" w:hAnsi="Arial"/>
          <w:sz w:val="18"/>
          <w:szCs w:val="18"/>
          <w:color w:val="004876"/>
        </w:rPr>
      </w:pPr>
      <w:r>
        <w:rPr>
          <w:rFonts w:ascii="Arial" w:cs="Arial" w:eastAsia="Arial" w:hAnsi="Arial"/>
          <w:sz w:val="18"/>
          <w:szCs w:val="18"/>
          <w:color w:val="auto"/>
        </w:rPr>
        <w:t>Goods and services: commercial office space leased by the Firm from subsidiaries of companies in which Mr. Crown and members of his immediate family have indirect ownership interests; national, local and digital media placements with NBCUniversal and Comcast outlets; telecom data circuits purchased from Comcast; purchases from Berkshire Hathaway subsidiaries of private aviation services, professional services related to the Firm’s corporate-owned aircraft, merchandising fixtures, and fixtures for employee workstations; and purchases from IBM of hardware, software, hardware maintenance services and professional services</w:t>
      </w:r>
    </w:p>
    <w:p>
      <w:pPr>
        <w:spacing w:after="0" w:line="110" w:lineRule="exact"/>
        <w:rPr>
          <w:rFonts w:ascii="Arial" w:cs="Arial" w:eastAsia="Arial" w:hAnsi="Arial"/>
          <w:sz w:val="18"/>
          <w:szCs w:val="18"/>
          <w:color w:val="004876"/>
        </w:rPr>
      </w:pPr>
    </w:p>
    <w:p>
      <w:pPr>
        <w:jc w:val="both"/>
        <w:ind w:left="166" w:right="160" w:hanging="166"/>
        <w:spacing w:after="0" w:line="238" w:lineRule="auto"/>
        <w:tabs>
          <w:tab w:leader="none" w:pos="166" w:val="left"/>
        </w:tabs>
        <w:numPr>
          <w:ilvl w:val="0"/>
          <w:numId w:val="61"/>
        </w:numPr>
        <w:rPr>
          <w:rFonts w:ascii="Arial" w:cs="Arial" w:eastAsia="Arial" w:hAnsi="Arial"/>
          <w:sz w:val="18"/>
          <w:szCs w:val="18"/>
          <w:color w:val="004876"/>
        </w:rPr>
      </w:pPr>
      <w:r>
        <w:rPr>
          <w:rFonts w:ascii="Arial" w:cs="Arial" w:eastAsia="Arial" w:hAnsi="Arial"/>
          <w:sz w:val="18"/>
          <w:szCs w:val="18"/>
          <w:color w:val="auto"/>
        </w:rPr>
        <w:t>Other relationship: Haven, the joint health care initiative formed by the Firm, Amazon and Berkshire Hathaway to address ways to improve health care and reduce costs for U.S. employees of the three companies</w:t>
      </w:r>
    </w:p>
    <w:p>
      <w:pPr>
        <w:spacing w:after="0" w:line="97" w:lineRule="exact"/>
        <w:rPr>
          <w:sz w:val="20"/>
          <w:szCs w:val="20"/>
          <w:color w:val="auto"/>
        </w:rPr>
      </w:pPr>
    </w:p>
    <w:p>
      <w:pPr>
        <w:ind w:left="6" w:right="20"/>
        <w:spacing w:after="0" w:line="236" w:lineRule="auto"/>
        <w:rPr>
          <w:sz w:val="20"/>
          <w:szCs w:val="20"/>
          <w:color w:val="auto"/>
        </w:rPr>
      </w:pPr>
      <w:r>
        <w:rPr>
          <w:rFonts w:ascii="Arial" w:cs="Arial" w:eastAsia="Arial" w:hAnsi="Arial"/>
          <w:sz w:val="18"/>
          <w:szCs w:val="18"/>
          <w:color w:val="auto"/>
        </w:rPr>
        <w:t>The Board, having reviewed the above-described relationships between the Firm and each director and nominee, determined, in accordance with the NYSE’s listing standards and the Firm’s independence standards, that each non-management director and nominee (Linda B. Bammann, James A. Bell, Stephen B. Burke, Todd A. Combs, James S. Crown, Timothy P. Flynn, Mellody Hobson, Laban P. Jackson, Jr., Michael A. Neal, Lee R. Raymond and Virginia M. Rometty) had only immaterial relationships with JPMorgan Chase and accordingly is independent. William C. Weldon, who retired in May 2019, had only immaterial relationships with JPMorgan Chase and accordingly was an independent director.</w:t>
      </w:r>
    </w:p>
    <w:p>
      <w:pPr>
        <w:spacing w:after="0" w:line="96" w:lineRule="exact"/>
        <w:rPr>
          <w:sz w:val="20"/>
          <w:szCs w:val="20"/>
          <w:color w:val="auto"/>
        </w:rPr>
      </w:pPr>
    </w:p>
    <w:p>
      <w:pPr>
        <w:ind w:left="6"/>
        <w:spacing w:after="0" w:line="237" w:lineRule="auto"/>
        <w:rPr>
          <w:sz w:val="20"/>
          <w:szCs w:val="20"/>
          <w:color w:val="auto"/>
        </w:rPr>
      </w:pPr>
      <w:r>
        <w:rPr>
          <w:rFonts w:ascii="Arial" w:cs="Arial" w:eastAsia="Arial" w:hAnsi="Arial"/>
          <w:sz w:val="18"/>
          <w:szCs w:val="18"/>
          <w:color w:val="auto"/>
        </w:rPr>
        <w:t>All directors who served on the Audit and Compensation &amp; Management Development Committees of the Board were also determined to meet the additional independence and qualitative criteria of the NYSE listing standards applicable to directors serving on those committees. For more information about the committees of the Board, see pages 24-26.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-3566795</wp:posOffset>
            </wp:positionH>
            <wp:positionV relativeFrom="paragraph">
              <wp:posOffset>335915</wp:posOffset>
            </wp:positionV>
            <wp:extent cx="7029450" cy="1974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029450" cy="1974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00" w:space="334"/>
            <w:col w:w="5366"/>
          </w:cols>
          <w:pgMar w:left="320" w:top="459" w:right="479" w:bottom="1440" w:gutter="0" w:footer="0" w:header="0"/>
          <w:type w:val="continuous"/>
        </w:sectPr>
      </w:pPr>
    </w:p>
    <w:p>
      <w:pPr>
        <w:spacing w:after="0" w:line="200" w:lineRule="exact"/>
        <w:rPr>
          <w:sz w:val="20"/>
          <w:szCs w:val="20"/>
          <w:color w:val="auto"/>
        </w:rPr>
      </w:pPr>
    </w:p>
    <w:p>
      <w:pPr>
        <w:spacing w:after="0" w:line="207" w:lineRule="exact"/>
        <w:rPr>
          <w:sz w:val="20"/>
          <w:szCs w:val="20"/>
          <w:color w:val="auto"/>
        </w:rPr>
      </w:pPr>
    </w:p>
    <w:p>
      <w:pPr>
        <w:jc w:val="center"/>
        <w:ind w:right="-139"/>
        <w:spacing w:after="0"/>
        <w:rPr>
          <w:sz w:val="20"/>
          <w:szCs w:val="20"/>
          <w:color w:val="auto"/>
        </w:rPr>
      </w:pPr>
      <w:r>
        <w:rPr>
          <w:rFonts w:ascii="Arial" w:cs="Arial" w:eastAsia="Arial" w:hAnsi="Arial"/>
          <w:sz w:val="13"/>
          <w:szCs w:val="13"/>
          <w:b w:val="1"/>
          <w:bCs w:val="1"/>
          <w:color w:val="004876"/>
        </w:rPr>
        <w:t>19</w:t>
      </w:r>
    </w:p>
    <w:p>
      <w:pPr>
        <w:sectPr>
          <w:pgSz w:w="11900" w:h="16838" w:orient="portrait"/>
          <w:cols w:equalWidth="0" w:num="1">
            <w:col w:w="11100"/>
          </w:cols>
          <w:pgMar w:left="320" w:top="459" w:right="47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4876"/>
        </w:rPr>
        <w:t>ELECTION OF DIRECTORS |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160655</wp:posOffset>
            </wp:positionV>
            <wp:extent cx="7029450" cy="3257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02945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20"/>
        <w:spacing w:after="0"/>
        <w:rPr>
          <w:sz w:val="20"/>
          <w:szCs w:val="20"/>
          <w:color w:val="auto"/>
        </w:rPr>
      </w:pPr>
      <w:r>
        <w:rPr>
          <w:rFonts w:ascii="Arial" w:cs="Arial" w:eastAsia="Arial" w:hAnsi="Arial"/>
          <w:sz w:val="29"/>
          <w:szCs w:val="29"/>
          <w:color w:val="004876"/>
        </w:rPr>
        <w:t>Director recruitment</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Governance Committee oversees the ongoing evaluation of candidates for Board membership and the candidate nomination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-1905</wp:posOffset>
            </wp:positionV>
            <wp:extent cx="5657850" cy="32404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657850" cy="3240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20" w:right="60"/>
        <w:spacing w:after="0"/>
        <w:rPr>
          <w:sz w:val="20"/>
          <w:szCs w:val="20"/>
          <w:color w:val="auto"/>
        </w:rPr>
      </w:pPr>
      <w:r>
        <w:rPr>
          <w:rFonts w:ascii="Arial" w:cs="Arial" w:eastAsia="Arial" w:hAnsi="Arial"/>
          <w:sz w:val="18"/>
          <w:szCs w:val="18"/>
          <w:color w:val="auto"/>
        </w:rPr>
        <w:t>Our By-laws also permit a shareholder group of up to 20 shareholders who have continuously owned at least 3% of the Firm’s outstanding shares for at least three years to nominate up to 20% of the Board (but in any event at least two directors). For further information, see page 112. All candidates recommended to the Governance Committee are evaluated based on the same standards.</w:t>
      </w:r>
    </w:p>
    <w:p>
      <w:pPr>
        <w:spacing w:after="0" w:line="95" w:lineRule="exact"/>
        <w:rPr>
          <w:sz w:val="20"/>
          <w:szCs w:val="20"/>
          <w:color w:val="auto"/>
        </w:rPr>
      </w:pPr>
    </w:p>
    <w:p>
      <w:pPr>
        <w:ind w:left="120" w:right="440"/>
        <w:spacing w:after="0" w:line="248" w:lineRule="auto"/>
        <w:rPr>
          <w:sz w:val="20"/>
          <w:szCs w:val="20"/>
          <w:color w:val="auto"/>
        </w:rPr>
      </w:pPr>
      <w:r>
        <w:rPr>
          <w:rFonts w:ascii="Arial" w:cs="Arial" w:eastAsia="Arial" w:hAnsi="Arial"/>
          <w:sz w:val="17"/>
          <w:szCs w:val="17"/>
          <w:color w:val="auto"/>
        </w:rPr>
        <w:t>Since our last annual shareholders meeting, the Governance Committee, using the process described above and taking into account, among other factors, shareholders’ interest in board refreshment and specifically adding directors with experience in technology and leadership of large, complex organizations, nominated Virginia M. Rometty for election to the Board at this year’s annual meeting.</w:t>
      </w:r>
    </w:p>
    <w:p>
      <w:pPr>
        <w:spacing w:after="0" w:line="2" w:lineRule="exact"/>
        <w:rPr>
          <w:sz w:val="20"/>
          <w:szCs w:val="20"/>
          <w:color w:val="auto"/>
        </w:rPr>
      </w:pPr>
    </w:p>
    <w:p>
      <w:pPr>
        <w:ind w:left="120" w:right="140"/>
        <w:spacing w:after="0" w:line="238" w:lineRule="auto"/>
        <w:rPr>
          <w:sz w:val="20"/>
          <w:szCs w:val="20"/>
          <w:color w:val="auto"/>
        </w:rPr>
      </w:pPr>
      <w:r>
        <w:rPr>
          <w:rFonts w:ascii="Arial" w:cs="Arial" w:eastAsia="Arial" w:hAnsi="Arial"/>
          <w:sz w:val="18"/>
          <w:szCs w:val="18"/>
          <w:color w:val="auto"/>
        </w:rPr>
        <w:t>Mrs. Rometty has been among a select group of individuals considered as part of the Governance Committee’s evaluation of prospective Board members in recent years. After Mr. Dimon, Mr. Raymond and the members of the Governance Committee met with Mrs. Rometty, and after the Governance Committee reviewed her qualifications, including her experience in public company governance, leadership, technology, operational and regulatory issues, as well as her constructive personal attributes and her independence, Mrs. Rometty was nominated for election to the Board. For information on Mrs. Rometty’s qualifications, see page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240665</wp:posOffset>
            </wp:positionV>
            <wp:extent cx="7029450" cy="1968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029450" cy="19685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jc w:val="center"/>
        <w:ind w:right="-119"/>
        <w:spacing w:after="0"/>
        <w:rPr>
          <w:sz w:val="20"/>
          <w:szCs w:val="20"/>
          <w:color w:val="auto"/>
        </w:rPr>
      </w:pPr>
      <w:r>
        <w:rPr>
          <w:rFonts w:ascii="Arial" w:cs="Arial" w:eastAsia="Arial" w:hAnsi="Arial"/>
          <w:sz w:val="13"/>
          <w:szCs w:val="13"/>
          <w:b w:val="1"/>
          <w:bCs w:val="1"/>
          <w:color w:val="004876"/>
        </w:rPr>
        <w:t>20</w:t>
      </w:r>
    </w:p>
    <w:p>
      <w:pPr>
        <w:sectPr>
          <w:pgSz w:w="11900" w:h="16838" w:orient="portrait"/>
          <w:cols w:equalWidth="0" w:num="1">
            <w:col w:w="11140"/>
          </w:cols>
          <w:pgMar w:left="32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04876"/>
        </w:rPr>
        <w:t>CORPORATE GOVERNANCE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160655</wp:posOffset>
            </wp:positionV>
            <wp:extent cx="7029450" cy="3257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02945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20"/>
        <w:spacing w:after="0"/>
        <w:rPr>
          <w:sz w:val="20"/>
          <w:szCs w:val="20"/>
          <w:color w:val="auto"/>
        </w:rPr>
      </w:pPr>
      <w:r>
        <w:rPr>
          <w:rFonts w:ascii="Arial" w:cs="Arial" w:eastAsia="Arial" w:hAnsi="Arial"/>
          <w:sz w:val="29"/>
          <w:szCs w:val="29"/>
          <w:color w:val="004876"/>
        </w:rPr>
        <w:t>Director re-nomination</w:t>
      </w:r>
    </w:p>
    <w:p>
      <w:pPr>
        <w:spacing w:after="0" w:line="48" w:lineRule="exact"/>
        <w:rPr>
          <w:sz w:val="20"/>
          <w:szCs w:val="20"/>
          <w:color w:val="auto"/>
        </w:rPr>
      </w:pPr>
    </w:p>
    <w:p>
      <w:pPr>
        <w:ind w:left="120" w:right="100"/>
        <w:spacing w:after="0" w:line="246" w:lineRule="auto"/>
        <w:rPr>
          <w:sz w:val="20"/>
          <w:szCs w:val="20"/>
          <w:color w:val="auto"/>
        </w:rPr>
      </w:pPr>
      <w:r>
        <w:rPr>
          <w:rFonts w:ascii="Arial" w:cs="Arial" w:eastAsia="Arial" w:hAnsi="Arial"/>
          <w:sz w:val="18"/>
          <w:szCs w:val="18"/>
          <w:color w:val="auto"/>
        </w:rPr>
        <w:t>The Governance Committee also oversees the re-nomination process. In considering whether to re-nominate a director for election at our annual meeting, the Governance Committee reviews each director, considering such factors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1985010</wp:posOffset>
            </wp:positionH>
            <wp:positionV relativeFrom="paragraph">
              <wp:posOffset>65405</wp:posOffset>
            </wp:positionV>
            <wp:extent cx="3171825" cy="315468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171825" cy="3154680"/>
                    </a:xfrm>
                    <a:prstGeom prst="rect">
                      <a:avLst/>
                    </a:prstGeom>
                    <a:noFill/>
                  </pic:spPr>
                </pic:pic>
              </a:graphicData>
            </a:graphic>
          </wp:anchor>
        </w:drawing>
      </w:r>
    </w:p>
    <w:p>
      <w:pPr>
        <w:sectPr>
          <w:pgSz w:w="11900" w:h="16838" w:orient="portrait"/>
          <w:cols w:equalWidth="0" w:num="1">
            <w:col w:w="11120"/>
          </w:cols>
          <w:pgMar w:left="320" w:top="459"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0"/>
        <w:spacing w:after="0"/>
        <w:rPr>
          <w:sz w:val="20"/>
          <w:szCs w:val="20"/>
          <w:color w:val="auto"/>
        </w:rPr>
      </w:pPr>
      <w:r>
        <w:rPr>
          <w:rFonts w:ascii="Arial" w:cs="Arial" w:eastAsia="Arial" w:hAnsi="Arial"/>
          <w:sz w:val="18"/>
          <w:szCs w:val="18"/>
          <w:color w:val="004876"/>
        </w:rPr>
        <w:t>Retirement Policy</w:t>
      </w:r>
    </w:p>
    <w:p>
      <w:pPr>
        <w:spacing w:after="0" w:line="171" w:lineRule="exact"/>
        <w:rPr>
          <w:sz w:val="20"/>
          <w:szCs w:val="20"/>
          <w:color w:val="auto"/>
        </w:rPr>
      </w:pPr>
    </w:p>
    <w:p>
      <w:pPr>
        <w:ind w:left="120" w:right="60"/>
        <w:spacing w:after="0" w:line="251" w:lineRule="auto"/>
        <w:rPr>
          <w:sz w:val="20"/>
          <w:szCs w:val="20"/>
          <w:color w:val="auto"/>
        </w:rPr>
      </w:pPr>
      <w:r>
        <w:rPr>
          <w:rFonts w:ascii="Arial" w:cs="Arial" w:eastAsia="Arial" w:hAnsi="Arial"/>
          <w:sz w:val="17"/>
          <w:szCs w:val="17"/>
          <w:color w:val="auto"/>
        </w:rPr>
        <w:t>Our Governance Principles require a non-management director to offer not to stand for re-election in each calendar year following a year in which the director will be 72 or older. The Board (other than the affected director) then determines whether to accept the offer. The Board believes that the appropriate mix of experience and fresh perspectives is an important consideration in assessing Board composition, and the best interests of the Firm are served by taking advantage of all available talent, and evaluations as to director candidacy should not be determined solely on age.</w:t>
      </w:r>
    </w:p>
    <w:p>
      <w:pPr>
        <w:spacing w:after="0" w:line="91"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Consistent with our Governance Principles, one of our director nominees, Lee R. Raymond, offered not to stand for re-election this year. The Board reviewed his offer, taking into account his contributions, the results of the annual Board and committee self-assessment, ongoing succession planning for the Board and the other factors listed above. The Board noted that Mr. Raymond continues to receive high levels of shareholder support, having received the support of more than 93.7% of the votes cast by shareholders at our 2019 annual meeting. The Board believes that Mr. Raymond’s skills and experience complement those of the Board’s Chair.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Board determined that Mr. Raymond possesses the capability, judgment, and other skills and attributes the Board looks for in a director. The Board also considered his leadership as Lead Independent Director and Chair of the CMDC as well as his contributions as a member of the Governance Committee. In addition, the Board noted his broad experience both within and outside the Firm, particularly in the areas of management development and succession planning, and concluded that he continues to be of great value to the Board, and that his continued service as a director is in the best interests of the Firm’s shareholders.</w:t>
      </w:r>
    </w:p>
    <w:p>
      <w:pPr>
        <w:spacing w:after="0" w:line="97"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Following its review, the Board determined (with Mr. Raymond abstaining) that Mr. Raymond should be re-nominated for election as a director and therefore did not accept his offer not to stand for re-election. For specific information on Mr. Raymond’s qualifications and his individual contributions to the Board, including his Board committee roles, see page 18. For information regarding</w:t>
      </w:r>
    </w:p>
    <w:p>
      <w:pPr>
        <w:spacing w:after="0" w:line="3" w:lineRule="exact"/>
        <w:rPr>
          <w:sz w:val="20"/>
          <w:szCs w:val="20"/>
          <w:color w:val="auto"/>
        </w:rPr>
      </w:pPr>
    </w:p>
    <w:p>
      <w:pPr>
        <w:ind w:right="60"/>
        <w:spacing w:after="0"/>
        <w:rPr>
          <w:sz w:val="20"/>
          <w:szCs w:val="20"/>
          <w:color w:val="auto"/>
        </w:rPr>
      </w:pPr>
      <w:r>
        <w:rPr>
          <w:rFonts w:ascii="Arial" w:cs="Arial" w:eastAsia="Arial" w:hAnsi="Arial"/>
          <w:sz w:val="18"/>
          <w:szCs w:val="18"/>
          <w:color w:val="auto"/>
        </w:rPr>
        <w:t>Mr. Raymond’s appointment as Lead Independent Director, see page 22. For a description of the annual Board and committee self-assessment process, see page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334645</wp:posOffset>
            </wp:positionV>
            <wp:extent cx="7029450" cy="1968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029450" cy="1968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00" w:space="340"/>
            <w:col w:w="5380"/>
          </w:cols>
          <w:pgMar w:left="320" w:top="459" w:right="459" w:bottom="1440" w:gutter="0" w:footer="0" w:header="0"/>
          <w:type w:val="continuous"/>
        </w:sectPr>
      </w:pPr>
    </w:p>
    <w:p>
      <w:pPr>
        <w:spacing w:after="0" w:line="200" w:lineRule="exact"/>
        <w:rPr>
          <w:sz w:val="20"/>
          <w:szCs w:val="20"/>
          <w:color w:val="auto"/>
        </w:rPr>
      </w:pPr>
    </w:p>
    <w:p>
      <w:pPr>
        <w:spacing w:after="0" w:line="205" w:lineRule="exact"/>
        <w:rPr>
          <w:sz w:val="20"/>
          <w:szCs w:val="20"/>
          <w:color w:val="auto"/>
        </w:rPr>
      </w:pPr>
    </w:p>
    <w:p>
      <w:pPr>
        <w:jc w:val="center"/>
        <w:ind w:right="-119"/>
        <w:spacing w:after="0"/>
        <w:rPr>
          <w:sz w:val="20"/>
          <w:szCs w:val="20"/>
          <w:color w:val="auto"/>
        </w:rPr>
      </w:pPr>
      <w:r>
        <w:rPr>
          <w:rFonts w:ascii="Arial" w:cs="Arial" w:eastAsia="Arial" w:hAnsi="Arial"/>
          <w:sz w:val="13"/>
          <w:szCs w:val="13"/>
          <w:b w:val="1"/>
          <w:bCs w:val="1"/>
          <w:color w:val="004876"/>
        </w:rPr>
        <w:t>21</w:t>
      </w:r>
    </w:p>
    <w:p>
      <w:pPr>
        <w:sectPr>
          <w:pgSz w:w="11900" w:h="16838" w:orient="portrait"/>
          <w:cols w:equalWidth="0" w:num="1">
            <w:col w:w="11120"/>
          </w:cols>
          <w:pgMar w:left="320" w:top="459" w:right="45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4876"/>
        </w:rPr>
        <w:t>ELECTION OF DIRECTORS |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160655</wp:posOffset>
            </wp:positionV>
            <wp:extent cx="7029450" cy="3429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02945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120"/>
        <w:spacing w:after="0"/>
        <w:rPr>
          <w:sz w:val="20"/>
          <w:szCs w:val="20"/>
          <w:color w:val="auto"/>
        </w:rPr>
      </w:pPr>
      <w:r>
        <w:rPr>
          <w:rFonts w:ascii="Arial" w:cs="Arial" w:eastAsia="Arial" w:hAnsi="Arial"/>
          <w:sz w:val="43"/>
          <w:szCs w:val="43"/>
          <w:color w:val="004876"/>
        </w:rPr>
        <w:t>2. Board business</w:t>
      </w:r>
    </w:p>
    <w:p>
      <w:pPr>
        <w:spacing w:after="0" w:line="218" w:lineRule="exact"/>
        <w:rPr>
          <w:sz w:val="20"/>
          <w:szCs w:val="20"/>
          <w:color w:val="auto"/>
        </w:rPr>
      </w:pPr>
    </w:p>
    <w:p>
      <w:pPr>
        <w:ind w:left="120"/>
        <w:spacing w:after="0"/>
        <w:rPr>
          <w:sz w:val="20"/>
          <w:szCs w:val="20"/>
          <w:color w:val="auto"/>
        </w:rPr>
      </w:pPr>
      <w:r>
        <w:rPr>
          <w:rFonts w:ascii="Arial" w:cs="Arial" w:eastAsia="Arial" w:hAnsi="Arial"/>
          <w:sz w:val="29"/>
          <w:szCs w:val="29"/>
          <w:color w:val="004876"/>
        </w:rPr>
        <w:t>Sound governance practices</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Board is guided by the Firm’s Governance Principles, and we adhere to the Commonsense Corporate Governance Principles and the</w:t>
      </w:r>
    </w:p>
    <w:p>
      <w:pPr>
        <w:ind w:left="120"/>
        <w:spacing w:after="0"/>
        <w:rPr>
          <w:sz w:val="20"/>
          <w:szCs w:val="20"/>
          <w:color w:val="auto"/>
        </w:rPr>
      </w:pPr>
      <w:r>
        <w:rPr>
          <w:rFonts w:ascii="Arial" w:cs="Arial" w:eastAsia="Arial" w:hAnsi="Arial"/>
          <w:sz w:val="18"/>
          <w:szCs w:val="18"/>
          <w:color w:val="auto"/>
        </w:rPr>
        <w:t>Investor Stewardship Group’s Corporate Governance Principles for U.S. Listed Companies. Our sound governance practices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186055</wp:posOffset>
            </wp:positionV>
            <wp:extent cx="6995160" cy="24003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995160" cy="24003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322" w:lineRule="exact"/>
        <w:rPr>
          <w:sz w:val="20"/>
          <w:szCs w:val="20"/>
          <w:color w:val="auto"/>
        </w:rPr>
      </w:pPr>
    </w:p>
    <w:p>
      <w:pPr>
        <w:ind w:left="620"/>
        <w:spacing w:after="0"/>
        <w:rPr>
          <w:sz w:val="20"/>
          <w:szCs w:val="20"/>
          <w:color w:val="auto"/>
        </w:rPr>
      </w:pPr>
      <w:r>
        <w:rPr>
          <w:rFonts w:ascii="Arial" w:cs="Arial" w:eastAsia="Arial" w:hAnsi="Arial"/>
          <w:sz w:val="16"/>
          <w:szCs w:val="16"/>
          <w:color w:val="auto"/>
        </w:rPr>
        <w:t>Annual election of all directors by majority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104775</wp:posOffset>
            </wp:positionV>
            <wp:extent cx="137160" cy="1454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clrChange>
                        <a:clrFrom>
                          <a:srgbClr val="000000"/>
                        </a:clrFrom>
                        <a:clrTo>
                          <a:srgbClr val="000000">
                            <a:alpha val="0"/>
                          </a:srgbClr>
                        </a:clrTo>
                      </a:clrChange>
                      <a:extLst>
                        <a:ext uri="{28A0092B-C50C-407E-A947-70E740481C1C}"/>
                      </a:extLst>
                    </a:blip>
                    <a:srcRect/>
                    <a:stretch>
                      <a:fillRect/>
                    </a:stretch>
                  </pic:blipFill>
                  <pic:spPr bwMode="auto">
                    <a:xfrm>
                      <a:off x="0" y="0"/>
                      <a:ext cx="137160" cy="14541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104775</wp:posOffset>
            </wp:positionV>
            <wp:extent cx="137160" cy="1454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clrChange>
                        <a:clrFrom>
                          <a:srgbClr val="FFFFFF"/>
                        </a:clrFrom>
                        <a:clrTo>
                          <a:srgbClr val="FFFFFF">
                            <a:alpha val="0"/>
                          </a:srgbClr>
                        </a:clrTo>
                      </a:clrChange>
                      <a:extLst>
                        <a:ext uri="{28A0092B-C50C-407E-A947-70E740481C1C}"/>
                      </a:extLst>
                    </a:blip>
                    <a:srcRect/>
                    <a:stretch>
                      <a:fillRect/>
                    </a:stretch>
                  </pic:blipFill>
                  <pic:spPr bwMode="auto">
                    <a:xfrm>
                      <a:off x="0" y="0"/>
                      <a:ext cx="137160" cy="145415"/>
                    </a:xfrm>
                    <a:prstGeom prst="rect">
                      <a:avLst/>
                    </a:prstGeom>
                    <a:noFill/>
                  </pic:spPr>
                </pic:pic>
              </a:graphicData>
            </a:graphic>
          </wp:anchor>
        </w:drawing>
      </w:r>
    </w:p>
    <w:p>
      <w:pPr>
        <w:spacing w:after="0" w:line="147" w:lineRule="exact"/>
        <w:rPr>
          <w:sz w:val="20"/>
          <w:szCs w:val="20"/>
          <w:color w:val="auto"/>
        </w:rPr>
      </w:pPr>
    </w:p>
    <w:p>
      <w:pPr>
        <w:ind w:left="620"/>
        <w:spacing w:after="0"/>
        <w:rPr>
          <w:sz w:val="20"/>
          <w:szCs w:val="20"/>
          <w:color w:val="auto"/>
        </w:rPr>
      </w:pPr>
      <w:r>
        <w:rPr>
          <w:rFonts w:ascii="Arial" w:cs="Arial" w:eastAsia="Arial" w:hAnsi="Arial"/>
          <w:sz w:val="16"/>
          <w:szCs w:val="16"/>
          <w:color w:val="auto"/>
        </w:rPr>
        <w:t>100% committee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87630</wp:posOffset>
            </wp:positionV>
            <wp:extent cx="3351530" cy="21463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351530" cy="214630"/>
                    </a:xfrm>
                    <a:prstGeom prst="rect">
                      <a:avLst/>
                    </a:prstGeom>
                    <a:noFill/>
                  </pic:spPr>
                </pic:pic>
              </a:graphicData>
            </a:graphic>
          </wp:anchor>
        </w:drawing>
      </w:r>
    </w:p>
    <w:p>
      <w:pPr>
        <w:spacing w:after="0" w:line="147" w:lineRule="exact"/>
        <w:rPr>
          <w:sz w:val="20"/>
          <w:szCs w:val="20"/>
          <w:color w:val="auto"/>
        </w:rPr>
      </w:pPr>
    </w:p>
    <w:p>
      <w:pPr>
        <w:ind w:left="620"/>
        <w:spacing w:after="0"/>
        <w:rPr>
          <w:sz w:val="20"/>
          <w:szCs w:val="20"/>
          <w:color w:val="auto"/>
        </w:rPr>
      </w:pPr>
      <w:r>
        <w:rPr>
          <w:rFonts w:ascii="Arial" w:cs="Arial" w:eastAsia="Arial" w:hAnsi="Arial"/>
          <w:sz w:val="16"/>
          <w:szCs w:val="16"/>
          <w:color w:val="auto"/>
        </w:rPr>
        <w:t>Lead Independent Director with clearly-defined responsibilities</w:t>
      </w:r>
    </w:p>
    <w:p>
      <w:pPr>
        <w:spacing w:after="0" w:line="127" w:lineRule="exact"/>
        <w:rPr>
          <w:sz w:val="20"/>
          <w:szCs w:val="20"/>
          <w:color w:val="auto"/>
        </w:rPr>
      </w:pPr>
    </w:p>
    <w:p>
      <w:pPr>
        <w:ind w:left="620" w:right="140"/>
        <w:spacing w:after="0" w:line="260" w:lineRule="auto"/>
        <w:rPr>
          <w:sz w:val="20"/>
          <w:szCs w:val="20"/>
          <w:color w:val="auto"/>
        </w:rPr>
      </w:pPr>
      <w:r>
        <w:rPr>
          <w:rFonts w:ascii="Arial" w:cs="Arial" w:eastAsia="Arial" w:hAnsi="Arial"/>
          <w:sz w:val="16"/>
          <w:szCs w:val="16"/>
          <w:color w:val="auto"/>
        </w:rPr>
        <w:t>Executive sessions of independent directors at each regular Board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-227965</wp:posOffset>
            </wp:positionV>
            <wp:extent cx="137160" cy="1460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37160" cy="14605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45720</wp:posOffset>
            </wp:positionV>
            <wp:extent cx="3351530" cy="3003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351530" cy="300355"/>
                    </a:xfrm>
                    <a:prstGeom prst="rect">
                      <a:avLst/>
                    </a:prstGeom>
                    <a:noFill/>
                  </pic:spPr>
                </pic:pic>
              </a:graphicData>
            </a:graphic>
          </wp:anchor>
        </w:drawing>
      </w:r>
    </w:p>
    <w:p>
      <w:pPr>
        <w:spacing w:after="0" w:line="54" w:lineRule="exact"/>
        <w:rPr>
          <w:sz w:val="20"/>
          <w:szCs w:val="20"/>
          <w:color w:val="auto"/>
        </w:rPr>
      </w:pPr>
    </w:p>
    <w:p>
      <w:pPr>
        <w:ind w:left="620" w:right="440"/>
        <w:spacing w:after="0" w:line="260" w:lineRule="auto"/>
        <w:rPr>
          <w:sz w:val="20"/>
          <w:szCs w:val="20"/>
          <w:color w:val="auto"/>
        </w:rPr>
      </w:pPr>
      <w:r>
        <w:rPr>
          <w:rFonts w:ascii="Arial" w:cs="Arial" w:eastAsia="Arial" w:hAnsi="Arial"/>
          <w:sz w:val="16"/>
          <w:szCs w:val="16"/>
          <w:color w:val="auto"/>
        </w:rPr>
        <w:t>Annual Board and committee self-assessment guided by Lead Independent Director</w:t>
      </w:r>
    </w:p>
    <w:p>
      <w:pPr>
        <w:spacing w:after="0" w:line="87" w:lineRule="exact"/>
        <w:rPr>
          <w:sz w:val="20"/>
          <w:szCs w:val="20"/>
          <w:color w:val="auto"/>
        </w:rPr>
      </w:pPr>
    </w:p>
    <w:p>
      <w:pPr>
        <w:ind w:left="620"/>
        <w:spacing w:after="0"/>
        <w:rPr>
          <w:sz w:val="20"/>
          <w:szCs w:val="20"/>
          <w:color w:val="auto"/>
        </w:rPr>
      </w:pPr>
      <w:r>
        <w:rPr>
          <w:rFonts w:ascii="Arial" w:cs="Arial" w:eastAsia="Arial" w:hAnsi="Arial"/>
          <w:sz w:val="16"/>
          <w:szCs w:val="16"/>
          <w:color w:val="auto"/>
        </w:rPr>
        <w:t>No poison pill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-100330</wp:posOffset>
            </wp:positionV>
            <wp:extent cx="3351530" cy="42037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351530" cy="420370"/>
                    </a:xfrm>
                    <a:prstGeom prst="rect">
                      <a:avLst/>
                    </a:prstGeom>
                    <a:noFill/>
                  </pic:spPr>
                </pic:pic>
              </a:graphicData>
            </a:graphic>
          </wp:anchor>
        </w:drawing>
      </w:r>
    </w:p>
    <w:p>
      <w:pPr>
        <w:spacing w:after="0" w:line="147" w:lineRule="exact"/>
        <w:rPr>
          <w:sz w:val="20"/>
          <w:szCs w:val="20"/>
          <w:color w:val="auto"/>
        </w:rPr>
      </w:pPr>
    </w:p>
    <w:p>
      <w:pPr>
        <w:ind w:left="620"/>
        <w:spacing w:after="0"/>
        <w:rPr>
          <w:sz w:val="20"/>
          <w:szCs w:val="20"/>
          <w:color w:val="auto"/>
        </w:rPr>
      </w:pPr>
      <w:r>
        <w:rPr>
          <w:rFonts w:ascii="Arial" w:cs="Arial" w:eastAsia="Arial" w:hAnsi="Arial"/>
          <w:sz w:val="16"/>
          <w:szCs w:val="16"/>
          <w:color w:val="auto"/>
        </w:rPr>
        <w:t>Ongoing director education</w:t>
      </w:r>
    </w:p>
    <w:p>
      <w:pPr>
        <w:spacing w:after="0" w:line="154" w:lineRule="exact"/>
        <w:rPr>
          <w:sz w:val="20"/>
          <w:szCs w:val="20"/>
          <w:color w:val="auto"/>
        </w:rPr>
      </w:pPr>
    </w:p>
    <w:p>
      <w:pPr>
        <w:ind w:left="620" w:right="280"/>
        <w:spacing w:after="0" w:line="260" w:lineRule="auto"/>
        <w:rPr>
          <w:sz w:val="20"/>
          <w:szCs w:val="20"/>
          <w:color w:val="auto"/>
        </w:rPr>
      </w:pPr>
      <w:r>
        <w:rPr>
          <w:rFonts w:ascii="Arial" w:cs="Arial" w:eastAsia="Arial" w:hAnsi="Arial"/>
          <w:sz w:val="16"/>
          <w:szCs w:val="16"/>
          <w:color w:val="auto"/>
        </w:rPr>
        <w:t>Robust shareholder engagement process, including participation by our Lead 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-227965</wp:posOffset>
            </wp:positionV>
            <wp:extent cx="137160" cy="1460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3716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Semi-annual Board review of investor feedback</w:t>
      </w:r>
    </w:p>
    <w:p>
      <w:pPr>
        <w:spacing w:after="0" w:line="154" w:lineRule="exact"/>
        <w:rPr>
          <w:sz w:val="20"/>
          <w:szCs w:val="20"/>
          <w:color w:val="auto"/>
        </w:rPr>
      </w:pPr>
    </w:p>
    <w:p>
      <w:pPr>
        <w:ind w:right="440"/>
        <w:spacing w:after="0" w:line="260" w:lineRule="auto"/>
        <w:rPr>
          <w:sz w:val="20"/>
          <w:szCs w:val="20"/>
          <w:color w:val="auto"/>
        </w:rPr>
      </w:pPr>
      <w:r>
        <w:rPr>
          <w:rFonts w:ascii="Arial" w:cs="Arial" w:eastAsia="Arial" w:hAnsi="Arial"/>
          <w:sz w:val="16"/>
          <w:szCs w:val="16"/>
          <w:color w:val="auto"/>
        </w:rPr>
        <w:t>Ongoing consideration of Board composition and refreshment, including diversity in director succession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-227965</wp:posOffset>
            </wp:positionV>
            <wp:extent cx="137160" cy="1460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37160" cy="14605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45720</wp:posOffset>
            </wp:positionV>
            <wp:extent cx="3420110" cy="3003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420110" cy="300355"/>
                    </a:xfrm>
                    <a:prstGeom prst="rect">
                      <a:avLst/>
                    </a:prstGeom>
                    <a:noFill/>
                  </pic:spPr>
                </pic:pic>
              </a:graphicData>
            </a:graphic>
          </wp:anchor>
        </w:drawing>
      </w:r>
    </w:p>
    <w:p>
      <w:pPr>
        <w:spacing w:after="0" w:line="54"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Each director attended 75% or more of total meetings of the Board and committees on which he or she served during 2019</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Stock ownership requirements for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-100330</wp:posOffset>
            </wp:positionV>
            <wp:extent cx="3420110" cy="48006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420110" cy="480060"/>
                    </a:xfrm>
                    <a:prstGeom prst="rect">
                      <a:avLst/>
                    </a:prstGeom>
                    <a:noFill/>
                  </pic:spPr>
                </pic:pic>
              </a:graphicData>
            </a:graphic>
          </wp:anchor>
        </w:drawing>
      </w:r>
    </w:p>
    <w:p>
      <w:pPr>
        <w:spacing w:after="0" w:line="107" w:lineRule="exact"/>
        <w:rPr>
          <w:sz w:val="20"/>
          <w:szCs w:val="20"/>
          <w:color w:val="auto"/>
        </w:rPr>
      </w:pPr>
    </w:p>
    <w:p>
      <w:pPr>
        <w:ind w:right="300"/>
        <w:spacing w:after="0" w:line="260" w:lineRule="auto"/>
        <w:rPr>
          <w:sz w:val="20"/>
          <w:szCs w:val="20"/>
          <w:color w:val="auto"/>
        </w:rPr>
      </w:pPr>
      <w:r>
        <w:rPr>
          <w:rFonts w:ascii="Arial" w:cs="Arial" w:eastAsia="Arial" w:hAnsi="Arial"/>
          <w:sz w:val="16"/>
          <w:szCs w:val="16"/>
          <w:color w:val="auto"/>
        </w:rPr>
        <w:t>Board oversight of corporate responsibility/environmental, social and governance (“ESG”) matters</w:t>
      </w:r>
    </w:p>
    <w:p>
      <w:pPr>
        <w:spacing w:after="0" w:line="87" w:lineRule="exact"/>
        <w:rPr>
          <w:sz w:val="20"/>
          <w:szCs w:val="20"/>
          <w:color w:val="auto"/>
        </w:rPr>
      </w:pPr>
    </w:p>
    <w:p>
      <w:pPr>
        <w:ind w:right="1580"/>
        <w:spacing w:after="0" w:line="471" w:lineRule="auto"/>
        <w:rPr>
          <w:sz w:val="20"/>
          <w:szCs w:val="20"/>
          <w:color w:val="auto"/>
        </w:rPr>
      </w:pPr>
      <w:r>
        <w:rPr>
          <w:rFonts w:ascii="Arial" w:cs="Arial" w:eastAsia="Arial" w:hAnsi="Arial"/>
          <w:sz w:val="16"/>
          <w:szCs w:val="16"/>
          <w:color w:val="auto"/>
        </w:rPr>
        <w:t>Robust anti-hedging and anti-pledging policies Direct Board access to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-441960</wp:posOffset>
            </wp:positionV>
            <wp:extent cx="3420110" cy="42037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420110" cy="420370"/>
                    </a:xfrm>
                    <a:prstGeom prst="rect">
                      <a:avLst/>
                    </a:prstGeom>
                    <a:noFill/>
                  </pic:spPr>
                </pic:pic>
              </a:graphicData>
            </a:graphic>
          </wp:anchor>
        </w:drawing>
      </w:r>
    </w:p>
    <w:p>
      <w:pPr>
        <w:spacing w:after="0" w:line="429" w:lineRule="exact"/>
        <w:rPr>
          <w:sz w:val="20"/>
          <w:szCs w:val="20"/>
          <w:color w:val="auto"/>
        </w:rPr>
      </w:pPr>
    </w:p>
    <w:p>
      <w:pPr>
        <w:sectPr>
          <w:pgSz w:w="11900" w:h="16838" w:orient="portrait"/>
          <w:cols w:equalWidth="0" w:num="2">
            <w:col w:w="5520" w:space="720"/>
            <w:col w:w="4900"/>
          </w:cols>
          <w:pgMar w:left="320" w:top="459" w:right="439" w:bottom="1440" w:gutter="0" w:footer="0" w:header="0"/>
          <w:type w:val="continuous"/>
        </w:sectPr>
      </w:pPr>
    </w:p>
    <w:p>
      <w:pPr>
        <w:spacing w:after="0" w:line="259" w:lineRule="exact"/>
        <w:rPr>
          <w:sz w:val="20"/>
          <w:szCs w:val="20"/>
          <w:color w:val="auto"/>
        </w:rPr>
      </w:pPr>
    </w:p>
    <w:p>
      <w:pPr>
        <w:ind w:left="120"/>
        <w:spacing w:after="0"/>
        <w:rPr>
          <w:sz w:val="20"/>
          <w:szCs w:val="20"/>
          <w:color w:val="auto"/>
        </w:rPr>
      </w:pPr>
      <w:r>
        <w:rPr>
          <w:rFonts w:ascii="Arial" w:cs="Arial" w:eastAsia="Arial" w:hAnsi="Arial"/>
          <w:sz w:val="29"/>
          <w:szCs w:val="29"/>
          <w:color w:val="004876"/>
        </w:rPr>
        <w:t>Our Board’s leadership structure</w:t>
      </w:r>
    </w:p>
    <w:p>
      <w:pPr>
        <w:spacing w:after="0" w:line="102" w:lineRule="exact"/>
        <w:rPr>
          <w:sz w:val="20"/>
          <w:szCs w:val="20"/>
          <w:color w:val="auto"/>
        </w:rPr>
      </w:pPr>
    </w:p>
    <w:p>
      <w:pPr>
        <w:ind w:left="120" w:right="200"/>
        <w:spacing w:after="0"/>
        <w:rPr>
          <w:sz w:val="20"/>
          <w:szCs w:val="20"/>
          <w:color w:val="auto"/>
        </w:rPr>
      </w:pPr>
      <w:r>
        <w:rPr>
          <w:rFonts w:ascii="Arial" w:cs="Arial" w:eastAsia="Arial" w:hAnsi="Arial"/>
          <w:sz w:val="18"/>
          <w:szCs w:val="18"/>
          <w:color w:val="auto"/>
        </w:rPr>
        <w:t>The Board’s leadership structure is designed to promote Board effectiveness and to appropriately allocate authority and responsibility between the Board and management.</w:t>
      </w:r>
    </w:p>
    <w:p>
      <w:pPr>
        <w:spacing w:after="0" w:line="95"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The Board believes it is important to retain flexibility to determine its leadership structure based on the particular composition of the Board, the individuals serving in leadership positions, the needs and opportunities of the Firm as they change over time and the additional factors described below. The Board has separated the Chairman and CEO positions in the past and may do so again in the future if it believes that doing so would be in the best interest of the Firm and its shareholders.</w:t>
      </w:r>
    </w:p>
    <w:p>
      <w:pPr>
        <w:spacing w:after="0" w:line="100"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Currently, our CEO serves as Chairman of the Board, and a non-management director serves as the Board’s Lead Independent Director. The Board believes the present structure provides the Firm and the Board with strong leadership, appropriate independent oversight of management and continuity of experience that complements ongoing Board refreshment. A combined CEO and Chairman allows the Firm to communicate its business and strategy to shareholders, clients, employees, regulators and the public in a single voice.</w:t>
      </w:r>
    </w:p>
    <w:p>
      <w:pPr>
        <w:spacing w:after="0" w:line="99" w:lineRule="exact"/>
        <w:rPr>
          <w:sz w:val="20"/>
          <w:szCs w:val="20"/>
          <w:color w:val="auto"/>
        </w:rPr>
      </w:pPr>
    </w:p>
    <w:p>
      <w:pPr>
        <w:ind w:left="120" w:right="540"/>
        <w:spacing w:after="0" w:line="274" w:lineRule="auto"/>
        <w:rPr>
          <w:sz w:val="20"/>
          <w:szCs w:val="20"/>
          <w:color w:val="auto"/>
        </w:rPr>
      </w:pPr>
      <w:r>
        <w:rPr>
          <w:rFonts w:ascii="Arial" w:cs="Arial" w:eastAsia="Arial" w:hAnsi="Arial"/>
          <w:sz w:val="17"/>
          <w:szCs w:val="17"/>
          <w:color w:val="auto"/>
        </w:rPr>
        <w:t>The Firm’s Governance Principles require the independent directors to appoint a Lead Independent Director if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role of the Chairman is combined with that of the CEO. Our Lead Independent Director focuses on the Board’s priorities and processes, facilitates independent oversight of management and promotes open dialogue among the independent directors during Board meetings, at executive sessions without the presence of the CEO and between Board meetings.</w:t>
      </w:r>
    </w:p>
    <w:p>
      <w:pPr>
        <w:spacing w:after="0" w:line="97"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Based on consideration of the factors described on the following page, our Board has determined that combining the roles of Chairman and CEO continues to be the most effective leadership structure for the Board.</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Following review, the independent directors concluded that</w:t>
      </w:r>
    </w:p>
    <w:p>
      <w:pPr>
        <w:ind w:right="160"/>
        <w:spacing w:after="0" w:line="237" w:lineRule="auto"/>
        <w:rPr>
          <w:sz w:val="20"/>
          <w:szCs w:val="20"/>
          <w:color w:val="auto"/>
        </w:rPr>
      </w:pPr>
      <w:r>
        <w:rPr>
          <w:rFonts w:ascii="Arial" w:cs="Arial" w:eastAsia="Arial" w:hAnsi="Arial"/>
          <w:sz w:val="18"/>
          <w:szCs w:val="18"/>
          <w:color w:val="auto"/>
        </w:rPr>
        <w:t>Mr. Raymond continues to use his independent judgment, his in-depth knowledge of the Firm and its business, and his strong leadership skills to serve as an effective intermediary for the independent directors of the Board and counterbalance to the Chairman, and elected Mr. Raymond to continue to serve as Lead Independent Director.</w:t>
      </w:r>
    </w:p>
    <w:p>
      <w:pPr>
        <w:spacing w:after="0" w:line="97" w:lineRule="exact"/>
        <w:rPr>
          <w:sz w:val="20"/>
          <w:szCs w:val="20"/>
          <w:color w:val="auto"/>
        </w:rPr>
      </w:pPr>
    </w:p>
    <w:p>
      <w:pPr>
        <w:jc w:val="both"/>
        <w:ind w:right="60"/>
        <w:spacing w:after="0"/>
        <w:rPr>
          <w:sz w:val="20"/>
          <w:szCs w:val="20"/>
          <w:color w:val="auto"/>
        </w:rPr>
      </w:pPr>
      <w:r>
        <w:rPr>
          <w:rFonts w:ascii="Arial" w:cs="Arial" w:eastAsia="Arial" w:hAnsi="Arial"/>
          <w:sz w:val="18"/>
          <w:szCs w:val="18"/>
          <w:color w:val="auto"/>
        </w:rPr>
        <w:t>While Mr. Raymond has agreed to serve in that role, at his request, the Governance Committee has started a formal process to identify his successor.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583565</wp:posOffset>
            </wp:positionV>
            <wp:extent cx="7029450" cy="1968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029450" cy="196850"/>
                    </a:xfrm>
                    <a:prstGeom prst="rect">
                      <a:avLst/>
                    </a:prstGeom>
                    <a:noFill/>
                  </pic:spPr>
                </pic:pic>
              </a:graphicData>
            </a:graphic>
          </wp:anchor>
        </w:drawing>
      </w:r>
    </w:p>
    <w:p>
      <w:pPr>
        <w:spacing w:after="0" w:line="632" w:lineRule="exact"/>
        <w:rPr>
          <w:sz w:val="20"/>
          <w:szCs w:val="20"/>
          <w:color w:val="auto"/>
        </w:rPr>
      </w:pPr>
    </w:p>
    <w:p>
      <w:pPr>
        <w:sectPr>
          <w:pgSz w:w="11900" w:h="16838" w:orient="portrait"/>
          <w:cols w:equalWidth="0" w:num="2">
            <w:col w:w="5320" w:space="420"/>
            <w:col w:w="5400"/>
          </w:cols>
          <w:pgMar w:left="320" w:top="459" w:right="439" w:bottom="1440" w:gutter="0" w:footer="0" w:header="0"/>
          <w:type w:val="continuous"/>
        </w:sectPr>
      </w:pPr>
    </w:p>
    <w:p>
      <w:pPr>
        <w:spacing w:after="0" w:line="364" w:lineRule="exact"/>
        <w:rPr>
          <w:sz w:val="20"/>
          <w:szCs w:val="20"/>
          <w:color w:val="auto"/>
        </w:rPr>
      </w:pPr>
    </w:p>
    <w:p>
      <w:pPr>
        <w:jc w:val="center"/>
        <w:ind w:right="-99"/>
        <w:spacing w:after="0"/>
        <w:rPr>
          <w:sz w:val="20"/>
          <w:szCs w:val="20"/>
          <w:color w:val="auto"/>
        </w:rPr>
      </w:pPr>
      <w:r>
        <w:rPr>
          <w:rFonts w:ascii="Arial" w:cs="Arial" w:eastAsia="Arial" w:hAnsi="Arial"/>
          <w:sz w:val="13"/>
          <w:szCs w:val="13"/>
          <w:b w:val="1"/>
          <w:bCs w:val="1"/>
          <w:color w:val="004876"/>
        </w:rPr>
        <w:t>22</w:t>
      </w:r>
    </w:p>
    <w:p>
      <w:pPr>
        <w:sectPr>
          <w:pgSz w:w="11900" w:h="16838" w:orient="portrait"/>
          <w:cols w:equalWidth="0" w:num="1">
            <w:col w:w="11140"/>
          </w:cols>
          <w:pgMar w:left="320" w:top="459" w:right="43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04876"/>
        </w:rPr>
        <w:t>CORPORATE GOVERNANCE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160655</wp:posOffset>
            </wp:positionV>
            <wp:extent cx="7029450" cy="3429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02945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color w:val="004876"/>
        </w:rPr>
        <w:t>Factors the Board considers in reviewing its leadership structure</w:t>
      </w:r>
    </w:p>
    <w:p>
      <w:pPr>
        <w:spacing w:after="0" w:line="77" w:lineRule="exact"/>
        <w:rPr>
          <w:sz w:val="20"/>
          <w:szCs w:val="20"/>
          <w:color w:val="auto"/>
        </w:rPr>
      </w:pPr>
    </w:p>
    <w:p>
      <w:pPr>
        <w:ind w:left="120" w:right="300"/>
        <w:spacing w:after="0" w:line="246" w:lineRule="auto"/>
        <w:rPr>
          <w:sz w:val="20"/>
          <w:szCs w:val="20"/>
          <w:color w:val="auto"/>
        </w:rPr>
      </w:pPr>
      <w:r>
        <w:rPr>
          <w:rFonts w:ascii="Arial" w:cs="Arial" w:eastAsia="Arial" w:hAnsi="Arial"/>
          <w:sz w:val="18"/>
          <w:szCs w:val="18"/>
          <w:color w:val="auto"/>
        </w:rPr>
        <w:t>The Board reviews its leadership structure not less than annually, and conducted its most recent review in March 2020, considering the following factors:</w:t>
      </w:r>
    </w:p>
    <w:p>
      <w:pPr>
        <w:spacing w:after="0" w:line="102" w:lineRule="exact"/>
        <w:rPr>
          <w:sz w:val="20"/>
          <w:szCs w:val="20"/>
          <w:color w:val="auto"/>
        </w:rPr>
      </w:pPr>
    </w:p>
    <w:p>
      <w:pPr>
        <w:ind w:left="340" w:hanging="224"/>
        <w:spacing w:after="0"/>
        <w:tabs>
          <w:tab w:leader="none" w:pos="340" w:val="left"/>
        </w:tabs>
        <w:numPr>
          <w:ilvl w:val="0"/>
          <w:numId w:val="62"/>
        </w:numPr>
        <w:rPr>
          <w:rFonts w:ascii="Arial" w:cs="Arial" w:eastAsia="Arial" w:hAnsi="Arial"/>
          <w:sz w:val="18"/>
          <w:szCs w:val="18"/>
          <w:color w:val="004876"/>
        </w:rPr>
      </w:pPr>
      <w:r>
        <w:rPr>
          <w:rFonts w:ascii="Arial" w:cs="Arial" w:eastAsia="Arial" w:hAnsi="Arial"/>
          <w:sz w:val="18"/>
          <w:szCs w:val="18"/>
          <w:color w:val="auto"/>
        </w:rPr>
        <w:t>The current composition of the Board</w:t>
      </w:r>
    </w:p>
    <w:p>
      <w:pPr>
        <w:spacing w:after="0" w:line="117" w:lineRule="exact"/>
        <w:rPr>
          <w:rFonts w:ascii="Arial" w:cs="Arial" w:eastAsia="Arial" w:hAnsi="Arial"/>
          <w:sz w:val="18"/>
          <w:szCs w:val="18"/>
          <w:color w:val="004876"/>
        </w:rPr>
      </w:pPr>
    </w:p>
    <w:p>
      <w:pPr>
        <w:ind w:left="340" w:hanging="224"/>
        <w:spacing w:after="0"/>
        <w:tabs>
          <w:tab w:leader="none" w:pos="340" w:val="left"/>
        </w:tabs>
        <w:numPr>
          <w:ilvl w:val="0"/>
          <w:numId w:val="62"/>
        </w:numPr>
        <w:rPr>
          <w:rFonts w:ascii="Arial" w:cs="Arial" w:eastAsia="Arial" w:hAnsi="Arial"/>
          <w:sz w:val="18"/>
          <w:szCs w:val="18"/>
          <w:color w:val="004876"/>
        </w:rPr>
      </w:pPr>
      <w:r>
        <w:rPr>
          <w:rFonts w:ascii="Arial" w:cs="Arial" w:eastAsia="Arial" w:hAnsi="Arial"/>
          <w:sz w:val="18"/>
          <w:szCs w:val="18"/>
          <w:color w:val="auto"/>
        </w:rPr>
        <w:t>The respective responsibilities for the positions of Chairman and Lead Independent Director (see table below for detailed information)</w:t>
      </w:r>
    </w:p>
    <w:p>
      <w:pPr>
        <w:spacing w:after="0" w:line="117" w:lineRule="exact"/>
        <w:rPr>
          <w:rFonts w:ascii="Arial" w:cs="Arial" w:eastAsia="Arial" w:hAnsi="Arial"/>
          <w:sz w:val="18"/>
          <w:szCs w:val="18"/>
          <w:color w:val="004876"/>
        </w:rPr>
      </w:pPr>
    </w:p>
    <w:p>
      <w:pPr>
        <w:ind w:left="340" w:right="140" w:hanging="224"/>
        <w:spacing w:after="0" w:line="246" w:lineRule="auto"/>
        <w:tabs>
          <w:tab w:leader="none" w:pos="340" w:val="left"/>
        </w:tabs>
        <w:numPr>
          <w:ilvl w:val="0"/>
          <w:numId w:val="62"/>
        </w:numPr>
        <w:rPr>
          <w:rFonts w:ascii="Arial" w:cs="Arial" w:eastAsia="Arial" w:hAnsi="Arial"/>
          <w:sz w:val="18"/>
          <w:szCs w:val="18"/>
          <w:color w:val="004876"/>
        </w:rPr>
      </w:pPr>
      <w:r>
        <w:rPr>
          <w:rFonts w:ascii="Arial" w:cs="Arial" w:eastAsia="Arial" w:hAnsi="Arial"/>
          <w:sz w:val="18"/>
          <w:szCs w:val="18"/>
          <w:color w:val="auto"/>
        </w:rPr>
        <w:t>The people currently in the roles of Chairman and Lead Independent Director and their record of strong leadership and performance in their roles, and other strong leadership of the Firm, including its Co-Presidents and Chief Operating Officers</w:t>
      </w:r>
    </w:p>
    <w:p>
      <w:pPr>
        <w:spacing w:after="0" w:line="102" w:lineRule="exact"/>
        <w:rPr>
          <w:rFonts w:ascii="Arial" w:cs="Arial" w:eastAsia="Arial" w:hAnsi="Arial"/>
          <w:sz w:val="18"/>
          <w:szCs w:val="18"/>
          <w:color w:val="004876"/>
        </w:rPr>
      </w:pPr>
    </w:p>
    <w:p>
      <w:pPr>
        <w:ind w:left="340" w:right="640" w:hanging="224"/>
        <w:spacing w:after="0"/>
        <w:tabs>
          <w:tab w:leader="none" w:pos="340" w:val="left"/>
        </w:tabs>
        <w:numPr>
          <w:ilvl w:val="0"/>
          <w:numId w:val="62"/>
        </w:numPr>
        <w:rPr>
          <w:rFonts w:ascii="Arial" w:cs="Arial" w:eastAsia="Arial" w:hAnsi="Arial"/>
          <w:sz w:val="18"/>
          <w:szCs w:val="18"/>
          <w:color w:val="004876"/>
        </w:rPr>
      </w:pPr>
      <w:r>
        <w:rPr>
          <w:rFonts w:ascii="Arial" w:cs="Arial" w:eastAsia="Arial" w:hAnsi="Arial"/>
          <w:sz w:val="18"/>
          <w:szCs w:val="18"/>
          <w:color w:val="auto"/>
        </w:rPr>
        <w:t>The policies and practices in place to provide independent Board oversight of management (including Board oversight of CEO performance and compensation, regular executive sessions of the independent directors, Board input into agendas and meeting materials, and Board self-assessment)</w:t>
      </w:r>
    </w:p>
    <w:p>
      <w:pPr>
        <w:spacing w:after="0" w:line="108" w:lineRule="exact"/>
        <w:rPr>
          <w:rFonts w:ascii="Arial" w:cs="Arial" w:eastAsia="Arial" w:hAnsi="Arial"/>
          <w:sz w:val="18"/>
          <w:szCs w:val="18"/>
          <w:color w:val="004876"/>
        </w:rPr>
      </w:pPr>
    </w:p>
    <w:p>
      <w:pPr>
        <w:ind w:left="340" w:hanging="224"/>
        <w:spacing w:after="0"/>
        <w:tabs>
          <w:tab w:leader="none" w:pos="340" w:val="left"/>
        </w:tabs>
        <w:numPr>
          <w:ilvl w:val="0"/>
          <w:numId w:val="62"/>
        </w:numPr>
        <w:rPr>
          <w:rFonts w:ascii="Arial" w:cs="Arial" w:eastAsia="Arial" w:hAnsi="Arial"/>
          <w:sz w:val="18"/>
          <w:szCs w:val="18"/>
          <w:color w:val="004876"/>
        </w:rPr>
      </w:pPr>
      <w:r>
        <w:rPr>
          <w:rFonts w:ascii="Arial" w:cs="Arial" w:eastAsia="Arial" w:hAnsi="Arial"/>
          <w:sz w:val="18"/>
          <w:szCs w:val="18"/>
          <w:color w:val="auto"/>
        </w:rPr>
        <w:t>The Firm’s circumstances, including its financial performance</w:t>
      </w:r>
    </w:p>
    <w:p>
      <w:pPr>
        <w:spacing w:after="0" w:line="117" w:lineRule="exact"/>
        <w:rPr>
          <w:rFonts w:ascii="Arial" w:cs="Arial" w:eastAsia="Arial" w:hAnsi="Arial"/>
          <w:sz w:val="18"/>
          <w:szCs w:val="18"/>
          <w:color w:val="004876"/>
        </w:rPr>
      </w:pPr>
    </w:p>
    <w:p>
      <w:pPr>
        <w:ind w:left="340" w:hanging="224"/>
        <w:spacing w:after="0"/>
        <w:tabs>
          <w:tab w:leader="none" w:pos="340" w:val="left"/>
        </w:tabs>
        <w:numPr>
          <w:ilvl w:val="0"/>
          <w:numId w:val="62"/>
        </w:numPr>
        <w:rPr>
          <w:rFonts w:ascii="Arial" w:cs="Arial" w:eastAsia="Arial" w:hAnsi="Arial"/>
          <w:sz w:val="18"/>
          <w:szCs w:val="18"/>
          <w:color w:val="004876"/>
        </w:rPr>
      </w:pPr>
      <w:r>
        <w:rPr>
          <w:rFonts w:ascii="Arial" w:cs="Arial" w:eastAsia="Arial" w:hAnsi="Arial"/>
          <w:sz w:val="18"/>
          <w:szCs w:val="18"/>
          <w:color w:val="auto"/>
        </w:rPr>
        <w:t>The views of our stakeholders, including shareholders, customers, employees, suppliers and the communities in which we work</w:t>
      </w:r>
    </w:p>
    <w:p>
      <w:pPr>
        <w:spacing w:after="0" w:line="117" w:lineRule="exact"/>
        <w:rPr>
          <w:rFonts w:ascii="Arial" w:cs="Arial" w:eastAsia="Arial" w:hAnsi="Arial"/>
          <w:sz w:val="18"/>
          <w:szCs w:val="18"/>
          <w:color w:val="004876"/>
        </w:rPr>
      </w:pPr>
    </w:p>
    <w:p>
      <w:pPr>
        <w:ind w:left="340" w:right="260" w:hanging="224"/>
        <w:spacing w:after="0" w:line="246" w:lineRule="auto"/>
        <w:tabs>
          <w:tab w:leader="none" w:pos="340" w:val="left"/>
        </w:tabs>
        <w:numPr>
          <w:ilvl w:val="0"/>
          <w:numId w:val="62"/>
        </w:numPr>
        <w:rPr>
          <w:rFonts w:ascii="Arial" w:cs="Arial" w:eastAsia="Arial" w:hAnsi="Arial"/>
          <w:sz w:val="18"/>
          <w:szCs w:val="18"/>
          <w:color w:val="004876"/>
        </w:rPr>
      </w:pPr>
      <w:r>
        <w:rPr>
          <w:rFonts w:ascii="Arial" w:cs="Arial" w:eastAsia="Arial" w:hAnsi="Arial"/>
          <w:sz w:val="18"/>
          <w:szCs w:val="18"/>
          <w:color w:val="auto"/>
        </w:rPr>
        <w:t>Trends in corporate governance, including practices at other public companies, and studies on the impact of leadership structures on shareholder value</w:t>
      </w:r>
    </w:p>
    <w:p>
      <w:pPr>
        <w:spacing w:after="0" w:line="102" w:lineRule="exact"/>
        <w:rPr>
          <w:rFonts w:ascii="Arial" w:cs="Arial" w:eastAsia="Arial" w:hAnsi="Arial"/>
          <w:sz w:val="18"/>
          <w:szCs w:val="18"/>
          <w:color w:val="004876"/>
        </w:rPr>
      </w:pPr>
    </w:p>
    <w:p>
      <w:pPr>
        <w:ind w:left="340" w:hanging="224"/>
        <w:spacing w:after="0"/>
        <w:tabs>
          <w:tab w:leader="none" w:pos="340" w:val="left"/>
        </w:tabs>
        <w:numPr>
          <w:ilvl w:val="0"/>
          <w:numId w:val="62"/>
        </w:numPr>
        <w:rPr>
          <w:rFonts w:ascii="Arial" w:cs="Arial" w:eastAsia="Arial" w:hAnsi="Arial"/>
          <w:sz w:val="18"/>
          <w:szCs w:val="18"/>
          <w:color w:val="004876"/>
        </w:rPr>
      </w:pPr>
      <w:r>
        <w:rPr>
          <w:rFonts w:ascii="Arial" w:cs="Arial" w:eastAsia="Arial" w:hAnsi="Arial"/>
          <w:sz w:val="18"/>
          <w:szCs w:val="18"/>
          <w:color w:val="auto"/>
        </w:rPr>
        <w:t>Such other factors as the Board determines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004876"/>
        </w:rPr>
        <w:t>Respective duties and responsibilities of the Chairman and Lead Independent Director</w:t>
      </w:r>
    </w:p>
    <w:p>
      <w:pPr>
        <w:spacing w:after="0" w:line="57"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1540" w:type="dxa"/>
            <w:vAlign w:val="bottom"/>
            <w:tcBorders>
              <w:top w:val="single" w:sz="8" w:color="004876"/>
            </w:tcBorders>
          </w:tcPr>
          <w:p>
            <w:pPr>
              <w:spacing w:after="0" w:line="193" w:lineRule="exact"/>
              <w:rPr>
                <w:sz w:val="20"/>
                <w:szCs w:val="20"/>
                <w:color w:val="auto"/>
              </w:rPr>
            </w:pPr>
            <w:r>
              <w:rPr>
                <w:rFonts w:ascii="Arial" w:cs="Arial" w:eastAsia="Arial" w:hAnsi="Arial"/>
                <w:sz w:val="18"/>
                <w:szCs w:val="18"/>
                <w:b w:val="1"/>
                <w:bCs w:val="1"/>
                <w:color w:val="004876"/>
              </w:rPr>
              <w:t>CHAIRMAN OF</w:t>
            </w:r>
          </w:p>
        </w:tc>
        <w:tc>
          <w:tcPr>
            <w:tcW w:w="320" w:type="dxa"/>
            <w:vAlign w:val="bottom"/>
          </w:tcPr>
          <w:p>
            <w:pPr>
              <w:spacing w:after="0"/>
              <w:rPr>
                <w:sz w:val="16"/>
                <w:szCs w:val="16"/>
                <w:color w:val="auto"/>
              </w:rPr>
            </w:pPr>
          </w:p>
        </w:tc>
        <w:tc>
          <w:tcPr>
            <w:tcW w:w="9160" w:type="dxa"/>
            <w:vAlign w:val="bottom"/>
            <w:tcBorders>
              <w:top w:val="single" w:sz="8" w:color="333333"/>
            </w:tcBorders>
          </w:tcPr>
          <w:p>
            <w:pPr>
              <w:ind w:left="520"/>
              <w:spacing w:after="0"/>
              <w:rPr>
                <w:sz w:val="20"/>
                <w:szCs w:val="20"/>
                <w:color w:val="auto"/>
              </w:rPr>
            </w:pPr>
            <w:r>
              <w:rPr>
                <w:rFonts w:ascii="Arial" w:cs="Arial" w:eastAsia="Arial" w:hAnsi="Arial"/>
                <w:sz w:val="16"/>
                <w:szCs w:val="16"/>
                <w:color w:val="auto"/>
              </w:rPr>
              <w:t>calls Board and shareholder meetings</w:t>
            </w:r>
          </w:p>
        </w:tc>
        <w:tc>
          <w:tcPr>
            <w:tcW w:w="0" w:type="dxa"/>
            <w:vAlign w:val="bottom"/>
          </w:tcPr>
          <w:p>
            <w:pPr>
              <w:spacing w:after="0"/>
              <w:rPr>
                <w:sz w:val="1"/>
                <w:szCs w:val="1"/>
                <w:color w:val="auto"/>
              </w:rPr>
            </w:pPr>
          </w:p>
        </w:tc>
      </w:tr>
      <w:tr>
        <w:trPr>
          <w:trHeight w:val="144"/>
        </w:trPr>
        <w:tc>
          <w:tcPr>
            <w:tcW w:w="1860" w:type="dxa"/>
            <w:vAlign w:val="bottom"/>
            <w:gridSpan w:val="2"/>
            <w:vMerge w:val="restart"/>
          </w:tcPr>
          <w:p>
            <w:pPr>
              <w:spacing w:after="0"/>
              <w:rPr>
                <w:sz w:val="20"/>
                <w:szCs w:val="20"/>
                <w:color w:val="auto"/>
              </w:rPr>
            </w:pPr>
            <w:r>
              <w:rPr>
                <w:rFonts w:ascii="Arial" w:cs="Arial" w:eastAsia="Arial" w:hAnsi="Arial"/>
                <w:sz w:val="18"/>
                <w:szCs w:val="18"/>
                <w:b w:val="1"/>
                <w:bCs w:val="1"/>
                <w:color w:val="004876"/>
              </w:rPr>
              <w:t>THE BOARD:</w:t>
            </w:r>
          </w:p>
        </w:tc>
        <w:tc>
          <w:tcPr>
            <w:tcW w:w="9160" w:type="dxa"/>
            <w:vAlign w:val="bottom"/>
            <w:tcBorders>
              <w:bottom w:val="single" w:sz="8" w:color="333333"/>
            </w:tcBorders>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1860" w:type="dxa"/>
            <w:vAlign w:val="bottom"/>
            <w:gridSpan w:val="2"/>
            <w:vMerge w:val="continue"/>
          </w:tcPr>
          <w:p>
            <w:pPr>
              <w:spacing w:after="0"/>
              <w:rPr>
                <w:sz w:val="6"/>
                <w:szCs w:val="6"/>
                <w:color w:val="auto"/>
              </w:rPr>
            </w:pPr>
          </w:p>
        </w:tc>
        <w:tc>
          <w:tcPr>
            <w:tcW w:w="9160" w:type="dxa"/>
            <w:vAlign w:val="bottom"/>
            <w:vMerge w:val="restart"/>
          </w:tcPr>
          <w:p>
            <w:pPr>
              <w:ind w:left="520"/>
              <w:spacing w:after="0"/>
              <w:rPr>
                <w:sz w:val="20"/>
                <w:szCs w:val="20"/>
                <w:color w:val="auto"/>
              </w:rPr>
            </w:pPr>
            <w:r>
              <w:rPr>
                <w:rFonts w:ascii="Arial" w:cs="Arial" w:eastAsia="Arial" w:hAnsi="Arial"/>
                <w:sz w:val="16"/>
                <w:szCs w:val="16"/>
                <w:color w:val="auto"/>
              </w:rPr>
              <w:t>presides at Board and shareholder meetings</w:t>
            </w:r>
          </w:p>
        </w:tc>
        <w:tc>
          <w:tcPr>
            <w:tcW w:w="0" w:type="dxa"/>
            <w:vAlign w:val="bottom"/>
          </w:tcPr>
          <w:p>
            <w:pPr>
              <w:spacing w:after="0"/>
              <w:rPr>
                <w:sz w:val="1"/>
                <w:szCs w:val="1"/>
                <w:color w:val="auto"/>
              </w:rPr>
            </w:pPr>
          </w:p>
        </w:tc>
      </w:tr>
      <w:tr>
        <w:trPr>
          <w:trHeight w:val="115"/>
        </w:trPr>
        <w:tc>
          <w:tcPr>
            <w:tcW w:w="1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1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160" w:type="dxa"/>
            <w:vAlign w:val="bottom"/>
            <w:tcBorders>
              <w:bottom w:val="single" w:sz="8" w:color="333333"/>
            </w:tcBorders>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1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160" w:type="dxa"/>
            <w:vAlign w:val="bottom"/>
          </w:tcPr>
          <w:p>
            <w:pPr>
              <w:ind w:left="520"/>
              <w:spacing w:after="0"/>
              <w:rPr>
                <w:sz w:val="20"/>
                <w:szCs w:val="20"/>
                <w:color w:val="auto"/>
              </w:rPr>
            </w:pPr>
            <w:r>
              <w:rPr>
                <w:rFonts w:ascii="Arial" w:cs="Arial" w:eastAsia="Arial" w:hAnsi="Arial"/>
                <w:sz w:val="16"/>
                <w:szCs w:val="16"/>
                <w:color w:val="auto"/>
              </w:rPr>
              <w:t>approves Board meeting schedules, agendas and materials, subject to the approval of the Lead Independent Director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1333500</wp:posOffset>
            </wp:positionH>
            <wp:positionV relativeFrom="paragraph">
              <wp:posOffset>-527050</wp:posOffset>
            </wp:positionV>
            <wp:extent cx="137160" cy="1460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37160" cy="146050"/>
                    </a:xfrm>
                    <a:prstGeom prst="rect">
                      <a:avLst/>
                    </a:prstGeom>
                    <a:noFill/>
                  </pic:spPr>
                </pic:pic>
              </a:graphicData>
            </a:graphic>
          </wp:anchor>
        </w:drawing>
        <w:drawing>
          <wp:anchor simplePos="0" relativeHeight="251657728" behindDoc="1" locked="0" layoutInCell="0" allowOverlap="1">
            <wp:simplePos x="0" y="0"/>
            <wp:positionH relativeFrom="column">
              <wp:posOffset>1333500</wp:posOffset>
            </wp:positionH>
            <wp:positionV relativeFrom="paragraph">
              <wp:posOffset>-313055</wp:posOffset>
            </wp:positionV>
            <wp:extent cx="137160" cy="1454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37160" cy="145415"/>
                    </a:xfrm>
                    <a:prstGeom prst="rect">
                      <a:avLst/>
                    </a:prstGeom>
                    <a:noFill/>
                  </pic:spPr>
                </pic:pic>
              </a:graphicData>
            </a:graphic>
          </wp:anchor>
        </w:drawing>
        <w:drawing>
          <wp:anchor simplePos="0" relativeHeight="251657728" behindDoc="1" locked="0" layoutInCell="0" allowOverlap="1">
            <wp:simplePos x="0" y="0"/>
            <wp:positionH relativeFrom="column">
              <wp:posOffset>1333500</wp:posOffset>
            </wp:positionH>
            <wp:positionV relativeFrom="paragraph">
              <wp:posOffset>-98425</wp:posOffset>
            </wp:positionV>
            <wp:extent cx="137160" cy="1454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37160" cy="14541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4876"/>
        </w:rPr>
        <w:t>LEAD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97726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977265" cy="889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7"/>
          <w:szCs w:val="17"/>
          <w:b w:val="1"/>
          <w:bCs w:val="1"/>
          <w:color w:val="004876"/>
        </w:rPr>
        <w:t>INDEPENDENT</w:t>
      </w:r>
    </w:p>
    <w:p>
      <w:pPr>
        <w:spacing w:after="0" w:line="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4876"/>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2389505</wp:posOffset>
            </wp:positionV>
            <wp:extent cx="97726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9772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presides at Board meetings in the Chairman’s absence or when otherwise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79375</wp:posOffset>
            </wp:positionV>
            <wp:extent cx="581215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812155" cy="8890"/>
                    </a:xfrm>
                    <a:prstGeom prst="rect">
                      <a:avLst/>
                    </a:prstGeom>
                    <a:noFill/>
                  </pic:spPr>
                </pic:pic>
              </a:graphicData>
            </a:graphic>
          </wp:anchor>
        </w:drawing>
        <w:drawing>
          <wp:anchor simplePos="0" relativeHeight="251657728" behindDoc="1" locked="0" layoutInCell="0" allowOverlap="1">
            <wp:simplePos x="0" y="0"/>
            <wp:positionH relativeFrom="column">
              <wp:posOffset>-330200</wp:posOffset>
            </wp:positionH>
            <wp:positionV relativeFrom="paragraph">
              <wp:posOffset>-134620</wp:posOffset>
            </wp:positionV>
            <wp:extent cx="581215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812155" cy="8890"/>
                    </a:xfrm>
                    <a:prstGeom prst="rect">
                      <a:avLst/>
                    </a:prstGeom>
                    <a:noFill/>
                  </pic:spPr>
                </pic:pic>
              </a:graphicData>
            </a:graphic>
          </wp:anchor>
        </w:drawing>
        <w:drawing>
          <wp:anchor simplePos="0" relativeHeight="251657728" behindDoc="1" locked="0" layoutInCell="0" allowOverlap="1">
            <wp:simplePos x="0" y="0"/>
            <wp:positionH relativeFrom="column">
              <wp:posOffset>-253365</wp:posOffset>
            </wp:positionH>
            <wp:positionV relativeFrom="paragraph">
              <wp:posOffset>-100330</wp:posOffset>
            </wp:positionV>
            <wp:extent cx="137160" cy="1454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37160" cy="145415"/>
                    </a:xfrm>
                    <a:prstGeom prst="rect">
                      <a:avLst/>
                    </a:prstGeom>
                    <a:noFill/>
                  </pic:spPr>
                </pic:pic>
              </a:graphicData>
            </a:graphic>
          </wp:anchor>
        </w:drawing>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acts as liaison between independent directors and the Chairman/CEO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79375</wp:posOffset>
            </wp:positionV>
            <wp:extent cx="581215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812155" cy="8890"/>
                    </a:xfrm>
                    <a:prstGeom prst="rect">
                      <a:avLst/>
                    </a:prstGeom>
                    <a:noFill/>
                  </pic:spPr>
                </pic:pic>
              </a:graphicData>
            </a:graphic>
          </wp:anchor>
        </w:drawing>
        <w:drawing>
          <wp:anchor simplePos="0" relativeHeight="251657728" behindDoc="1" locked="0" layoutInCell="0" allowOverlap="1">
            <wp:simplePos x="0" y="0"/>
            <wp:positionH relativeFrom="column">
              <wp:posOffset>-253365</wp:posOffset>
            </wp:positionH>
            <wp:positionV relativeFrom="paragraph">
              <wp:posOffset>-100330</wp:posOffset>
            </wp:positionV>
            <wp:extent cx="137160" cy="1460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37160" cy="146050"/>
                    </a:xfrm>
                    <a:prstGeom prst="rect">
                      <a:avLst/>
                    </a:prstGeom>
                    <a:noFill/>
                  </pic:spPr>
                </pic:pic>
              </a:graphicData>
            </a:graphic>
          </wp:anchor>
        </w:drawing>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presides over executive sessions of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79375</wp:posOffset>
            </wp:positionV>
            <wp:extent cx="581215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812155" cy="8890"/>
                    </a:xfrm>
                    <a:prstGeom prst="rect">
                      <a:avLst/>
                    </a:prstGeom>
                    <a:noFill/>
                  </pic:spPr>
                </pic:pic>
              </a:graphicData>
            </a:graphic>
          </wp:anchor>
        </w:drawing>
        <w:drawing>
          <wp:anchor simplePos="0" relativeHeight="251657728" behindDoc="1" locked="0" layoutInCell="0" allowOverlap="1">
            <wp:simplePos x="0" y="0"/>
            <wp:positionH relativeFrom="column">
              <wp:posOffset>-253365</wp:posOffset>
            </wp:positionH>
            <wp:positionV relativeFrom="paragraph">
              <wp:posOffset>-100330</wp:posOffset>
            </wp:positionV>
            <wp:extent cx="137160" cy="1460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37160" cy="146050"/>
                    </a:xfrm>
                    <a:prstGeom prst="rect">
                      <a:avLst/>
                    </a:prstGeom>
                    <a:noFill/>
                  </pic:spPr>
                </pic:pic>
              </a:graphicData>
            </a:graphic>
          </wp:anchor>
        </w:drawing>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engages and consults with major shareholders and other constituencies, where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79375</wp:posOffset>
            </wp:positionV>
            <wp:extent cx="581215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812155" cy="8890"/>
                    </a:xfrm>
                    <a:prstGeom prst="rect">
                      <a:avLst/>
                    </a:prstGeom>
                    <a:noFill/>
                  </pic:spPr>
                </pic:pic>
              </a:graphicData>
            </a:graphic>
          </wp:anchor>
        </w:drawing>
        <w:drawing>
          <wp:anchor simplePos="0" relativeHeight="251657728" behindDoc="1" locked="0" layoutInCell="0" allowOverlap="1">
            <wp:simplePos x="0" y="0"/>
            <wp:positionH relativeFrom="column">
              <wp:posOffset>-253365</wp:posOffset>
            </wp:positionH>
            <wp:positionV relativeFrom="paragraph">
              <wp:posOffset>-100330</wp:posOffset>
            </wp:positionV>
            <wp:extent cx="137160" cy="1454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37160" cy="145415"/>
                    </a:xfrm>
                    <a:prstGeom prst="rect">
                      <a:avLst/>
                    </a:prstGeom>
                    <a:noFill/>
                  </pic:spPr>
                </pic:pic>
              </a:graphicData>
            </a:graphic>
          </wp:anchor>
        </w:drawing>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provides advice and guidance to the CEO on executing long-term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79375</wp:posOffset>
            </wp:positionV>
            <wp:extent cx="581215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812155" cy="8890"/>
                    </a:xfrm>
                    <a:prstGeom prst="rect">
                      <a:avLst/>
                    </a:prstGeom>
                    <a:noFill/>
                  </pic:spPr>
                </pic:pic>
              </a:graphicData>
            </a:graphic>
          </wp:anchor>
        </w:drawing>
        <w:drawing>
          <wp:anchor simplePos="0" relativeHeight="251657728" behindDoc="1" locked="0" layoutInCell="0" allowOverlap="1">
            <wp:simplePos x="0" y="0"/>
            <wp:positionH relativeFrom="column">
              <wp:posOffset>-253365</wp:posOffset>
            </wp:positionH>
            <wp:positionV relativeFrom="paragraph">
              <wp:posOffset>-100330</wp:posOffset>
            </wp:positionV>
            <wp:extent cx="137160" cy="1454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37160" cy="145415"/>
                    </a:xfrm>
                    <a:prstGeom prst="rect">
                      <a:avLst/>
                    </a:prstGeom>
                    <a:noFill/>
                  </pic:spPr>
                </pic:pic>
              </a:graphicData>
            </a:graphic>
          </wp:anchor>
        </w:drawing>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guides the annual performance review of the Chairman/CEO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79375</wp:posOffset>
            </wp:positionV>
            <wp:extent cx="581215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812155" cy="8255"/>
                    </a:xfrm>
                    <a:prstGeom prst="rect">
                      <a:avLst/>
                    </a:prstGeom>
                    <a:noFill/>
                  </pic:spPr>
                </pic:pic>
              </a:graphicData>
            </a:graphic>
          </wp:anchor>
        </w:drawing>
        <w:drawing>
          <wp:anchor simplePos="0" relativeHeight="251657728" behindDoc="1" locked="0" layoutInCell="0" allowOverlap="1">
            <wp:simplePos x="0" y="0"/>
            <wp:positionH relativeFrom="column">
              <wp:posOffset>-253365</wp:posOffset>
            </wp:positionH>
            <wp:positionV relativeFrom="paragraph">
              <wp:posOffset>-100330</wp:posOffset>
            </wp:positionV>
            <wp:extent cx="137160" cy="1454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37160" cy="145415"/>
                    </a:xfrm>
                    <a:prstGeom prst="rect">
                      <a:avLst/>
                    </a:prstGeom>
                    <a:noFill/>
                  </pic:spPr>
                </pic:pic>
              </a:graphicData>
            </a:graphic>
          </wp:anchor>
        </w:drawing>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advises the CEO of the Board’s information needs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79375</wp:posOffset>
            </wp:positionV>
            <wp:extent cx="581215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812155" cy="8255"/>
                    </a:xfrm>
                    <a:prstGeom prst="rect">
                      <a:avLst/>
                    </a:prstGeom>
                    <a:noFill/>
                  </pic:spPr>
                </pic:pic>
              </a:graphicData>
            </a:graphic>
          </wp:anchor>
        </w:drawing>
        <w:drawing>
          <wp:anchor simplePos="0" relativeHeight="251657728" behindDoc="1" locked="0" layoutInCell="0" allowOverlap="1">
            <wp:simplePos x="0" y="0"/>
            <wp:positionH relativeFrom="column">
              <wp:posOffset>-253365</wp:posOffset>
            </wp:positionH>
            <wp:positionV relativeFrom="paragraph">
              <wp:posOffset>-100330</wp:posOffset>
            </wp:positionV>
            <wp:extent cx="137160" cy="1454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37160" cy="145415"/>
                    </a:xfrm>
                    <a:prstGeom prst="rect">
                      <a:avLst/>
                    </a:prstGeom>
                    <a:noFill/>
                  </pic:spPr>
                </pic:pic>
              </a:graphicData>
            </a:graphic>
          </wp:anchor>
        </w:drawing>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guides the annual independent director consideration of Chairman/CEO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79375</wp:posOffset>
            </wp:positionV>
            <wp:extent cx="581215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812155" cy="8255"/>
                    </a:xfrm>
                    <a:prstGeom prst="rect">
                      <a:avLst/>
                    </a:prstGeom>
                    <a:noFill/>
                  </pic:spPr>
                </pic:pic>
              </a:graphicData>
            </a:graphic>
          </wp:anchor>
        </w:drawing>
        <w:drawing>
          <wp:anchor simplePos="0" relativeHeight="251657728" behindDoc="1" locked="0" layoutInCell="0" allowOverlap="1">
            <wp:simplePos x="0" y="0"/>
            <wp:positionH relativeFrom="column">
              <wp:posOffset>-253365</wp:posOffset>
            </wp:positionH>
            <wp:positionV relativeFrom="paragraph">
              <wp:posOffset>-100330</wp:posOffset>
            </wp:positionV>
            <wp:extent cx="137160" cy="1454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37160" cy="145415"/>
                    </a:xfrm>
                    <a:prstGeom prst="rect">
                      <a:avLst/>
                    </a:prstGeom>
                    <a:noFill/>
                  </pic:spPr>
                </pic:pic>
              </a:graphicData>
            </a:graphic>
          </wp:anchor>
        </w:drawing>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meets one-on-one with the Chairman/CEO following executive sessions of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79375</wp:posOffset>
            </wp:positionV>
            <wp:extent cx="581215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812155" cy="8255"/>
                    </a:xfrm>
                    <a:prstGeom prst="rect">
                      <a:avLst/>
                    </a:prstGeom>
                    <a:noFill/>
                  </pic:spPr>
                </pic:pic>
              </a:graphicData>
            </a:graphic>
          </wp:anchor>
        </w:drawing>
        <w:drawing>
          <wp:anchor simplePos="0" relativeHeight="251657728" behindDoc="1" locked="0" layoutInCell="0" allowOverlap="1">
            <wp:simplePos x="0" y="0"/>
            <wp:positionH relativeFrom="column">
              <wp:posOffset>-253365</wp:posOffset>
            </wp:positionH>
            <wp:positionV relativeFrom="paragraph">
              <wp:posOffset>-100330</wp:posOffset>
            </wp:positionV>
            <wp:extent cx="137160" cy="1454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37160" cy="145415"/>
                    </a:xfrm>
                    <a:prstGeom prst="rect">
                      <a:avLst/>
                    </a:prstGeom>
                    <a:noFill/>
                  </pic:spPr>
                </pic:pic>
              </a:graphicData>
            </a:graphic>
          </wp:anchor>
        </w:drawing>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guides the Board in its consideration of CEO succession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79375</wp:posOffset>
            </wp:positionV>
            <wp:extent cx="581215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812155" cy="8255"/>
                    </a:xfrm>
                    <a:prstGeom prst="rect">
                      <a:avLst/>
                    </a:prstGeom>
                    <a:noFill/>
                  </pic:spPr>
                </pic:pic>
              </a:graphicData>
            </a:graphic>
          </wp:anchor>
        </w:drawing>
        <w:drawing>
          <wp:anchor simplePos="0" relativeHeight="251657728" behindDoc="1" locked="0" layoutInCell="0" allowOverlap="1">
            <wp:simplePos x="0" y="0"/>
            <wp:positionH relativeFrom="column">
              <wp:posOffset>-253365</wp:posOffset>
            </wp:positionH>
            <wp:positionV relativeFrom="paragraph">
              <wp:posOffset>-100330</wp:posOffset>
            </wp:positionV>
            <wp:extent cx="137160" cy="1454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37160" cy="145415"/>
                    </a:xfrm>
                    <a:prstGeom prst="rect">
                      <a:avLst/>
                    </a:prstGeom>
                    <a:noFill/>
                  </pic:spPr>
                </pic:pic>
              </a:graphicData>
            </a:graphic>
          </wp:anchor>
        </w:drawing>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has the authority to call for a Board meeting or a meeting of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79375</wp:posOffset>
            </wp:positionV>
            <wp:extent cx="581215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812155" cy="8255"/>
                    </a:xfrm>
                    <a:prstGeom prst="rect">
                      <a:avLst/>
                    </a:prstGeom>
                    <a:noFill/>
                  </pic:spPr>
                </pic:pic>
              </a:graphicData>
            </a:graphic>
          </wp:anchor>
        </w:drawing>
        <w:drawing>
          <wp:anchor simplePos="0" relativeHeight="251657728" behindDoc="1" locked="0" layoutInCell="0" allowOverlap="1">
            <wp:simplePos x="0" y="0"/>
            <wp:positionH relativeFrom="column">
              <wp:posOffset>-253365</wp:posOffset>
            </wp:positionH>
            <wp:positionV relativeFrom="paragraph">
              <wp:posOffset>-100330</wp:posOffset>
            </wp:positionV>
            <wp:extent cx="137160" cy="1454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37160" cy="145415"/>
                    </a:xfrm>
                    <a:prstGeom prst="rect">
                      <a:avLst/>
                    </a:prstGeom>
                    <a:noFill/>
                  </pic:spPr>
                </pic:pic>
              </a:graphicData>
            </a:graphic>
          </wp:anchor>
        </w:drawing>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guides the self-assessment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79375</wp:posOffset>
            </wp:positionV>
            <wp:extent cx="581215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812155" cy="8255"/>
                    </a:xfrm>
                    <a:prstGeom prst="rect">
                      <a:avLst/>
                    </a:prstGeom>
                    <a:noFill/>
                  </pic:spPr>
                </pic:pic>
              </a:graphicData>
            </a:graphic>
          </wp:anchor>
        </w:drawing>
        <w:drawing>
          <wp:anchor simplePos="0" relativeHeight="251657728" behindDoc="1" locked="0" layoutInCell="0" allowOverlap="1">
            <wp:simplePos x="0" y="0"/>
            <wp:positionH relativeFrom="column">
              <wp:posOffset>-253365</wp:posOffset>
            </wp:positionH>
            <wp:positionV relativeFrom="paragraph">
              <wp:posOffset>-100330</wp:posOffset>
            </wp:positionV>
            <wp:extent cx="137160" cy="1454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37160" cy="145415"/>
                    </a:xfrm>
                    <a:prstGeom prst="rect">
                      <a:avLst/>
                    </a:prstGeom>
                    <a:noFill/>
                  </pic:spPr>
                </pic:pic>
              </a:graphicData>
            </a:graphic>
          </wp:anchor>
        </w:drawing>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approves agendas and adds agenda items for Board meetings and meetings of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79375</wp:posOffset>
            </wp:positionV>
            <wp:extent cx="581215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812155" cy="8890"/>
                    </a:xfrm>
                    <a:prstGeom prst="rect">
                      <a:avLst/>
                    </a:prstGeom>
                    <a:noFill/>
                  </pic:spPr>
                </pic:pic>
              </a:graphicData>
            </a:graphic>
          </wp:anchor>
        </w:drawing>
        <w:drawing>
          <wp:anchor simplePos="0" relativeHeight="251657728" behindDoc="1" locked="0" layoutInCell="0" allowOverlap="1">
            <wp:simplePos x="0" y="0"/>
            <wp:positionH relativeFrom="column">
              <wp:posOffset>-253365</wp:posOffset>
            </wp:positionH>
            <wp:positionV relativeFrom="paragraph">
              <wp:posOffset>-100330</wp:posOffset>
            </wp:positionV>
            <wp:extent cx="137160" cy="14605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37160" cy="146050"/>
                    </a:xfrm>
                    <a:prstGeom prst="rect">
                      <a:avLst/>
                    </a:prstGeom>
                    <a:noFill/>
                  </pic:spPr>
                </pic:pic>
              </a:graphicData>
            </a:graphic>
          </wp:anchor>
        </w:drawing>
        <w:drawing>
          <wp:anchor simplePos="0" relativeHeight="251657728" behindDoc="1" locked="0" layoutInCell="0" allowOverlap="1">
            <wp:simplePos x="0" y="0"/>
            <wp:positionH relativeFrom="column">
              <wp:posOffset>-1513205</wp:posOffset>
            </wp:positionH>
            <wp:positionV relativeFrom="paragraph">
              <wp:posOffset>336550</wp:posOffset>
            </wp:positionV>
            <wp:extent cx="7029450" cy="19685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029450" cy="1968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780" w:space="720"/>
            <w:col w:w="8640"/>
          </w:cols>
          <w:pgMar w:left="320" w:top="459" w:right="439" w:bottom="1440" w:gutter="0" w:footer="0" w:header="0"/>
          <w:type w:val="continuous"/>
        </w:sectPr>
      </w:pPr>
    </w:p>
    <w:p>
      <w:pPr>
        <w:spacing w:after="0" w:line="200" w:lineRule="exact"/>
        <w:rPr>
          <w:sz w:val="20"/>
          <w:szCs w:val="20"/>
          <w:color w:val="auto"/>
        </w:rPr>
      </w:pP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3"/>
          <w:szCs w:val="13"/>
          <w:b w:val="1"/>
          <w:bCs w:val="1"/>
          <w:color w:val="004876"/>
        </w:rPr>
        <w:t>23</w:t>
      </w:r>
    </w:p>
    <w:p>
      <w:pPr>
        <w:sectPr>
          <w:pgSz w:w="11900" w:h="16838" w:orient="portrait"/>
          <w:cols w:equalWidth="0" w:num="1">
            <w:col w:w="11140"/>
          </w:cols>
          <w:pgMar w:left="320" w:top="459" w:right="43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4876"/>
        </w:rPr>
        <w:t>ELECTION OF DIRECTORS |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160655</wp:posOffset>
            </wp:positionV>
            <wp:extent cx="7029450" cy="3429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02945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color w:val="004876"/>
        </w:rPr>
        <w:t>Board meetings</w:t>
      </w: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646"/>
        </w:trPr>
        <w:tc>
          <w:tcPr>
            <w:tcW w:w="2580" w:type="dxa"/>
            <w:vAlign w:val="bottom"/>
            <w:shd w:val="clear" w:color="auto" w:fill="EDEDED"/>
          </w:tcPr>
          <w:p>
            <w:pPr>
              <w:jc w:val="center"/>
              <w:ind w:left="88"/>
              <w:spacing w:after="0"/>
              <w:rPr>
                <w:sz w:val="20"/>
                <w:szCs w:val="20"/>
                <w:color w:val="auto"/>
              </w:rPr>
            </w:pPr>
            <w:r>
              <w:rPr>
                <w:rFonts w:ascii="Arial" w:cs="Arial" w:eastAsia="Arial" w:hAnsi="Arial"/>
                <w:sz w:val="31"/>
                <w:szCs w:val="31"/>
                <w:b w:val="1"/>
                <w:bCs w:val="1"/>
                <w:color w:val="004876"/>
              </w:rPr>
              <w:t>10</w:t>
            </w:r>
          </w:p>
        </w:tc>
        <w:tc>
          <w:tcPr>
            <w:tcW w:w="3060" w:type="dxa"/>
            <w:vAlign w:val="bottom"/>
            <w:shd w:val="clear" w:color="auto" w:fill="EDEDED"/>
          </w:tcPr>
          <w:p>
            <w:pPr>
              <w:jc w:val="center"/>
              <w:spacing w:after="0"/>
              <w:rPr>
                <w:sz w:val="20"/>
                <w:szCs w:val="20"/>
                <w:color w:val="auto"/>
              </w:rPr>
            </w:pPr>
            <w:r>
              <w:rPr>
                <w:rFonts w:ascii="Arial" w:cs="Arial" w:eastAsia="Arial" w:hAnsi="Arial"/>
                <w:sz w:val="31"/>
                <w:szCs w:val="31"/>
                <w:b w:val="1"/>
                <w:bCs w:val="1"/>
                <w:color w:val="004876"/>
                <w:w w:val="92"/>
              </w:rPr>
              <w:t>8</w:t>
            </w:r>
          </w:p>
        </w:tc>
        <w:tc>
          <w:tcPr>
            <w:tcW w:w="2580" w:type="dxa"/>
            <w:vAlign w:val="bottom"/>
            <w:shd w:val="clear" w:color="auto" w:fill="EDEDED"/>
          </w:tcPr>
          <w:p>
            <w:pPr>
              <w:jc w:val="center"/>
              <w:ind w:right="101"/>
              <w:spacing w:after="0"/>
              <w:rPr>
                <w:sz w:val="20"/>
                <w:szCs w:val="20"/>
                <w:color w:val="auto"/>
              </w:rPr>
            </w:pPr>
            <w:r>
              <w:rPr>
                <w:rFonts w:ascii="Arial" w:cs="Arial" w:eastAsia="Arial" w:hAnsi="Arial"/>
                <w:sz w:val="31"/>
                <w:szCs w:val="31"/>
                <w:b w:val="1"/>
                <w:bCs w:val="1"/>
                <w:color w:val="004876"/>
                <w:w w:val="98"/>
              </w:rPr>
              <w:t>42</w:t>
            </w:r>
          </w:p>
        </w:tc>
        <w:tc>
          <w:tcPr>
            <w:tcW w:w="2800" w:type="dxa"/>
            <w:vAlign w:val="bottom"/>
            <w:shd w:val="clear" w:color="auto" w:fill="EDEDED"/>
          </w:tcPr>
          <w:p>
            <w:pPr>
              <w:jc w:val="center"/>
              <w:spacing w:after="0"/>
              <w:rPr>
                <w:sz w:val="20"/>
                <w:szCs w:val="20"/>
                <w:color w:val="auto"/>
              </w:rPr>
            </w:pPr>
            <w:r>
              <w:rPr>
                <w:rFonts w:ascii="Arial" w:cs="Arial" w:eastAsia="Arial" w:hAnsi="Arial"/>
                <w:sz w:val="31"/>
                <w:szCs w:val="31"/>
                <w:b w:val="1"/>
                <w:bCs w:val="1"/>
                <w:color w:val="004876"/>
                <w:w w:val="98"/>
              </w:rPr>
              <w:t>22</w:t>
            </w:r>
          </w:p>
        </w:tc>
      </w:tr>
      <w:tr>
        <w:trPr>
          <w:trHeight w:val="219"/>
        </w:trPr>
        <w:tc>
          <w:tcPr>
            <w:tcW w:w="2580" w:type="dxa"/>
            <w:vAlign w:val="bottom"/>
            <w:shd w:val="clear" w:color="auto" w:fill="EDEDED"/>
          </w:tcPr>
          <w:p>
            <w:pPr>
              <w:jc w:val="center"/>
              <w:ind w:left="88"/>
              <w:spacing w:after="0"/>
              <w:rPr>
                <w:sz w:val="20"/>
                <w:szCs w:val="20"/>
                <w:color w:val="auto"/>
              </w:rPr>
            </w:pPr>
            <w:r>
              <w:rPr>
                <w:rFonts w:ascii="Arial" w:cs="Arial" w:eastAsia="Arial" w:hAnsi="Arial"/>
                <w:sz w:val="14"/>
                <w:szCs w:val="14"/>
                <w:b w:val="1"/>
                <w:bCs w:val="1"/>
                <w:color w:val="auto"/>
              </w:rPr>
              <w:t>Board Meetings</w:t>
            </w:r>
          </w:p>
        </w:tc>
        <w:tc>
          <w:tcPr>
            <w:tcW w:w="3060" w:type="dxa"/>
            <w:vAlign w:val="bottom"/>
            <w:shd w:val="clear" w:color="auto" w:fill="EDEDED"/>
          </w:tcPr>
          <w:p>
            <w:pPr>
              <w:jc w:val="center"/>
              <w:spacing w:after="0"/>
              <w:rPr>
                <w:sz w:val="20"/>
                <w:szCs w:val="20"/>
                <w:color w:val="auto"/>
              </w:rPr>
            </w:pPr>
            <w:r>
              <w:rPr>
                <w:rFonts w:ascii="Arial" w:cs="Arial" w:eastAsia="Arial" w:hAnsi="Arial"/>
                <w:sz w:val="14"/>
                <w:szCs w:val="14"/>
                <w:b w:val="1"/>
                <w:bCs w:val="1"/>
                <w:color w:val="auto"/>
              </w:rPr>
              <w:t>Executive sessions of</w:t>
            </w:r>
          </w:p>
        </w:tc>
        <w:tc>
          <w:tcPr>
            <w:tcW w:w="2580" w:type="dxa"/>
            <w:vAlign w:val="bottom"/>
            <w:shd w:val="clear" w:color="auto" w:fill="EDEDED"/>
          </w:tcPr>
          <w:p>
            <w:pPr>
              <w:jc w:val="center"/>
              <w:ind w:right="81"/>
              <w:spacing w:after="0"/>
              <w:rPr>
                <w:sz w:val="20"/>
                <w:szCs w:val="20"/>
                <w:color w:val="auto"/>
              </w:rPr>
            </w:pPr>
            <w:r>
              <w:rPr>
                <w:rFonts w:ascii="Arial" w:cs="Arial" w:eastAsia="Arial" w:hAnsi="Arial"/>
                <w:sz w:val="14"/>
                <w:szCs w:val="14"/>
                <w:b w:val="1"/>
                <w:bCs w:val="1"/>
                <w:color w:val="auto"/>
              </w:rPr>
              <w:t>Meetings of Principal</w:t>
            </w:r>
          </w:p>
        </w:tc>
        <w:tc>
          <w:tcPr>
            <w:tcW w:w="2800" w:type="dxa"/>
            <w:vAlign w:val="bottom"/>
            <w:shd w:val="clear" w:color="auto" w:fill="EDEDED"/>
          </w:tcPr>
          <w:p>
            <w:pPr>
              <w:jc w:val="center"/>
              <w:spacing w:after="0"/>
              <w:rPr>
                <w:sz w:val="20"/>
                <w:szCs w:val="20"/>
                <w:color w:val="auto"/>
              </w:rPr>
            </w:pPr>
            <w:r>
              <w:rPr>
                <w:rFonts w:ascii="Arial" w:cs="Arial" w:eastAsia="Arial" w:hAnsi="Arial"/>
                <w:sz w:val="14"/>
                <w:szCs w:val="14"/>
                <w:b w:val="1"/>
                <w:bCs w:val="1"/>
                <w:color w:val="auto"/>
              </w:rPr>
              <w:t>Meetings of Specific</w:t>
            </w:r>
          </w:p>
        </w:tc>
      </w:tr>
      <w:tr>
        <w:trPr>
          <w:trHeight w:val="166"/>
        </w:trPr>
        <w:tc>
          <w:tcPr>
            <w:tcW w:w="2580" w:type="dxa"/>
            <w:vAlign w:val="bottom"/>
            <w:shd w:val="clear" w:color="auto" w:fill="EDEDED"/>
          </w:tcPr>
          <w:p>
            <w:pPr>
              <w:jc w:val="center"/>
              <w:ind w:left="88"/>
              <w:spacing w:after="0"/>
              <w:rPr>
                <w:sz w:val="20"/>
                <w:szCs w:val="20"/>
                <w:color w:val="auto"/>
              </w:rPr>
            </w:pPr>
            <w:r>
              <w:rPr>
                <w:rFonts w:ascii="Arial" w:cs="Arial" w:eastAsia="Arial" w:hAnsi="Arial"/>
                <w:sz w:val="14"/>
                <w:szCs w:val="14"/>
                <w:i w:val="1"/>
                <w:iCs w:val="1"/>
                <w:color w:val="auto"/>
              </w:rPr>
              <w:t>Communication between</w:t>
            </w:r>
          </w:p>
        </w:tc>
        <w:tc>
          <w:tcPr>
            <w:tcW w:w="3060" w:type="dxa"/>
            <w:vAlign w:val="bottom"/>
            <w:shd w:val="clear" w:color="auto" w:fill="EDEDED"/>
          </w:tcPr>
          <w:p>
            <w:pPr>
              <w:jc w:val="center"/>
              <w:spacing w:after="0"/>
              <w:rPr>
                <w:sz w:val="20"/>
                <w:szCs w:val="20"/>
                <w:color w:val="auto"/>
              </w:rPr>
            </w:pPr>
            <w:r>
              <w:rPr>
                <w:rFonts w:ascii="Arial" w:cs="Arial" w:eastAsia="Arial" w:hAnsi="Arial"/>
                <w:sz w:val="14"/>
                <w:szCs w:val="14"/>
                <w:b w:val="1"/>
                <w:bCs w:val="1"/>
                <w:color w:val="auto"/>
              </w:rPr>
              <w:t>independent directors</w:t>
            </w:r>
          </w:p>
        </w:tc>
        <w:tc>
          <w:tcPr>
            <w:tcW w:w="2580" w:type="dxa"/>
            <w:vAlign w:val="bottom"/>
            <w:shd w:val="clear" w:color="auto" w:fill="EDEDED"/>
          </w:tcPr>
          <w:p>
            <w:pPr>
              <w:jc w:val="center"/>
              <w:ind w:right="81"/>
              <w:spacing w:after="0"/>
              <w:rPr>
                <w:sz w:val="20"/>
                <w:szCs w:val="20"/>
                <w:color w:val="auto"/>
              </w:rPr>
            </w:pPr>
            <w:r>
              <w:rPr>
                <w:rFonts w:ascii="Arial" w:cs="Arial" w:eastAsia="Arial" w:hAnsi="Arial"/>
                <w:sz w:val="14"/>
                <w:szCs w:val="14"/>
                <w:b w:val="1"/>
                <w:bCs w:val="1"/>
                <w:color w:val="auto"/>
              </w:rPr>
              <w:t>Standing Committees</w:t>
            </w:r>
          </w:p>
        </w:tc>
        <w:tc>
          <w:tcPr>
            <w:tcW w:w="2800" w:type="dxa"/>
            <w:vAlign w:val="bottom"/>
            <w:shd w:val="clear" w:color="auto" w:fill="EDEDED"/>
          </w:tcPr>
          <w:p>
            <w:pPr>
              <w:jc w:val="center"/>
              <w:spacing w:after="0"/>
              <w:rPr>
                <w:sz w:val="20"/>
                <w:szCs w:val="20"/>
                <w:color w:val="auto"/>
              </w:rPr>
            </w:pPr>
            <w:r>
              <w:rPr>
                <w:rFonts w:ascii="Arial" w:cs="Arial" w:eastAsia="Arial" w:hAnsi="Arial"/>
                <w:sz w:val="14"/>
                <w:szCs w:val="14"/>
                <w:b w:val="1"/>
                <w:bCs w:val="1"/>
                <w:color w:val="auto"/>
              </w:rPr>
              <w:t>Purpose Committees</w:t>
            </w:r>
          </w:p>
        </w:tc>
      </w:tr>
      <w:tr>
        <w:trPr>
          <w:trHeight w:val="227"/>
        </w:trPr>
        <w:tc>
          <w:tcPr>
            <w:tcW w:w="2580" w:type="dxa"/>
            <w:vAlign w:val="bottom"/>
            <w:shd w:val="clear" w:color="auto" w:fill="EDEDED"/>
          </w:tcPr>
          <w:p>
            <w:pPr>
              <w:jc w:val="center"/>
              <w:ind w:left="88"/>
              <w:spacing w:after="0"/>
              <w:rPr>
                <w:sz w:val="20"/>
                <w:szCs w:val="20"/>
                <w:color w:val="auto"/>
              </w:rPr>
            </w:pPr>
            <w:r>
              <w:rPr>
                <w:rFonts w:ascii="Arial" w:cs="Arial" w:eastAsia="Arial" w:hAnsi="Arial"/>
                <w:sz w:val="14"/>
                <w:szCs w:val="14"/>
                <w:i w:val="1"/>
                <w:iCs w:val="1"/>
                <w:color w:val="auto"/>
              </w:rPr>
              <w:t>meetings as appropriate</w:t>
            </w:r>
          </w:p>
        </w:tc>
        <w:tc>
          <w:tcPr>
            <w:tcW w:w="3060" w:type="dxa"/>
            <w:vAlign w:val="bottom"/>
            <w:shd w:val="clear" w:color="auto" w:fill="EDEDED"/>
          </w:tcPr>
          <w:p>
            <w:pPr>
              <w:jc w:val="center"/>
              <w:spacing w:after="0"/>
              <w:rPr>
                <w:sz w:val="20"/>
                <w:szCs w:val="20"/>
                <w:color w:val="auto"/>
              </w:rPr>
            </w:pPr>
            <w:r>
              <w:rPr>
                <w:rFonts w:ascii="Arial" w:cs="Arial" w:eastAsia="Arial" w:hAnsi="Arial"/>
                <w:sz w:val="14"/>
                <w:szCs w:val="14"/>
                <w:i w:val="1"/>
                <w:iCs w:val="1"/>
                <w:color w:val="auto"/>
              </w:rPr>
              <w:t>Led by Lead Independent Director</w:t>
            </w:r>
          </w:p>
        </w:tc>
        <w:tc>
          <w:tcPr>
            <w:tcW w:w="2580" w:type="dxa"/>
            <w:vAlign w:val="bottom"/>
            <w:shd w:val="clear" w:color="auto" w:fill="EDEDED"/>
          </w:tcPr>
          <w:p>
            <w:pPr>
              <w:spacing w:after="0"/>
              <w:rPr>
                <w:sz w:val="19"/>
                <w:szCs w:val="19"/>
                <w:color w:val="auto"/>
              </w:rPr>
            </w:pPr>
          </w:p>
        </w:tc>
        <w:tc>
          <w:tcPr>
            <w:tcW w:w="2800" w:type="dxa"/>
            <w:vAlign w:val="bottom"/>
            <w:shd w:val="clear" w:color="auto" w:fill="EDEDED"/>
          </w:tcPr>
          <w:p>
            <w:pPr>
              <w:spacing w:after="0"/>
              <w:rPr>
                <w:sz w:val="19"/>
                <w:szCs w:val="19"/>
                <w:color w:val="auto"/>
              </w:rPr>
            </w:pPr>
          </w:p>
        </w:tc>
      </w:tr>
      <w:tr>
        <w:trPr>
          <w:trHeight w:val="161"/>
        </w:trPr>
        <w:tc>
          <w:tcPr>
            <w:tcW w:w="2580" w:type="dxa"/>
            <w:vAlign w:val="bottom"/>
            <w:shd w:val="clear" w:color="auto" w:fill="EDEDED"/>
          </w:tcPr>
          <w:p>
            <w:pPr>
              <w:spacing w:after="0"/>
              <w:rPr>
                <w:sz w:val="13"/>
                <w:szCs w:val="13"/>
                <w:color w:val="auto"/>
              </w:rPr>
            </w:pPr>
          </w:p>
        </w:tc>
        <w:tc>
          <w:tcPr>
            <w:tcW w:w="3060" w:type="dxa"/>
            <w:vAlign w:val="bottom"/>
            <w:shd w:val="clear" w:color="auto" w:fill="EDEDED"/>
          </w:tcPr>
          <w:p>
            <w:pPr>
              <w:spacing w:after="0"/>
              <w:rPr>
                <w:sz w:val="13"/>
                <w:szCs w:val="13"/>
                <w:color w:val="auto"/>
              </w:rPr>
            </w:pPr>
          </w:p>
        </w:tc>
        <w:tc>
          <w:tcPr>
            <w:tcW w:w="2580" w:type="dxa"/>
            <w:vAlign w:val="bottom"/>
            <w:shd w:val="clear" w:color="auto" w:fill="EDEDED"/>
          </w:tcPr>
          <w:p>
            <w:pPr>
              <w:spacing w:after="0"/>
              <w:rPr>
                <w:sz w:val="13"/>
                <w:szCs w:val="13"/>
                <w:color w:val="auto"/>
              </w:rPr>
            </w:pPr>
          </w:p>
        </w:tc>
        <w:tc>
          <w:tcPr>
            <w:tcW w:w="2800" w:type="dxa"/>
            <w:vAlign w:val="bottom"/>
            <w:shd w:val="clear" w:color="auto" w:fill="EDEDED"/>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-796290</wp:posOffset>
            </wp:positionV>
            <wp:extent cx="6789420" cy="6940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789420" cy="694055"/>
                    </a:xfrm>
                    <a:prstGeom prst="rect">
                      <a:avLst/>
                    </a:prstGeom>
                    <a:noFill/>
                  </pic:spPr>
                </pic:pic>
              </a:graphicData>
            </a:graphic>
          </wp:anchor>
        </w:drawing>
      </w:r>
    </w:p>
    <w:p>
      <w:pPr>
        <w:spacing w:after="0" w:line="195" w:lineRule="exact"/>
        <w:rPr>
          <w:sz w:val="20"/>
          <w:szCs w:val="20"/>
          <w:color w:val="auto"/>
        </w:rPr>
      </w:pPr>
    </w:p>
    <w:p>
      <w:pPr>
        <w:ind w:left="120" w:right="320"/>
        <w:spacing w:after="0"/>
        <w:rPr>
          <w:sz w:val="20"/>
          <w:szCs w:val="20"/>
          <w:color w:val="auto"/>
        </w:rPr>
      </w:pPr>
      <w:r>
        <w:rPr>
          <w:rFonts w:ascii="Arial" w:cs="Arial" w:eastAsia="Arial" w:hAnsi="Arial"/>
          <w:sz w:val="18"/>
          <w:szCs w:val="18"/>
          <w:color w:val="auto"/>
        </w:rPr>
        <w:t>The Board conducts its business as a group and through a well-developed committee structure in adherence to our Governance Principles. The Board has established practices and processes to actively manage its information flow, set meeting agendas and make sound, well-informed decisions.</w:t>
      </w:r>
    </w:p>
    <w:p>
      <w:pPr>
        <w:spacing w:after="0" w:line="95" w:lineRule="exact"/>
        <w:rPr>
          <w:sz w:val="20"/>
          <w:szCs w:val="20"/>
          <w:color w:val="auto"/>
        </w:rPr>
      </w:pPr>
    </w:p>
    <w:p>
      <w:pPr>
        <w:ind w:left="120" w:right="460"/>
        <w:spacing w:after="0" w:line="246" w:lineRule="auto"/>
        <w:rPr>
          <w:sz w:val="20"/>
          <w:szCs w:val="20"/>
          <w:color w:val="auto"/>
        </w:rPr>
      </w:pPr>
      <w:r>
        <w:rPr>
          <w:rFonts w:ascii="Arial" w:cs="Arial" w:eastAsia="Arial" w:hAnsi="Arial"/>
          <w:sz w:val="18"/>
          <w:szCs w:val="18"/>
          <w:color w:val="auto"/>
        </w:rPr>
        <w:t>Board members have direct access to management and regularly receive information from and engage with management during and outside of formal Board meetings.</w:t>
      </w:r>
    </w:p>
    <w:p>
      <w:pPr>
        <w:spacing w:after="0" w:line="89" w:lineRule="exact"/>
        <w:rPr>
          <w:sz w:val="20"/>
          <w:szCs w:val="20"/>
          <w:color w:val="auto"/>
        </w:rPr>
      </w:pPr>
    </w:p>
    <w:p>
      <w:pPr>
        <w:ind w:left="120" w:right="100"/>
        <w:spacing w:after="0" w:line="246" w:lineRule="auto"/>
        <w:rPr>
          <w:sz w:val="20"/>
          <w:szCs w:val="20"/>
          <w:color w:val="auto"/>
        </w:rPr>
      </w:pPr>
      <w:r>
        <w:rPr>
          <w:rFonts w:ascii="Arial" w:cs="Arial" w:eastAsia="Arial" w:hAnsi="Arial"/>
          <w:sz w:val="18"/>
          <w:szCs w:val="18"/>
          <w:color w:val="auto"/>
        </w:rPr>
        <w:t>In addition, the Board and each committee has the authority and resources to seek legal or other expert advice from sources independent of management.</w:t>
      </w:r>
    </w:p>
    <w:p>
      <w:pPr>
        <w:spacing w:after="0" w:line="89" w:lineRule="exact"/>
        <w:rPr>
          <w:sz w:val="20"/>
          <w:szCs w:val="20"/>
          <w:color w:val="auto"/>
        </w:rPr>
      </w:pPr>
    </w:p>
    <w:p>
      <w:pPr>
        <w:ind w:left="120" w:right="560"/>
        <w:spacing w:after="0"/>
        <w:rPr>
          <w:sz w:val="20"/>
          <w:szCs w:val="20"/>
          <w:color w:val="auto"/>
        </w:rPr>
      </w:pPr>
      <w:r>
        <w:rPr>
          <w:rFonts w:ascii="Arial" w:cs="Arial" w:eastAsia="Arial" w:hAnsi="Arial"/>
          <w:sz w:val="18"/>
          <w:szCs w:val="18"/>
          <w:color w:val="auto"/>
        </w:rPr>
        <w:t>The full Board met 10 times in 2019. In 2019, all of the members of our Board (other than Mr. Dimon) served on and/or chaired the principal standing committees and specific purpose committees of the Board. For more information on committees, see below. Each director attended 75% or more of the total meetings of the Board and the committees on which he or she served in 2019.</w:t>
      </w:r>
    </w:p>
    <w:p>
      <w:pPr>
        <w:sectPr>
          <w:pgSz w:w="11900" w:h="16838" w:orient="portrait"/>
          <w:cols w:equalWidth="0" w:num="1">
            <w:col w:w="11140"/>
          </w:cols>
          <w:pgMar w:left="320" w:top="459" w:right="439" w:bottom="1440" w:gutter="0" w:footer="0" w:header="0"/>
        </w:sectPr>
      </w:pPr>
    </w:p>
    <w:p>
      <w:pPr>
        <w:spacing w:after="0" w:line="199" w:lineRule="exact"/>
        <w:rPr>
          <w:sz w:val="20"/>
          <w:szCs w:val="20"/>
          <w:color w:val="auto"/>
        </w:rPr>
      </w:pPr>
    </w:p>
    <w:p>
      <w:pPr>
        <w:ind w:left="120"/>
        <w:spacing w:after="0"/>
        <w:rPr>
          <w:sz w:val="20"/>
          <w:szCs w:val="20"/>
          <w:color w:val="auto"/>
        </w:rPr>
      </w:pPr>
      <w:r>
        <w:rPr>
          <w:rFonts w:ascii="Arial" w:cs="Arial" w:eastAsia="Arial" w:hAnsi="Arial"/>
          <w:sz w:val="29"/>
          <w:szCs w:val="29"/>
          <w:color w:val="004876"/>
        </w:rPr>
        <w:t>Committees of the Board</w:t>
      </w:r>
    </w:p>
    <w:p>
      <w:pPr>
        <w:spacing w:after="0" w:line="102" w:lineRule="exact"/>
        <w:rPr>
          <w:sz w:val="20"/>
          <w:szCs w:val="20"/>
          <w:color w:val="auto"/>
        </w:rPr>
      </w:pPr>
    </w:p>
    <w:p>
      <w:pPr>
        <w:ind w:left="120" w:right="160"/>
        <w:spacing w:after="0" w:line="237" w:lineRule="auto"/>
        <w:rPr>
          <w:sz w:val="20"/>
          <w:szCs w:val="20"/>
          <w:color w:val="auto"/>
        </w:rPr>
      </w:pPr>
      <w:r>
        <w:rPr>
          <w:rFonts w:ascii="Arial" w:cs="Arial" w:eastAsia="Arial" w:hAnsi="Arial"/>
          <w:sz w:val="18"/>
          <w:szCs w:val="18"/>
          <w:color w:val="auto"/>
        </w:rPr>
        <w:t>A significant portion of our Board’s oversight responsibilities is carried out through its five independent, principal standing committees: Audit Committee, CMDC, Governance Committee, Public Responsibility Committee and Risk Committee. Allocating responsibilities among committees increases the amount of attention that can be devoted to the Board’s oversight of the business and affairs of the Firm.</w:t>
      </w:r>
    </w:p>
    <w:p>
      <w:pPr>
        <w:spacing w:after="0" w:line="95" w:lineRule="exact"/>
        <w:rPr>
          <w:sz w:val="20"/>
          <w:szCs w:val="20"/>
          <w:color w:val="auto"/>
        </w:rPr>
      </w:pPr>
    </w:p>
    <w:p>
      <w:pPr>
        <w:ind w:left="120" w:right="180"/>
        <w:spacing w:after="0" w:line="238" w:lineRule="auto"/>
        <w:rPr>
          <w:sz w:val="20"/>
          <w:szCs w:val="20"/>
          <w:color w:val="auto"/>
        </w:rPr>
      </w:pPr>
      <w:r>
        <w:rPr>
          <w:rFonts w:ascii="Arial" w:cs="Arial" w:eastAsia="Arial" w:hAnsi="Arial"/>
          <w:sz w:val="18"/>
          <w:szCs w:val="18"/>
          <w:color w:val="auto"/>
        </w:rPr>
        <w:t>Committees meet regularly in conjunction with scheduled Board meetings and hold additional meetings as needed. Each committee reviews reports from senior management and reports its actions to, and discusses its recommendations with, the full Board.</w:t>
      </w:r>
    </w:p>
    <w:p>
      <w:pPr>
        <w:spacing w:after="0" w:line="94"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Each principal standing committee operates pursuant to a written charter. These charters are available on our website at jpmorganchase.com/committee-charters. Each charter is reviewed at least annually as part of the Board’s and each respective committee’s self-assessment.</w:t>
      </w:r>
    </w:p>
    <w:p>
      <w:pPr>
        <w:spacing w:after="0" w:line="94" w:lineRule="exact"/>
        <w:rPr>
          <w:sz w:val="20"/>
          <w:szCs w:val="20"/>
          <w:color w:val="auto"/>
        </w:rPr>
      </w:pPr>
    </w:p>
    <w:p>
      <w:pPr>
        <w:ind w:left="120" w:right="140"/>
        <w:spacing w:after="0" w:line="238" w:lineRule="auto"/>
        <w:rPr>
          <w:sz w:val="20"/>
          <w:szCs w:val="20"/>
          <w:color w:val="auto"/>
        </w:rPr>
      </w:pPr>
      <w:r>
        <w:rPr>
          <w:rFonts w:ascii="Arial" w:cs="Arial" w:eastAsia="Arial" w:hAnsi="Arial"/>
          <w:sz w:val="18"/>
          <w:szCs w:val="18"/>
          <w:color w:val="auto"/>
        </w:rPr>
        <w:t>The Governance Committee annually reviews the allocation of responsibility among the committees as part of the Board and committee self-assessment. For more information about the self-assessment process, see page 27.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 w:right="40"/>
        <w:spacing w:after="0"/>
        <w:rPr>
          <w:sz w:val="20"/>
          <w:szCs w:val="20"/>
          <w:color w:val="auto"/>
        </w:rPr>
      </w:pPr>
      <w:r>
        <w:rPr>
          <w:rFonts w:ascii="Arial" w:cs="Arial" w:eastAsia="Arial" w:hAnsi="Arial"/>
          <w:sz w:val="18"/>
          <w:szCs w:val="18"/>
          <w:color w:val="auto"/>
        </w:rPr>
        <w:t>Each committee has oversight of specific areas of business activities and risk, and engages with the Firm’s senior management responsible for those areas.</w:t>
      </w:r>
    </w:p>
    <w:p>
      <w:pPr>
        <w:spacing w:after="0" w:line="90" w:lineRule="exact"/>
        <w:rPr>
          <w:sz w:val="20"/>
          <w:szCs w:val="20"/>
          <w:color w:val="auto"/>
        </w:rPr>
      </w:pPr>
    </w:p>
    <w:p>
      <w:pPr>
        <w:ind w:left="6"/>
        <w:spacing w:after="0"/>
        <w:rPr>
          <w:sz w:val="20"/>
          <w:szCs w:val="20"/>
          <w:color w:val="auto"/>
        </w:rPr>
      </w:pPr>
      <w:r>
        <w:rPr>
          <w:rFonts w:ascii="Arial" w:cs="Arial" w:eastAsia="Arial" w:hAnsi="Arial"/>
          <w:sz w:val="18"/>
          <w:szCs w:val="18"/>
          <w:color w:val="auto"/>
        </w:rPr>
        <w:t>All committee chairs are appointed annually by our Board.</w:t>
      </w:r>
    </w:p>
    <w:p>
      <w:pPr>
        <w:ind w:left="6"/>
        <w:spacing w:after="0"/>
        <w:rPr>
          <w:sz w:val="20"/>
          <w:szCs w:val="20"/>
          <w:color w:val="auto"/>
        </w:rPr>
      </w:pPr>
      <w:r>
        <w:rPr>
          <w:rFonts w:ascii="Arial" w:cs="Arial" w:eastAsia="Arial" w:hAnsi="Arial"/>
          <w:sz w:val="18"/>
          <w:szCs w:val="18"/>
          <w:color w:val="auto"/>
        </w:rPr>
        <w:t>Committee chairs are responsible for:</w:t>
      </w:r>
    </w:p>
    <w:p>
      <w:pPr>
        <w:spacing w:after="0" w:line="117" w:lineRule="exact"/>
        <w:rPr>
          <w:sz w:val="20"/>
          <w:szCs w:val="20"/>
          <w:color w:val="auto"/>
        </w:rPr>
      </w:pPr>
    </w:p>
    <w:p>
      <w:pPr>
        <w:ind w:left="166" w:hanging="166"/>
        <w:spacing w:after="0"/>
        <w:tabs>
          <w:tab w:leader="none" w:pos="166" w:val="left"/>
        </w:tabs>
        <w:numPr>
          <w:ilvl w:val="0"/>
          <w:numId w:val="63"/>
        </w:numPr>
        <w:rPr>
          <w:rFonts w:ascii="Arial" w:cs="Arial" w:eastAsia="Arial" w:hAnsi="Arial"/>
          <w:sz w:val="18"/>
          <w:szCs w:val="18"/>
          <w:color w:val="004876"/>
        </w:rPr>
      </w:pPr>
      <w:r>
        <w:rPr>
          <w:rFonts w:ascii="Arial" w:cs="Arial" w:eastAsia="Arial" w:hAnsi="Arial"/>
          <w:sz w:val="18"/>
          <w:szCs w:val="18"/>
          <w:color w:val="auto"/>
        </w:rPr>
        <w:t>Calling meetings of their committees</w:t>
      </w:r>
    </w:p>
    <w:p>
      <w:pPr>
        <w:spacing w:after="0" w:line="117" w:lineRule="exact"/>
        <w:rPr>
          <w:rFonts w:ascii="Arial" w:cs="Arial" w:eastAsia="Arial" w:hAnsi="Arial"/>
          <w:sz w:val="18"/>
          <w:szCs w:val="18"/>
          <w:color w:val="004876"/>
        </w:rPr>
      </w:pPr>
    </w:p>
    <w:p>
      <w:pPr>
        <w:ind w:left="166" w:hanging="166"/>
        <w:spacing w:after="0"/>
        <w:tabs>
          <w:tab w:leader="none" w:pos="166" w:val="left"/>
        </w:tabs>
        <w:numPr>
          <w:ilvl w:val="0"/>
          <w:numId w:val="63"/>
        </w:numPr>
        <w:rPr>
          <w:rFonts w:ascii="Arial" w:cs="Arial" w:eastAsia="Arial" w:hAnsi="Arial"/>
          <w:sz w:val="18"/>
          <w:szCs w:val="18"/>
          <w:color w:val="004876"/>
        </w:rPr>
      </w:pPr>
      <w:r>
        <w:rPr>
          <w:rFonts w:ascii="Arial" w:cs="Arial" w:eastAsia="Arial" w:hAnsi="Arial"/>
          <w:sz w:val="18"/>
          <w:szCs w:val="18"/>
          <w:color w:val="auto"/>
        </w:rPr>
        <w:t>Approving agendas for their committee meetings</w:t>
      </w:r>
    </w:p>
    <w:p>
      <w:pPr>
        <w:spacing w:after="0" w:line="117" w:lineRule="exact"/>
        <w:rPr>
          <w:rFonts w:ascii="Arial" w:cs="Arial" w:eastAsia="Arial" w:hAnsi="Arial"/>
          <w:sz w:val="18"/>
          <w:szCs w:val="18"/>
          <w:color w:val="004876"/>
        </w:rPr>
      </w:pPr>
    </w:p>
    <w:p>
      <w:pPr>
        <w:ind w:left="166" w:hanging="166"/>
        <w:spacing w:after="0"/>
        <w:tabs>
          <w:tab w:leader="none" w:pos="166" w:val="left"/>
        </w:tabs>
        <w:numPr>
          <w:ilvl w:val="0"/>
          <w:numId w:val="63"/>
        </w:numPr>
        <w:rPr>
          <w:rFonts w:ascii="Arial" w:cs="Arial" w:eastAsia="Arial" w:hAnsi="Arial"/>
          <w:sz w:val="18"/>
          <w:szCs w:val="18"/>
          <w:color w:val="004876"/>
        </w:rPr>
      </w:pPr>
      <w:r>
        <w:rPr>
          <w:rFonts w:ascii="Arial" w:cs="Arial" w:eastAsia="Arial" w:hAnsi="Arial"/>
          <w:sz w:val="18"/>
          <w:szCs w:val="18"/>
          <w:color w:val="auto"/>
        </w:rPr>
        <w:t>Presiding at meetings of their committees</w:t>
      </w:r>
    </w:p>
    <w:p>
      <w:pPr>
        <w:spacing w:after="0" w:line="117" w:lineRule="exact"/>
        <w:rPr>
          <w:rFonts w:ascii="Arial" w:cs="Arial" w:eastAsia="Arial" w:hAnsi="Arial"/>
          <w:sz w:val="18"/>
          <w:szCs w:val="18"/>
          <w:color w:val="004876"/>
        </w:rPr>
      </w:pPr>
    </w:p>
    <w:p>
      <w:pPr>
        <w:ind w:left="166" w:right="20" w:hanging="166"/>
        <w:spacing w:after="0"/>
        <w:tabs>
          <w:tab w:leader="none" w:pos="166" w:val="left"/>
        </w:tabs>
        <w:numPr>
          <w:ilvl w:val="0"/>
          <w:numId w:val="63"/>
        </w:numPr>
        <w:rPr>
          <w:rFonts w:ascii="Arial" w:cs="Arial" w:eastAsia="Arial" w:hAnsi="Arial"/>
          <w:sz w:val="18"/>
          <w:szCs w:val="18"/>
          <w:color w:val="004876"/>
        </w:rPr>
      </w:pPr>
      <w:r>
        <w:rPr>
          <w:rFonts w:ascii="Arial" w:cs="Arial" w:eastAsia="Arial" w:hAnsi="Arial"/>
          <w:sz w:val="18"/>
          <w:szCs w:val="18"/>
          <w:color w:val="auto"/>
        </w:rPr>
        <w:t>Serving as a liaison between committee members and the Board, and between committee members and senior management, including the CEO</w:t>
      </w:r>
    </w:p>
    <w:p>
      <w:pPr>
        <w:spacing w:after="0" w:line="108" w:lineRule="exact"/>
        <w:rPr>
          <w:rFonts w:ascii="Arial" w:cs="Arial" w:eastAsia="Arial" w:hAnsi="Arial"/>
          <w:sz w:val="18"/>
          <w:szCs w:val="18"/>
          <w:color w:val="004876"/>
        </w:rPr>
      </w:pPr>
    </w:p>
    <w:p>
      <w:pPr>
        <w:ind w:left="166" w:right="420" w:hanging="166"/>
        <w:spacing w:after="0" w:line="246" w:lineRule="auto"/>
        <w:tabs>
          <w:tab w:leader="none" w:pos="166" w:val="left"/>
        </w:tabs>
        <w:numPr>
          <w:ilvl w:val="0"/>
          <w:numId w:val="63"/>
        </w:numPr>
        <w:rPr>
          <w:rFonts w:ascii="Arial" w:cs="Arial" w:eastAsia="Arial" w:hAnsi="Arial"/>
          <w:sz w:val="18"/>
          <w:szCs w:val="18"/>
          <w:color w:val="004876"/>
        </w:rPr>
      </w:pPr>
      <w:r>
        <w:rPr>
          <w:rFonts w:ascii="Arial" w:cs="Arial" w:eastAsia="Arial" w:hAnsi="Arial"/>
          <w:sz w:val="18"/>
          <w:szCs w:val="18"/>
          <w:color w:val="auto"/>
        </w:rPr>
        <w:t>Working directly with the senior management responsible for committee mandates</w:t>
      </w:r>
    </w:p>
    <w:p>
      <w:pPr>
        <w:spacing w:after="0" w:line="89" w:lineRule="exact"/>
        <w:rPr>
          <w:sz w:val="20"/>
          <w:szCs w:val="20"/>
          <w:color w:val="auto"/>
        </w:rPr>
      </w:pPr>
    </w:p>
    <w:p>
      <w:pPr>
        <w:ind w:left="6" w:right="80"/>
        <w:spacing w:after="0" w:line="236" w:lineRule="auto"/>
        <w:rPr>
          <w:sz w:val="20"/>
          <w:szCs w:val="20"/>
          <w:color w:val="auto"/>
        </w:rPr>
      </w:pPr>
      <w:r>
        <w:rPr>
          <w:rFonts w:ascii="Arial" w:cs="Arial" w:eastAsia="Arial" w:hAnsi="Arial"/>
          <w:sz w:val="18"/>
          <w:szCs w:val="18"/>
          <w:color w:val="auto"/>
        </w:rPr>
        <w:t>The Board determined each member of the Audit Committee in 2019 (James A. Bell, Timothy P. Flynn, Mellody Hobson and Laban P. Jackson, Jr.) to be an audit committee financial expert in accordance with the definition established by the SEC, and that Ms. Bammann, the chair of the Risk Committee, has experience in identifying, assessing and managing risk exposures of large, complex financial firms in accordance with rules issued by the Board of Governors of the Federal Reserve System (“Federal Reserve”).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-3566795</wp:posOffset>
            </wp:positionH>
            <wp:positionV relativeFrom="paragraph">
              <wp:posOffset>337820</wp:posOffset>
            </wp:positionV>
            <wp:extent cx="7029450" cy="19685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029450" cy="1968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00" w:space="334"/>
            <w:col w:w="5406"/>
          </w:cols>
          <w:pgMar w:left="320" w:top="459" w:right="439" w:bottom="1440" w:gutter="0" w:footer="0" w:header="0"/>
          <w:type w:val="continuous"/>
        </w:sectPr>
      </w:pPr>
    </w:p>
    <w:p>
      <w:pPr>
        <w:spacing w:after="0" w:line="200" w:lineRule="exact"/>
        <w:rPr>
          <w:sz w:val="20"/>
          <w:szCs w:val="20"/>
          <w:color w:val="auto"/>
        </w:rPr>
      </w:pPr>
    </w:p>
    <w:p>
      <w:pPr>
        <w:spacing w:after="0" w:line="209" w:lineRule="exact"/>
        <w:rPr>
          <w:sz w:val="20"/>
          <w:szCs w:val="20"/>
          <w:color w:val="auto"/>
        </w:rPr>
      </w:pPr>
    </w:p>
    <w:p>
      <w:pPr>
        <w:jc w:val="center"/>
        <w:ind w:right="-99"/>
        <w:spacing w:after="0"/>
        <w:rPr>
          <w:sz w:val="20"/>
          <w:szCs w:val="20"/>
          <w:color w:val="auto"/>
        </w:rPr>
      </w:pPr>
      <w:r>
        <w:rPr>
          <w:rFonts w:ascii="Arial" w:cs="Arial" w:eastAsia="Arial" w:hAnsi="Arial"/>
          <w:sz w:val="13"/>
          <w:szCs w:val="13"/>
          <w:b w:val="1"/>
          <w:bCs w:val="1"/>
          <w:color w:val="004876"/>
        </w:rPr>
        <w:t>24</w:t>
      </w:r>
    </w:p>
    <w:p>
      <w:pPr>
        <w:sectPr>
          <w:pgSz w:w="11900" w:h="16838" w:orient="portrait"/>
          <w:cols w:equalWidth="0" w:num="1">
            <w:col w:w="11140"/>
          </w:cols>
          <w:pgMar w:left="320" w:top="459" w:right="43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04876"/>
        </w:rPr>
        <w:t>CORPORATE GOVERNANCE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160655</wp:posOffset>
            </wp:positionV>
            <wp:extent cx="7029450" cy="3429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02945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color w:val="004876"/>
        </w:rPr>
        <w:t>Key oversight responsibilities</w:t>
      </w:r>
    </w:p>
    <w:p>
      <w:pPr>
        <w:spacing w:after="0" w:line="209" w:lineRule="exact"/>
        <w:rPr>
          <w:sz w:val="20"/>
          <w:szCs w:val="20"/>
          <w:color w:val="auto"/>
        </w:rPr>
      </w:pPr>
    </w:p>
    <w:p>
      <w:pPr>
        <w:jc w:val="center"/>
        <w:ind w:right="-159"/>
        <w:spacing w:after="0"/>
        <w:rPr>
          <w:sz w:val="20"/>
          <w:szCs w:val="20"/>
          <w:color w:val="auto"/>
        </w:rPr>
      </w:pPr>
      <w:r>
        <w:rPr>
          <w:rFonts w:ascii="Arial" w:cs="Arial" w:eastAsia="Arial" w:hAnsi="Arial"/>
          <w:sz w:val="25"/>
          <w:szCs w:val="25"/>
          <w:b w:val="1"/>
          <w:bCs w:val="1"/>
          <w:color w:val="004876"/>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-162560</wp:posOffset>
            </wp:positionV>
            <wp:extent cx="6995160" cy="436308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995160" cy="4363085"/>
                    </a:xfrm>
                    <a:prstGeom prst="rect">
                      <a:avLst/>
                    </a:prstGeom>
                    <a:noFill/>
                  </pic:spPr>
                </pic:pic>
              </a:graphicData>
            </a:graphic>
          </wp:anchor>
        </w:drawing>
      </w:r>
    </w:p>
    <w:p>
      <w:pPr>
        <w:sectPr>
          <w:pgSz w:w="11900" w:h="16838" w:orient="portrait"/>
          <w:cols w:equalWidth="0" w:num="1">
            <w:col w:w="11120"/>
          </w:cols>
          <w:pgMar w:left="320" w:top="459"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780"/>
        <w:spacing w:after="0"/>
        <w:rPr>
          <w:sz w:val="20"/>
          <w:szCs w:val="20"/>
          <w:color w:val="auto"/>
        </w:rPr>
      </w:pPr>
      <w:r>
        <w:rPr>
          <w:rFonts w:ascii="Arial" w:cs="Arial" w:eastAsia="Arial" w:hAnsi="Arial"/>
          <w:sz w:val="15"/>
          <w:szCs w:val="15"/>
          <w:b w:val="1"/>
          <w:bCs w:val="1"/>
          <w:color w:val="42683C"/>
        </w:rPr>
        <w:t>Audit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2" w:lineRule="exact"/>
        <w:rPr>
          <w:sz w:val="20"/>
          <w:szCs w:val="20"/>
          <w:color w:val="auto"/>
        </w:rPr>
      </w:pPr>
    </w:p>
    <w:p>
      <w:pPr>
        <w:jc w:val="center"/>
        <w:ind w:right="1060"/>
        <w:spacing w:after="0"/>
        <w:rPr>
          <w:sz w:val="20"/>
          <w:szCs w:val="20"/>
          <w:color w:val="auto"/>
        </w:rPr>
      </w:pPr>
      <w:r>
        <w:rPr>
          <w:rFonts w:ascii="Arial" w:cs="Arial" w:eastAsia="Arial" w:hAnsi="Arial"/>
          <w:sz w:val="16"/>
          <w:szCs w:val="16"/>
          <w:b w:val="1"/>
          <w:bCs w:val="1"/>
          <w:color w:val="42683C"/>
        </w:rPr>
        <w:t>CMDC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6"/>
          <w:szCs w:val="16"/>
          <w:b w:val="1"/>
          <w:bCs w:val="1"/>
          <w:color w:val="42683C"/>
        </w:rPr>
        <w:t>Risk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6"/>
          <w:szCs w:val="16"/>
          <w:b w:val="1"/>
          <w:bCs w:val="1"/>
          <w:color w:val="42683C"/>
        </w:rPr>
        <w:t>Public Responsibility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2" w:lineRule="exact"/>
        <w:rPr>
          <w:sz w:val="20"/>
          <w:szCs w:val="20"/>
          <w:color w:val="auto"/>
        </w:rPr>
      </w:pPr>
    </w:p>
    <w:p>
      <w:pPr>
        <w:jc w:val="center"/>
        <w:ind w:right="880"/>
        <w:spacing w:after="0"/>
        <w:rPr>
          <w:sz w:val="20"/>
          <w:szCs w:val="20"/>
          <w:color w:val="auto"/>
        </w:rPr>
      </w:pPr>
      <w:r>
        <w:rPr>
          <w:rFonts w:ascii="Arial" w:cs="Arial" w:eastAsia="Arial" w:hAnsi="Arial"/>
          <w:sz w:val="16"/>
          <w:szCs w:val="16"/>
          <w:b w:val="1"/>
          <w:bCs w:val="1"/>
          <w:color w:val="42683C"/>
        </w:rPr>
        <w:t>Governance</w:t>
      </w:r>
    </w:p>
    <w:p>
      <w:pPr>
        <w:spacing w:after="0" w:line="200" w:lineRule="exact"/>
        <w:rPr>
          <w:sz w:val="20"/>
          <w:szCs w:val="20"/>
          <w:color w:val="auto"/>
        </w:rPr>
      </w:pPr>
    </w:p>
    <w:p>
      <w:pPr>
        <w:sectPr>
          <w:pgSz w:w="11900" w:h="16838" w:orient="portrait"/>
          <w:cols w:equalWidth="0" w:num="5">
            <w:col w:w="2240" w:space="720"/>
            <w:col w:w="1540" w:space="720"/>
            <w:col w:w="900" w:space="720"/>
            <w:col w:w="1740" w:space="720"/>
            <w:col w:w="1820"/>
          </w:cols>
          <w:pgMar w:left="320" w:top="459" w:right="459" w:bottom="1440" w:gutter="0" w:footer="0" w:header="0"/>
          <w:type w:val="continuous"/>
        </w:sectPr>
      </w:pPr>
    </w:p>
    <w:p>
      <w:pPr>
        <w:spacing w:after="0" w:line="138" w:lineRule="exact"/>
        <w:rPr>
          <w:sz w:val="20"/>
          <w:szCs w:val="20"/>
          <w:color w:val="auto"/>
        </w:rPr>
      </w:pPr>
    </w:p>
    <w:p>
      <w:pPr>
        <w:ind w:left="380"/>
        <w:spacing w:after="0"/>
        <w:rPr>
          <w:sz w:val="20"/>
          <w:szCs w:val="20"/>
          <w:color w:val="auto"/>
        </w:rPr>
      </w:pPr>
      <w:r>
        <w:rPr>
          <w:rFonts w:ascii="Arial" w:cs="Arial" w:eastAsia="Arial" w:hAnsi="Arial"/>
          <w:sz w:val="14"/>
          <w:szCs w:val="14"/>
          <w:color w:val="auto"/>
        </w:rPr>
        <w:t>15 meetings in 2019</w:t>
      </w:r>
    </w:p>
    <w:p>
      <w:pPr>
        <w:spacing w:after="0" w:line="6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Oversees:</w:t>
      </w:r>
    </w:p>
    <w:p>
      <w:pPr>
        <w:spacing w:after="0" w:line="69" w:lineRule="exact"/>
        <w:rPr>
          <w:sz w:val="20"/>
          <w:szCs w:val="20"/>
          <w:color w:val="auto"/>
        </w:rPr>
      </w:pPr>
    </w:p>
    <w:p>
      <w:pPr>
        <w:ind w:left="380" w:right="440" w:hanging="8"/>
        <w:spacing w:after="0" w:line="245" w:lineRule="auto"/>
        <w:tabs>
          <w:tab w:leader="none" w:pos="574" w:val="left"/>
        </w:tabs>
        <w:numPr>
          <w:ilvl w:val="0"/>
          <w:numId w:val="64"/>
        </w:numPr>
        <w:rPr>
          <w:rFonts w:ascii="Arial" w:cs="Arial" w:eastAsia="Arial" w:hAnsi="Arial"/>
          <w:sz w:val="14"/>
          <w:szCs w:val="14"/>
          <w:color w:val="004876"/>
        </w:rPr>
      </w:pPr>
      <w:r>
        <w:rPr>
          <w:rFonts w:ascii="Arial" w:cs="Arial" w:eastAsia="Arial" w:hAnsi="Arial"/>
          <w:sz w:val="14"/>
          <w:szCs w:val="14"/>
          <w:color w:val="auto"/>
        </w:rPr>
        <w:t>The independent registered public accounting firm’s qualifications and independence</w:t>
      </w:r>
    </w:p>
    <w:p>
      <w:pPr>
        <w:spacing w:after="0" w:line="109" w:lineRule="exact"/>
        <w:rPr>
          <w:rFonts w:ascii="Arial" w:cs="Arial" w:eastAsia="Arial" w:hAnsi="Arial"/>
          <w:sz w:val="14"/>
          <w:szCs w:val="14"/>
          <w:color w:val="004876"/>
        </w:rPr>
      </w:pPr>
    </w:p>
    <w:p>
      <w:pPr>
        <w:ind w:left="380" w:right="20" w:hanging="8"/>
        <w:spacing w:after="0" w:line="247" w:lineRule="auto"/>
        <w:tabs>
          <w:tab w:leader="none" w:pos="572" w:val="left"/>
        </w:tabs>
        <w:numPr>
          <w:ilvl w:val="0"/>
          <w:numId w:val="64"/>
        </w:numPr>
        <w:rPr>
          <w:rFonts w:ascii="Arial" w:cs="Arial" w:eastAsia="Arial" w:hAnsi="Arial"/>
          <w:sz w:val="14"/>
          <w:szCs w:val="14"/>
          <w:color w:val="004876"/>
        </w:rPr>
      </w:pPr>
      <w:r>
        <w:rPr>
          <w:rFonts w:ascii="Arial" w:cs="Arial" w:eastAsia="Arial" w:hAnsi="Arial"/>
          <w:sz w:val="14"/>
          <w:szCs w:val="14"/>
          <w:color w:val="auto"/>
        </w:rPr>
        <w:t>The performance of the internal audit function and the independent public accounting firm</w:t>
      </w:r>
    </w:p>
    <w:p>
      <w:pPr>
        <w:spacing w:after="0" w:line="106" w:lineRule="exact"/>
        <w:rPr>
          <w:rFonts w:ascii="Arial" w:cs="Arial" w:eastAsia="Arial" w:hAnsi="Arial"/>
          <w:sz w:val="14"/>
          <w:szCs w:val="14"/>
          <w:color w:val="004876"/>
        </w:rPr>
      </w:pPr>
    </w:p>
    <w:p>
      <w:pPr>
        <w:ind w:left="380" w:right="140" w:hanging="8"/>
        <w:spacing w:after="0" w:line="247" w:lineRule="auto"/>
        <w:tabs>
          <w:tab w:leader="none" w:pos="574" w:val="left"/>
        </w:tabs>
        <w:numPr>
          <w:ilvl w:val="0"/>
          <w:numId w:val="64"/>
        </w:numPr>
        <w:rPr>
          <w:rFonts w:ascii="Arial" w:cs="Arial" w:eastAsia="Arial" w:hAnsi="Arial"/>
          <w:sz w:val="14"/>
          <w:szCs w:val="14"/>
          <w:color w:val="004876"/>
        </w:rPr>
      </w:pPr>
      <w:r>
        <w:rPr>
          <w:rFonts w:ascii="Arial" w:cs="Arial" w:eastAsia="Arial" w:hAnsi="Arial"/>
          <w:sz w:val="14"/>
          <w:szCs w:val="14"/>
          <w:color w:val="auto"/>
        </w:rPr>
        <w:t>Management’s responsibilities to assure that there is an effective system of controls</w:t>
      </w:r>
    </w:p>
    <w:p>
      <w:pPr>
        <w:spacing w:after="0" w:line="106" w:lineRule="exact"/>
        <w:rPr>
          <w:rFonts w:ascii="Arial" w:cs="Arial" w:eastAsia="Arial" w:hAnsi="Arial"/>
          <w:sz w:val="14"/>
          <w:szCs w:val="14"/>
          <w:color w:val="004876"/>
        </w:rPr>
      </w:pPr>
    </w:p>
    <w:p>
      <w:pPr>
        <w:ind w:left="380" w:right="560" w:hanging="8"/>
        <w:spacing w:after="0" w:line="258" w:lineRule="auto"/>
        <w:tabs>
          <w:tab w:leader="none" w:pos="574" w:val="left"/>
        </w:tabs>
        <w:numPr>
          <w:ilvl w:val="0"/>
          <w:numId w:val="64"/>
        </w:numPr>
        <w:rPr>
          <w:rFonts w:ascii="Arial" w:cs="Arial" w:eastAsia="Arial" w:hAnsi="Arial"/>
          <w:sz w:val="14"/>
          <w:szCs w:val="14"/>
          <w:color w:val="004876"/>
        </w:rPr>
      </w:pPr>
      <w:r>
        <w:rPr>
          <w:rFonts w:ascii="Arial" w:cs="Arial" w:eastAsia="Arial" w:hAnsi="Arial"/>
          <w:sz w:val="14"/>
          <w:szCs w:val="14"/>
          <w:color w:val="auto"/>
        </w:rPr>
        <w:t>Internal control framework</w:t>
      </w:r>
    </w:p>
    <w:p>
      <w:pPr>
        <w:spacing w:after="0" w:line="99" w:lineRule="exact"/>
        <w:rPr>
          <w:rFonts w:ascii="Arial" w:cs="Arial" w:eastAsia="Arial" w:hAnsi="Arial"/>
          <w:sz w:val="14"/>
          <w:szCs w:val="14"/>
          <w:color w:val="004876"/>
        </w:rPr>
      </w:pPr>
    </w:p>
    <w:p>
      <w:pPr>
        <w:ind w:left="380" w:right="280" w:hanging="8"/>
        <w:spacing w:after="0" w:line="258" w:lineRule="auto"/>
        <w:tabs>
          <w:tab w:leader="none" w:pos="574" w:val="left"/>
        </w:tabs>
        <w:numPr>
          <w:ilvl w:val="0"/>
          <w:numId w:val="64"/>
        </w:numPr>
        <w:rPr>
          <w:rFonts w:ascii="Arial" w:cs="Arial" w:eastAsia="Arial" w:hAnsi="Arial"/>
          <w:sz w:val="14"/>
          <w:szCs w:val="14"/>
          <w:color w:val="004876"/>
        </w:rPr>
      </w:pPr>
      <w:r>
        <w:rPr>
          <w:rFonts w:ascii="Arial" w:cs="Arial" w:eastAsia="Arial" w:hAnsi="Arial"/>
          <w:sz w:val="14"/>
          <w:szCs w:val="14"/>
          <w:color w:val="auto"/>
        </w:rPr>
        <w:t>Integrity of financial statements</w:t>
      </w:r>
    </w:p>
    <w:p>
      <w:pPr>
        <w:spacing w:after="0" w:line="99" w:lineRule="exact"/>
        <w:rPr>
          <w:rFonts w:ascii="Arial" w:cs="Arial" w:eastAsia="Arial" w:hAnsi="Arial"/>
          <w:sz w:val="14"/>
          <w:szCs w:val="14"/>
          <w:color w:val="004876"/>
        </w:rPr>
      </w:pPr>
    </w:p>
    <w:p>
      <w:pPr>
        <w:ind w:left="380" w:right="220" w:hanging="8"/>
        <w:spacing w:after="0" w:line="241" w:lineRule="auto"/>
        <w:tabs>
          <w:tab w:leader="none" w:pos="574" w:val="left"/>
        </w:tabs>
        <w:numPr>
          <w:ilvl w:val="0"/>
          <w:numId w:val="64"/>
        </w:numPr>
        <w:rPr>
          <w:rFonts w:ascii="Arial" w:cs="Arial" w:eastAsia="Arial" w:hAnsi="Arial"/>
          <w:sz w:val="14"/>
          <w:szCs w:val="14"/>
          <w:color w:val="004876"/>
        </w:rPr>
      </w:pPr>
      <w:r>
        <w:rPr>
          <w:rFonts w:ascii="Arial" w:cs="Arial" w:eastAsia="Arial" w:hAnsi="Arial"/>
          <w:sz w:val="14"/>
          <w:szCs w:val="14"/>
          <w:color w:val="auto"/>
        </w:rPr>
        <w:t>Compliance with the Firm’s</w:t>
      </w:r>
    </w:p>
    <w:p>
      <w:pPr>
        <w:jc w:val="both"/>
        <w:ind w:left="380"/>
        <w:spacing w:after="0" w:line="249" w:lineRule="auto"/>
        <w:rPr>
          <w:rFonts w:ascii="Arial" w:cs="Arial" w:eastAsia="Arial" w:hAnsi="Arial"/>
          <w:sz w:val="14"/>
          <w:szCs w:val="14"/>
          <w:color w:val="004876"/>
        </w:rPr>
      </w:pPr>
      <w:r>
        <w:rPr>
          <w:rFonts w:ascii="Arial" w:cs="Arial" w:eastAsia="Arial" w:hAnsi="Arial"/>
          <w:sz w:val="14"/>
          <w:szCs w:val="14"/>
          <w:color w:val="auto"/>
        </w:rPr>
        <w:t>ethical standards, policies, plans and procedures, and with laws and regulations</w:t>
      </w:r>
    </w:p>
    <w:p>
      <w:pPr>
        <w:spacing w:after="0" w:line="106" w:lineRule="exact"/>
        <w:rPr>
          <w:rFonts w:ascii="Arial" w:cs="Arial" w:eastAsia="Arial" w:hAnsi="Arial"/>
          <w:sz w:val="14"/>
          <w:szCs w:val="14"/>
          <w:color w:val="004876"/>
        </w:rPr>
      </w:pPr>
    </w:p>
    <w:p>
      <w:pPr>
        <w:ind w:left="380" w:right="80" w:hanging="8"/>
        <w:spacing w:after="0" w:line="249" w:lineRule="auto"/>
        <w:tabs>
          <w:tab w:leader="none" w:pos="574" w:val="left"/>
        </w:tabs>
        <w:numPr>
          <w:ilvl w:val="0"/>
          <w:numId w:val="64"/>
        </w:numPr>
        <w:rPr>
          <w:rFonts w:ascii="Arial" w:cs="Arial" w:eastAsia="Arial" w:hAnsi="Arial"/>
          <w:sz w:val="14"/>
          <w:szCs w:val="14"/>
          <w:color w:val="004876"/>
        </w:rPr>
      </w:pPr>
      <w:r>
        <w:rPr>
          <w:rFonts w:ascii="Arial" w:cs="Arial" w:eastAsia="Arial" w:hAnsi="Arial"/>
          <w:sz w:val="14"/>
          <w:szCs w:val="14"/>
          <w:color w:val="auto"/>
        </w:rPr>
        <w:t>Reputational risks and conduct risks within its scope of responsibility</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6 meetings in 2019</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Oversees:</w:t>
      </w:r>
    </w:p>
    <w:p>
      <w:pPr>
        <w:spacing w:after="0" w:line="69" w:lineRule="exact"/>
        <w:rPr>
          <w:sz w:val="20"/>
          <w:szCs w:val="20"/>
          <w:color w:val="auto"/>
        </w:rPr>
      </w:pPr>
    </w:p>
    <w:p>
      <w:pPr>
        <w:ind w:right="140" w:firstLine="2"/>
        <w:spacing w:after="0" w:line="249" w:lineRule="auto"/>
        <w:tabs>
          <w:tab w:leader="none" w:pos="108" w:val="left"/>
        </w:tabs>
        <w:numPr>
          <w:ilvl w:val="0"/>
          <w:numId w:val="65"/>
        </w:numPr>
        <w:rPr>
          <w:rFonts w:ascii="Arial" w:cs="Arial" w:eastAsia="Arial" w:hAnsi="Arial"/>
          <w:sz w:val="14"/>
          <w:szCs w:val="14"/>
          <w:color w:val="004876"/>
        </w:rPr>
      </w:pPr>
      <w:r>
        <w:rPr>
          <w:rFonts w:ascii="Arial" w:cs="Arial" w:eastAsia="Arial" w:hAnsi="Arial"/>
          <w:sz w:val="14"/>
          <w:szCs w:val="14"/>
          <w:color w:val="auto"/>
        </w:rPr>
        <w:t>Development of and succession for key executives</w:t>
      </w:r>
    </w:p>
    <w:p>
      <w:pPr>
        <w:spacing w:after="0" w:line="106" w:lineRule="exact"/>
        <w:rPr>
          <w:rFonts w:ascii="Arial" w:cs="Arial" w:eastAsia="Arial" w:hAnsi="Arial"/>
          <w:sz w:val="14"/>
          <w:szCs w:val="14"/>
          <w:color w:val="004876"/>
        </w:rPr>
      </w:pPr>
    </w:p>
    <w:p>
      <w:pPr>
        <w:ind w:right="40" w:firstLine="2"/>
        <w:spacing w:after="0" w:line="258" w:lineRule="auto"/>
        <w:tabs>
          <w:tab w:leader="none" w:pos="108" w:val="left"/>
        </w:tabs>
        <w:numPr>
          <w:ilvl w:val="0"/>
          <w:numId w:val="65"/>
        </w:numPr>
        <w:rPr>
          <w:rFonts w:ascii="Arial" w:cs="Arial" w:eastAsia="Arial" w:hAnsi="Arial"/>
          <w:sz w:val="14"/>
          <w:szCs w:val="14"/>
          <w:color w:val="004876"/>
        </w:rPr>
      </w:pPr>
      <w:r>
        <w:rPr>
          <w:rFonts w:ascii="Arial" w:cs="Arial" w:eastAsia="Arial" w:hAnsi="Arial"/>
          <w:sz w:val="14"/>
          <w:szCs w:val="14"/>
          <w:color w:val="auto"/>
        </w:rPr>
        <w:t>Compensation principles and practices</w:t>
      </w:r>
    </w:p>
    <w:p>
      <w:pPr>
        <w:spacing w:after="0" w:line="99" w:lineRule="exact"/>
        <w:rPr>
          <w:rFonts w:ascii="Arial" w:cs="Arial" w:eastAsia="Arial" w:hAnsi="Arial"/>
          <w:sz w:val="14"/>
          <w:szCs w:val="14"/>
          <w:color w:val="004876"/>
        </w:rPr>
      </w:pPr>
    </w:p>
    <w:p>
      <w:pPr>
        <w:ind w:right="220" w:firstLine="2"/>
        <w:spacing w:after="0" w:line="258" w:lineRule="auto"/>
        <w:tabs>
          <w:tab w:leader="none" w:pos="108" w:val="left"/>
        </w:tabs>
        <w:numPr>
          <w:ilvl w:val="0"/>
          <w:numId w:val="65"/>
        </w:numPr>
        <w:rPr>
          <w:rFonts w:ascii="Arial" w:cs="Arial" w:eastAsia="Arial" w:hAnsi="Arial"/>
          <w:sz w:val="14"/>
          <w:szCs w:val="14"/>
          <w:color w:val="004876"/>
        </w:rPr>
      </w:pPr>
      <w:r>
        <w:rPr>
          <w:rFonts w:ascii="Arial" w:cs="Arial" w:eastAsia="Arial" w:hAnsi="Arial"/>
          <w:sz w:val="14"/>
          <w:szCs w:val="14"/>
          <w:color w:val="auto"/>
        </w:rPr>
        <w:t>Compensation and benefit programs</w:t>
      </w:r>
    </w:p>
    <w:p>
      <w:pPr>
        <w:spacing w:after="0" w:line="99" w:lineRule="exact"/>
        <w:rPr>
          <w:rFonts w:ascii="Arial" w:cs="Arial" w:eastAsia="Arial" w:hAnsi="Arial"/>
          <w:sz w:val="14"/>
          <w:szCs w:val="14"/>
          <w:color w:val="004876"/>
        </w:rPr>
      </w:pPr>
    </w:p>
    <w:p>
      <w:pPr>
        <w:ind w:right="60" w:firstLine="2"/>
        <w:spacing w:after="0" w:line="247" w:lineRule="auto"/>
        <w:tabs>
          <w:tab w:leader="none" w:pos="108" w:val="left"/>
        </w:tabs>
        <w:numPr>
          <w:ilvl w:val="0"/>
          <w:numId w:val="65"/>
        </w:numPr>
        <w:rPr>
          <w:rFonts w:ascii="Arial" w:cs="Arial" w:eastAsia="Arial" w:hAnsi="Arial"/>
          <w:sz w:val="14"/>
          <w:szCs w:val="14"/>
          <w:color w:val="004876"/>
        </w:rPr>
      </w:pPr>
      <w:r>
        <w:rPr>
          <w:rFonts w:ascii="Arial" w:cs="Arial" w:eastAsia="Arial" w:hAnsi="Arial"/>
          <w:sz w:val="14"/>
          <w:szCs w:val="14"/>
          <w:color w:val="auto"/>
        </w:rPr>
        <w:t>Operating Committee performance assessments and compensation</w:t>
      </w:r>
    </w:p>
    <w:p>
      <w:pPr>
        <w:spacing w:after="0" w:line="106" w:lineRule="exact"/>
        <w:rPr>
          <w:rFonts w:ascii="Arial" w:cs="Arial" w:eastAsia="Arial" w:hAnsi="Arial"/>
          <w:sz w:val="14"/>
          <w:szCs w:val="14"/>
          <w:color w:val="004876"/>
        </w:rPr>
      </w:pPr>
    </w:p>
    <w:p>
      <w:pPr>
        <w:ind w:right="40" w:firstLine="2"/>
        <w:spacing w:after="0" w:line="245" w:lineRule="auto"/>
        <w:tabs>
          <w:tab w:leader="none" w:pos="108" w:val="left"/>
        </w:tabs>
        <w:numPr>
          <w:ilvl w:val="0"/>
          <w:numId w:val="65"/>
        </w:numPr>
        <w:rPr>
          <w:rFonts w:ascii="Arial" w:cs="Arial" w:eastAsia="Arial" w:hAnsi="Arial"/>
          <w:sz w:val="14"/>
          <w:szCs w:val="14"/>
          <w:color w:val="004876"/>
        </w:rPr>
      </w:pPr>
      <w:r>
        <w:rPr>
          <w:rFonts w:ascii="Arial" w:cs="Arial" w:eastAsia="Arial" w:hAnsi="Arial"/>
          <w:sz w:val="14"/>
          <w:szCs w:val="14"/>
          <w:color w:val="auto"/>
        </w:rPr>
        <w:t>Firm’s Business Principles, culture and significant employee conduct issues and any related actions</w:t>
      </w:r>
    </w:p>
    <w:p>
      <w:pPr>
        <w:spacing w:after="0" w:line="109" w:lineRule="exact"/>
        <w:rPr>
          <w:rFonts w:ascii="Arial" w:cs="Arial" w:eastAsia="Arial" w:hAnsi="Arial"/>
          <w:sz w:val="14"/>
          <w:szCs w:val="14"/>
          <w:color w:val="004876"/>
        </w:rPr>
      </w:pPr>
    </w:p>
    <w:p>
      <w:pPr>
        <w:ind w:firstLine="2"/>
        <w:spacing w:after="0" w:line="249" w:lineRule="auto"/>
        <w:tabs>
          <w:tab w:leader="none" w:pos="108" w:val="left"/>
        </w:tabs>
        <w:numPr>
          <w:ilvl w:val="0"/>
          <w:numId w:val="65"/>
        </w:numPr>
        <w:rPr>
          <w:rFonts w:ascii="Arial" w:cs="Arial" w:eastAsia="Arial" w:hAnsi="Arial"/>
          <w:sz w:val="14"/>
          <w:szCs w:val="14"/>
          <w:color w:val="004876"/>
        </w:rPr>
      </w:pPr>
      <w:r>
        <w:rPr>
          <w:rFonts w:ascii="Arial" w:cs="Arial" w:eastAsia="Arial" w:hAnsi="Arial"/>
          <w:sz w:val="14"/>
          <w:szCs w:val="14"/>
          <w:color w:val="auto"/>
        </w:rPr>
        <w:t>Reputational risks and conduct risks within its scope of responsibility</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8 meetings in 2019</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Oversees:</w:t>
      </w:r>
    </w:p>
    <w:p>
      <w:pPr>
        <w:spacing w:after="0" w:line="69" w:lineRule="exact"/>
        <w:rPr>
          <w:sz w:val="20"/>
          <w:szCs w:val="20"/>
          <w:color w:val="auto"/>
        </w:rPr>
      </w:pPr>
    </w:p>
    <w:p>
      <w:pPr>
        <w:ind w:right="160" w:firstLine="9"/>
        <w:spacing w:after="0" w:line="243" w:lineRule="auto"/>
        <w:tabs>
          <w:tab w:leader="none" w:pos="108" w:val="left"/>
        </w:tabs>
        <w:numPr>
          <w:ilvl w:val="0"/>
          <w:numId w:val="66"/>
        </w:numPr>
        <w:rPr>
          <w:rFonts w:ascii="Arial" w:cs="Arial" w:eastAsia="Arial" w:hAnsi="Arial"/>
          <w:sz w:val="14"/>
          <w:szCs w:val="14"/>
          <w:color w:val="004876"/>
        </w:rPr>
      </w:pPr>
      <w:r>
        <w:rPr>
          <w:rFonts w:ascii="Arial" w:cs="Arial" w:eastAsia="Arial" w:hAnsi="Arial"/>
          <w:sz w:val="14"/>
          <w:szCs w:val="14"/>
          <w:color w:val="auto"/>
        </w:rPr>
        <w:t>Management’s responsibility to implement an effective global risk management framework reasonably designed to identify, assess and manage the Firm’s risks, including:</w:t>
      </w:r>
    </w:p>
    <w:p>
      <w:pPr>
        <w:spacing w:after="0" w:line="113" w:lineRule="exact"/>
        <w:rPr>
          <w:sz w:val="20"/>
          <w:szCs w:val="20"/>
          <w:color w:val="auto"/>
        </w:rPr>
      </w:pPr>
    </w:p>
    <w:p>
      <w:pPr>
        <w:ind w:left="120" w:hanging="111"/>
        <w:spacing w:after="0"/>
        <w:tabs>
          <w:tab w:leader="none" w:pos="120" w:val="left"/>
        </w:tabs>
        <w:numPr>
          <w:ilvl w:val="0"/>
          <w:numId w:val="67"/>
        </w:numPr>
        <w:rPr>
          <w:rFonts w:ascii="Arial" w:cs="Arial" w:eastAsia="Arial" w:hAnsi="Arial"/>
          <w:sz w:val="14"/>
          <w:szCs w:val="14"/>
          <w:color w:val="auto"/>
        </w:rPr>
      </w:pPr>
      <w:r>
        <w:rPr>
          <w:rFonts w:ascii="Arial" w:cs="Arial" w:eastAsia="Arial" w:hAnsi="Arial"/>
          <w:sz w:val="14"/>
          <w:szCs w:val="14"/>
          <w:color w:val="auto"/>
        </w:rPr>
        <w:t>Strategic risk</w:t>
      </w:r>
    </w:p>
    <w:p>
      <w:pPr>
        <w:spacing w:after="0" w:line="122" w:lineRule="exact"/>
        <w:rPr>
          <w:rFonts w:ascii="Arial" w:cs="Arial" w:eastAsia="Arial" w:hAnsi="Arial"/>
          <w:sz w:val="14"/>
          <w:szCs w:val="14"/>
          <w:color w:val="auto"/>
        </w:rPr>
      </w:pPr>
    </w:p>
    <w:p>
      <w:pPr>
        <w:ind w:left="120" w:hanging="111"/>
        <w:spacing w:after="0"/>
        <w:tabs>
          <w:tab w:leader="none" w:pos="120" w:val="left"/>
        </w:tabs>
        <w:numPr>
          <w:ilvl w:val="0"/>
          <w:numId w:val="67"/>
        </w:numPr>
        <w:rPr>
          <w:rFonts w:ascii="Arial" w:cs="Arial" w:eastAsia="Arial" w:hAnsi="Arial"/>
          <w:sz w:val="14"/>
          <w:szCs w:val="14"/>
          <w:color w:val="auto"/>
        </w:rPr>
      </w:pPr>
      <w:r>
        <w:rPr>
          <w:rFonts w:ascii="Arial" w:cs="Arial" w:eastAsia="Arial" w:hAnsi="Arial"/>
          <w:sz w:val="14"/>
          <w:szCs w:val="14"/>
          <w:color w:val="auto"/>
        </w:rPr>
        <w:t>Market risk</w:t>
      </w:r>
    </w:p>
    <w:p>
      <w:pPr>
        <w:spacing w:after="0" w:line="122" w:lineRule="exact"/>
        <w:rPr>
          <w:rFonts w:ascii="Arial" w:cs="Arial" w:eastAsia="Arial" w:hAnsi="Arial"/>
          <w:sz w:val="14"/>
          <w:szCs w:val="14"/>
          <w:color w:val="auto"/>
        </w:rPr>
      </w:pPr>
    </w:p>
    <w:p>
      <w:pPr>
        <w:ind w:right="180" w:firstLine="9"/>
        <w:spacing w:after="0" w:line="258" w:lineRule="auto"/>
        <w:tabs>
          <w:tab w:leader="none" w:pos="106" w:val="left"/>
        </w:tabs>
        <w:numPr>
          <w:ilvl w:val="0"/>
          <w:numId w:val="67"/>
        </w:numPr>
        <w:rPr>
          <w:rFonts w:ascii="Arial" w:cs="Arial" w:eastAsia="Arial" w:hAnsi="Arial"/>
          <w:sz w:val="14"/>
          <w:szCs w:val="14"/>
          <w:color w:val="auto"/>
        </w:rPr>
      </w:pPr>
      <w:r>
        <w:rPr>
          <w:rFonts w:ascii="Arial" w:cs="Arial" w:eastAsia="Arial" w:hAnsi="Arial"/>
          <w:sz w:val="14"/>
          <w:szCs w:val="14"/>
          <w:color w:val="auto"/>
        </w:rPr>
        <w:t>Credit and investment risk</w:t>
      </w:r>
    </w:p>
    <w:p>
      <w:pPr>
        <w:spacing w:after="0" w:line="99" w:lineRule="exact"/>
        <w:rPr>
          <w:rFonts w:ascii="Arial" w:cs="Arial" w:eastAsia="Arial" w:hAnsi="Arial"/>
          <w:sz w:val="14"/>
          <w:szCs w:val="14"/>
          <w:color w:val="auto"/>
        </w:rPr>
      </w:pPr>
    </w:p>
    <w:p>
      <w:pPr>
        <w:ind w:left="120" w:hanging="111"/>
        <w:spacing w:after="0"/>
        <w:tabs>
          <w:tab w:leader="none" w:pos="120" w:val="left"/>
        </w:tabs>
        <w:numPr>
          <w:ilvl w:val="0"/>
          <w:numId w:val="67"/>
        </w:numPr>
        <w:rPr>
          <w:rFonts w:ascii="Arial" w:cs="Arial" w:eastAsia="Arial" w:hAnsi="Arial"/>
          <w:sz w:val="14"/>
          <w:szCs w:val="14"/>
          <w:color w:val="auto"/>
        </w:rPr>
      </w:pPr>
      <w:r>
        <w:rPr>
          <w:rFonts w:ascii="Arial" w:cs="Arial" w:eastAsia="Arial" w:hAnsi="Arial"/>
          <w:sz w:val="14"/>
          <w:szCs w:val="14"/>
          <w:color w:val="auto"/>
        </w:rPr>
        <w:t>Operational risk</w:t>
      </w:r>
    </w:p>
    <w:p>
      <w:pPr>
        <w:spacing w:after="0" w:line="123" w:lineRule="exact"/>
        <w:rPr>
          <w:sz w:val="20"/>
          <w:szCs w:val="20"/>
          <w:color w:val="auto"/>
        </w:rPr>
      </w:pPr>
    </w:p>
    <w:p>
      <w:pPr>
        <w:ind w:right="140" w:firstLine="9"/>
        <w:spacing w:after="0" w:line="258" w:lineRule="auto"/>
        <w:tabs>
          <w:tab w:leader="none" w:pos="100" w:val="left"/>
        </w:tabs>
        <w:numPr>
          <w:ilvl w:val="0"/>
          <w:numId w:val="68"/>
        </w:numPr>
        <w:rPr>
          <w:rFonts w:ascii="Arial" w:cs="Arial" w:eastAsia="Arial" w:hAnsi="Arial"/>
          <w:sz w:val="14"/>
          <w:szCs w:val="14"/>
          <w:color w:val="004876"/>
        </w:rPr>
      </w:pPr>
      <w:r>
        <w:rPr>
          <w:rFonts w:ascii="Arial" w:cs="Arial" w:eastAsia="Arial" w:hAnsi="Arial"/>
          <w:sz w:val="14"/>
          <w:szCs w:val="14"/>
          <w:color w:val="auto"/>
        </w:rPr>
        <w:t>Applicable primary risk management policies</w:t>
      </w:r>
    </w:p>
    <w:p>
      <w:pPr>
        <w:spacing w:after="0" w:line="99" w:lineRule="exact"/>
        <w:rPr>
          <w:rFonts w:ascii="Arial" w:cs="Arial" w:eastAsia="Arial" w:hAnsi="Arial"/>
          <w:sz w:val="14"/>
          <w:szCs w:val="14"/>
          <w:color w:val="004876"/>
        </w:rPr>
      </w:pPr>
    </w:p>
    <w:p>
      <w:pPr>
        <w:ind w:firstLine="9"/>
        <w:spacing w:after="0" w:line="258" w:lineRule="auto"/>
        <w:tabs>
          <w:tab w:leader="none" w:pos="108" w:val="left"/>
        </w:tabs>
        <w:numPr>
          <w:ilvl w:val="0"/>
          <w:numId w:val="68"/>
        </w:numPr>
        <w:rPr>
          <w:rFonts w:ascii="Arial" w:cs="Arial" w:eastAsia="Arial" w:hAnsi="Arial"/>
          <w:sz w:val="14"/>
          <w:szCs w:val="14"/>
          <w:color w:val="004876"/>
        </w:rPr>
      </w:pPr>
      <w:r>
        <w:rPr>
          <w:rFonts w:ascii="Arial" w:cs="Arial" w:eastAsia="Arial" w:hAnsi="Arial"/>
          <w:sz w:val="14"/>
          <w:szCs w:val="14"/>
          <w:color w:val="auto"/>
        </w:rPr>
        <w:t>Risk appetite results and breaches</w:t>
      </w:r>
    </w:p>
    <w:p>
      <w:pPr>
        <w:spacing w:after="0" w:line="99" w:lineRule="exact"/>
        <w:rPr>
          <w:rFonts w:ascii="Arial" w:cs="Arial" w:eastAsia="Arial" w:hAnsi="Arial"/>
          <w:sz w:val="14"/>
          <w:szCs w:val="14"/>
          <w:color w:val="004876"/>
        </w:rPr>
      </w:pPr>
    </w:p>
    <w:p>
      <w:pPr>
        <w:ind w:right="180" w:firstLine="9"/>
        <w:spacing w:after="0" w:line="249" w:lineRule="auto"/>
        <w:tabs>
          <w:tab w:leader="none" w:pos="105" w:val="left"/>
        </w:tabs>
        <w:numPr>
          <w:ilvl w:val="0"/>
          <w:numId w:val="68"/>
        </w:numPr>
        <w:rPr>
          <w:rFonts w:ascii="Arial" w:cs="Arial" w:eastAsia="Arial" w:hAnsi="Arial"/>
          <w:sz w:val="14"/>
          <w:szCs w:val="14"/>
          <w:color w:val="004876"/>
        </w:rPr>
      </w:pPr>
      <w:r>
        <w:rPr>
          <w:rFonts w:ascii="Arial" w:cs="Arial" w:eastAsia="Arial" w:hAnsi="Arial"/>
          <w:sz w:val="14"/>
          <w:szCs w:val="14"/>
          <w:color w:val="auto"/>
        </w:rPr>
        <w:t>The Firm’s capital and liquidity planning and analysis</w:t>
      </w:r>
    </w:p>
    <w:p>
      <w:pPr>
        <w:spacing w:after="0" w:line="106" w:lineRule="exact"/>
        <w:rPr>
          <w:rFonts w:ascii="Arial" w:cs="Arial" w:eastAsia="Arial" w:hAnsi="Arial"/>
          <w:sz w:val="14"/>
          <w:szCs w:val="14"/>
          <w:color w:val="004876"/>
        </w:rPr>
      </w:pPr>
    </w:p>
    <w:p>
      <w:pPr>
        <w:ind w:right="160" w:firstLine="9"/>
        <w:spacing w:after="0" w:line="249" w:lineRule="auto"/>
        <w:tabs>
          <w:tab w:leader="none" w:pos="108" w:val="left"/>
        </w:tabs>
        <w:numPr>
          <w:ilvl w:val="0"/>
          <w:numId w:val="68"/>
        </w:numPr>
        <w:rPr>
          <w:rFonts w:ascii="Arial" w:cs="Arial" w:eastAsia="Arial" w:hAnsi="Arial"/>
          <w:sz w:val="14"/>
          <w:szCs w:val="14"/>
          <w:color w:val="004876"/>
        </w:rPr>
      </w:pPr>
      <w:r>
        <w:rPr>
          <w:rFonts w:ascii="Arial" w:cs="Arial" w:eastAsia="Arial" w:hAnsi="Arial"/>
          <w:sz w:val="14"/>
          <w:szCs w:val="14"/>
          <w:color w:val="auto"/>
        </w:rPr>
        <w:t>Reputational risks and conduct risks within its scope of responsibility</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ind w:left="4"/>
        <w:spacing w:after="0"/>
        <w:rPr>
          <w:sz w:val="20"/>
          <w:szCs w:val="20"/>
          <w:color w:val="auto"/>
        </w:rPr>
      </w:pPr>
      <w:r>
        <w:rPr>
          <w:rFonts w:ascii="Arial" w:cs="Arial" w:eastAsia="Arial" w:hAnsi="Arial"/>
          <w:sz w:val="14"/>
          <w:szCs w:val="14"/>
          <w:color w:val="auto"/>
        </w:rPr>
        <w:t>6 meetings in 2019</w:t>
      </w:r>
    </w:p>
    <w:p>
      <w:pPr>
        <w:spacing w:after="0" w:line="69" w:lineRule="exact"/>
        <w:rPr>
          <w:sz w:val="20"/>
          <w:szCs w:val="20"/>
          <w:color w:val="auto"/>
        </w:rPr>
      </w:pPr>
    </w:p>
    <w:p>
      <w:pPr>
        <w:ind w:left="4"/>
        <w:spacing w:after="0"/>
        <w:rPr>
          <w:sz w:val="20"/>
          <w:szCs w:val="20"/>
          <w:color w:val="auto"/>
        </w:rPr>
      </w:pPr>
      <w:r>
        <w:rPr>
          <w:rFonts w:ascii="Arial" w:cs="Arial" w:eastAsia="Arial" w:hAnsi="Arial"/>
          <w:sz w:val="14"/>
          <w:szCs w:val="14"/>
          <w:color w:val="auto"/>
        </w:rPr>
        <w:t>Oversees:</w:t>
      </w:r>
    </w:p>
    <w:p>
      <w:pPr>
        <w:spacing w:after="0" w:line="69" w:lineRule="exact"/>
        <w:rPr>
          <w:sz w:val="20"/>
          <w:szCs w:val="20"/>
          <w:color w:val="auto"/>
        </w:rPr>
      </w:pPr>
    </w:p>
    <w:p>
      <w:pPr>
        <w:ind w:left="4" w:right="500" w:hanging="4"/>
        <w:spacing w:after="0" w:line="249" w:lineRule="auto"/>
        <w:tabs>
          <w:tab w:leader="none" w:pos="111" w:val="left"/>
        </w:tabs>
        <w:numPr>
          <w:ilvl w:val="0"/>
          <w:numId w:val="69"/>
        </w:numPr>
        <w:rPr>
          <w:rFonts w:ascii="Arial" w:cs="Arial" w:eastAsia="Arial" w:hAnsi="Arial"/>
          <w:sz w:val="14"/>
          <w:szCs w:val="14"/>
          <w:color w:val="004876"/>
        </w:rPr>
      </w:pPr>
      <w:r>
        <w:rPr>
          <w:rFonts w:ascii="Arial" w:cs="Arial" w:eastAsia="Arial" w:hAnsi="Arial"/>
          <w:sz w:val="14"/>
          <w:szCs w:val="14"/>
          <w:color w:val="auto"/>
        </w:rPr>
        <w:t>Community investing and fair lending practices</w:t>
      </w:r>
    </w:p>
    <w:p>
      <w:pPr>
        <w:spacing w:after="0" w:line="106" w:lineRule="exact"/>
        <w:rPr>
          <w:rFonts w:ascii="Arial" w:cs="Arial" w:eastAsia="Arial" w:hAnsi="Arial"/>
          <w:sz w:val="14"/>
          <w:szCs w:val="14"/>
          <w:color w:val="004876"/>
        </w:rPr>
      </w:pPr>
    </w:p>
    <w:p>
      <w:pPr>
        <w:ind w:left="4" w:right="80" w:hanging="4"/>
        <w:spacing w:after="0" w:line="244" w:lineRule="auto"/>
        <w:tabs>
          <w:tab w:leader="none" w:pos="111" w:val="left"/>
        </w:tabs>
        <w:numPr>
          <w:ilvl w:val="0"/>
          <w:numId w:val="69"/>
        </w:numPr>
        <w:rPr>
          <w:rFonts w:ascii="Arial" w:cs="Arial" w:eastAsia="Arial" w:hAnsi="Arial"/>
          <w:sz w:val="14"/>
          <w:szCs w:val="14"/>
          <w:color w:val="004876"/>
        </w:rPr>
      </w:pPr>
      <w:r>
        <w:rPr>
          <w:rFonts w:ascii="Arial" w:cs="Arial" w:eastAsia="Arial" w:hAnsi="Arial"/>
          <w:sz w:val="14"/>
          <w:szCs w:val="14"/>
          <w:color w:val="auto"/>
        </w:rPr>
        <w:t>Political contributions, major lobbying priorities and principal trade association memberships related to public policy</w:t>
      </w:r>
    </w:p>
    <w:p>
      <w:pPr>
        <w:spacing w:after="0" w:line="111" w:lineRule="exact"/>
        <w:rPr>
          <w:rFonts w:ascii="Arial" w:cs="Arial" w:eastAsia="Arial" w:hAnsi="Arial"/>
          <w:sz w:val="14"/>
          <w:szCs w:val="14"/>
          <w:color w:val="004876"/>
        </w:rPr>
      </w:pPr>
    </w:p>
    <w:p>
      <w:pPr>
        <w:ind w:left="4" w:hanging="4"/>
        <w:spacing w:after="0" w:line="249" w:lineRule="auto"/>
        <w:tabs>
          <w:tab w:leader="none" w:pos="111" w:val="left"/>
        </w:tabs>
        <w:numPr>
          <w:ilvl w:val="0"/>
          <w:numId w:val="69"/>
        </w:numPr>
        <w:rPr>
          <w:rFonts w:ascii="Arial" w:cs="Arial" w:eastAsia="Arial" w:hAnsi="Arial"/>
          <w:sz w:val="14"/>
          <w:szCs w:val="14"/>
          <w:color w:val="004876"/>
        </w:rPr>
      </w:pPr>
      <w:r>
        <w:rPr>
          <w:rFonts w:ascii="Arial" w:cs="Arial" w:eastAsia="Arial" w:hAnsi="Arial"/>
          <w:sz w:val="14"/>
          <w:szCs w:val="14"/>
          <w:color w:val="auto"/>
        </w:rPr>
        <w:t>Sustainability, including ESG policies and activities</w:t>
      </w:r>
    </w:p>
    <w:p>
      <w:pPr>
        <w:spacing w:after="0" w:line="106" w:lineRule="exact"/>
        <w:rPr>
          <w:rFonts w:ascii="Arial" w:cs="Arial" w:eastAsia="Arial" w:hAnsi="Arial"/>
          <w:sz w:val="14"/>
          <w:szCs w:val="14"/>
          <w:color w:val="004876"/>
        </w:rPr>
      </w:pPr>
    </w:p>
    <w:p>
      <w:pPr>
        <w:ind w:left="4" w:right="160" w:hanging="4"/>
        <w:spacing w:after="0" w:line="243" w:lineRule="auto"/>
        <w:tabs>
          <w:tab w:leader="none" w:pos="111" w:val="left"/>
        </w:tabs>
        <w:numPr>
          <w:ilvl w:val="0"/>
          <w:numId w:val="69"/>
        </w:numPr>
        <w:rPr>
          <w:rFonts w:ascii="Arial" w:cs="Arial" w:eastAsia="Arial" w:hAnsi="Arial"/>
          <w:sz w:val="14"/>
          <w:szCs w:val="14"/>
          <w:color w:val="004876"/>
        </w:rPr>
      </w:pPr>
      <w:r>
        <w:rPr>
          <w:rFonts w:ascii="Arial" w:cs="Arial" w:eastAsia="Arial" w:hAnsi="Arial"/>
          <w:sz w:val="14"/>
          <w:szCs w:val="14"/>
          <w:color w:val="auto"/>
        </w:rPr>
        <w:t>Consumer practices, including consumer experience, consumer complaint resolution and consumer issues related to disclosures, fees or the introduction of major new products</w:t>
      </w:r>
    </w:p>
    <w:p>
      <w:pPr>
        <w:spacing w:after="0" w:line="112" w:lineRule="exact"/>
        <w:rPr>
          <w:rFonts w:ascii="Arial" w:cs="Arial" w:eastAsia="Arial" w:hAnsi="Arial"/>
          <w:sz w:val="14"/>
          <w:szCs w:val="14"/>
          <w:color w:val="004876"/>
        </w:rPr>
      </w:pPr>
    </w:p>
    <w:p>
      <w:pPr>
        <w:ind w:left="4" w:right="60" w:hanging="4"/>
        <w:spacing w:after="0" w:line="249" w:lineRule="auto"/>
        <w:tabs>
          <w:tab w:leader="none" w:pos="111" w:val="left"/>
        </w:tabs>
        <w:numPr>
          <w:ilvl w:val="0"/>
          <w:numId w:val="69"/>
        </w:numPr>
        <w:rPr>
          <w:rFonts w:ascii="Arial" w:cs="Arial" w:eastAsia="Arial" w:hAnsi="Arial"/>
          <w:sz w:val="14"/>
          <w:szCs w:val="14"/>
          <w:color w:val="004876"/>
        </w:rPr>
      </w:pPr>
      <w:r>
        <w:rPr>
          <w:rFonts w:ascii="Arial" w:cs="Arial" w:eastAsia="Arial" w:hAnsi="Arial"/>
          <w:sz w:val="14"/>
          <w:szCs w:val="14"/>
          <w:color w:val="auto"/>
        </w:rPr>
        <w:t>Reputational risks and conduct risks within its scope of responsibility</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7 meetings in 2019</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Oversees:</w:t>
      </w:r>
    </w:p>
    <w:p>
      <w:pPr>
        <w:spacing w:after="0" w:line="69" w:lineRule="exact"/>
        <w:rPr>
          <w:sz w:val="20"/>
          <w:szCs w:val="20"/>
          <w:color w:val="auto"/>
        </w:rPr>
      </w:pPr>
    </w:p>
    <w:p>
      <w:pPr>
        <w:ind w:right="900" w:firstLine="3"/>
        <w:spacing w:after="0" w:line="249" w:lineRule="auto"/>
        <w:tabs>
          <w:tab w:leader="none" w:pos="108" w:val="left"/>
        </w:tabs>
        <w:numPr>
          <w:ilvl w:val="0"/>
          <w:numId w:val="70"/>
        </w:numPr>
        <w:rPr>
          <w:rFonts w:ascii="Arial" w:cs="Arial" w:eastAsia="Arial" w:hAnsi="Arial"/>
          <w:sz w:val="14"/>
          <w:szCs w:val="14"/>
          <w:color w:val="004876"/>
        </w:rPr>
      </w:pPr>
      <w:r>
        <w:rPr>
          <w:rFonts w:ascii="Arial" w:cs="Arial" w:eastAsia="Arial" w:hAnsi="Arial"/>
          <w:sz w:val="14"/>
          <w:szCs w:val="14"/>
          <w:color w:val="auto"/>
        </w:rPr>
        <w:t>Proposed nominees for election to the Board</w:t>
      </w:r>
    </w:p>
    <w:p>
      <w:pPr>
        <w:spacing w:after="0" w:line="106" w:lineRule="exact"/>
        <w:rPr>
          <w:rFonts w:ascii="Arial" w:cs="Arial" w:eastAsia="Arial" w:hAnsi="Arial"/>
          <w:sz w:val="14"/>
          <w:szCs w:val="14"/>
          <w:color w:val="004876"/>
        </w:rPr>
      </w:pPr>
    </w:p>
    <w:p>
      <w:pPr>
        <w:ind w:right="760" w:firstLine="3"/>
        <w:spacing w:after="0" w:line="249" w:lineRule="auto"/>
        <w:tabs>
          <w:tab w:leader="none" w:pos="108" w:val="left"/>
        </w:tabs>
        <w:numPr>
          <w:ilvl w:val="0"/>
          <w:numId w:val="70"/>
        </w:numPr>
        <w:rPr>
          <w:rFonts w:ascii="Arial" w:cs="Arial" w:eastAsia="Arial" w:hAnsi="Arial"/>
          <w:sz w:val="14"/>
          <w:szCs w:val="14"/>
          <w:color w:val="004876"/>
        </w:rPr>
      </w:pPr>
      <w:r>
        <w:rPr>
          <w:rFonts w:ascii="Arial" w:cs="Arial" w:eastAsia="Arial" w:hAnsi="Arial"/>
          <w:sz w:val="14"/>
          <w:szCs w:val="14"/>
          <w:color w:val="auto"/>
        </w:rPr>
        <w:t>Corporate governance practices applicable to the Firm</w:t>
      </w:r>
    </w:p>
    <w:p>
      <w:pPr>
        <w:spacing w:after="0" w:line="106" w:lineRule="exact"/>
        <w:rPr>
          <w:rFonts w:ascii="Arial" w:cs="Arial" w:eastAsia="Arial" w:hAnsi="Arial"/>
          <w:sz w:val="14"/>
          <w:szCs w:val="14"/>
          <w:color w:val="004876"/>
        </w:rPr>
      </w:pPr>
    </w:p>
    <w:p>
      <w:pPr>
        <w:ind w:left="100" w:hanging="97"/>
        <w:spacing w:after="0"/>
        <w:tabs>
          <w:tab w:leader="none" w:pos="100" w:val="left"/>
        </w:tabs>
        <w:numPr>
          <w:ilvl w:val="0"/>
          <w:numId w:val="70"/>
        </w:numPr>
        <w:rPr>
          <w:rFonts w:ascii="Arial" w:cs="Arial" w:eastAsia="Arial" w:hAnsi="Arial"/>
          <w:sz w:val="14"/>
          <w:szCs w:val="14"/>
          <w:color w:val="004876"/>
        </w:rPr>
      </w:pPr>
      <w:r>
        <w:rPr>
          <w:rFonts w:ascii="Arial" w:cs="Arial" w:eastAsia="Arial" w:hAnsi="Arial"/>
          <w:sz w:val="14"/>
          <w:szCs w:val="14"/>
          <w:color w:val="auto"/>
        </w:rPr>
        <w:t>The framework for</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the Board’s self-</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evaluation</w:t>
      </w:r>
    </w:p>
    <w:p>
      <w:pPr>
        <w:spacing w:after="0" w:line="123" w:lineRule="exact"/>
        <w:rPr>
          <w:sz w:val="20"/>
          <w:szCs w:val="20"/>
          <w:color w:val="auto"/>
        </w:rPr>
      </w:pPr>
    </w:p>
    <w:p>
      <w:pPr>
        <w:ind w:left="120" w:hanging="117"/>
        <w:spacing w:after="0"/>
        <w:tabs>
          <w:tab w:leader="none" w:pos="120" w:val="left"/>
        </w:tabs>
        <w:numPr>
          <w:ilvl w:val="0"/>
          <w:numId w:val="71"/>
        </w:numPr>
        <w:rPr>
          <w:rFonts w:ascii="Arial" w:cs="Arial" w:eastAsia="Arial" w:hAnsi="Arial"/>
          <w:sz w:val="14"/>
          <w:szCs w:val="14"/>
          <w:color w:val="004876"/>
        </w:rPr>
      </w:pPr>
      <w:r>
        <w:rPr>
          <w:rFonts w:ascii="Arial" w:cs="Arial" w:eastAsia="Arial" w:hAnsi="Arial"/>
          <w:sz w:val="14"/>
          <w:szCs w:val="14"/>
          <w:color w:val="auto"/>
        </w:rPr>
        <w:t>Shareholder matters</w:t>
      </w:r>
    </w:p>
    <w:p>
      <w:pPr>
        <w:spacing w:after="0" w:line="122" w:lineRule="exact"/>
        <w:rPr>
          <w:rFonts w:ascii="Arial" w:cs="Arial" w:eastAsia="Arial" w:hAnsi="Arial"/>
          <w:sz w:val="14"/>
          <w:szCs w:val="14"/>
          <w:color w:val="004876"/>
        </w:rPr>
      </w:pPr>
    </w:p>
    <w:p>
      <w:pPr>
        <w:ind w:right="720" w:firstLine="3"/>
        <w:spacing w:after="0" w:line="258" w:lineRule="auto"/>
        <w:tabs>
          <w:tab w:leader="none" w:pos="108" w:val="left"/>
        </w:tabs>
        <w:numPr>
          <w:ilvl w:val="0"/>
          <w:numId w:val="71"/>
        </w:numPr>
        <w:rPr>
          <w:rFonts w:ascii="Arial" w:cs="Arial" w:eastAsia="Arial" w:hAnsi="Arial"/>
          <w:sz w:val="14"/>
          <w:szCs w:val="14"/>
          <w:color w:val="004876"/>
        </w:rPr>
      </w:pPr>
      <w:r>
        <w:rPr>
          <w:rFonts w:ascii="Arial" w:cs="Arial" w:eastAsia="Arial" w:hAnsi="Arial"/>
          <w:sz w:val="14"/>
          <w:szCs w:val="14"/>
          <w:color w:val="auto"/>
        </w:rPr>
        <w:t>Board composition and nominees</w:t>
      </w:r>
    </w:p>
    <w:p>
      <w:pPr>
        <w:spacing w:after="0" w:line="99" w:lineRule="exact"/>
        <w:rPr>
          <w:rFonts w:ascii="Arial" w:cs="Arial" w:eastAsia="Arial" w:hAnsi="Arial"/>
          <w:sz w:val="14"/>
          <w:szCs w:val="14"/>
          <w:color w:val="004876"/>
        </w:rPr>
      </w:pPr>
    </w:p>
    <w:p>
      <w:pPr>
        <w:ind w:right="760" w:firstLine="3"/>
        <w:spacing w:after="0" w:line="249" w:lineRule="auto"/>
        <w:tabs>
          <w:tab w:leader="none" w:pos="108" w:val="left"/>
        </w:tabs>
        <w:numPr>
          <w:ilvl w:val="0"/>
          <w:numId w:val="71"/>
        </w:numPr>
        <w:rPr>
          <w:rFonts w:ascii="Arial" w:cs="Arial" w:eastAsia="Arial" w:hAnsi="Arial"/>
          <w:sz w:val="14"/>
          <w:szCs w:val="14"/>
          <w:color w:val="004876"/>
        </w:rPr>
      </w:pPr>
      <w:r>
        <w:rPr>
          <w:rFonts w:ascii="Arial" w:cs="Arial" w:eastAsia="Arial" w:hAnsi="Arial"/>
          <w:sz w:val="14"/>
          <w:szCs w:val="14"/>
          <w:color w:val="auto"/>
        </w:rPr>
        <w:t>Reputational risks and conduct risks within its scope of responsibility</w:t>
      </w:r>
    </w:p>
    <w:p>
      <w:pPr>
        <w:spacing w:after="0" w:line="1941" w:lineRule="exact"/>
        <w:rPr>
          <w:sz w:val="20"/>
          <w:szCs w:val="20"/>
          <w:color w:val="auto"/>
        </w:rPr>
      </w:pPr>
    </w:p>
    <w:p>
      <w:pPr>
        <w:sectPr>
          <w:pgSz w:w="11900" w:h="16838" w:orient="portrait"/>
          <w:cols w:equalWidth="0" w:num="5">
            <w:col w:w="2080" w:space="180"/>
            <w:col w:w="1540" w:space="640"/>
            <w:col w:w="1700" w:space="496"/>
            <w:col w:w="1584" w:space="600"/>
            <w:col w:w="2300"/>
          </w:cols>
          <w:pgMar w:left="320" w:top="459" w:right="459" w:bottom="1440" w:gutter="0" w:footer="0" w:header="0"/>
          <w:type w:val="continuous"/>
        </w:sectPr>
      </w:pPr>
    </w:p>
    <w:p>
      <w:pPr>
        <w:spacing w:after="0" w:line="14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For more information about committee responsibilities, see Committee Charters available at: jpmorganchase.com/committee-charters.</w:t>
      </w:r>
    </w:p>
    <w:p>
      <w:pPr>
        <w:sectPr>
          <w:pgSz w:w="11900" w:h="16838" w:orient="portrait"/>
          <w:cols w:equalWidth="0" w:num="1">
            <w:col w:w="11120"/>
          </w:cols>
          <w:pgMar w:left="320" w:top="459" w:right="459" w:bottom="1440" w:gutter="0" w:footer="0" w:header="0"/>
          <w:type w:val="continuous"/>
        </w:sectPr>
      </w:pPr>
    </w:p>
    <w:p>
      <w:pPr>
        <w:spacing w:after="0" w:line="304" w:lineRule="exact"/>
        <w:rPr>
          <w:sz w:val="20"/>
          <w:szCs w:val="20"/>
          <w:color w:val="auto"/>
        </w:rPr>
      </w:pPr>
    </w:p>
    <w:p>
      <w:pPr>
        <w:ind w:left="120"/>
        <w:spacing w:after="0"/>
        <w:rPr>
          <w:sz w:val="20"/>
          <w:szCs w:val="20"/>
          <w:color w:val="auto"/>
        </w:rPr>
      </w:pPr>
      <w:r>
        <w:rPr>
          <w:rFonts w:ascii="Arial" w:cs="Arial" w:eastAsia="Arial" w:hAnsi="Arial"/>
          <w:sz w:val="18"/>
          <w:szCs w:val="18"/>
          <w:color w:val="004876"/>
        </w:rPr>
        <w:t>Other Standing Committees</w:t>
      </w:r>
    </w:p>
    <w:p>
      <w:pPr>
        <w:spacing w:after="0" w:line="3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Board has two additional standing committees:</w:t>
      </w:r>
    </w:p>
    <w:p>
      <w:pPr>
        <w:spacing w:after="0" w:line="82" w:lineRule="exact"/>
        <w:rPr>
          <w:sz w:val="20"/>
          <w:szCs w:val="20"/>
          <w:color w:val="auto"/>
        </w:rPr>
      </w:pPr>
    </w:p>
    <w:p>
      <w:pPr>
        <w:ind w:left="120" w:right="80"/>
        <w:spacing w:after="0" w:line="244" w:lineRule="auto"/>
        <w:rPr>
          <w:sz w:val="20"/>
          <w:szCs w:val="20"/>
          <w:color w:val="auto"/>
        </w:rPr>
      </w:pPr>
      <w:r>
        <w:rPr>
          <w:rFonts w:ascii="Arial" w:cs="Arial" w:eastAsia="Arial" w:hAnsi="Arial"/>
          <w:sz w:val="18"/>
          <w:szCs w:val="18"/>
          <w:b w:val="1"/>
          <w:bCs w:val="1"/>
          <w:color w:val="auto"/>
        </w:rPr>
        <w:t xml:space="preserve">Stock Committee: </w:t>
      </w:r>
      <w:r>
        <w:rPr>
          <w:rFonts w:ascii="Arial" w:cs="Arial" w:eastAsia="Arial" w:hAnsi="Arial"/>
          <w:sz w:val="18"/>
          <w:szCs w:val="18"/>
          <w:color w:val="auto"/>
        </w:rPr>
        <w:t>The committee is responsible for</w:t>
      </w:r>
      <w:r>
        <w:rPr>
          <w:rFonts w:ascii="Arial" w:cs="Arial" w:eastAsia="Arial" w:hAnsi="Arial"/>
          <w:sz w:val="18"/>
          <w:szCs w:val="18"/>
          <w:b w:val="1"/>
          <w:bCs w:val="1"/>
          <w:color w:val="auto"/>
        </w:rPr>
        <w:t xml:space="preserve"> </w:t>
      </w:r>
      <w:r>
        <w:rPr>
          <w:rFonts w:ascii="Arial" w:cs="Arial" w:eastAsia="Arial" w:hAnsi="Arial"/>
          <w:sz w:val="18"/>
          <w:szCs w:val="18"/>
          <w:color w:val="auto"/>
        </w:rPr>
        <w:t>implementing the declaration of dividends, authorizing the issuance of stock, administering the dividend reinvestment plan and implementing share repurchase plans. The committee acts within Board-approved limitations and capital plans.</w:t>
      </w:r>
    </w:p>
    <w:p>
      <w:pPr>
        <w:spacing w:after="0" w:line="68" w:lineRule="exact"/>
        <w:rPr>
          <w:sz w:val="20"/>
          <w:szCs w:val="20"/>
          <w:color w:val="auto"/>
        </w:rPr>
      </w:pPr>
    </w:p>
    <w:p>
      <w:pPr>
        <w:ind w:left="120"/>
        <w:spacing w:after="0" w:line="247" w:lineRule="auto"/>
        <w:rPr>
          <w:sz w:val="20"/>
          <w:szCs w:val="20"/>
          <w:color w:val="auto"/>
        </w:rPr>
      </w:pPr>
      <w:r>
        <w:rPr>
          <w:rFonts w:ascii="Arial" w:cs="Arial" w:eastAsia="Arial" w:hAnsi="Arial"/>
          <w:sz w:val="18"/>
          <w:szCs w:val="18"/>
          <w:b w:val="1"/>
          <w:bCs w:val="1"/>
          <w:color w:val="auto"/>
        </w:rPr>
        <w:t xml:space="preserve">Executive Committee: </w:t>
      </w:r>
      <w:r>
        <w:rPr>
          <w:rFonts w:ascii="Arial" w:cs="Arial" w:eastAsia="Arial" w:hAnsi="Arial"/>
          <w:sz w:val="18"/>
          <w:szCs w:val="18"/>
          <w:color w:val="auto"/>
        </w:rPr>
        <w:t>The committee may exercise all the</w:t>
      </w:r>
      <w:r>
        <w:rPr>
          <w:rFonts w:ascii="Arial" w:cs="Arial" w:eastAsia="Arial" w:hAnsi="Arial"/>
          <w:sz w:val="18"/>
          <w:szCs w:val="18"/>
          <w:b w:val="1"/>
          <w:bCs w:val="1"/>
          <w:color w:val="auto"/>
        </w:rPr>
        <w:t xml:space="preserve"> </w:t>
      </w:r>
      <w:r>
        <w:rPr>
          <w:rFonts w:ascii="Arial" w:cs="Arial" w:eastAsia="Arial" w:hAnsi="Arial"/>
          <w:sz w:val="18"/>
          <w:szCs w:val="18"/>
          <w:color w:val="auto"/>
        </w:rPr>
        <w:t>powers of the Board that lawfully may be delegated, but with the expectation that it would not take material actions absent special circumstances.</w:t>
      </w:r>
    </w:p>
    <w:p>
      <w:pPr>
        <w:spacing w:after="0" w:line="88" w:lineRule="exact"/>
        <w:rPr>
          <w:sz w:val="20"/>
          <w:szCs w:val="20"/>
          <w:color w:val="auto"/>
        </w:rPr>
      </w:pPr>
    </w:p>
    <w:p>
      <w:pPr>
        <w:ind w:left="120" w:right="380"/>
        <w:spacing w:after="0" w:line="246" w:lineRule="auto"/>
        <w:rPr>
          <w:sz w:val="20"/>
          <w:szCs w:val="20"/>
          <w:color w:val="auto"/>
        </w:rPr>
      </w:pPr>
      <w:r>
        <w:rPr>
          <w:rFonts w:ascii="Arial" w:cs="Arial" w:eastAsia="Arial" w:hAnsi="Arial"/>
          <w:sz w:val="18"/>
          <w:szCs w:val="18"/>
          <w:color w:val="auto"/>
        </w:rPr>
        <w:t>The Board may establish additional standing committees as needed.</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004876"/>
        </w:rPr>
        <w:t>Specific Purpose Committees</w:t>
      </w:r>
    </w:p>
    <w:p>
      <w:pPr>
        <w:spacing w:after="0" w:line="36"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Board establishes Specific Purpose Committees as appropriate to address specific issues. The Board currently has two such committees, the Markets Compliance Committee and the Omnibus Committee.</w:t>
      </w:r>
    </w:p>
    <w:p>
      <w:pPr>
        <w:spacing w:after="0" w:line="9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Markets Compliance Committee provides oversight in connection with certain orders (“Consent Orders”) issued by, and agreements with, the Firm’s regulators and oversight of certain government inquiries, as well as related conduct and controls. It oversees and provides guidance to management with respect to particular aspects of our control agenda and oversees and monitors progress under action plans developed by management with respect to these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475615</wp:posOffset>
            </wp:positionV>
            <wp:extent cx="7029450" cy="19748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029450" cy="197485"/>
                    </a:xfrm>
                    <a:prstGeom prst="rect">
                      <a:avLst/>
                    </a:prstGeom>
                    <a:noFill/>
                  </pic:spPr>
                </pic:pic>
              </a:graphicData>
            </a:graphic>
          </wp:anchor>
        </w:drawing>
      </w:r>
    </w:p>
    <w:p>
      <w:pPr>
        <w:spacing w:after="0" w:line="427" w:lineRule="exact"/>
        <w:rPr>
          <w:sz w:val="20"/>
          <w:szCs w:val="20"/>
          <w:color w:val="auto"/>
        </w:rPr>
      </w:pPr>
    </w:p>
    <w:p>
      <w:pPr>
        <w:sectPr>
          <w:pgSz w:w="11900" w:h="16838" w:orient="portrait"/>
          <w:cols w:equalWidth="0" w:num="2">
            <w:col w:w="5240" w:space="500"/>
            <w:col w:w="5380"/>
          </w:cols>
          <w:pgMar w:left="320" w:top="459" w:right="459" w:bottom="1440" w:gutter="0" w:footer="0" w:header="0"/>
          <w:type w:val="continuous"/>
        </w:sectPr>
      </w:pPr>
    </w:p>
    <w:p>
      <w:pPr>
        <w:spacing w:after="0" w:line="399" w:lineRule="exact"/>
        <w:rPr>
          <w:sz w:val="20"/>
          <w:szCs w:val="20"/>
          <w:color w:val="auto"/>
        </w:rPr>
      </w:pPr>
    </w:p>
    <w:p>
      <w:pPr>
        <w:jc w:val="center"/>
        <w:ind w:right="-119"/>
        <w:spacing w:after="0"/>
        <w:rPr>
          <w:sz w:val="20"/>
          <w:szCs w:val="20"/>
          <w:color w:val="auto"/>
        </w:rPr>
      </w:pPr>
      <w:r>
        <w:rPr>
          <w:rFonts w:ascii="Arial" w:cs="Arial" w:eastAsia="Arial" w:hAnsi="Arial"/>
          <w:sz w:val="13"/>
          <w:szCs w:val="13"/>
          <w:b w:val="1"/>
          <w:bCs w:val="1"/>
          <w:color w:val="004876"/>
        </w:rPr>
        <w:t>25</w:t>
      </w:r>
    </w:p>
    <w:p>
      <w:pPr>
        <w:sectPr>
          <w:pgSz w:w="11900" w:h="16838" w:orient="portrait"/>
          <w:cols w:equalWidth="0" w:num="1">
            <w:col w:w="11120"/>
          </w:cols>
          <w:pgMar w:left="320" w:top="459" w:right="45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4876"/>
        </w:rPr>
        <w:t>ELECTION OF DIRECTORS |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160655</wp:posOffset>
            </wp:positionV>
            <wp:extent cx="7029450" cy="3429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029450" cy="34290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Omnibus Committee reviews matters delegated by the Board.</w:t>
      </w:r>
    </w:p>
    <w:p>
      <w:pPr>
        <w:spacing w:after="0" w:line="115"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As the Firm achieves its objectives in a specific area, the work of the relevant Specific Purpose Committee will be concluded and, subject to regulatory consent where applicable, the committee will be disbanded. In 2019, the work of the following committees was completed, and the committees were disbanded:</w:t>
      </w:r>
    </w:p>
    <w:p>
      <w:pPr>
        <w:spacing w:after="0" w:line="200" w:lineRule="exact"/>
        <w:rPr>
          <w:sz w:val="20"/>
          <w:szCs w:val="20"/>
          <w:color w:val="auto"/>
        </w:rPr>
      </w:pPr>
    </w:p>
    <w:p>
      <w:pPr>
        <w:spacing w:after="0" w:line="394" w:lineRule="exact"/>
        <w:rPr>
          <w:sz w:val="20"/>
          <w:szCs w:val="20"/>
          <w:color w:val="auto"/>
        </w:rPr>
      </w:pPr>
    </w:p>
    <w:p>
      <w:pPr>
        <w:ind w:left="120"/>
        <w:spacing w:after="0"/>
        <w:rPr>
          <w:sz w:val="20"/>
          <w:szCs w:val="20"/>
          <w:color w:val="auto"/>
        </w:rPr>
      </w:pPr>
      <w:r>
        <w:rPr>
          <w:rFonts w:ascii="Arial" w:cs="Arial" w:eastAsia="Arial" w:hAnsi="Arial"/>
          <w:sz w:val="18"/>
          <w:szCs w:val="18"/>
          <w:color w:val="004876"/>
        </w:rPr>
        <w:t>Current Board committee membership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66" w:right="960" w:hanging="166"/>
        <w:spacing w:after="0" w:line="246" w:lineRule="auto"/>
        <w:tabs>
          <w:tab w:leader="none" w:pos="166" w:val="left"/>
        </w:tabs>
        <w:numPr>
          <w:ilvl w:val="0"/>
          <w:numId w:val="72"/>
        </w:numPr>
        <w:rPr>
          <w:rFonts w:ascii="Arial" w:cs="Arial" w:eastAsia="Arial" w:hAnsi="Arial"/>
          <w:sz w:val="18"/>
          <w:szCs w:val="18"/>
          <w:color w:val="004876"/>
        </w:rPr>
      </w:pPr>
      <w:r>
        <w:rPr>
          <w:rFonts w:ascii="Arial" w:cs="Arial" w:eastAsia="Arial" w:hAnsi="Arial"/>
          <w:sz w:val="18"/>
          <w:szCs w:val="18"/>
          <w:color w:val="auto"/>
        </w:rPr>
        <w:t>BSA/AML (Bank Secrecy Act/Anti-Money Laundering) Compliance Committee</w:t>
      </w:r>
    </w:p>
    <w:p>
      <w:pPr>
        <w:spacing w:after="0" w:line="102" w:lineRule="exact"/>
        <w:rPr>
          <w:rFonts w:ascii="Arial" w:cs="Arial" w:eastAsia="Arial" w:hAnsi="Arial"/>
          <w:sz w:val="18"/>
          <w:szCs w:val="18"/>
          <w:color w:val="004876"/>
        </w:rPr>
      </w:pPr>
    </w:p>
    <w:p>
      <w:pPr>
        <w:ind w:left="166" w:hanging="166"/>
        <w:spacing w:after="0"/>
        <w:tabs>
          <w:tab w:leader="none" w:pos="166" w:val="left"/>
        </w:tabs>
        <w:numPr>
          <w:ilvl w:val="0"/>
          <w:numId w:val="72"/>
        </w:numPr>
        <w:rPr>
          <w:rFonts w:ascii="Arial" w:cs="Arial" w:eastAsia="Arial" w:hAnsi="Arial"/>
          <w:sz w:val="18"/>
          <w:szCs w:val="18"/>
          <w:color w:val="004876"/>
        </w:rPr>
      </w:pPr>
      <w:r>
        <w:rPr>
          <w:rFonts w:ascii="Arial" w:cs="Arial" w:eastAsia="Arial" w:hAnsi="Arial"/>
          <w:sz w:val="18"/>
          <w:szCs w:val="18"/>
          <w:color w:val="auto"/>
        </w:rPr>
        <w:t>Trading Compliance Committee</w:t>
      </w:r>
    </w:p>
    <w:p>
      <w:pPr>
        <w:spacing w:after="0" w:line="104" w:lineRule="exact"/>
        <w:rPr>
          <w:sz w:val="20"/>
          <w:szCs w:val="20"/>
          <w:color w:val="auto"/>
        </w:rPr>
      </w:pPr>
    </w:p>
    <w:p>
      <w:pPr>
        <w:ind w:left="6" w:right="100"/>
        <w:spacing w:after="0" w:line="261" w:lineRule="auto"/>
        <w:rPr>
          <w:sz w:val="20"/>
          <w:szCs w:val="20"/>
          <w:color w:val="auto"/>
        </w:rPr>
      </w:pPr>
      <w:r>
        <w:rPr>
          <w:rFonts w:ascii="Arial" w:cs="Arial" w:eastAsia="Arial" w:hAnsi="Arial"/>
          <w:sz w:val="17"/>
          <w:szCs w:val="17"/>
          <w:color w:val="auto"/>
        </w:rPr>
        <w:t>There were 22 meetings of the Specific Purpose Committees in 2019. Additional Specific Purpose Committees may be established from time to time in the future to address particular issues.</w:t>
      </w:r>
    </w:p>
    <w:p>
      <w:pPr>
        <w:spacing w:after="0" w:line="782" w:lineRule="exact"/>
        <w:rPr>
          <w:sz w:val="20"/>
          <w:szCs w:val="20"/>
          <w:color w:val="auto"/>
        </w:rPr>
      </w:pPr>
    </w:p>
    <w:p>
      <w:pPr>
        <w:sectPr>
          <w:pgSz w:w="11900" w:h="16838" w:orient="portrait"/>
          <w:cols w:equalWidth="0" w:num="2">
            <w:col w:w="5380" w:space="354"/>
            <w:col w:w="5406"/>
          </w:cols>
          <w:pgMar w:left="320" w:top="459" w:right="439" w:bottom="1440" w:gutter="0" w:footer="0" w:header="0"/>
          <w:type w:val="continuous"/>
        </w:sectPr>
      </w:pPr>
    </w:p>
    <w:tbl>
      <w:tblPr>
        <w:tblLayout w:type="fixed"/>
        <w:tblInd w:w="120" w:type="dxa"/>
        <w:tblCellMar>
          <w:top w:w="0" w:type="dxa"/>
          <w:left w:w="0" w:type="dxa"/>
          <w:bottom w:w="0" w:type="dxa"/>
          <w:right w:w="0" w:type="dxa"/>
        </w:tblCellMar>
      </w:tblPr>
      <w:tr>
        <w:trPr>
          <w:trHeight w:val="189"/>
        </w:trPr>
        <w:tc>
          <w:tcPr>
            <w:tcW w:w="2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6"/>
                <w:szCs w:val="16"/>
                <w:color w:val="004876"/>
              </w:rPr>
              <w:t>Compensation &amp;</w:t>
            </w:r>
          </w:p>
        </w:tc>
        <w:tc>
          <w:tcPr>
            <w:tcW w:w="1440" w:type="dxa"/>
            <w:vAlign w:val="bottom"/>
          </w:tcPr>
          <w:p>
            <w:pPr>
              <w:jc w:val="center"/>
              <w:spacing w:after="0"/>
              <w:rPr>
                <w:sz w:val="20"/>
                <w:szCs w:val="20"/>
                <w:color w:val="auto"/>
              </w:rPr>
            </w:pPr>
            <w:r>
              <w:rPr>
                <w:rFonts w:ascii="Arial" w:cs="Arial" w:eastAsia="Arial" w:hAnsi="Arial"/>
                <w:sz w:val="16"/>
                <w:szCs w:val="16"/>
                <w:color w:val="004876"/>
              </w:rPr>
              <w:t>Corporate</w:t>
            </w:r>
          </w:p>
        </w:tc>
        <w:tc>
          <w:tcPr>
            <w:tcW w:w="14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89"/>
        </w:trPr>
        <w:tc>
          <w:tcPr>
            <w:tcW w:w="2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6"/>
                <w:szCs w:val="16"/>
                <w:color w:val="004876"/>
              </w:rPr>
              <w:t>Management</w:t>
            </w:r>
          </w:p>
        </w:tc>
        <w:tc>
          <w:tcPr>
            <w:tcW w:w="1440" w:type="dxa"/>
            <w:vAlign w:val="bottom"/>
          </w:tcPr>
          <w:p>
            <w:pPr>
              <w:jc w:val="center"/>
              <w:spacing w:after="0"/>
              <w:rPr>
                <w:sz w:val="20"/>
                <w:szCs w:val="20"/>
                <w:color w:val="auto"/>
              </w:rPr>
            </w:pPr>
            <w:r>
              <w:rPr>
                <w:rFonts w:ascii="Arial" w:cs="Arial" w:eastAsia="Arial" w:hAnsi="Arial"/>
                <w:sz w:val="16"/>
                <w:szCs w:val="16"/>
                <w:color w:val="004876"/>
              </w:rPr>
              <w:t>Governance &amp;</w:t>
            </w:r>
          </w:p>
        </w:tc>
        <w:tc>
          <w:tcPr>
            <w:tcW w:w="1460" w:type="dxa"/>
            <w:vAlign w:val="bottom"/>
          </w:tcPr>
          <w:p>
            <w:pPr>
              <w:jc w:val="center"/>
              <w:spacing w:after="0"/>
              <w:rPr>
                <w:sz w:val="20"/>
                <w:szCs w:val="20"/>
                <w:color w:val="auto"/>
              </w:rPr>
            </w:pPr>
            <w:r>
              <w:rPr>
                <w:rFonts w:ascii="Arial" w:cs="Arial" w:eastAsia="Arial" w:hAnsi="Arial"/>
                <w:sz w:val="16"/>
                <w:szCs w:val="16"/>
                <w:color w:val="004876"/>
              </w:rPr>
              <w:t>Public</w:t>
            </w:r>
          </w:p>
        </w:tc>
        <w:tc>
          <w:tcPr>
            <w:tcW w:w="154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004876"/>
                <w:w w:val="99"/>
              </w:rPr>
              <w:t>Specific</w:t>
            </w:r>
          </w:p>
        </w:tc>
      </w:tr>
      <w:tr>
        <w:trPr>
          <w:trHeight w:val="201"/>
        </w:trPr>
        <w:tc>
          <w:tcPr>
            <w:tcW w:w="2100" w:type="dxa"/>
            <w:vAlign w:val="bottom"/>
            <w:tcBorders>
              <w:bottom w:val="single" w:sz="8" w:color="333333"/>
            </w:tcBorders>
          </w:tcPr>
          <w:p>
            <w:pPr>
              <w:ind w:left="60"/>
              <w:spacing w:after="0"/>
              <w:rPr>
                <w:sz w:val="20"/>
                <w:szCs w:val="20"/>
                <w:color w:val="auto"/>
              </w:rPr>
            </w:pPr>
            <w:r>
              <w:rPr>
                <w:rFonts w:ascii="Arial" w:cs="Arial" w:eastAsia="Arial" w:hAnsi="Arial"/>
                <w:sz w:val="16"/>
                <w:szCs w:val="16"/>
                <w:color w:val="004876"/>
              </w:rPr>
              <w:t>Director</w:t>
            </w:r>
          </w:p>
        </w:tc>
        <w:tc>
          <w:tcPr>
            <w:tcW w:w="1500" w:type="dxa"/>
            <w:vAlign w:val="bottom"/>
            <w:tcBorders>
              <w:bottom w:val="single" w:sz="8" w:color="333333"/>
            </w:tcBorders>
          </w:tcPr>
          <w:p>
            <w:pPr>
              <w:jc w:val="center"/>
              <w:spacing w:after="0"/>
              <w:rPr>
                <w:sz w:val="20"/>
                <w:szCs w:val="20"/>
                <w:color w:val="auto"/>
              </w:rPr>
            </w:pPr>
            <w:r>
              <w:rPr>
                <w:rFonts w:ascii="Arial" w:cs="Arial" w:eastAsia="Arial" w:hAnsi="Arial"/>
                <w:sz w:val="16"/>
                <w:szCs w:val="16"/>
                <w:color w:val="004876"/>
                <w:w w:val="98"/>
              </w:rPr>
              <w:t>Audit</w:t>
            </w:r>
          </w:p>
        </w:tc>
        <w:tc>
          <w:tcPr>
            <w:tcW w:w="1500" w:type="dxa"/>
            <w:vAlign w:val="bottom"/>
            <w:tcBorders>
              <w:bottom w:val="single" w:sz="8" w:color="333333"/>
            </w:tcBorders>
          </w:tcPr>
          <w:p>
            <w:pPr>
              <w:jc w:val="center"/>
              <w:spacing w:after="0"/>
              <w:rPr>
                <w:sz w:val="20"/>
                <w:szCs w:val="20"/>
                <w:color w:val="auto"/>
              </w:rPr>
            </w:pPr>
            <w:r>
              <w:rPr>
                <w:rFonts w:ascii="Arial" w:cs="Arial" w:eastAsia="Arial" w:hAnsi="Arial"/>
                <w:sz w:val="16"/>
                <w:szCs w:val="16"/>
                <w:color w:val="004876"/>
              </w:rPr>
              <w:t>Development</w:t>
            </w:r>
          </w:p>
        </w:tc>
        <w:tc>
          <w:tcPr>
            <w:tcW w:w="1440" w:type="dxa"/>
            <w:vAlign w:val="bottom"/>
            <w:tcBorders>
              <w:bottom w:val="single" w:sz="8" w:color="333333"/>
            </w:tcBorders>
          </w:tcPr>
          <w:p>
            <w:pPr>
              <w:jc w:val="center"/>
              <w:spacing w:after="0"/>
              <w:rPr>
                <w:sz w:val="20"/>
                <w:szCs w:val="20"/>
                <w:color w:val="auto"/>
              </w:rPr>
            </w:pPr>
            <w:r>
              <w:rPr>
                <w:rFonts w:ascii="Arial" w:cs="Arial" w:eastAsia="Arial" w:hAnsi="Arial"/>
                <w:sz w:val="16"/>
                <w:szCs w:val="16"/>
                <w:color w:val="004876"/>
              </w:rPr>
              <w:t>Nominating</w:t>
            </w:r>
          </w:p>
        </w:tc>
        <w:tc>
          <w:tcPr>
            <w:tcW w:w="1460" w:type="dxa"/>
            <w:vAlign w:val="bottom"/>
            <w:tcBorders>
              <w:bottom w:val="single" w:sz="8" w:color="333333"/>
            </w:tcBorders>
          </w:tcPr>
          <w:p>
            <w:pPr>
              <w:jc w:val="center"/>
              <w:spacing w:after="0"/>
              <w:rPr>
                <w:sz w:val="20"/>
                <w:szCs w:val="20"/>
                <w:color w:val="auto"/>
              </w:rPr>
            </w:pPr>
            <w:r>
              <w:rPr>
                <w:rFonts w:ascii="Arial" w:cs="Arial" w:eastAsia="Arial" w:hAnsi="Arial"/>
                <w:sz w:val="16"/>
                <w:szCs w:val="16"/>
                <w:color w:val="004876"/>
              </w:rPr>
              <w:t>Responsibility</w:t>
            </w:r>
          </w:p>
        </w:tc>
        <w:tc>
          <w:tcPr>
            <w:tcW w:w="1540" w:type="dxa"/>
            <w:vAlign w:val="bottom"/>
            <w:tcBorders>
              <w:bottom w:val="single" w:sz="8" w:color="333333"/>
            </w:tcBorders>
          </w:tcPr>
          <w:p>
            <w:pPr>
              <w:jc w:val="center"/>
              <w:ind w:left="19"/>
              <w:spacing w:after="0"/>
              <w:rPr>
                <w:sz w:val="20"/>
                <w:szCs w:val="20"/>
                <w:color w:val="auto"/>
              </w:rPr>
            </w:pPr>
            <w:r>
              <w:rPr>
                <w:rFonts w:ascii="Arial" w:cs="Arial" w:eastAsia="Arial" w:hAnsi="Arial"/>
                <w:sz w:val="16"/>
                <w:szCs w:val="16"/>
                <w:color w:val="004876"/>
              </w:rPr>
              <w:t>Risk</w:t>
            </w:r>
          </w:p>
        </w:tc>
        <w:tc>
          <w:tcPr>
            <w:tcW w:w="1480" w:type="dxa"/>
            <w:vAlign w:val="bottom"/>
            <w:tcBorders>
              <w:bottom w:val="single" w:sz="8" w:color="333333"/>
            </w:tcBorders>
          </w:tcPr>
          <w:p>
            <w:pPr>
              <w:jc w:val="center"/>
              <w:spacing w:after="0" w:line="201" w:lineRule="exact"/>
              <w:rPr>
                <w:sz w:val="20"/>
                <w:szCs w:val="20"/>
                <w:color w:val="auto"/>
              </w:rPr>
            </w:pPr>
            <w:r>
              <w:rPr>
                <w:rFonts w:ascii="Arial" w:cs="Arial" w:eastAsia="Arial" w:hAnsi="Arial"/>
                <w:sz w:val="14"/>
                <w:szCs w:val="14"/>
                <w:color w:val="004876"/>
              </w:rPr>
              <w:t>Purpose</w:t>
            </w:r>
            <w:r>
              <w:rPr>
                <w:rFonts w:ascii="Arial" w:cs="Arial" w:eastAsia="Arial" w:hAnsi="Arial"/>
                <w:sz w:val="23"/>
                <w:szCs w:val="23"/>
                <w:color w:val="004876"/>
                <w:vertAlign w:val="superscript"/>
              </w:rPr>
              <w:t>1</w:t>
            </w:r>
          </w:p>
        </w:tc>
      </w:tr>
      <w:tr>
        <w:trPr>
          <w:trHeight w:val="244"/>
        </w:trPr>
        <w:tc>
          <w:tcPr>
            <w:tcW w:w="2100" w:type="dxa"/>
            <w:vAlign w:val="bottom"/>
            <w:tcBorders>
              <w:bottom w:val="single" w:sz="8" w:color="333333"/>
              <w:right w:val="single" w:sz="8" w:color="333333"/>
            </w:tcBorders>
          </w:tcPr>
          <w:p>
            <w:pPr>
              <w:ind w:left="60"/>
              <w:spacing w:after="0"/>
              <w:rPr>
                <w:sz w:val="20"/>
                <w:szCs w:val="20"/>
                <w:color w:val="auto"/>
              </w:rPr>
            </w:pPr>
            <w:r>
              <w:rPr>
                <w:rFonts w:ascii="Arial" w:cs="Arial" w:eastAsia="Arial" w:hAnsi="Arial"/>
                <w:sz w:val="16"/>
                <w:szCs w:val="16"/>
                <w:b w:val="1"/>
                <w:bCs w:val="1"/>
                <w:color w:val="auto"/>
              </w:rPr>
              <w:t>Linda B. Bammann</w:t>
            </w:r>
          </w:p>
        </w:tc>
        <w:tc>
          <w:tcPr>
            <w:tcW w:w="1500" w:type="dxa"/>
            <w:vAlign w:val="bottom"/>
            <w:tcBorders>
              <w:bottom w:val="single" w:sz="8" w:color="333333"/>
              <w:right w:val="single" w:sz="8" w:color="333333"/>
            </w:tcBorders>
          </w:tcPr>
          <w:p>
            <w:pPr>
              <w:spacing w:after="0"/>
              <w:rPr>
                <w:sz w:val="21"/>
                <w:szCs w:val="21"/>
                <w:color w:val="auto"/>
              </w:rPr>
            </w:pPr>
          </w:p>
        </w:tc>
        <w:tc>
          <w:tcPr>
            <w:tcW w:w="1500" w:type="dxa"/>
            <w:vAlign w:val="bottom"/>
            <w:tcBorders>
              <w:bottom w:val="single" w:sz="8" w:color="333333"/>
              <w:right w:val="single" w:sz="8" w:color="333333"/>
            </w:tcBorders>
          </w:tcPr>
          <w:p>
            <w:pPr>
              <w:spacing w:after="0"/>
              <w:rPr>
                <w:sz w:val="21"/>
                <w:szCs w:val="21"/>
                <w:color w:val="auto"/>
              </w:rPr>
            </w:pPr>
          </w:p>
        </w:tc>
        <w:tc>
          <w:tcPr>
            <w:tcW w:w="1440" w:type="dxa"/>
            <w:vAlign w:val="bottom"/>
            <w:tcBorders>
              <w:bottom w:val="single" w:sz="8" w:color="333333"/>
              <w:right w:val="single" w:sz="8" w:color="333333"/>
            </w:tcBorders>
          </w:tcPr>
          <w:p>
            <w:pPr>
              <w:spacing w:after="0"/>
              <w:rPr>
                <w:sz w:val="21"/>
                <w:szCs w:val="21"/>
                <w:color w:val="auto"/>
              </w:rPr>
            </w:pPr>
          </w:p>
        </w:tc>
        <w:tc>
          <w:tcPr>
            <w:tcW w:w="1460" w:type="dxa"/>
            <w:vAlign w:val="bottom"/>
            <w:tcBorders>
              <w:bottom w:val="single" w:sz="8" w:color="333333"/>
              <w:right w:val="single" w:sz="8" w:color="333333"/>
            </w:tcBorders>
          </w:tcPr>
          <w:p>
            <w:pPr>
              <w:spacing w:after="0"/>
              <w:rPr>
                <w:sz w:val="21"/>
                <w:szCs w:val="21"/>
                <w:color w:val="auto"/>
              </w:rPr>
            </w:pPr>
          </w:p>
        </w:tc>
        <w:tc>
          <w:tcPr>
            <w:tcW w:w="1540" w:type="dxa"/>
            <w:vAlign w:val="bottom"/>
            <w:tcBorders>
              <w:bottom w:val="single" w:sz="8" w:color="333333"/>
              <w:right w:val="single" w:sz="8" w:color="333333"/>
            </w:tcBorders>
          </w:tcPr>
          <w:p>
            <w:pPr>
              <w:jc w:val="center"/>
              <w:ind w:left="39"/>
              <w:spacing w:after="0"/>
              <w:rPr>
                <w:sz w:val="20"/>
                <w:szCs w:val="20"/>
                <w:color w:val="auto"/>
              </w:rPr>
            </w:pPr>
            <w:r>
              <w:rPr>
                <w:rFonts w:ascii="Arial" w:cs="Arial" w:eastAsia="Arial" w:hAnsi="Arial"/>
                <w:sz w:val="16"/>
                <w:szCs w:val="16"/>
                <w:color w:val="auto"/>
                <w:w w:val="99"/>
              </w:rPr>
              <w:t>Chair</w:t>
            </w:r>
          </w:p>
        </w:tc>
        <w:tc>
          <w:tcPr>
            <w:tcW w:w="1480" w:type="dxa"/>
            <w:vAlign w:val="bottom"/>
            <w:tcBorders>
              <w:bottom w:val="single" w:sz="8" w:color="333333"/>
            </w:tcBorders>
          </w:tcPr>
          <w:p>
            <w:pPr>
              <w:jc w:val="center"/>
              <w:spacing w:after="0"/>
              <w:rPr>
                <w:sz w:val="20"/>
                <w:szCs w:val="20"/>
                <w:color w:val="auto"/>
              </w:rPr>
            </w:pPr>
            <w:r>
              <w:rPr>
                <w:rFonts w:ascii="Arial" w:cs="Arial" w:eastAsia="Arial" w:hAnsi="Arial"/>
                <w:sz w:val="16"/>
                <w:szCs w:val="16"/>
                <w:color w:val="auto"/>
              </w:rPr>
              <w:t>D</w:t>
            </w:r>
          </w:p>
        </w:tc>
      </w:tr>
      <w:tr>
        <w:trPr>
          <w:trHeight w:val="256"/>
        </w:trPr>
        <w:tc>
          <w:tcPr>
            <w:tcW w:w="2100" w:type="dxa"/>
            <w:vAlign w:val="bottom"/>
            <w:tcBorders>
              <w:bottom w:val="single" w:sz="8" w:color="333333"/>
              <w:right w:val="single" w:sz="8" w:color="333333"/>
            </w:tcBorders>
          </w:tcPr>
          <w:p>
            <w:pPr>
              <w:ind w:left="60"/>
              <w:spacing w:after="0" w:line="257" w:lineRule="exact"/>
              <w:rPr>
                <w:sz w:val="20"/>
                <w:szCs w:val="20"/>
                <w:color w:val="auto"/>
              </w:rPr>
            </w:pPr>
            <w:r>
              <w:rPr>
                <w:rFonts w:ascii="Arial" w:cs="Arial" w:eastAsia="Arial" w:hAnsi="Arial"/>
                <w:sz w:val="16"/>
                <w:szCs w:val="16"/>
                <w:b w:val="1"/>
                <w:bCs w:val="1"/>
                <w:color w:val="auto"/>
              </w:rPr>
              <w:t xml:space="preserve">James A. Bell </w:t>
            </w:r>
            <w:r>
              <w:rPr>
                <w:rFonts w:ascii="Arial" w:cs="Arial" w:eastAsia="Arial" w:hAnsi="Arial"/>
                <w:sz w:val="27"/>
                <w:szCs w:val="27"/>
                <w:b w:val="1"/>
                <w:bCs w:val="1"/>
                <w:color w:val="auto"/>
                <w:vertAlign w:val="superscript"/>
              </w:rPr>
              <w:t>2</w:t>
            </w:r>
          </w:p>
        </w:tc>
        <w:tc>
          <w:tcPr>
            <w:tcW w:w="1500" w:type="dxa"/>
            <w:vAlign w:val="bottom"/>
            <w:tcBorders>
              <w:bottom w:val="single" w:sz="8" w:color="333333"/>
              <w:right w:val="single" w:sz="8" w:color="333333"/>
            </w:tcBorders>
          </w:tcPr>
          <w:p>
            <w:pPr>
              <w:jc w:val="center"/>
              <w:spacing w:after="0"/>
              <w:rPr>
                <w:sz w:val="20"/>
                <w:szCs w:val="20"/>
                <w:color w:val="auto"/>
              </w:rPr>
            </w:pPr>
            <w:r>
              <w:rPr>
                <w:rFonts w:ascii="Arial" w:cs="Arial" w:eastAsia="Arial" w:hAnsi="Arial"/>
                <w:sz w:val="16"/>
                <w:szCs w:val="16"/>
                <w:color w:val="auto"/>
                <w:w w:val="99"/>
              </w:rPr>
              <w:t>Chair</w:t>
            </w:r>
          </w:p>
        </w:tc>
        <w:tc>
          <w:tcPr>
            <w:tcW w:w="1500" w:type="dxa"/>
            <w:vAlign w:val="bottom"/>
            <w:tcBorders>
              <w:bottom w:val="single" w:sz="8" w:color="333333"/>
              <w:right w:val="single" w:sz="8" w:color="333333"/>
            </w:tcBorders>
          </w:tcPr>
          <w:p>
            <w:pPr>
              <w:spacing w:after="0"/>
              <w:rPr>
                <w:sz w:val="22"/>
                <w:szCs w:val="22"/>
                <w:color w:val="auto"/>
              </w:rPr>
            </w:pPr>
          </w:p>
        </w:tc>
        <w:tc>
          <w:tcPr>
            <w:tcW w:w="1440" w:type="dxa"/>
            <w:vAlign w:val="bottom"/>
            <w:tcBorders>
              <w:bottom w:val="single" w:sz="8" w:color="333333"/>
              <w:right w:val="single" w:sz="8" w:color="333333"/>
            </w:tcBorders>
          </w:tcPr>
          <w:p>
            <w:pPr>
              <w:spacing w:after="0"/>
              <w:rPr>
                <w:sz w:val="22"/>
                <w:szCs w:val="22"/>
                <w:color w:val="auto"/>
              </w:rPr>
            </w:pPr>
          </w:p>
        </w:tc>
        <w:tc>
          <w:tcPr>
            <w:tcW w:w="1460" w:type="dxa"/>
            <w:vAlign w:val="bottom"/>
            <w:tcBorders>
              <w:bottom w:val="single" w:sz="8" w:color="333333"/>
              <w:right w:val="single" w:sz="8" w:color="333333"/>
            </w:tcBorders>
          </w:tcPr>
          <w:p>
            <w:pPr>
              <w:spacing w:after="0"/>
              <w:rPr>
                <w:sz w:val="22"/>
                <w:szCs w:val="22"/>
                <w:color w:val="auto"/>
              </w:rPr>
            </w:pPr>
          </w:p>
        </w:tc>
        <w:tc>
          <w:tcPr>
            <w:tcW w:w="1540" w:type="dxa"/>
            <w:vAlign w:val="bottom"/>
            <w:tcBorders>
              <w:bottom w:val="single" w:sz="8" w:color="333333"/>
              <w:right w:val="single" w:sz="8" w:color="333333"/>
            </w:tcBorders>
          </w:tcPr>
          <w:p>
            <w:pPr>
              <w:spacing w:after="0"/>
              <w:rPr>
                <w:sz w:val="22"/>
                <w:szCs w:val="22"/>
                <w:color w:val="auto"/>
              </w:rPr>
            </w:pPr>
          </w:p>
        </w:tc>
        <w:tc>
          <w:tcPr>
            <w:tcW w:w="1480" w:type="dxa"/>
            <w:vAlign w:val="bottom"/>
            <w:tcBorders>
              <w:bottom w:val="single" w:sz="8" w:color="333333"/>
            </w:tcBorders>
          </w:tcPr>
          <w:p>
            <w:pPr>
              <w:jc w:val="center"/>
              <w:spacing w:after="0"/>
              <w:rPr>
                <w:sz w:val="20"/>
                <w:szCs w:val="20"/>
                <w:color w:val="auto"/>
              </w:rPr>
            </w:pPr>
            <w:r>
              <w:rPr>
                <w:rFonts w:ascii="Arial" w:cs="Arial" w:eastAsia="Arial" w:hAnsi="Arial"/>
                <w:sz w:val="16"/>
                <w:szCs w:val="16"/>
                <w:color w:val="auto"/>
              </w:rPr>
              <w:t>A</w:t>
            </w:r>
          </w:p>
        </w:tc>
      </w:tr>
      <w:tr>
        <w:trPr>
          <w:trHeight w:val="244"/>
        </w:trPr>
        <w:tc>
          <w:tcPr>
            <w:tcW w:w="2100" w:type="dxa"/>
            <w:vAlign w:val="bottom"/>
            <w:tcBorders>
              <w:bottom w:val="single" w:sz="8" w:color="333333"/>
              <w:right w:val="single" w:sz="8" w:color="333333"/>
            </w:tcBorders>
          </w:tcPr>
          <w:p>
            <w:pPr>
              <w:ind w:left="60"/>
              <w:spacing w:after="0"/>
              <w:rPr>
                <w:sz w:val="20"/>
                <w:szCs w:val="20"/>
                <w:color w:val="auto"/>
              </w:rPr>
            </w:pPr>
            <w:r>
              <w:rPr>
                <w:rFonts w:ascii="Arial" w:cs="Arial" w:eastAsia="Arial" w:hAnsi="Arial"/>
                <w:sz w:val="16"/>
                <w:szCs w:val="16"/>
                <w:b w:val="1"/>
                <w:bCs w:val="1"/>
                <w:color w:val="auto"/>
              </w:rPr>
              <w:t>Stephen B. Burke</w:t>
            </w:r>
          </w:p>
        </w:tc>
        <w:tc>
          <w:tcPr>
            <w:tcW w:w="1500" w:type="dxa"/>
            <w:vAlign w:val="bottom"/>
            <w:tcBorders>
              <w:bottom w:val="single" w:sz="8" w:color="333333"/>
              <w:right w:val="single" w:sz="8" w:color="333333"/>
            </w:tcBorders>
          </w:tcPr>
          <w:p>
            <w:pPr>
              <w:spacing w:after="0"/>
              <w:rPr>
                <w:sz w:val="21"/>
                <w:szCs w:val="21"/>
                <w:color w:val="auto"/>
              </w:rPr>
            </w:pPr>
          </w:p>
        </w:tc>
        <w:tc>
          <w:tcPr>
            <w:tcW w:w="1500" w:type="dxa"/>
            <w:vAlign w:val="bottom"/>
            <w:tcBorders>
              <w:bottom w:val="single" w:sz="8" w:color="333333"/>
              <w:right w:val="single" w:sz="8" w:color="333333"/>
            </w:tcBorders>
          </w:tcPr>
          <w:p>
            <w:pPr>
              <w:jc w:val="center"/>
              <w:spacing w:after="0"/>
              <w:rPr>
                <w:sz w:val="20"/>
                <w:szCs w:val="20"/>
                <w:color w:val="auto"/>
              </w:rPr>
            </w:pPr>
            <w:r>
              <w:rPr>
                <w:rFonts w:ascii="Arial" w:cs="Arial" w:eastAsia="Arial" w:hAnsi="Arial"/>
                <w:sz w:val="16"/>
                <w:szCs w:val="16"/>
                <w:color w:val="auto"/>
              </w:rPr>
              <w:t>Member</w:t>
            </w:r>
          </w:p>
        </w:tc>
        <w:tc>
          <w:tcPr>
            <w:tcW w:w="1440" w:type="dxa"/>
            <w:vAlign w:val="bottom"/>
            <w:tcBorders>
              <w:bottom w:val="single" w:sz="8" w:color="333333"/>
              <w:right w:val="single" w:sz="8" w:color="333333"/>
            </w:tcBorders>
          </w:tcPr>
          <w:p>
            <w:pPr>
              <w:jc w:val="center"/>
              <w:spacing w:after="0"/>
              <w:rPr>
                <w:sz w:val="20"/>
                <w:szCs w:val="20"/>
                <w:color w:val="auto"/>
              </w:rPr>
            </w:pPr>
            <w:r>
              <w:rPr>
                <w:rFonts w:ascii="Arial" w:cs="Arial" w:eastAsia="Arial" w:hAnsi="Arial"/>
                <w:sz w:val="16"/>
                <w:szCs w:val="16"/>
                <w:color w:val="auto"/>
              </w:rPr>
              <w:t>Chair</w:t>
            </w:r>
          </w:p>
        </w:tc>
        <w:tc>
          <w:tcPr>
            <w:tcW w:w="1460" w:type="dxa"/>
            <w:vAlign w:val="bottom"/>
            <w:tcBorders>
              <w:bottom w:val="single" w:sz="8" w:color="333333"/>
              <w:right w:val="single" w:sz="8" w:color="333333"/>
            </w:tcBorders>
          </w:tcPr>
          <w:p>
            <w:pPr>
              <w:spacing w:after="0"/>
              <w:rPr>
                <w:sz w:val="21"/>
                <w:szCs w:val="21"/>
                <w:color w:val="auto"/>
              </w:rPr>
            </w:pPr>
          </w:p>
        </w:tc>
        <w:tc>
          <w:tcPr>
            <w:tcW w:w="1540" w:type="dxa"/>
            <w:vAlign w:val="bottom"/>
            <w:tcBorders>
              <w:bottom w:val="single" w:sz="8" w:color="333333"/>
              <w:right w:val="single" w:sz="8" w:color="333333"/>
            </w:tcBorders>
          </w:tcPr>
          <w:p>
            <w:pPr>
              <w:spacing w:after="0"/>
              <w:rPr>
                <w:sz w:val="21"/>
                <w:szCs w:val="21"/>
                <w:color w:val="auto"/>
              </w:rPr>
            </w:pPr>
          </w:p>
        </w:tc>
        <w:tc>
          <w:tcPr>
            <w:tcW w:w="1480" w:type="dxa"/>
            <w:vAlign w:val="bottom"/>
            <w:tcBorders>
              <w:bottom w:val="single" w:sz="8" w:color="333333"/>
            </w:tcBorders>
          </w:tcPr>
          <w:p>
            <w:pPr>
              <w:spacing w:after="0"/>
              <w:rPr>
                <w:sz w:val="21"/>
                <w:szCs w:val="21"/>
                <w:color w:val="auto"/>
              </w:rPr>
            </w:pPr>
          </w:p>
        </w:tc>
      </w:tr>
      <w:tr>
        <w:trPr>
          <w:trHeight w:val="256"/>
        </w:trPr>
        <w:tc>
          <w:tcPr>
            <w:tcW w:w="2100" w:type="dxa"/>
            <w:vAlign w:val="bottom"/>
            <w:tcBorders>
              <w:bottom w:val="single" w:sz="8" w:color="333333"/>
              <w:right w:val="single" w:sz="8" w:color="333333"/>
            </w:tcBorders>
          </w:tcPr>
          <w:p>
            <w:pPr>
              <w:ind w:left="60"/>
              <w:spacing w:after="0"/>
              <w:rPr>
                <w:sz w:val="20"/>
                <w:szCs w:val="20"/>
                <w:color w:val="auto"/>
              </w:rPr>
            </w:pPr>
            <w:r>
              <w:rPr>
                <w:rFonts w:ascii="Arial" w:cs="Arial" w:eastAsia="Arial" w:hAnsi="Arial"/>
                <w:sz w:val="16"/>
                <w:szCs w:val="16"/>
                <w:b w:val="1"/>
                <w:bCs w:val="1"/>
                <w:color w:val="auto"/>
              </w:rPr>
              <w:t>Todd A. Combs</w:t>
            </w:r>
          </w:p>
        </w:tc>
        <w:tc>
          <w:tcPr>
            <w:tcW w:w="1500" w:type="dxa"/>
            <w:vAlign w:val="bottom"/>
            <w:tcBorders>
              <w:bottom w:val="single" w:sz="8" w:color="333333"/>
              <w:right w:val="single" w:sz="8" w:color="333333"/>
            </w:tcBorders>
          </w:tcPr>
          <w:p>
            <w:pPr>
              <w:spacing w:after="0"/>
              <w:rPr>
                <w:sz w:val="22"/>
                <w:szCs w:val="22"/>
                <w:color w:val="auto"/>
              </w:rPr>
            </w:pPr>
          </w:p>
        </w:tc>
        <w:tc>
          <w:tcPr>
            <w:tcW w:w="1500" w:type="dxa"/>
            <w:vAlign w:val="bottom"/>
            <w:tcBorders>
              <w:bottom w:val="single" w:sz="8" w:color="333333"/>
              <w:right w:val="single" w:sz="8" w:color="333333"/>
            </w:tcBorders>
          </w:tcPr>
          <w:p>
            <w:pPr>
              <w:jc w:val="center"/>
              <w:spacing w:after="0"/>
              <w:rPr>
                <w:sz w:val="20"/>
                <w:szCs w:val="20"/>
                <w:color w:val="auto"/>
              </w:rPr>
            </w:pPr>
            <w:r>
              <w:rPr>
                <w:rFonts w:ascii="Arial" w:cs="Arial" w:eastAsia="Arial" w:hAnsi="Arial"/>
                <w:sz w:val="16"/>
                <w:szCs w:val="16"/>
                <w:color w:val="auto"/>
              </w:rPr>
              <w:t>Member</w:t>
            </w:r>
          </w:p>
        </w:tc>
        <w:tc>
          <w:tcPr>
            <w:tcW w:w="1440" w:type="dxa"/>
            <w:vAlign w:val="bottom"/>
            <w:tcBorders>
              <w:bottom w:val="single" w:sz="8" w:color="333333"/>
              <w:right w:val="single" w:sz="8" w:color="333333"/>
            </w:tcBorders>
          </w:tcPr>
          <w:p>
            <w:pPr>
              <w:jc w:val="center"/>
              <w:spacing w:after="0"/>
              <w:rPr>
                <w:sz w:val="20"/>
                <w:szCs w:val="20"/>
                <w:color w:val="auto"/>
              </w:rPr>
            </w:pPr>
            <w:r>
              <w:rPr>
                <w:rFonts w:ascii="Arial" w:cs="Arial" w:eastAsia="Arial" w:hAnsi="Arial"/>
                <w:sz w:val="16"/>
                <w:szCs w:val="16"/>
                <w:color w:val="auto"/>
              </w:rPr>
              <w:t>Member</w:t>
            </w:r>
          </w:p>
        </w:tc>
        <w:tc>
          <w:tcPr>
            <w:tcW w:w="1460" w:type="dxa"/>
            <w:vAlign w:val="bottom"/>
            <w:tcBorders>
              <w:bottom w:val="single" w:sz="8" w:color="333333"/>
              <w:right w:val="single" w:sz="8" w:color="333333"/>
            </w:tcBorders>
          </w:tcPr>
          <w:p>
            <w:pPr>
              <w:jc w:val="center"/>
              <w:spacing w:after="0"/>
              <w:rPr>
                <w:sz w:val="20"/>
                <w:szCs w:val="20"/>
                <w:color w:val="auto"/>
              </w:rPr>
            </w:pPr>
            <w:r>
              <w:rPr>
                <w:rFonts w:ascii="Arial" w:cs="Arial" w:eastAsia="Arial" w:hAnsi="Arial"/>
                <w:sz w:val="16"/>
                <w:szCs w:val="16"/>
                <w:color w:val="auto"/>
              </w:rPr>
              <w:t>Member</w:t>
            </w:r>
          </w:p>
        </w:tc>
        <w:tc>
          <w:tcPr>
            <w:tcW w:w="1540" w:type="dxa"/>
            <w:vAlign w:val="bottom"/>
            <w:tcBorders>
              <w:bottom w:val="single" w:sz="8" w:color="333333"/>
              <w:right w:val="single" w:sz="8" w:color="333333"/>
            </w:tcBorders>
          </w:tcPr>
          <w:p>
            <w:pPr>
              <w:spacing w:after="0"/>
              <w:rPr>
                <w:sz w:val="22"/>
                <w:szCs w:val="22"/>
                <w:color w:val="auto"/>
              </w:rPr>
            </w:pPr>
          </w:p>
        </w:tc>
        <w:tc>
          <w:tcPr>
            <w:tcW w:w="1480" w:type="dxa"/>
            <w:vAlign w:val="bottom"/>
            <w:tcBorders>
              <w:bottom w:val="single" w:sz="8" w:color="333333"/>
            </w:tcBorders>
          </w:tcPr>
          <w:p>
            <w:pPr>
              <w:spacing w:after="0"/>
              <w:rPr>
                <w:sz w:val="22"/>
                <w:szCs w:val="22"/>
                <w:color w:val="auto"/>
              </w:rPr>
            </w:pPr>
          </w:p>
        </w:tc>
      </w:tr>
      <w:tr>
        <w:trPr>
          <w:trHeight w:val="244"/>
        </w:trPr>
        <w:tc>
          <w:tcPr>
            <w:tcW w:w="2100" w:type="dxa"/>
            <w:vAlign w:val="bottom"/>
            <w:tcBorders>
              <w:bottom w:val="single" w:sz="8" w:color="333333"/>
              <w:right w:val="single" w:sz="8" w:color="333333"/>
            </w:tcBorders>
          </w:tcPr>
          <w:p>
            <w:pPr>
              <w:ind w:left="60"/>
              <w:spacing w:after="0"/>
              <w:rPr>
                <w:sz w:val="20"/>
                <w:szCs w:val="20"/>
                <w:color w:val="auto"/>
              </w:rPr>
            </w:pPr>
            <w:r>
              <w:rPr>
                <w:rFonts w:ascii="Arial" w:cs="Arial" w:eastAsia="Arial" w:hAnsi="Arial"/>
                <w:sz w:val="16"/>
                <w:szCs w:val="16"/>
                <w:b w:val="1"/>
                <w:bCs w:val="1"/>
                <w:color w:val="auto"/>
              </w:rPr>
              <w:t>James S. Crown</w:t>
            </w:r>
          </w:p>
        </w:tc>
        <w:tc>
          <w:tcPr>
            <w:tcW w:w="1500" w:type="dxa"/>
            <w:vAlign w:val="bottom"/>
            <w:tcBorders>
              <w:bottom w:val="single" w:sz="8" w:color="333333"/>
              <w:right w:val="single" w:sz="8" w:color="333333"/>
            </w:tcBorders>
          </w:tcPr>
          <w:p>
            <w:pPr>
              <w:spacing w:after="0"/>
              <w:rPr>
                <w:sz w:val="21"/>
                <w:szCs w:val="21"/>
                <w:color w:val="auto"/>
              </w:rPr>
            </w:pPr>
          </w:p>
        </w:tc>
        <w:tc>
          <w:tcPr>
            <w:tcW w:w="1500" w:type="dxa"/>
            <w:vAlign w:val="bottom"/>
            <w:tcBorders>
              <w:bottom w:val="single" w:sz="8" w:color="333333"/>
              <w:right w:val="single" w:sz="8" w:color="333333"/>
            </w:tcBorders>
          </w:tcPr>
          <w:p>
            <w:pPr>
              <w:spacing w:after="0"/>
              <w:rPr>
                <w:sz w:val="21"/>
                <w:szCs w:val="21"/>
                <w:color w:val="auto"/>
              </w:rPr>
            </w:pPr>
          </w:p>
        </w:tc>
        <w:tc>
          <w:tcPr>
            <w:tcW w:w="1440" w:type="dxa"/>
            <w:vAlign w:val="bottom"/>
            <w:tcBorders>
              <w:bottom w:val="single" w:sz="8" w:color="333333"/>
              <w:right w:val="single" w:sz="8" w:color="333333"/>
            </w:tcBorders>
          </w:tcPr>
          <w:p>
            <w:pPr>
              <w:spacing w:after="0"/>
              <w:rPr>
                <w:sz w:val="21"/>
                <w:szCs w:val="21"/>
                <w:color w:val="auto"/>
              </w:rPr>
            </w:pPr>
          </w:p>
        </w:tc>
        <w:tc>
          <w:tcPr>
            <w:tcW w:w="1460" w:type="dxa"/>
            <w:vAlign w:val="bottom"/>
            <w:tcBorders>
              <w:bottom w:val="single" w:sz="8" w:color="333333"/>
              <w:right w:val="single" w:sz="8" w:color="333333"/>
            </w:tcBorders>
          </w:tcPr>
          <w:p>
            <w:pPr>
              <w:spacing w:after="0"/>
              <w:rPr>
                <w:sz w:val="21"/>
                <w:szCs w:val="21"/>
                <w:color w:val="auto"/>
              </w:rPr>
            </w:pPr>
          </w:p>
        </w:tc>
        <w:tc>
          <w:tcPr>
            <w:tcW w:w="1540" w:type="dxa"/>
            <w:vAlign w:val="bottom"/>
            <w:tcBorders>
              <w:bottom w:val="single" w:sz="8" w:color="333333"/>
              <w:right w:val="single" w:sz="8" w:color="333333"/>
            </w:tcBorders>
          </w:tcPr>
          <w:p>
            <w:pPr>
              <w:jc w:val="center"/>
              <w:ind w:left="19"/>
              <w:spacing w:after="0"/>
              <w:rPr>
                <w:sz w:val="20"/>
                <w:szCs w:val="20"/>
                <w:color w:val="auto"/>
              </w:rPr>
            </w:pPr>
            <w:r>
              <w:rPr>
                <w:rFonts w:ascii="Arial" w:cs="Arial" w:eastAsia="Arial" w:hAnsi="Arial"/>
                <w:sz w:val="16"/>
                <w:szCs w:val="16"/>
                <w:color w:val="auto"/>
              </w:rPr>
              <w:t>Member</w:t>
            </w:r>
          </w:p>
        </w:tc>
        <w:tc>
          <w:tcPr>
            <w:tcW w:w="1480" w:type="dxa"/>
            <w:vAlign w:val="bottom"/>
            <w:tcBorders>
              <w:bottom w:val="single" w:sz="8" w:color="333333"/>
            </w:tcBorders>
          </w:tcPr>
          <w:p>
            <w:pPr>
              <w:spacing w:after="0"/>
              <w:rPr>
                <w:sz w:val="21"/>
                <w:szCs w:val="21"/>
                <w:color w:val="auto"/>
              </w:rPr>
            </w:pPr>
          </w:p>
        </w:tc>
      </w:tr>
      <w:tr>
        <w:trPr>
          <w:trHeight w:val="250"/>
        </w:trPr>
        <w:tc>
          <w:tcPr>
            <w:tcW w:w="2100" w:type="dxa"/>
            <w:vAlign w:val="bottom"/>
            <w:tcBorders>
              <w:bottom w:val="single" w:sz="8" w:color="333333"/>
              <w:right w:val="single" w:sz="8" w:color="333333"/>
            </w:tcBorders>
          </w:tcPr>
          <w:p>
            <w:pPr>
              <w:ind w:left="60"/>
              <w:spacing w:after="0"/>
              <w:rPr>
                <w:sz w:val="20"/>
                <w:szCs w:val="20"/>
                <w:color w:val="auto"/>
              </w:rPr>
            </w:pPr>
            <w:r>
              <w:rPr>
                <w:rFonts w:ascii="Arial" w:cs="Arial" w:eastAsia="Arial" w:hAnsi="Arial"/>
                <w:sz w:val="16"/>
                <w:szCs w:val="16"/>
                <w:b w:val="1"/>
                <w:bCs w:val="1"/>
                <w:color w:val="auto"/>
              </w:rPr>
              <w:t>James Dimon</w:t>
            </w:r>
          </w:p>
        </w:tc>
        <w:tc>
          <w:tcPr>
            <w:tcW w:w="1500" w:type="dxa"/>
            <w:vAlign w:val="bottom"/>
            <w:tcBorders>
              <w:bottom w:val="single" w:sz="8" w:color="333333"/>
              <w:right w:val="single" w:sz="8" w:color="333333"/>
            </w:tcBorders>
          </w:tcPr>
          <w:p>
            <w:pPr>
              <w:spacing w:after="0"/>
              <w:rPr>
                <w:sz w:val="21"/>
                <w:szCs w:val="21"/>
                <w:color w:val="auto"/>
              </w:rPr>
            </w:pPr>
          </w:p>
        </w:tc>
        <w:tc>
          <w:tcPr>
            <w:tcW w:w="1500" w:type="dxa"/>
            <w:vAlign w:val="bottom"/>
            <w:tcBorders>
              <w:bottom w:val="single" w:sz="8" w:color="333333"/>
              <w:right w:val="single" w:sz="8" w:color="333333"/>
            </w:tcBorders>
          </w:tcPr>
          <w:p>
            <w:pPr>
              <w:spacing w:after="0"/>
              <w:rPr>
                <w:sz w:val="21"/>
                <w:szCs w:val="21"/>
                <w:color w:val="auto"/>
              </w:rPr>
            </w:pPr>
          </w:p>
        </w:tc>
        <w:tc>
          <w:tcPr>
            <w:tcW w:w="1440" w:type="dxa"/>
            <w:vAlign w:val="bottom"/>
            <w:tcBorders>
              <w:bottom w:val="single" w:sz="8" w:color="333333"/>
              <w:right w:val="single" w:sz="8" w:color="333333"/>
            </w:tcBorders>
          </w:tcPr>
          <w:p>
            <w:pPr>
              <w:spacing w:after="0"/>
              <w:rPr>
                <w:sz w:val="21"/>
                <w:szCs w:val="21"/>
                <w:color w:val="auto"/>
              </w:rPr>
            </w:pPr>
          </w:p>
        </w:tc>
        <w:tc>
          <w:tcPr>
            <w:tcW w:w="1460" w:type="dxa"/>
            <w:vAlign w:val="bottom"/>
            <w:tcBorders>
              <w:bottom w:val="single" w:sz="8" w:color="333333"/>
              <w:right w:val="single" w:sz="8" w:color="333333"/>
            </w:tcBorders>
          </w:tcPr>
          <w:p>
            <w:pPr>
              <w:spacing w:after="0"/>
              <w:rPr>
                <w:sz w:val="21"/>
                <w:szCs w:val="21"/>
                <w:color w:val="auto"/>
              </w:rPr>
            </w:pPr>
          </w:p>
        </w:tc>
        <w:tc>
          <w:tcPr>
            <w:tcW w:w="1540" w:type="dxa"/>
            <w:vAlign w:val="bottom"/>
            <w:tcBorders>
              <w:bottom w:val="single" w:sz="8" w:color="333333"/>
              <w:right w:val="single" w:sz="8" w:color="333333"/>
            </w:tcBorders>
          </w:tcPr>
          <w:p>
            <w:pPr>
              <w:spacing w:after="0"/>
              <w:rPr>
                <w:sz w:val="21"/>
                <w:szCs w:val="21"/>
                <w:color w:val="auto"/>
              </w:rPr>
            </w:pPr>
          </w:p>
        </w:tc>
        <w:tc>
          <w:tcPr>
            <w:tcW w:w="1480" w:type="dxa"/>
            <w:vAlign w:val="bottom"/>
            <w:tcBorders>
              <w:bottom w:val="single" w:sz="8" w:color="333333"/>
            </w:tcBorders>
          </w:tcPr>
          <w:p>
            <w:pPr>
              <w:spacing w:after="0"/>
              <w:rPr>
                <w:sz w:val="21"/>
                <w:szCs w:val="21"/>
                <w:color w:val="auto"/>
              </w:rPr>
            </w:pPr>
          </w:p>
        </w:tc>
      </w:tr>
      <w:tr>
        <w:trPr>
          <w:trHeight w:val="250"/>
        </w:trPr>
        <w:tc>
          <w:tcPr>
            <w:tcW w:w="2100" w:type="dxa"/>
            <w:vAlign w:val="bottom"/>
            <w:tcBorders>
              <w:bottom w:val="single" w:sz="8" w:color="333333"/>
              <w:right w:val="single" w:sz="8" w:color="333333"/>
            </w:tcBorders>
          </w:tcPr>
          <w:p>
            <w:pPr>
              <w:ind w:left="60"/>
              <w:spacing w:after="0"/>
              <w:rPr>
                <w:sz w:val="20"/>
                <w:szCs w:val="20"/>
                <w:color w:val="auto"/>
              </w:rPr>
            </w:pPr>
            <w:r>
              <w:rPr>
                <w:rFonts w:ascii="Arial" w:cs="Arial" w:eastAsia="Arial" w:hAnsi="Arial"/>
                <w:sz w:val="16"/>
                <w:szCs w:val="16"/>
                <w:b w:val="1"/>
                <w:bCs w:val="1"/>
                <w:color w:val="auto"/>
              </w:rPr>
              <w:t>Timothy P. Flynn</w:t>
            </w:r>
          </w:p>
        </w:tc>
        <w:tc>
          <w:tcPr>
            <w:tcW w:w="1500" w:type="dxa"/>
            <w:vAlign w:val="bottom"/>
            <w:tcBorders>
              <w:bottom w:val="single" w:sz="8" w:color="333333"/>
              <w:right w:val="single" w:sz="8" w:color="333333"/>
            </w:tcBorders>
          </w:tcPr>
          <w:p>
            <w:pPr>
              <w:jc w:val="center"/>
              <w:spacing w:after="0"/>
              <w:rPr>
                <w:sz w:val="20"/>
                <w:szCs w:val="20"/>
                <w:color w:val="auto"/>
              </w:rPr>
            </w:pPr>
            <w:r>
              <w:rPr>
                <w:rFonts w:ascii="Arial" w:cs="Arial" w:eastAsia="Arial" w:hAnsi="Arial"/>
                <w:sz w:val="16"/>
                <w:szCs w:val="16"/>
                <w:color w:val="auto"/>
              </w:rPr>
              <w:t>Member</w:t>
            </w:r>
          </w:p>
        </w:tc>
        <w:tc>
          <w:tcPr>
            <w:tcW w:w="1500" w:type="dxa"/>
            <w:vAlign w:val="bottom"/>
            <w:tcBorders>
              <w:bottom w:val="single" w:sz="8" w:color="333333"/>
              <w:right w:val="single" w:sz="8" w:color="333333"/>
            </w:tcBorders>
          </w:tcPr>
          <w:p>
            <w:pPr>
              <w:spacing w:after="0"/>
              <w:rPr>
                <w:sz w:val="21"/>
                <w:szCs w:val="21"/>
                <w:color w:val="auto"/>
              </w:rPr>
            </w:pPr>
          </w:p>
        </w:tc>
        <w:tc>
          <w:tcPr>
            <w:tcW w:w="1440" w:type="dxa"/>
            <w:vAlign w:val="bottom"/>
            <w:tcBorders>
              <w:bottom w:val="single" w:sz="8" w:color="333333"/>
              <w:right w:val="single" w:sz="8" w:color="333333"/>
            </w:tcBorders>
          </w:tcPr>
          <w:p>
            <w:pPr>
              <w:spacing w:after="0"/>
              <w:rPr>
                <w:sz w:val="21"/>
                <w:szCs w:val="21"/>
                <w:color w:val="auto"/>
              </w:rPr>
            </w:pPr>
          </w:p>
        </w:tc>
        <w:tc>
          <w:tcPr>
            <w:tcW w:w="1460" w:type="dxa"/>
            <w:vAlign w:val="bottom"/>
            <w:tcBorders>
              <w:bottom w:val="single" w:sz="8" w:color="333333"/>
              <w:right w:val="single" w:sz="8" w:color="333333"/>
            </w:tcBorders>
          </w:tcPr>
          <w:p>
            <w:pPr>
              <w:jc w:val="center"/>
              <w:spacing w:after="0"/>
              <w:rPr>
                <w:sz w:val="20"/>
                <w:szCs w:val="20"/>
                <w:color w:val="auto"/>
              </w:rPr>
            </w:pPr>
            <w:r>
              <w:rPr>
                <w:rFonts w:ascii="Arial" w:cs="Arial" w:eastAsia="Arial" w:hAnsi="Arial"/>
                <w:sz w:val="16"/>
                <w:szCs w:val="16"/>
                <w:color w:val="auto"/>
              </w:rPr>
              <w:t>Chair</w:t>
            </w:r>
          </w:p>
        </w:tc>
        <w:tc>
          <w:tcPr>
            <w:tcW w:w="1540" w:type="dxa"/>
            <w:vAlign w:val="bottom"/>
            <w:tcBorders>
              <w:bottom w:val="single" w:sz="8" w:color="333333"/>
              <w:right w:val="single" w:sz="8" w:color="333333"/>
            </w:tcBorders>
          </w:tcPr>
          <w:p>
            <w:pPr>
              <w:spacing w:after="0"/>
              <w:rPr>
                <w:sz w:val="21"/>
                <w:szCs w:val="21"/>
                <w:color w:val="auto"/>
              </w:rPr>
            </w:pPr>
          </w:p>
        </w:tc>
        <w:tc>
          <w:tcPr>
            <w:tcW w:w="1480" w:type="dxa"/>
            <w:vAlign w:val="bottom"/>
            <w:tcBorders>
              <w:bottom w:val="single" w:sz="8" w:color="333333"/>
            </w:tcBorders>
          </w:tcPr>
          <w:p>
            <w:pPr>
              <w:jc w:val="center"/>
              <w:spacing w:after="0"/>
              <w:rPr>
                <w:sz w:val="20"/>
                <w:szCs w:val="20"/>
                <w:color w:val="auto"/>
              </w:rPr>
            </w:pPr>
            <w:r>
              <w:rPr>
                <w:rFonts w:ascii="Arial" w:cs="Arial" w:eastAsia="Arial" w:hAnsi="Arial"/>
                <w:sz w:val="16"/>
                <w:szCs w:val="16"/>
                <w:color w:val="auto"/>
              </w:rPr>
              <w:t>A</w:t>
            </w:r>
          </w:p>
        </w:tc>
      </w:tr>
      <w:tr>
        <w:trPr>
          <w:trHeight w:val="257"/>
        </w:trPr>
        <w:tc>
          <w:tcPr>
            <w:tcW w:w="2100" w:type="dxa"/>
            <w:vAlign w:val="bottom"/>
            <w:tcBorders>
              <w:bottom w:val="single" w:sz="8" w:color="333333"/>
              <w:right w:val="single" w:sz="8" w:color="333333"/>
            </w:tcBorders>
          </w:tcPr>
          <w:p>
            <w:pPr>
              <w:ind w:left="60"/>
              <w:spacing w:after="0"/>
              <w:rPr>
                <w:sz w:val="20"/>
                <w:szCs w:val="20"/>
                <w:color w:val="auto"/>
              </w:rPr>
            </w:pPr>
            <w:r>
              <w:rPr>
                <w:rFonts w:ascii="Arial" w:cs="Arial" w:eastAsia="Arial" w:hAnsi="Arial"/>
                <w:sz w:val="16"/>
                <w:szCs w:val="16"/>
                <w:b w:val="1"/>
                <w:bCs w:val="1"/>
                <w:color w:val="auto"/>
              </w:rPr>
              <w:t>Mellody Hobson</w:t>
            </w:r>
          </w:p>
        </w:tc>
        <w:tc>
          <w:tcPr>
            <w:tcW w:w="1500" w:type="dxa"/>
            <w:vAlign w:val="bottom"/>
            <w:tcBorders>
              <w:bottom w:val="single" w:sz="8" w:color="333333"/>
              <w:right w:val="single" w:sz="8" w:color="333333"/>
            </w:tcBorders>
          </w:tcPr>
          <w:p>
            <w:pPr>
              <w:spacing w:after="0"/>
              <w:rPr>
                <w:sz w:val="22"/>
                <w:szCs w:val="22"/>
                <w:color w:val="auto"/>
              </w:rPr>
            </w:pPr>
          </w:p>
        </w:tc>
        <w:tc>
          <w:tcPr>
            <w:tcW w:w="1500" w:type="dxa"/>
            <w:vAlign w:val="bottom"/>
            <w:tcBorders>
              <w:bottom w:val="single" w:sz="8" w:color="333333"/>
              <w:right w:val="single" w:sz="8" w:color="333333"/>
            </w:tcBorders>
          </w:tcPr>
          <w:p>
            <w:pPr>
              <w:spacing w:after="0"/>
              <w:rPr>
                <w:sz w:val="22"/>
                <w:szCs w:val="22"/>
                <w:color w:val="auto"/>
              </w:rPr>
            </w:pPr>
          </w:p>
        </w:tc>
        <w:tc>
          <w:tcPr>
            <w:tcW w:w="1440" w:type="dxa"/>
            <w:vAlign w:val="bottom"/>
            <w:tcBorders>
              <w:bottom w:val="single" w:sz="8" w:color="333333"/>
              <w:right w:val="single" w:sz="8" w:color="333333"/>
            </w:tcBorders>
          </w:tcPr>
          <w:p>
            <w:pPr>
              <w:spacing w:after="0"/>
              <w:rPr>
                <w:sz w:val="22"/>
                <w:szCs w:val="22"/>
                <w:color w:val="auto"/>
              </w:rPr>
            </w:pPr>
          </w:p>
        </w:tc>
        <w:tc>
          <w:tcPr>
            <w:tcW w:w="1460" w:type="dxa"/>
            <w:vAlign w:val="bottom"/>
            <w:tcBorders>
              <w:bottom w:val="single" w:sz="8" w:color="333333"/>
              <w:right w:val="single" w:sz="8" w:color="333333"/>
            </w:tcBorders>
          </w:tcPr>
          <w:p>
            <w:pPr>
              <w:jc w:val="center"/>
              <w:spacing w:after="0"/>
              <w:rPr>
                <w:sz w:val="20"/>
                <w:szCs w:val="20"/>
                <w:color w:val="auto"/>
              </w:rPr>
            </w:pPr>
            <w:r>
              <w:rPr>
                <w:rFonts w:ascii="Arial" w:cs="Arial" w:eastAsia="Arial" w:hAnsi="Arial"/>
                <w:sz w:val="16"/>
                <w:szCs w:val="16"/>
                <w:color w:val="auto"/>
              </w:rPr>
              <w:t>Member</w:t>
            </w:r>
          </w:p>
        </w:tc>
        <w:tc>
          <w:tcPr>
            <w:tcW w:w="1540" w:type="dxa"/>
            <w:vAlign w:val="bottom"/>
            <w:tcBorders>
              <w:bottom w:val="single" w:sz="8" w:color="333333"/>
              <w:right w:val="single" w:sz="8" w:color="333333"/>
            </w:tcBorders>
          </w:tcPr>
          <w:p>
            <w:pPr>
              <w:jc w:val="center"/>
              <w:ind w:left="19"/>
              <w:spacing w:after="0"/>
              <w:rPr>
                <w:sz w:val="20"/>
                <w:szCs w:val="20"/>
                <w:color w:val="auto"/>
              </w:rPr>
            </w:pPr>
            <w:r>
              <w:rPr>
                <w:rFonts w:ascii="Arial" w:cs="Arial" w:eastAsia="Arial" w:hAnsi="Arial"/>
                <w:sz w:val="16"/>
                <w:szCs w:val="16"/>
                <w:color w:val="auto"/>
              </w:rPr>
              <w:t>Member</w:t>
            </w:r>
          </w:p>
        </w:tc>
        <w:tc>
          <w:tcPr>
            <w:tcW w:w="1480" w:type="dxa"/>
            <w:vAlign w:val="bottom"/>
            <w:tcBorders>
              <w:bottom w:val="single" w:sz="8" w:color="333333"/>
            </w:tcBorders>
          </w:tcPr>
          <w:p>
            <w:pPr>
              <w:spacing w:after="0"/>
              <w:rPr>
                <w:sz w:val="22"/>
                <w:szCs w:val="22"/>
                <w:color w:val="auto"/>
              </w:rPr>
            </w:pPr>
          </w:p>
        </w:tc>
      </w:tr>
      <w:tr>
        <w:trPr>
          <w:trHeight w:val="250"/>
        </w:trPr>
        <w:tc>
          <w:tcPr>
            <w:tcW w:w="2100" w:type="dxa"/>
            <w:vAlign w:val="bottom"/>
            <w:tcBorders>
              <w:bottom w:val="single" w:sz="8" w:color="333333"/>
              <w:right w:val="single" w:sz="8" w:color="333333"/>
            </w:tcBorders>
          </w:tcPr>
          <w:p>
            <w:pPr>
              <w:ind w:left="60"/>
              <w:spacing w:after="0" w:line="250" w:lineRule="exact"/>
              <w:rPr>
                <w:sz w:val="20"/>
                <w:szCs w:val="20"/>
                <w:color w:val="auto"/>
              </w:rPr>
            </w:pPr>
            <w:r>
              <w:rPr>
                <w:rFonts w:ascii="Arial" w:cs="Arial" w:eastAsia="Arial" w:hAnsi="Arial"/>
                <w:sz w:val="16"/>
                <w:szCs w:val="16"/>
                <w:b w:val="1"/>
                <w:bCs w:val="1"/>
                <w:color w:val="auto"/>
              </w:rPr>
              <w:t xml:space="preserve">Laban P. Jackson, Jr. </w:t>
            </w:r>
            <w:r>
              <w:rPr>
                <w:rFonts w:ascii="Arial" w:cs="Arial" w:eastAsia="Arial" w:hAnsi="Arial"/>
                <w:sz w:val="27"/>
                <w:szCs w:val="27"/>
                <w:b w:val="1"/>
                <w:bCs w:val="1"/>
                <w:color w:val="auto"/>
                <w:vertAlign w:val="superscript"/>
              </w:rPr>
              <w:t>3</w:t>
            </w:r>
          </w:p>
        </w:tc>
        <w:tc>
          <w:tcPr>
            <w:tcW w:w="1500" w:type="dxa"/>
            <w:vAlign w:val="bottom"/>
            <w:tcBorders>
              <w:bottom w:val="single" w:sz="8" w:color="333333"/>
              <w:right w:val="single" w:sz="8" w:color="333333"/>
            </w:tcBorders>
          </w:tcPr>
          <w:p>
            <w:pPr>
              <w:jc w:val="center"/>
              <w:spacing w:after="0"/>
              <w:rPr>
                <w:sz w:val="20"/>
                <w:szCs w:val="20"/>
                <w:color w:val="auto"/>
              </w:rPr>
            </w:pPr>
            <w:r>
              <w:rPr>
                <w:rFonts w:ascii="Arial" w:cs="Arial" w:eastAsia="Arial" w:hAnsi="Arial"/>
                <w:sz w:val="16"/>
                <w:szCs w:val="16"/>
                <w:color w:val="auto"/>
              </w:rPr>
              <w:t>Member</w:t>
            </w:r>
          </w:p>
        </w:tc>
        <w:tc>
          <w:tcPr>
            <w:tcW w:w="1500" w:type="dxa"/>
            <w:vAlign w:val="bottom"/>
            <w:tcBorders>
              <w:bottom w:val="single" w:sz="8" w:color="333333"/>
              <w:right w:val="single" w:sz="8" w:color="333333"/>
            </w:tcBorders>
          </w:tcPr>
          <w:p>
            <w:pPr>
              <w:spacing w:after="0"/>
              <w:rPr>
                <w:sz w:val="21"/>
                <w:szCs w:val="21"/>
                <w:color w:val="auto"/>
              </w:rPr>
            </w:pPr>
          </w:p>
        </w:tc>
        <w:tc>
          <w:tcPr>
            <w:tcW w:w="1440" w:type="dxa"/>
            <w:vAlign w:val="bottom"/>
            <w:tcBorders>
              <w:bottom w:val="single" w:sz="8" w:color="333333"/>
              <w:right w:val="single" w:sz="8" w:color="333333"/>
            </w:tcBorders>
          </w:tcPr>
          <w:p>
            <w:pPr>
              <w:spacing w:after="0"/>
              <w:rPr>
                <w:sz w:val="21"/>
                <w:szCs w:val="21"/>
                <w:color w:val="auto"/>
              </w:rPr>
            </w:pPr>
          </w:p>
        </w:tc>
        <w:tc>
          <w:tcPr>
            <w:tcW w:w="1460" w:type="dxa"/>
            <w:vAlign w:val="bottom"/>
            <w:tcBorders>
              <w:bottom w:val="single" w:sz="8" w:color="333333"/>
              <w:right w:val="single" w:sz="8" w:color="333333"/>
            </w:tcBorders>
          </w:tcPr>
          <w:p>
            <w:pPr>
              <w:spacing w:after="0"/>
              <w:rPr>
                <w:sz w:val="21"/>
                <w:szCs w:val="21"/>
                <w:color w:val="auto"/>
              </w:rPr>
            </w:pPr>
          </w:p>
        </w:tc>
        <w:tc>
          <w:tcPr>
            <w:tcW w:w="1540" w:type="dxa"/>
            <w:vAlign w:val="bottom"/>
            <w:tcBorders>
              <w:bottom w:val="single" w:sz="8" w:color="333333"/>
              <w:right w:val="single" w:sz="8" w:color="333333"/>
            </w:tcBorders>
          </w:tcPr>
          <w:p>
            <w:pPr>
              <w:spacing w:after="0"/>
              <w:rPr>
                <w:sz w:val="21"/>
                <w:szCs w:val="21"/>
                <w:color w:val="auto"/>
              </w:rPr>
            </w:pPr>
          </w:p>
        </w:tc>
        <w:tc>
          <w:tcPr>
            <w:tcW w:w="1480" w:type="dxa"/>
            <w:vAlign w:val="bottom"/>
            <w:tcBorders>
              <w:bottom w:val="single" w:sz="8" w:color="333333"/>
            </w:tcBorders>
          </w:tcPr>
          <w:p>
            <w:pPr>
              <w:jc w:val="center"/>
              <w:ind w:left="20"/>
              <w:spacing w:after="0"/>
              <w:rPr>
                <w:sz w:val="20"/>
                <w:szCs w:val="20"/>
                <w:color w:val="auto"/>
              </w:rPr>
            </w:pPr>
            <w:r>
              <w:rPr>
                <w:rFonts w:ascii="Arial" w:cs="Arial" w:eastAsia="Arial" w:hAnsi="Arial"/>
                <w:sz w:val="16"/>
                <w:szCs w:val="16"/>
                <w:color w:val="auto"/>
              </w:rPr>
              <w:t>A,B,C,D</w:t>
            </w:r>
          </w:p>
        </w:tc>
      </w:tr>
      <w:tr>
        <w:trPr>
          <w:trHeight w:val="244"/>
        </w:trPr>
        <w:tc>
          <w:tcPr>
            <w:tcW w:w="2100" w:type="dxa"/>
            <w:vAlign w:val="bottom"/>
            <w:tcBorders>
              <w:bottom w:val="single" w:sz="8" w:color="333333"/>
              <w:right w:val="single" w:sz="8" w:color="333333"/>
            </w:tcBorders>
          </w:tcPr>
          <w:p>
            <w:pPr>
              <w:ind w:left="60"/>
              <w:spacing w:after="0"/>
              <w:rPr>
                <w:sz w:val="20"/>
                <w:szCs w:val="20"/>
                <w:color w:val="auto"/>
              </w:rPr>
            </w:pPr>
            <w:r>
              <w:rPr>
                <w:rFonts w:ascii="Arial" w:cs="Arial" w:eastAsia="Arial" w:hAnsi="Arial"/>
                <w:sz w:val="16"/>
                <w:szCs w:val="16"/>
                <w:b w:val="1"/>
                <w:bCs w:val="1"/>
                <w:color w:val="auto"/>
              </w:rPr>
              <w:t>Michael A. Neal</w:t>
            </w:r>
          </w:p>
        </w:tc>
        <w:tc>
          <w:tcPr>
            <w:tcW w:w="1500" w:type="dxa"/>
            <w:vAlign w:val="bottom"/>
            <w:tcBorders>
              <w:bottom w:val="single" w:sz="8" w:color="333333"/>
              <w:right w:val="single" w:sz="8" w:color="333333"/>
            </w:tcBorders>
          </w:tcPr>
          <w:p>
            <w:pPr>
              <w:spacing w:after="0"/>
              <w:rPr>
                <w:sz w:val="21"/>
                <w:szCs w:val="21"/>
                <w:color w:val="auto"/>
              </w:rPr>
            </w:pPr>
          </w:p>
        </w:tc>
        <w:tc>
          <w:tcPr>
            <w:tcW w:w="1500" w:type="dxa"/>
            <w:vAlign w:val="bottom"/>
            <w:tcBorders>
              <w:bottom w:val="single" w:sz="8" w:color="333333"/>
              <w:right w:val="single" w:sz="8" w:color="333333"/>
            </w:tcBorders>
          </w:tcPr>
          <w:p>
            <w:pPr>
              <w:spacing w:after="0"/>
              <w:rPr>
                <w:sz w:val="21"/>
                <w:szCs w:val="21"/>
                <w:color w:val="auto"/>
              </w:rPr>
            </w:pPr>
          </w:p>
        </w:tc>
        <w:tc>
          <w:tcPr>
            <w:tcW w:w="1440" w:type="dxa"/>
            <w:vAlign w:val="bottom"/>
            <w:tcBorders>
              <w:bottom w:val="single" w:sz="8" w:color="333333"/>
              <w:right w:val="single" w:sz="8" w:color="333333"/>
            </w:tcBorders>
          </w:tcPr>
          <w:p>
            <w:pPr>
              <w:spacing w:after="0"/>
              <w:rPr>
                <w:sz w:val="21"/>
                <w:szCs w:val="21"/>
                <w:color w:val="auto"/>
              </w:rPr>
            </w:pPr>
          </w:p>
        </w:tc>
        <w:tc>
          <w:tcPr>
            <w:tcW w:w="1460" w:type="dxa"/>
            <w:vAlign w:val="bottom"/>
            <w:tcBorders>
              <w:bottom w:val="single" w:sz="8" w:color="333333"/>
              <w:right w:val="single" w:sz="8" w:color="333333"/>
            </w:tcBorders>
          </w:tcPr>
          <w:p>
            <w:pPr>
              <w:spacing w:after="0"/>
              <w:rPr>
                <w:sz w:val="21"/>
                <w:szCs w:val="21"/>
                <w:color w:val="auto"/>
              </w:rPr>
            </w:pPr>
          </w:p>
        </w:tc>
        <w:tc>
          <w:tcPr>
            <w:tcW w:w="1540" w:type="dxa"/>
            <w:vAlign w:val="bottom"/>
            <w:tcBorders>
              <w:bottom w:val="single" w:sz="8" w:color="333333"/>
              <w:right w:val="single" w:sz="8" w:color="333333"/>
            </w:tcBorders>
          </w:tcPr>
          <w:p>
            <w:pPr>
              <w:jc w:val="center"/>
              <w:ind w:left="19"/>
              <w:spacing w:after="0"/>
              <w:rPr>
                <w:sz w:val="20"/>
                <w:szCs w:val="20"/>
                <w:color w:val="auto"/>
              </w:rPr>
            </w:pPr>
            <w:r>
              <w:rPr>
                <w:rFonts w:ascii="Arial" w:cs="Arial" w:eastAsia="Arial" w:hAnsi="Arial"/>
                <w:sz w:val="16"/>
                <w:szCs w:val="16"/>
                <w:color w:val="auto"/>
              </w:rPr>
              <w:t>Member</w:t>
            </w:r>
          </w:p>
        </w:tc>
        <w:tc>
          <w:tcPr>
            <w:tcW w:w="1480" w:type="dxa"/>
            <w:vAlign w:val="bottom"/>
            <w:tcBorders>
              <w:bottom w:val="single" w:sz="8" w:color="333333"/>
            </w:tcBorders>
          </w:tcPr>
          <w:p>
            <w:pPr>
              <w:jc w:val="center"/>
              <w:spacing w:after="0"/>
              <w:rPr>
                <w:sz w:val="20"/>
                <w:szCs w:val="20"/>
                <w:color w:val="auto"/>
              </w:rPr>
            </w:pPr>
            <w:r>
              <w:rPr>
                <w:rFonts w:ascii="Arial" w:cs="Arial" w:eastAsia="Arial" w:hAnsi="Arial"/>
                <w:sz w:val="16"/>
                <w:szCs w:val="16"/>
                <w:color w:val="auto"/>
              </w:rPr>
              <w:t>D</w:t>
            </w:r>
          </w:p>
        </w:tc>
      </w:tr>
      <w:tr>
        <w:trPr>
          <w:trHeight w:val="256"/>
        </w:trPr>
        <w:tc>
          <w:tcPr>
            <w:tcW w:w="2100" w:type="dxa"/>
            <w:vAlign w:val="bottom"/>
            <w:tcBorders>
              <w:bottom w:val="single" w:sz="8" w:color="333333"/>
              <w:right w:val="single" w:sz="8" w:color="333333"/>
            </w:tcBorders>
          </w:tcPr>
          <w:p>
            <w:pPr>
              <w:ind w:left="60"/>
              <w:spacing w:after="0" w:line="257" w:lineRule="exact"/>
              <w:rPr>
                <w:sz w:val="20"/>
                <w:szCs w:val="20"/>
                <w:color w:val="auto"/>
              </w:rPr>
            </w:pPr>
            <w:r>
              <w:rPr>
                <w:rFonts w:ascii="Arial" w:cs="Arial" w:eastAsia="Arial" w:hAnsi="Arial"/>
                <w:sz w:val="16"/>
                <w:szCs w:val="16"/>
                <w:b w:val="1"/>
                <w:bCs w:val="1"/>
                <w:color w:val="auto"/>
              </w:rPr>
              <w:t xml:space="preserve">Lee R. Raymond </w:t>
            </w:r>
            <w:r>
              <w:rPr>
                <w:rFonts w:ascii="Arial" w:cs="Arial" w:eastAsia="Arial" w:hAnsi="Arial"/>
                <w:sz w:val="27"/>
                <w:szCs w:val="27"/>
                <w:b w:val="1"/>
                <w:bCs w:val="1"/>
                <w:color w:val="auto"/>
                <w:vertAlign w:val="superscript"/>
              </w:rPr>
              <w:t>4</w:t>
            </w:r>
          </w:p>
        </w:tc>
        <w:tc>
          <w:tcPr>
            <w:tcW w:w="1500" w:type="dxa"/>
            <w:vAlign w:val="bottom"/>
            <w:tcBorders>
              <w:bottom w:val="single" w:sz="8" w:color="333333"/>
              <w:right w:val="single" w:sz="8" w:color="333333"/>
            </w:tcBorders>
          </w:tcPr>
          <w:p>
            <w:pPr>
              <w:spacing w:after="0"/>
              <w:rPr>
                <w:sz w:val="22"/>
                <w:szCs w:val="22"/>
                <w:color w:val="auto"/>
              </w:rPr>
            </w:pPr>
          </w:p>
        </w:tc>
        <w:tc>
          <w:tcPr>
            <w:tcW w:w="1500" w:type="dxa"/>
            <w:vAlign w:val="bottom"/>
            <w:tcBorders>
              <w:bottom w:val="single" w:sz="8" w:color="333333"/>
              <w:right w:val="single" w:sz="8" w:color="333333"/>
            </w:tcBorders>
          </w:tcPr>
          <w:p>
            <w:pPr>
              <w:jc w:val="center"/>
              <w:spacing w:after="0"/>
              <w:rPr>
                <w:sz w:val="20"/>
                <w:szCs w:val="20"/>
                <w:color w:val="auto"/>
              </w:rPr>
            </w:pPr>
            <w:r>
              <w:rPr>
                <w:rFonts w:ascii="Arial" w:cs="Arial" w:eastAsia="Arial" w:hAnsi="Arial"/>
                <w:sz w:val="16"/>
                <w:szCs w:val="16"/>
                <w:color w:val="auto"/>
              </w:rPr>
              <w:t>Chair</w:t>
            </w:r>
          </w:p>
        </w:tc>
        <w:tc>
          <w:tcPr>
            <w:tcW w:w="1440" w:type="dxa"/>
            <w:vAlign w:val="bottom"/>
            <w:tcBorders>
              <w:bottom w:val="single" w:sz="8" w:color="333333"/>
              <w:right w:val="single" w:sz="8" w:color="333333"/>
            </w:tcBorders>
          </w:tcPr>
          <w:p>
            <w:pPr>
              <w:jc w:val="center"/>
              <w:spacing w:after="0"/>
              <w:rPr>
                <w:sz w:val="20"/>
                <w:szCs w:val="20"/>
                <w:color w:val="auto"/>
              </w:rPr>
            </w:pPr>
            <w:r>
              <w:rPr>
                <w:rFonts w:ascii="Arial" w:cs="Arial" w:eastAsia="Arial" w:hAnsi="Arial"/>
                <w:sz w:val="16"/>
                <w:szCs w:val="16"/>
                <w:color w:val="auto"/>
              </w:rPr>
              <w:t>Member</w:t>
            </w:r>
          </w:p>
        </w:tc>
        <w:tc>
          <w:tcPr>
            <w:tcW w:w="1460" w:type="dxa"/>
            <w:vAlign w:val="bottom"/>
            <w:tcBorders>
              <w:bottom w:val="single" w:sz="8" w:color="333333"/>
              <w:right w:val="single" w:sz="8" w:color="333333"/>
            </w:tcBorders>
          </w:tcPr>
          <w:p>
            <w:pPr>
              <w:spacing w:after="0"/>
              <w:rPr>
                <w:sz w:val="22"/>
                <w:szCs w:val="22"/>
                <w:color w:val="auto"/>
              </w:rPr>
            </w:pPr>
          </w:p>
        </w:tc>
        <w:tc>
          <w:tcPr>
            <w:tcW w:w="1540" w:type="dxa"/>
            <w:vAlign w:val="bottom"/>
            <w:tcBorders>
              <w:bottom w:val="single" w:sz="8" w:color="333333"/>
              <w:right w:val="single" w:sz="8" w:color="333333"/>
            </w:tcBorders>
          </w:tcPr>
          <w:p>
            <w:pPr>
              <w:spacing w:after="0"/>
              <w:rPr>
                <w:sz w:val="22"/>
                <w:szCs w:val="22"/>
                <w:color w:val="auto"/>
              </w:rPr>
            </w:pPr>
          </w:p>
        </w:tc>
        <w:tc>
          <w:tcPr>
            <w:tcW w:w="1480" w:type="dxa"/>
            <w:vAlign w:val="bottom"/>
            <w:tcBorders>
              <w:bottom w:val="single" w:sz="8" w:color="333333"/>
            </w:tcBorders>
          </w:tcPr>
          <w:p>
            <w:pPr>
              <w:jc w:val="center"/>
              <w:spacing w:after="0"/>
              <w:rPr>
                <w:sz w:val="20"/>
                <w:szCs w:val="20"/>
                <w:color w:val="auto"/>
              </w:rPr>
            </w:pPr>
            <w:r>
              <w:rPr>
                <w:rFonts w:ascii="Arial" w:cs="Arial" w:eastAsia="Arial" w:hAnsi="Arial"/>
                <w:sz w:val="16"/>
                <w:szCs w:val="16"/>
                <w:color w:val="auto"/>
              </w:rPr>
              <w:t>B,C,D</w:t>
            </w:r>
          </w:p>
        </w:tc>
      </w:tr>
    </w:tbl>
    <w:p>
      <w:pPr>
        <w:spacing w:after="0" w:line="75" w:lineRule="exact"/>
        <w:rPr>
          <w:sz w:val="20"/>
          <w:szCs w:val="20"/>
          <w:color w:val="auto"/>
        </w:rPr>
      </w:pPr>
    </w:p>
    <w:p>
      <w:pPr>
        <w:ind w:left="340" w:hanging="210"/>
        <w:spacing w:after="0"/>
        <w:tabs>
          <w:tab w:leader="none" w:pos="340" w:val="left"/>
        </w:tabs>
        <w:numPr>
          <w:ilvl w:val="0"/>
          <w:numId w:val="73"/>
        </w:numPr>
        <w:rPr>
          <w:rFonts w:ascii="Arial" w:cs="Arial" w:eastAsia="Arial" w:hAnsi="Arial"/>
          <w:sz w:val="11"/>
          <w:szCs w:val="11"/>
          <w:color w:val="auto"/>
        </w:rPr>
      </w:pPr>
      <w:r>
        <w:rPr>
          <w:rFonts w:ascii="Arial" w:cs="Arial" w:eastAsia="Arial" w:hAnsi="Arial"/>
          <w:sz w:val="13"/>
          <w:szCs w:val="13"/>
          <w:color w:val="auto"/>
        </w:rPr>
        <w:t>The Board’s Specific Purpose Committees in 2019 were:</w:t>
      </w:r>
    </w:p>
    <w:p>
      <w:pPr>
        <w:ind w:left="340"/>
        <w:spacing w:after="0" w:line="236" w:lineRule="auto"/>
        <w:rPr>
          <w:sz w:val="20"/>
          <w:szCs w:val="20"/>
          <w:color w:val="auto"/>
        </w:rPr>
      </w:pPr>
      <w:r>
        <w:rPr>
          <w:rFonts w:ascii="Arial" w:cs="Arial" w:eastAsia="Arial" w:hAnsi="Arial"/>
          <w:sz w:val="13"/>
          <w:szCs w:val="13"/>
          <w:color w:val="auto"/>
        </w:rPr>
        <w:t>A – BSA/AML (Bank Secrecy Act/Anti-Money Laundering) Compliance Committee (disbanded in 2019)</w:t>
      </w:r>
    </w:p>
    <w:p>
      <w:pPr>
        <w:ind w:left="340"/>
        <w:spacing w:after="0" w:line="217" w:lineRule="auto"/>
        <w:rPr>
          <w:sz w:val="20"/>
          <w:szCs w:val="20"/>
          <w:color w:val="auto"/>
        </w:rPr>
      </w:pPr>
      <w:r>
        <w:rPr>
          <w:rFonts w:ascii="Arial" w:cs="Arial" w:eastAsia="Arial" w:hAnsi="Arial"/>
          <w:sz w:val="13"/>
          <w:szCs w:val="13"/>
          <w:color w:val="auto"/>
        </w:rPr>
        <w:t>B – Markets Compliance Committee</w:t>
      </w:r>
    </w:p>
    <w:p>
      <w:pPr>
        <w:ind w:left="340"/>
        <w:spacing w:after="0" w:line="217" w:lineRule="auto"/>
        <w:rPr>
          <w:sz w:val="20"/>
          <w:szCs w:val="20"/>
          <w:color w:val="auto"/>
        </w:rPr>
      </w:pPr>
      <w:r>
        <w:rPr>
          <w:rFonts w:ascii="Arial" w:cs="Arial" w:eastAsia="Arial" w:hAnsi="Arial"/>
          <w:sz w:val="13"/>
          <w:szCs w:val="13"/>
          <w:color w:val="auto"/>
        </w:rPr>
        <w:t>C – Trading Compliance Committee (disbanded in 2019)</w:t>
      </w:r>
    </w:p>
    <w:p>
      <w:pPr>
        <w:ind w:left="340"/>
        <w:spacing w:after="0" w:line="217" w:lineRule="auto"/>
        <w:rPr>
          <w:sz w:val="20"/>
          <w:szCs w:val="20"/>
          <w:color w:val="auto"/>
        </w:rPr>
      </w:pPr>
      <w:r>
        <w:rPr>
          <w:rFonts w:ascii="Arial" w:cs="Arial" w:eastAsia="Arial" w:hAnsi="Arial"/>
          <w:sz w:val="13"/>
          <w:szCs w:val="13"/>
          <w:color w:val="auto"/>
        </w:rPr>
        <w:t>D – Omnibus Committee</w:t>
      </w:r>
    </w:p>
    <w:p>
      <w:pPr>
        <w:ind w:left="340" w:right="420" w:hanging="175"/>
        <w:spacing w:after="0" w:line="216" w:lineRule="auto"/>
        <w:tabs>
          <w:tab w:leader="none" w:pos="340" w:val="left"/>
        </w:tabs>
        <w:numPr>
          <w:ilvl w:val="0"/>
          <w:numId w:val="74"/>
        </w:numPr>
        <w:rPr>
          <w:rFonts w:ascii="Arial" w:cs="Arial" w:eastAsia="Arial" w:hAnsi="Arial"/>
          <w:sz w:val="11"/>
          <w:szCs w:val="11"/>
          <w:color w:val="auto"/>
        </w:rPr>
      </w:pPr>
      <w:r>
        <w:rPr>
          <w:rFonts w:ascii="Arial" w:cs="Arial" w:eastAsia="Arial" w:hAnsi="Arial"/>
          <w:sz w:val="13"/>
          <w:szCs w:val="13"/>
          <w:color w:val="auto"/>
        </w:rPr>
        <w:t>Mr. Bell is not standing for re-election when his term expires on the eve of this year’s annual meeting. A new Chair of the Audit Committee will be elected by the Board following the annual meeting.</w:t>
      </w:r>
    </w:p>
    <w:p>
      <w:pPr>
        <w:spacing w:after="0" w:line="1" w:lineRule="exact"/>
        <w:rPr>
          <w:sz w:val="20"/>
          <w:szCs w:val="20"/>
          <w:color w:val="auto"/>
        </w:rPr>
      </w:pPr>
    </w:p>
    <w:p>
      <w:pPr>
        <w:ind w:left="340" w:right="280" w:hanging="210"/>
        <w:spacing w:after="0" w:line="216" w:lineRule="auto"/>
        <w:tabs>
          <w:tab w:leader="none" w:pos="340" w:val="left"/>
        </w:tabs>
        <w:numPr>
          <w:ilvl w:val="0"/>
          <w:numId w:val="75"/>
        </w:numPr>
        <w:rPr>
          <w:rFonts w:ascii="Arial" w:cs="Arial" w:eastAsia="Arial" w:hAnsi="Arial"/>
          <w:sz w:val="11"/>
          <w:szCs w:val="11"/>
          <w:color w:val="auto"/>
        </w:rPr>
      </w:pPr>
      <w:r>
        <w:rPr>
          <w:rFonts w:ascii="Arial" w:cs="Arial" w:eastAsia="Arial" w:hAnsi="Arial"/>
          <w:sz w:val="13"/>
          <w:szCs w:val="13"/>
          <w:color w:val="auto"/>
        </w:rPr>
        <w:t>Mr. Jackson is not standing for re-election when his term expires on the eve of this year’s annual meeting. A new member of the Audit Committee will be appointed by the Board following the annual meeting.</w:t>
      </w:r>
    </w:p>
    <w:p>
      <w:pPr>
        <w:spacing w:after="0" w:line="1" w:lineRule="exact"/>
        <w:rPr>
          <w:sz w:val="20"/>
          <w:szCs w:val="20"/>
          <w:color w:val="auto"/>
        </w:rPr>
      </w:pPr>
    </w:p>
    <w:p>
      <w:pPr>
        <w:ind w:left="340" w:hanging="175"/>
        <w:spacing w:after="0"/>
        <w:tabs>
          <w:tab w:leader="none" w:pos="340" w:val="left"/>
        </w:tabs>
        <w:numPr>
          <w:ilvl w:val="0"/>
          <w:numId w:val="76"/>
        </w:numPr>
        <w:rPr>
          <w:rFonts w:ascii="Arial" w:cs="Arial" w:eastAsia="Arial" w:hAnsi="Arial"/>
          <w:sz w:val="11"/>
          <w:szCs w:val="11"/>
          <w:color w:val="auto"/>
        </w:rPr>
      </w:pPr>
      <w:r>
        <w:rPr>
          <w:rFonts w:ascii="Arial" w:cs="Arial" w:eastAsia="Arial" w:hAnsi="Arial"/>
          <w:sz w:val="13"/>
          <w:szCs w:val="13"/>
          <w:color w:val="auto"/>
        </w:rPr>
        <w:t>Lead Independent Director</w:t>
      </w:r>
    </w:p>
    <w:p>
      <w:pPr>
        <w:spacing w:after="0" w:line="126"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All of the directors of the Firm were elected in 2019 and comprise the full Boards of JPMorgan Chase Bank, National Association (the “Bank”) and an intermediate holding company, JPMorgan Chase Holdings LLC (the “IHC”). Mr. Burke is the non-management Chairman of the Board of the Bank; IHC does not have a 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240665</wp:posOffset>
            </wp:positionV>
            <wp:extent cx="7029450" cy="19685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029450" cy="19685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Arial" w:cs="Arial" w:eastAsia="Arial" w:hAnsi="Arial"/>
          <w:sz w:val="13"/>
          <w:szCs w:val="13"/>
          <w:b w:val="1"/>
          <w:bCs w:val="1"/>
          <w:color w:val="004876"/>
        </w:rPr>
        <w:t>26</w:t>
      </w:r>
    </w:p>
    <w:p>
      <w:pPr>
        <w:sectPr>
          <w:pgSz w:w="11900" w:h="16838" w:orient="portrait"/>
          <w:cols w:equalWidth="0" w:num="1">
            <w:col w:w="11140"/>
          </w:cols>
          <w:pgMar w:left="320" w:top="459" w:right="43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04876"/>
        </w:rPr>
        <w:t>CORPORATE GOVERNANCE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160655</wp:posOffset>
            </wp:positionV>
            <wp:extent cx="7029450" cy="3429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029450" cy="342900"/>
                    </a:xfrm>
                    <a:prstGeom prst="rect">
                      <a:avLst/>
                    </a:prstGeom>
                    <a:noFill/>
                  </pic:spPr>
                </pic:pic>
              </a:graphicData>
            </a:graphic>
          </wp:anchor>
        </w:drawing>
      </w:r>
    </w:p>
    <w:p>
      <w:pPr>
        <w:sectPr>
          <w:pgSz w:w="11900" w:h="16838" w:orient="portrait"/>
          <w:cols w:equalWidth="0" w:num="1">
            <w:col w:w="11100"/>
          </w:cols>
          <w:pgMar w:left="320" w:top="459"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0"/>
        <w:spacing w:after="0"/>
        <w:rPr>
          <w:sz w:val="20"/>
          <w:szCs w:val="20"/>
          <w:color w:val="auto"/>
        </w:rPr>
      </w:pPr>
      <w:r>
        <w:rPr>
          <w:rFonts w:ascii="Arial" w:cs="Arial" w:eastAsia="Arial" w:hAnsi="Arial"/>
          <w:sz w:val="29"/>
          <w:szCs w:val="29"/>
          <w:color w:val="004876"/>
        </w:rPr>
        <w:t>Board and Committee self-assessment</w:t>
      </w:r>
    </w:p>
    <w:p>
      <w:pPr>
        <w:spacing w:after="0" w:line="48"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The Board conducts an annual self-assessment aimed at enhancing its effectiveness. Through regular assessment of its policies, procedures and performance, the Board identifies areas for further consideration and improvement. In assessing itself, the Board takes a multi-year perspective. The Board self-assessment is guided by the Lead Independent Director and is conducted in phases.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95250</wp:posOffset>
            </wp:positionV>
            <wp:extent cx="2580005" cy="5469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580005" cy="5469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29"/>
          <w:szCs w:val="29"/>
          <w:color w:val="004876"/>
        </w:rPr>
        <w:t>Director education</w:t>
      </w:r>
    </w:p>
    <w:p>
      <w:pPr>
        <w:spacing w:after="0" w:line="48" w:lineRule="exact"/>
        <w:rPr>
          <w:sz w:val="20"/>
          <w:szCs w:val="20"/>
          <w:color w:val="auto"/>
        </w:rPr>
      </w:pPr>
    </w:p>
    <w:p>
      <w:pPr>
        <w:jc w:val="both"/>
        <w:ind w:right="100"/>
        <w:spacing w:after="0" w:line="248" w:lineRule="auto"/>
        <w:rPr>
          <w:sz w:val="20"/>
          <w:szCs w:val="20"/>
          <w:color w:val="auto"/>
        </w:rPr>
      </w:pPr>
      <w:r>
        <w:rPr>
          <w:rFonts w:ascii="Arial" w:cs="Arial" w:eastAsia="Arial" w:hAnsi="Arial"/>
          <w:sz w:val="17"/>
          <w:szCs w:val="17"/>
          <w:color w:val="auto"/>
        </w:rPr>
        <w:t>Our director education program assists Board members in fulfilling their responsibilities. The director education program commences with an orientation program when a new director joins the Board.</w:t>
      </w:r>
    </w:p>
    <w:p>
      <w:pPr>
        <w:spacing w:after="0" w:line="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Ongoing education is provided through “deep dive” presentations from lines of business, discussions and presentations by subject matter experts and other opportunities, including events that take directors out of the boardroom and provide client, employee and other perspectives that can have a significant impact on the Firm. The program provides education on the Firm’s products, services and lines of business; cybersecurity and technology; significant and emerging risks; and relevant laws, regulations and supervisory requirements and other topics identified by the Board, including ESG-related issues.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5137785</wp:posOffset>
            </wp:positionV>
            <wp:extent cx="7029450" cy="19685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029450" cy="1968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20" w:space="420"/>
            <w:col w:w="5360"/>
          </w:cols>
          <w:pgMar w:left="320" w:top="459" w:right="4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39"/>
        <w:spacing w:after="0"/>
        <w:rPr>
          <w:sz w:val="20"/>
          <w:szCs w:val="20"/>
          <w:color w:val="auto"/>
        </w:rPr>
      </w:pPr>
      <w:r>
        <w:rPr>
          <w:rFonts w:ascii="Arial" w:cs="Arial" w:eastAsia="Arial" w:hAnsi="Arial"/>
          <w:sz w:val="13"/>
          <w:szCs w:val="13"/>
          <w:b w:val="1"/>
          <w:bCs w:val="1"/>
          <w:color w:val="004876"/>
        </w:rPr>
        <w:t>27</w:t>
      </w:r>
    </w:p>
    <w:p>
      <w:pPr>
        <w:sectPr>
          <w:pgSz w:w="11900" w:h="16838" w:orient="portrait"/>
          <w:cols w:equalWidth="0" w:num="1">
            <w:col w:w="11100"/>
          </w:cols>
          <w:pgMar w:left="320" w:top="459" w:right="479"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4876"/>
        </w:rPr>
        <w:t>ELECTION OF DIRECTORS |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160655</wp:posOffset>
            </wp:positionV>
            <wp:extent cx="7029450" cy="3511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029450" cy="3511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20"/>
        <w:spacing w:after="0"/>
        <w:rPr>
          <w:sz w:val="20"/>
          <w:szCs w:val="20"/>
          <w:color w:val="auto"/>
        </w:rPr>
      </w:pPr>
      <w:r>
        <w:rPr>
          <w:rFonts w:ascii="Arial" w:cs="Arial" w:eastAsia="Arial" w:hAnsi="Arial"/>
          <w:sz w:val="43"/>
          <w:szCs w:val="43"/>
          <w:color w:val="004876"/>
        </w:rPr>
        <w:t>3. Board oversight</w:t>
      </w:r>
    </w:p>
    <w:p>
      <w:pPr>
        <w:spacing w:after="0" w:line="181" w:lineRule="exact"/>
        <w:rPr>
          <w:sz w:val="20"/>
          <w:szCs w:val="20"/>
          <w:color w:val="auto"/>
        </w:rPr>
      </w:pPr>
    </w:p>
    <w:p>
      <w:pPr>
        <w:ind w:left="120" w:right="100"/>
        <w:spacing w:after="0" w:line="261" w:lineRule="auto"/>
        <w:rPr>
          <w:sz w:val="20"/>
          <w:szCs w:val="20"/>
          <w:color w:val="auto"/>
        </w:rPr>
      </w:pPr>
      <w:r>
        <w:rPr>
          <w:rFonts w:ascii="Arial" w:cs="Arial" w:eastAsia="Arial" w:hAnsi="Arial"/>
          <w:sz w:val="17"/>
          <w:szCs w:val="17"/>
          <w:color w:val="auto"/>
        </w:rPr>
        <w:t>The Board is responsible for oversight of the business and affairs of the Firm. It is also responsible for setting the cultural “tone at the top.” Among its core responsibilities, the Board oversees: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29"/>
          <w:szCs w:val="29"/>
          <w:color w:val="004876"/>
        </w:rPr>
        <w:t>Strategy</w:t>
      </w:r>
    </w:p>
    <w:p>
      <w:pPr>
        <w:spacing w:after="0" w:line="48"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The Board of Directors oversees management’s formulation and implementation of the Firm’s strategic initiatives. Annual strategic plans include evaluation of performance against the prior year’s initiatives, assessment of the current operating environment, refinement of existing strategies and development of new strategic initiatives. Throughout the year, the CEO and CFO provide updates on the Firm’s overall strategic direction, and senior management provides updates on the strategic opportunities, priorities and implementation strategies in their respective LOBs and Corporate Functions. These management presentations and financial plans are the foundation of active dialogue with, and feedback from, the Board about the strategic risks and opportunities facing the Firm and its businesses.</w:t>
      </w:r>
    </w:p>
    <w:p>
      <w:pPr>
        <w:spacing w:after="0" w:line="199" w:lineRule="exact"/>
        <w:rPr>
          <w:sz w:val="20"/>
          <w:szCs w:val="20"/>
          <w:color w:val="auto"/>
        </w:rPr>
      </w:pPr>
    </w:p>
    <w:p>
      <w:pPr>
        <w:ind w:left="120" w:right="1000"/>
        <w:spacing w:after="0" w:line="252" w:lineRule="auto"/>
        <w:rPr>
          <w:sz w:val="20"/>
          <w:szCs w:val="20"/>
          <w:color w:val="auto"/>
        </w:rPr>
      </w:pPr>
      <w:r>
        <w:rPr>
          <w:rFonts w:ascii="Arial" w:cs="Arial" w:eastAsia="Arial" w:hAnsi="Arial"/>
          <w:sz w:val="29"/>
          <w:szCs w:val="29"/>
          <w:color w:val="004876"/>
        </w:rPr>
        <w:t>Executive performance and talent management</w:t>
      </w:r>
    </w:p>
    <w:p>
      <w:pPr>
        <w:spacing w:after="0" w:line="18"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The CMDC reviews the Firm’s performance periodically during the course of the year, and formally, at least annually. The CMDC’s review of the CEO’s performance is presented to the Board in connection with the Board’s review of executive officer annual compensation.</w:t>
      </w:r>
    </w:p>
    <w:p>
      <w:pPr>
        <w:spacing w:after="0" w:line="94"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Succession planning for the CEO and other members of the Operating Committee is considered at least annually. The CMDC also discusses at least annually the talent pipeline for specific critical roles. The Board has numerous opportunities to meet with, and assess development plans for, members of the Operating Committee and other high potential senior management leaders. This occurs through various means, including informal meetings, presentations to the Board and its committees, and Board dinners. For further information, see Compensation discussion and analysis (“CD&amp;A”) on page 37.</w:t>
      </w:r>
    </w:p>
    <w:p>
      <w:pPr>
        <w:spacing w:after="0" w:line="324" w:lineRule="exact"/>
        <w:rPr>
          <w:sz w:val="20"/>
          <w:szCs w:val="20"/>
          <w:color w:val="auto"/>
        </w:rPr>
      </w:pPr>
    </w:p>
    <w:p>
      <w:pPr>
        <w:ind w:left="120"/>
        <w:spacing w:after="0"/>
        <w:rPr>
          <w:sz w:val="20"/>
          <w:szCs w:val="20"/>
          <w:color w:val="auto"/>
        </w:rPr>
      </w:pPr>
      <w:r>
        <w:rPr>
          <w:rFonts w:ascii="Arial" w:cs="Arial" w:eastAsia="Arial" w:hAnsi="Arial"/>
          <w:sz w:val="29"/>
          <w:szCs w:val="29"/>
          <w:color w:val="004876"/>
        </w:rPr>
        <w:t>Financial performance and condition</w:t>
      </w:r>
    </w:p>
    <w:p>
      <w:pPr>
        <w:spacing w:after="0" w:line="34" w:lineRule="exact"/>
        <w:rPr>
          <w:sz w:val="20"/>
          <w:szCs w:val="20"/>
          <w:color w:val="auto"/>
        </w:rPr>
      </w:pPr>
    </w:p>
    <w:p>
      <w:pPr>
        <w:ind w:left="120" w:right="180"/>
        <w:spacing w:after="0" w:line="238" w:lineRule="auto"/>
        <w:rPr>
          <w:sz w:val="20"/>
          <w:szCs w:val="20"/>
          <w:color w:val="auto"/>
        </w:rPr>
      </w:pPr>
      <w:r>
        <w:rPr>
          <w:rFonts w:ascii="Arial" w:cs="Arial" w:eastAsia="Arial" w:hAnsi="Arial"/>
          <w:sz w:val="18"/>
          <w:szCs w:val="18"/>
          <w:color w:val="auto"/>
        </w:rPr>
        <w:t>Throughout the year, the Board reviews the Firm’s financial performance and condition, including overseeing management’s execution against the Firm’s capital, liquidity, strategic and financial operating plans.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Reports on the Firm’s financial performance and condition are presented at each regularly scheduled Board meeting. The Firm’s annual Comprehensive Capital Analysis and Review (“CCAR”) submission, which contains the Firm’s proposed plans to make capital distributions, such as dividend payouts, stock repurchases and other capital actions, is reviewed and approved prior to its submission to the Federal Reserve. In addition, the Audit Committee assists the Board in the oversight of the Firm’s financial statements and internal control framework. The Audit Committee also assists the Board in the appointment, retention, compensation, evaluation and oversight of the Firm’s independent registered public accounting firm. For further information, see “Risk management and internal control framework” below.</w:t>
      </w:r>
    </w:p>
    <w:p>
      <w:pPr>
        <w:spacing w:after="0" w:line="199" w:lineRule="exact"/>
        <w:rPr>
          <w:sz w:val="20"/>
          <w:szCs w:val="20"/>
          <w:color w:val="auto"/>
        </w:rPr>
      </w:pPr>
    </w:p>
    <w:p>
      <w:pPr>
        <w:ind w:right="560"/>
        <w:spacing w:after="0" w:line="252" w:lineRule="auto"/>
        <w:rPr>
          <w:sz w:val="20"/>
          <w:szCs w:val="20"/>
          <w:color w:val="auto"/>
        </w:rPr>
      </w:pPr>
      <w:r>
        <w:rPr>
          <w:rFonts w:ascii="Arial" w:cs="Arial" w:eastAsia="Arial" w:hAnsi="Arial"/>
          <w:sz w:val="29"/>
          <w:szCs w:val="29"/>
          <w:color w:val="004876"/>
        </w:rPr>
        <w:t>Risk management and internal control framework</w:t>
      </w:r>
    </w:p>
    <w:p>
      <w:pPr>
        <w:spacing w:after="0" w:line="18"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Risk is an inherent part of JPMorgan Chase’s business activities. When the Firm extends a consumer or wholesale loan, advises customers and clients on their investment decisions, makes markets in securities or offers other products or services, the Firm takes on some degree of risk. The Firm’s overall objective is to manage its businesses, and the associated risks, in a manner that balances serving the interests of its clients, customers and investors and protects the safety and soundness of the Firm.</w:t>
      </w:r>
    </w:p>
    <w:p>
      <w:pPr>
        <w:spacing w:after="0" w:line="100"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The key risk areas of the Firm are managed on a Firmwide basis. Certain risks, such as strategic risk, are overseen by the full Board. Board committees support the Board’s oversight responsibility by overseeing the risk categories related to such committee’s specific area of focus.</w:t>
      </w:r>
    </w:p>
    <w:p>
      <w:pPr>
        <w:spacing w:after="0" w:line="94"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Committee chairs report significant matters discussed at committee meetings to the full Board. Issues escalated to the full Board may be dealt with in several ways, as appropriate: oversight of risk may remain with the particular principal standing committee of the Board, the Board may establish or direct a Specific Purpose Committee to oversee management’s addressing of such risk matters, or the Board may ask management to present more frequently to the full Board on the issue.</w:t>
      </w:r>
    </w:p>
    <w:p>
      <w:pPr>
        <w:spacing w:after="0" w:line="100"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Oversight of conduct risk is shared by multiple Board committees. Conduct risk is the risk that any action or inaction by an employee or employees could lead to unfair client or customer outcomes, impact the integrity of the markets in which the Firm operates or compromise the Firm’s reputation. Each LOB and Corporate Function is accountable for identifying and managing its conduct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335280</wp:posOffset>
            </wp:positionV>
            <wp:extent cx="7029450" cy="19748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029450" cy="1974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00" w:space="340"/>
            <w:col w:w="5400"/>
          </w:cols>
          <w:pgMar w:left="320" w:top="459" w:right="439" w:bottom="1440" w:gutter="0" w:footer="0" w:header="0"/>
          <w:type w:val="continuous"/>
        </w:sectPr>
      </w:pPr>
    </w:p>
    <w:p>
      <w:pPr>
        <w:spacing w:after="0" w:line="200" w:lineRule="exact"/>
        <w:rPr>
          <w:sz w:val="20"/>
          <w:szCs w:val="20"/>
          <w:color w:val="auto"/>
        </w:rPr>
      </w:pPr>
    </w:p>
    <w:p>
      <w:pPr>
        <w:spacing w:after="0" w:line="205" w:lineRule="exact"/>
        <w:rPr>
          <w:sz w:val="20"/>
          <w:szCs w:val="20"/>
          <w:color w:val="auto"/>
        </w:rPr>
      </w:pPr>
    </w:p>
    <w:p>
      <w:pPr>
        <w:jc w:val="center"/>
        <w:ind w:right="-99"/>
        <w:spacing w:after="0"/>
        <w:rPr>
          <w:sz w:val="20"/>
          <w:szCs w:val="20"/>
          <w:color w:val="auto"/>
        </w:rPr>
      </w:pPr>
      <w:r>
        <w:rPr>
          <w:rFonts w:ascii="Arial" w:cs="Arial" w:eastAsia="Arial" w:hAnsi="Arial"/>
          <w:sz w:val="13"/>
          <w:szCs w:val="13"/>
          <w:b w:val="1"/>
          <w:bCs w:val="1"/>
          <w:color w:val="004876"/>
        </w:rPr>
        <w:t>28</w:t>
      </w:r>
    </w:p>
    <w:p>
      <w:pPr>
        <w:sectPr>
          <w:pgSz w:w="11900" w:h="16838" w:orient="portrait"/>
          <w:cols w:equalWidth="0" w:num="1">
            <w:col w:w="11140"/>
          </w:cols>
          <w:pgMar w:left="320" w:top="459" w:right="43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04876"/>
        </w:rPr>
        <w:t>CORPORATE GOVERNANCE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160655</wp:posOffset>
            </wp:positionV>
            <wp:extent cx="7029450" cy="3511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029450" cy="351155"/>
                    </a:xfrm>
                    <a:prstGeom prst="rect">
                      <a:avLst/>
                    </a:prstGeom>
                    <a:noFill/>
                  </pic:spPr>
                </pic:pic>
              </a:graphicData>
            </a:graphic>
          </wp:anchor>
        </w:drawing>
      </w:r>
    </w:p>
    <w:p>
      <w:pPr>
        <w:sectPr>
          <w:pgSz w:w="11900" w:h="16838" w:orient="portrait"/>
          <w:cols w:equalWidth="0" w:num="1">
            <w:col w:w="11100"/>
          </w:cols>
          <w:pgMar w:left="320" w:top="459"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auto"/>
        </w:rPr>
        <w:t>to promote a culture consistent with the Firm’s How We Do Business Principles (the “Business Principles”). The full set of Business Principles is included in “How We Do Business — The Report,” which is posted on our website at jpmorganchase.com/governance.</w:t>
      </w:r>
    </w:p>
    <w:p>
      <w:pPr>
        <w:spacing w:after="0" w:line="94"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For more information about the Firm’s risk management, see the “Firmwide risk management” section of the Firm’s Annual Report on Form 10-K for the year ended December 31, 2019 (“2019 Form 10-K”).</w:t>
      </w:r>
    </w:p>
    <w:p>
      <w:pPr>
        <w:spacing w:after="0" w:line="323" w:lineRule="exact"/>
        <w:rPr>
          <w:sz w:val="20"/>
          <w:szCs w:val="20"/>
          <w:color w:val="auto"/>
        </w:rPr>
      </w:pPr>
    </w:p>
    <w:p>
      <w:pPr>
        <w:ind w:left="120" w:right="280"/>
        <w:spacing w:after="0" w:line="252" w:lineRule="auto"/>
        <w:rPr>
          <w:sz w:val="20"/>
          <w:szCs w:val="20"/>
          <w:color w:val="auto"/>
        </w:rPr>
      </w:pPr>
      <w:r>
        <w:rPr>
          <w:rFonts w:ascii="Arial" w:cs="Arial" w:eastAsia="Arial" w:hAnsi="Arial"/>
          <w:sz w:val="29"/>
          <w:szCs w:val="29"/>
          <w:color w:val="004876"/>
        </w:rPr>
        <w:t>Environmental, social and governance matters</w:t>
      </w:r>
    </w:p>
    <w:p>
      <w:pPr>
        <w:spacing w:after="0" w:line="18"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The Board oversees a range of matters pertaining to ESG topics, including: the Firm’s governance-related policies and practices; our systems of risk management and controls; our investment in our employees; the manner 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which we serve our customers and support our communities; and how we advance sustainability in our businesses and operations. In particular, the Board’s Public Responsibility Committee provides oversight of the Firm’s positions and practices on community investment, fair lending, consumer practices, sustainability— including matters such as the Firm’s approach to climate change— and other public policy issues that reflect the Firm’s values and impact its reputation among all of its stakeholders.</w:t>
      </w:r>
    </w:p>
    <w:p>
      <w:pPr>
        <w:spacing w:after="0" w:line="100"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The Firm is committed to being transparent about how we do business and reporting on our efforts. One way we do this is by publishing an annual ESG Report, which provides information on how we are addressing the ESG matters that we and our stakeholders view as among the most important to our business. The Firm’s ESG report is available on our website at jpmorganchase.com/esg.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746760</wp:posOffset>
            </wp:positionV>
            <wp:extent cx="7029450" cy="19685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029450" cy="196850"/>
                    </a:xfrm>
                    <a:prstGeom prst="rect">
                      <a:avLst/>
                    </a:prstGeom>
                    <a:noFill/>
                  </pic:spPr>
                </pic:pic>
              </a:graphicData>
            </a:graphic>
          </wp:anchor>
        </w:drawing>
      </w:r>
    </w:p>
    <w:p>
      <w:pPr>
        <w:spacing w:after="0" w:line="845" w:lineRule="exact"/>
        <w:rPr>
          <w:sz w:val="20"/>
          <w:szCs w:val="20"/>
          <w:color w:val="auto"/>
        </w:rPr>
      </w:pPr>
    </w:p>
    <w:p>
      <w:pPr>
        <w:sectPr>
          <w:pgSz w:w="11900" w:h="16838" w:orient="portrait"/>
          <w:cols w:equalWidth="0" w:num="2">
            <w:col w:w="5280" w:space="460"/>
            <w:col w:w="5360"/>
          </w:cols>
          <w:pgMar w:left="320" w:top="459" w:right="479" w:bottom="1440" w:gutter="0" w:footer="0" w:header="0"/>
          <w:type w:val="continuous"/>
        </w:sectPr>
      </w:pPr>
    </w:p>
    <w:p>
      <w:pPr>
        <w:spacing w:after="0" w:line="200" w:lineRule="exact"/>
        <w:rPr>
          <w:sz w:val="20"/>
          <w:szCs w:val="20"/>
          <w:color w:val="auto"/>
        </w:rPr>
      </w:pPr>
    </w:p>
    <w:p>
      <w:pPr>
        <w:spacing w:after="0" w:line="208" w:lineRule="exact"/>
        <w:rPr>
          <w:sz w:val="20"/>
          <w:szCs w:val="20"/>
          <w:color w:val="auto"/>
        </w:rPr>
      </w:pPr>
    </w:p>
    <w:p>
      <w:pPr>
        <w:jc w:val="center"/>
        <w:ind w:right="-139"/>
        <w:spacing w:after="0"/>
        <w:rPr>
          <w:sz w:val="20"/>
          <w:szCs w:val="20"/>
          <w:color w:val="auto"/>
        </w:rPr>
      </w:pPr>
      <w:r>
        <w:rPr>
          <w:rFonts w:ascii="Arial" w:cs="Arial" w:eastAsia="Arial" w:hAnsi="Arial"/>
          <w:sz w:val="13"/>
          <w:szCs w:val="13"/>
          <w:b w:val="1"/>
          <w:bCs w:val="1"/>
          <w:color w:val="004876"/>
        </w:rPr>
        <w:t>29</w:t>
      </w:r>
    </w:p>
    <w:p>
      <w:pPr>
        <w:sectPr>
          <w:pgSz w:w="11900" w:h="16838" w:orient="portrait"/>
          <w:cols w:equalWidth="0" w:num="1">
            <w:col w:w="11100"/>
          </w:cols>
          <w:pgMar w:left="320" w:top="459" w:right="47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4876"/>
        </w:rPr>
        <w:t>ELECTION OF DIRECTORS |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160655</wp:posOffset>
            </wp:positionV>
            <wp:extent cx="7029450" cy="3429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02945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120"/>
        <w:spacing w:after="0"/>
        <w:rPr>
          <w:sz w:val="20"/>
          <w:szCs w:val="20"/>
          <w:color w:val="auto"/>
        </w:rPr>
      </w:pPr>
      <w:r>
        <w:rPr>
          <w:rFonts w:ascii="Arial" w:cs="Arial" w:eastAsia="Arial" w:hAnsi="Arial"/>
          <w:sz w:val="43"/>
          <w:szCs w:val="43"/>
          <w:color w:val="004876"/>
        </w:rPr>
        <w:t>4. Board engagement</w:t>
      </w:r>
    </w:p>
    <w:p>
      <w:pPr>
        <w:sectPr>
          <w:pgSz w:w="11900" w:h="16838" w:orient="portrait"/>
          <w:cols w:equalWidth="0" w:num="1">
            <w:col w:w="11140"/>
          </w:cols>
          <w:pgMar w:left="320" w:top="459" w:right="439" w:bottom="1440" w:gutter="0" w:footer="0" w:header="0"/>
        </w:sectPr>
      </w:pPr>
    </w:p>
    <w:p>
      <w:pPr>
        <w:spacing w:after="0" w:line="181" w:lineRule="exact"/>
        <w:rPr>
          <w:sz w:val="20"/>
          <w:szCs w:val="20"/>
          <w:color w:val="auto"/>
        </w:rPr>
      </w:pPr>
    </w:p>
    <w:p>
      <w:pPr>
        <w:ind w:left="120"/>
        <w:spacing w:after="0" w:line="253" w:lineRule="auto"/>
        <w:rPr>
          <w:sz w:val="20"/>
          <w:szCs w:val="20"/>
          <w:color w:val="auto"/>
        </w:rPr>
      </w:pPr>
      <w:r>
        <w:rPr>
          <w:rFonts w:ascii="Arial" w:cs="Arial" w:eastAsia="Arial" w:hAnsi="Arial"/>
          <w:sz w:val="17"/>
          <w:szCs w:val="17"/>
          <w:color w:val="auto"/>
        </w:rPr>
        <w:t>The Board, as a group or as a subset of one or more directors, meets periodically throughout the year with the Firm’s shareholders, employees, regulators, community and business leaders, and other persons interested in our strategy, business practices, governance, culture and performance. For more information, see the CD&amp;A on pages 37-71.</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To contact our Board of Directors, any Board member, including the Lead Independent Director, any committee chair, or the independent directors as a group, mail correspondence to: JPMorgan Chase &amp; Co., Attention (name of Board member(s)), Office of the Secretary, 4 New York Plaza, New York, NY 10004-2413, or email the Office of the Secretary at corporate.secretary@jpmchase.com.</w:t>
      </w:r>
    </w:p>
    <w:p>
      <w:pPr>
        <w:spacing w:after="0" w:line="200" w:lineRule="exact"/>
        <w:rPr>
          <w:sz w:val="20"/>
          <w:szCs w:val="20"/>
          <w:color w:val="auto"/>
        </w:rPr>
      </w:pPr>
    </w:p>
    <w:p>
      <w:pPr>
        <w:sectPr>
          <w:pgSz w:w="11900" w:h="16838" w:orient="portrait"/>
          <w:cols w:equalWidth="0" w:num="2">
            <w:col w:w="5100" w:space="640"/>
            <w:col w:w="5400"/>
          </w:cols>
          <w:pgMar w:left="320" w:top="459" w:right="439" w:bottom="1440" w:gutter="0" w:footer="0" w:header="0"/>
          <w:type w:val="continuous"/>
        </w:sectPr>
      </w:pPr>
    </w:p>
    <w:p>
      <w:pPr>
        <w:spacing w:after="0" w:line="175" w:lineRule="exact"/>
        <w:rPr>
          <w:sz w:val="20"/>
          <w:szCs w:val="20"/>
          <w:color w:val="auto"/>
        </w:rPr>
      </w:pPr>
    </w:p>
    <w:p>
      <w:pPr>
        <w:ind w:left="120"/>
        <w:spacing w:after="0"/>
        <w:rPr>
          <w:sz w:val="20"/>
          <w:szCs w:val="20"/>
          <w:color w:val="auto"/>
        </w:rPr>
      </w:pPr>
      <w:r>
        <w:rPr>
          <w:rFonts w:ascii="Arial" w:cs="Arial" w:eastAsia="Arial" w:hAnsi="Arial"/>
          <w:sz w:val="29"/>
          <w:szCs w:val="29"/>
          <w:color w:val="004876"/>
        </w:rPr>
        <w:t>Shareholders and other interested parties</w:t>
      </w:r>
    </w:p>
    <w:p>
      <w:pPr>
        <w:spacing w:after="0" w:line="48" w:lineRule="exact"/>
        <w:rPr>
          <w:sz w:val="20"/>
          <w:szCs w:val="20"/>
          <w:color w:val="auto"/>
        </w:rPr>
      </w:pPr>
    </w:p>
    <w:p>
      <w:pPr>
        <w:ind w:left="120" w:right="100"/>
        <w:spacing w:after="0"/>
        <w:rPr>
          <w:sz w:val="20"/>
          <w:szCs w:val="20"/>
          <w:color w:val="auto"/>
        </w:rPr>
      </w:pPr>
      <w:r>
        <w:rPr>
          <w:rFonts w:ascii="Arial" w:cs="Arial" w:eastAsia="Arial" w:hAnsi="Arial"/>
          <w:sz w:val="18"/>
          <w:szCs w:val="18"/>
          <w:color w:val="auto"/>
        </w:rPr>
        <w:t>We have an active and ongoing approach to engagement on a wide variety of topics (e.g., strategy, performance, competitive environment, governance) throughout the year. We interact with and receive feedback from our shareholders and other interested parties. Our shareholder engagement efforts are outlined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146050</wp:posOffset>
            </wp:positionV>
            <wp:extent cx="5426075" cy="373761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426075" cy="373761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20"/>
        <w:spacing w:after="0"/>
        <w:rPr>
          <w:sz w:val="20"/>
          <w:szCs w:val="20"/>
          <w:color w:val="auto"/>
        </w:rPr>
      </w:pPr>
      <w:r>
        <w:rPr>
          <w:rFonts w:ascii="Arial" w:cs="Arial" w:eastAsia="Arial" w:hAnsi="Arial"/>
          <w:sz w:val="29"/>
          <w:szCs w:val="29"/>
          <w:color w:val="004876"/>
        </w:rPr>
        <w:t>Employees</w:t>
      </w:r>
    </w:p>
    <w:p>
      <w:pPr>
        <w:spacing w:after="0" w:line="1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Board is committed to maintaining a strong corporate culture that instills and enhances a sense of personal accountability on the part of all of the Firm’s employees.</w:t>
      </w:r>
    </w:p>
    <w:p>
      <w:pPr>
        <w:spacing w:after="0" w:line="95" w:lineRule="exact"/>
        <w:rPr>
          <w:sz w:val="20"/>
          <w:szCs w:val="20"/>
          <w:color w:val="auto"/>
        </w:rPr>
      </w:pPr>
    </w:p>
    <w:p>
      <w:pPr>
        <w:ind w:left="120" w:right="600"/>
        <w:spacing w:after="0" w:line="274" w:lineRule="auto"/>
        <w:rPr>
          <w:sz w:val="20"/>
          <w:szCs w:val="20"/>
          <w:color w:val="auto"/>
        </w:rPr>
      </w:pPr>
      <w:r>
        <w:rPr>
          <w:rFonts w:ascii="Arial" w:cs="Arial" w:eastAsia="Arial" w:hAnsi="Arial"/>
          <w:sz w:val="17"/>
          <w:szCs w:val="17"/>
          <w:color w:val="auto"/>
        </w:rPr>
        <w:t>In addition to discussions at Board meetings with senior management about these efforts, our directors participate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in meetings with employees to emphasize this commitment. These meetings include employee town halls, lines of business and leadership team events, annual senior leaders’ meetings and informal sessions with members of the Operating Committee and other senior leaders.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394970</wp:posOffset>
            </wp:positionV>
            <wp:extent cx="7029450" cy="19685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029450" cy="196850"/>
                    </a:xfrm>
                    <a:prstGeom prst="rect">
                      <a:avLst/>
                    </a:prstGeom>
                    <a:noFill/>
                  </pic:spPr>
                </pic:pic>
              </a:graphicData>
            </a:graphic>
          </wp:anchor>
        </w:drawing>
      </w:r>
    </w:p>
    <w:p>
      <w:pPr>
        <w:spacing w:after="0" w:line="335" w:lineRule="exact"/>
        <w:rPr>
          <w:sz w:val="20"/>
          <w:szCs w:val="20"/>
          <w:color w:val="auto"/>
        </w:rPr>
      </w:pPr>
    </w:p>
    <w:p>
      <w:pPr>
        <w:sectPr>
          <w:pgSz w:w="11900" w:h="16838" w:orient="portrait"/>
          <w:cols w:equalWidth="0" w:num="2">
            <w:col w:w="5280" w:space="460"/>
            <w:col w:w="5400"/>
          </w:cols>
          <w:pgMar w:left="320" w:top="459" w:right="439" w:bottom="1440" w:gutter="0" w:footer="0" w:header="0"/>
          <w:type w:val="continuous"/>
        </w:sectPr>
      </w:pPr>
    </w:p>
    <w:p>
      <w:pPr>
        <w:spacing w:after="0" w:line="364" w:lineRule="exact"/>
        <w:rPr>
          <w:sz w:val="20"/>
          <w:szCs w:val="20"/>
          <w:color w:val="auto"/>
        </w:rPr>
      </w:pPr>
    </w:p>
    <w:p>
      <w:pPr>
        <w:jc w:val="center"/>
        <w:ind w:right="-99"/>
        <w:spacing w:after="0"/>
        <w:rPr>
          <w:sz w:val="20"/>
          <w:szCs w:val="20"/>
          <w:color w:val="auto"/>
        </w:rPr>
      </w:pPr>
      <w:r>
        <w:rPr>
          <w:rFonts w:ascii="Arial" w:cs="Arial" w:eastAsia="Arial" w:hAnsi="Arial"/>
          <w:sz w:val="13"/>
          <w:szCs w:val="13"/>
          <w:b w:val="1"/>
          <w:bCs w:val="1"/>
          <w:color w:val="004876"/>
        </w:rPr>
        <w:t>30</w:t>
      </w:r>
    </w:p>
    <w:p>
      <w:pPr>
        <w:sectPr>
          <w:pgSz w:w="11900" w:h="16838" w:orient="portrait"/>
          <w:cols w:equalWidth="0" w:num="1">
            <w:col w:w="11140"/>
          </w:cols>
          <w:pgMar w:left="320" w:top="459" w:right="439" w:bottom="144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04876"/>
        </w:rPr>
        <w:t>CORPORATE GOVERNANCE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160655</wp:posOffset>
            </wp:positionV>
            <wp:extent cx="7029450" cy="3429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029450" cy="342900"/>
                    </a:xfrm>
                    <a:prstGeom prst="rect">
                      <a:avLst/>
                    </a:prstGeom>
                    <a:noFill/>
                  </pic:spPr>
                </pic:pic>
              </a:graphicData>
            </a:graphic>
          </wp:anchor>
        </w:drawing>
      </w:r>
    </w:p>
    <w:p>
      <w:pPr>
        <w:sectPr>
          <w:pgSz w:w="11900" w:h="16838" w:orient="portrait"/>
          <w:cols w:equalWidth="0" w:num="1">
            <w:col w:w="11120"/>
          </w:cols>
          <w:pgMar w:left="320" w:top="459"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0"/>
        <w:spacing w:after="0"/>
        <w:rPr>
          <w:sz w:val="20"/>
          <w:szCs w:val="20"/>
          <w:color w:val="auto"/>
        </w:rPr>
      </w:pPr>
      <w:r>
        <w:rPr>
          <w:rFonts w:ascii="Arial" w:cs="Arial" w:eastAsia="Arial" w:hAnsi="Arial"/>
          <w:sz w:val="29"/>
          <w:szCs w:val="29"/>
          <w:color w:val="004876"/>
        </w:rPr>
        <w:t>Regulators</w:t>
      </w:r>
    </w:p>
    <w:p>
      <w:pPr>
        <w:spacing w:after="0" w:line="48"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Our Board and senior leaders commit significant time to meeting with regulators. Frequent interaction helps us learn first-hand from regulators about matters of importance to them and their expectations of us. It also gives the Board and management a forum for keeping our regulators well-informed about the Firm’s performance and business practices.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29"/>
          <w:szCs w:val="29"/>
          <w:color w:val="004876"/>
        </w:rPr>
        <w:t>Stakeholders</w:t>
      </w:r>
    </w:p>
    <w:p>
      <w:pPr>
        <w:spacing w:after="0" w:line="48"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We share a fundamental commitment to all of our stakeholders, including our shareholders, employees and regulators as well as our customers, suppliers and the communities in which we work. As we strive to deliver value to all of our stakeholders, we engage with them on a range of issues in a variety of ways. These may include Advisory panels, Town Halls, and senior executive meetings with policy groups and nonprofit organizations. Management shares insights and feedback from these relationships and engagements with the Board, providing the Board with valuable insights.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332105</wp:posOffset>
            </wp:positionV>
            <wp:extent cx="7029450" cy="19748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029450" cy="1974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60" w:space="380"/>
            <w:col w:w="5380"/>
          </w:cols>
          <w:pgMar w:left="320" w:top="459" w:right="459" w:bottom="1440" w:gutter="0" w:footer="0" w:header="0"/>
          <w:type w:val="continuous"/>
        </w:sectPr>
      </w:pPr>
    </w:p>
    <w:p>
      <w:pPr>
        <w:spacing w:after="0" w:line="200" w:lineRule="exact"/>
        <w:rPr>
          <w:sz w:val="20"/>
          <w:szCs w:val="20"/>
          <w:color w:val="auto"/>
        </w:rPr>
      </w:pPr>
    </w:p>
    <w:p>
      <w:pPr>
        <w:spacing w:after="0" w:line="201" w:lineRule="exact"/>
        <w:rPr>
          <w:sz w:val="20"/>
          <w:szCs w:val="20"/>
          <w:color w:val="auto"/>
        </w:rPr>
      </w:pPr>
    </w:p>
    <w:p>
      <w:pPr>
        <w:jc w:val="center"/>
        <w:ind w:right="-119"/>
        <w:spacing w:after="0"/>
        <w:rPr>
          <w:sz w:val="20"/>
          <w:szCs w:val="20"/>
          <w:color w:val="auto"/>
        </w:rPr>
      </w:pPr>
      <w:r>
        <w:rPr>
          <w:rFonts w:ascii="Arial" w:cs="Arial" w:eastAsia="Arial" w:hAnsi="Arial"/>
          <w:sz w:val="13"/>
          <w:szCs w:val="13"/>
          <w:b w:val="1"/>
          <w:bCs w:val="1"/>
          <w:color w:val="004876"/>
        </w:rPr>
        <w:t>31</w:t>
      </w:r>
    </w:p>
    <w:p>
      <w:pPr>
        <w:sectPr>
          <w:pgSz w:w="11900" w:h="16838" w:orient="portrait"/>
          <w:cols w:equalWidth="0" w:num="1">
            <w:col w:w="11120"/>
          </w:cols>
          <w:pgMar w:left="320" w:top="459" w:right="459" w:bottom="1440" w:gutter="0" w:footer="0" w:header="0"/>
          <w:type w:val="continuous"/>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4876"/>
        </w:rPr>
        <w:t>DIRECTOR COMPENSATION |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332" w:lineRule="exact"/>
        <w:rPr>
          <w:sz w:val="20"/>
          <w:szCs w:val="20"/>
          <w:color w:val="auto"/>
        </w:rPr>
      </w:pPr>
    </w:p>
    <w:p>
      <w:pPr>
        <w:ind w:left="120"/>
        <w:spacing w:after="0"/>
        <w:rPr>
          <w:sz w:val="20"/>
          <w:szCs w:val="20"/>
          <w:color w:val="auto"/>
        </w:rPr>
      </w:pPr>
      <w:r>
        <w:rPr>
          <w:rFonts w:ascii="Arial" w:cs="Arial" w:eastAsia="Arial" w:hAnsi="Arial"/>
          <w:sz w:val="43"/>
          <w:szCs w:val="43"/>
          <w:color w:val="004876"/>
        </w:rPr>
        <w:t>Director compensation</w:t>
      </w:r>
    </w:p>
    <w:p>
      <w:pPr>
        <w:spacing w:after="0" w:line="181"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auto"/>
        </w:rPr>
        <w:t>The Governance Committee is responsible for reviewing director compensation and making recommendations to the Board. In making its recommendations, the Governance Committee annually reviews the Board’s responsibilities and the compensation practices of peer firms, which include the same group of peer firms referenced with respect to the compensation of our NEOs. For more information see “Evaluating market practices” on page 46.</w:t>
      </w:r>
    </w:p>
    <w:p>
      <w:pPr>
        <w:spacing w:after="0" w:line="100" w:lineRule="exact"/>
        <w:rPr>
          <w:sz w:val="20"/>
          <w:szCs w:val="20"/>
          <w:color w:val="auto"/>
        </w:rPr>
      </w:pPr>
    </w:p>
    <w:p>
      <w:pPr>
        <w:ind w:left="120" w:right="120"/>
        <w:spacing w:after="0" w:line="261" w:lineRule="auto"/>
        <w:rPr>
          <w:sz w:val="20"/>
          <w:szCs w:val="20"/>
          <w:color w:val="auto"/>
        </w:rPr>
      </w:pPr>
      <w:r>
        <w:rPr>
          <w:rFonts w:ascii="Arial" w:cs="Arial" w:eastAsia="Arial" w:hAnsi="Arial"/>
          <w:sz w:val="17"/>
          <w:szCs w:val="17"/>
          <w:color w:val="auto"/>
        </w:rPr>
        <w:t>The Board believes a best practice is to link director compensation to the Firm’s performance; therefore, a significant portion of director compensation is paid in common stock.</w:t>
      </w:r>
    </w:p>
    <w:p>
      <w:pPr>
        <w:spacing w:after="0" w:line="78"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auto"/>
        </w:rPr>
        <w:t>The Firm’s Amended and Restated Long-Term Incentive Plan (“LTIP”), which includes our non-management director compensation plan, was last approved by shareholders on May 15, 2018. The Board has made no changes to non-management director compensation since approval of the LTIP.</w:t>
      </w:r>
    </w:p>
    <w:p>
      <w:pPr>
        <w:spacing w:after="0" w:line="199" w:lineRule="exact"/>
        <w:rPr>
          <w:sz w:val="20"/>
          <w:szCs w:val="20"/>
          <w:color w:val="auto"/>
        </w:rPr>
      </w:pPr>
    </w:p>
    <w:p>
      <w:pPr>
        <w:ind w:left="120"/>
        <w:spacing w:after="0"/>
        <w:rPr>
          <w:sz w:val="20"/>
          <w:szCs w:val="20"/>
          <w:color w:val="auto"/>
        </w:rPr>
      </w:pPr>
      <w:r>
        <w:rPr>
          <w:rFonts w:ascii="Arial" w:cs="Arial" w:eastAsia="Arial" w:hAnsi="Arial"/>
          <w:sz w:val="29"/>
          <w:szCs w:val="29"/>
          <w:color w:val="004876"/>
        </w:rPr>
        <w:t>Annual compensation</w:t>
      </w:r>
    </w:p>
    <w:p>
      <w:pPr>
        <w:spacing w:after="0" w:line="48" w:lineRule="exact"/>
        <w:rPr>
          <w:sz w:val="20"/>
          <w:szCs w:val="20"/>
          <w:color w:val="auto"/>
        </w:rPr>
      </w:pPr>
    </w:p>
    <w:p>
      <w:pPr>
        <w:ind w:left="120" w:right="180"/>
        <w:spacing w:after="0" w:line="237" w:lineRule="auto"/>
        <w:rPr>
          <w:sz w:val="20"/>
          <w:szCs w:val="20"/>
          <w:color w:val="auto"/>
        </w:rPr>
      </w:pPr>
      <w:r>
        <w:rPr>
          <w:rFonts w:ascii="Arial" w:cs="Arial" w:eastAsia="Arial" w:hAnsi="Arial"/>
          <w:sz w:val="18"/>
          <w:szCs w:val="18"/>
          <w:color w:val="auto"/>
        </w:rPr>
        <w:t>For 2019, each non-management director received an annual cash retainer of $ 100,000 and an annual grant, made when annual employee incentive compensation was paid, of deferred stock units valued at $250,000 on the date of grant. Additional cash compensation was paid for certain committee and other service as described below.</w:t>
      </w:r>
    </w:p>
    <w:p>
      <w:pPr>
        <w:spacing w:after="0" w:line="97"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Each deferred stock unit included in the annual grant to directors represents the right to receive one share of the Firm’s common stock and dividend equivalents payable in deferred stock units for any dividends paid. Deferred stock units have no voting rights. In January of the year immediately following a director’s termination of service, deferred stock units are distributed in shares of the Firm’s common stock in either a lump sum or in annual installments for up to 15 years as elected by the 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The following table summarizes the 2019 annual compensation for non-management directors for service on the Boards of the Firm, the Bank, and J.P. Morgan Securities plc. There is no additional compensation paid for service on the Boards of Chase Bank USA, National Association, which was merged into the Bank in 2019, or IHC.</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20" w:type="dxa"/>
            <w:vAlign w:val="bottom"/>
            <w:tcBorders>
              <w:bottom w:val="single" w:sz="8" w:color="333333"/>
            </w:tcBorders>
          </w:tcPr>
          <w:p>
            <w:pPr>
              <w:ind w:left="80"/>
              <w:spacing w:after="0"/>
              <w:rPr>
                <w:sz w:val="20"/>
                <w:szCs w:val="20"/>
                <w:color w:val="auto"/>
              </w:rPr>
            </w:pPr>
            <w:r>
              <w:rPr>
                <w:rFonts w:ascii="Arial" w:cs="Arial" w:eastAsia="Arial" w:hAnsi="Arial"/>
                <w:sz w:val="16"/>
                <w:szCs w:val="16"/>
                <w:b w:val="1"/>
                <w:bCs w:val="1"/>
                <w:color w:val="004876"/>
              </w:rPr>
              <w:t>Compensation</w:t>
            </w:r>
          </w:p>
        </w:tc>
        <w:tc>
          <w:tcPr>
            <w:tcW w:w="1280" w:type="dxa"/>
            <w:vAlign w:val="bottom"/>
            <w:tcBorders>
              <w:bottom w:val="single" w:sz="8" w:color="333333"/>
            </w:tcBorders>
          </w:tcPr>
          <w:p>
            <w:pPr>
              <w:jc w:val="right"/>
              <w:spacing w:after="0"/>
              <w:rPr>
                <w:sz w:val="20"/>
                <w:szCs w:val="20"/>
                <w:color w:val="auto"/>
              </w:rPr>
            </w:pPr>
            <w:r>
              <w:rPr>
                <w:rFonts w:ascii="Arial" w:cs="Arial" w:eastAsia="Arial" w:hAnsi="Arial"/>
                <w:sz w:val="16"/>
                <w:szCs w:val="16"/>
                <w:b w:val="1"/>
                <w:bCs w:val="1"/>
                <w:color w:val="004876"/>
              </w:rPr>
              <w:t>Amount ($)</w:t>
            </w:r>
          </w:p>
        </w:tc>
      </w:tr>
      <w:tr>
        <w:trPr>
          <w:trHeight w:val="216"/>
        </w:trPr>
        <w:tc>
          <w:tcPr>
            <w:tcW w:w="4120" w:type="dxa"/>
            <w:vAlign w:val="bottom"/>
            <w:tcBorders>
              <w:bottom w:val="single" w:sz="8" w:color="333333"/>
              <w:right w:val="single" w:sz="8" w:color="333333"/>
            </w:tcBorders>
          </w:tcPr>
          <w:p>
            <w:pPr>
              <w:ind w:left="80"/>
              <w:spacing w:after="0"/>
              <w:rPr>
                <w:sz w:val="20"/>
                <w:szCs w:val="20"/>
                <w:color w:val="auto"/>
              </w:rPr>
            </w:pPr>
            <w:r>
              <w:rPr>
                <w:rFonts w:ascii="Arial" w:cs="Arial" w:eastAsia="Arial" w:hAnsi="Arial"/>
                <w:sz w:val="16"/>
                <w:szCs w:val="16"/>
                <w:color w:val="auto"/>
              </w:rPr>
              <w:t>Board retainer</w:t>
            </w:r>
          </w:p>
        </w:tc>
        <w:tc>
          <w:tcPr>
            <w:tcW w:w="1280" w:type="dxa"/>
            <w:vAlign w:val="bottom"/>
            <w:tcBorders>
              <w:bottom w:val="single" w:sz="8" w:color="333333"/>
            </w:tcBorders>
          </w:tcPr>
          <w:p>
            <w:pPr>
              <w:jc w:val="right"/>
              <w:spacing w:after="0"/>
              <w:rPr>
                <w:sz w:val="20"/>
                <w:szCs w:val="20"/>
                <w:color w:val="auto"/>
              </w:rPr>
            </w:pPr>
            <w:r>
              <w:rPr>
                <w:rFonts w:ascii="Arial" w:cs="Arial" w:eastAsia="Arial" w:hAnsi="Arial"/>
                <w:sz w:val="16"/>
                <w:szCs w:val="16"/>
                <w:color w:val="auto"/>
              </w:rPr>
              <w:t>$  100,000</w:t>
            </w:r>
          </w:p>
        </w:tc>
      </w:tr>
      <w:tr>
        <w:trPr>
          <w:trHeight w:val="223"/>
        </w:trPr>
        <w:tc>
          <w:tcPr>
            <w:tcW w:w="4120" w:type="dxa"/>
            <w:vAlign w:val="bottom"/>
            <w:tcBorders>
              <w:bottom w:val="single" w:sz="8" w:color="333333"/>
              <w:right w:val="single" w:sz="8" w:color="333333"/>
            </w:tcBorders>
          </w:tcPr>
          <w:p>
            <w:pPr>
              <w:ind w:left="80"/>
              <w:spacing w:after="0"/>
              <w:rPr>
                <w:sz w:val="20"/>
                <w:szCs w:val="20"/>
                <w:color w:val="auto"/>
              </w:rPr>
            </w:pPr>
            <w:r>
              <w:rPr>
                <w:rFonts w:ascii="Arial" w:cs="Arial" w:eastAsia="Arial" w:hAnsi="Arial"/>
                <w:sz w:val="16"/>
                <w:szCs w:val="16"/>
                <w:color w:val="auto"/>
              </w:rPr>
              <w:t>Lead Independent Director retainer</w:t>
            </w:r>
          </w:p>
        </w:tc>
        <w:tc>
          <w:tcPr>
            <w:tcW w:w="1280" w:type="dxa"/>
            <w:vAlign w:val="bottom"/>
            <w:tcBorders>
              <w:bottom w:val="single" w:sz="8" w:color="333333"/>
            </w:tcBorders>
          </w:tcPr>
          <w:p>
            <w:pPr>
              <w:jc w:val="right"/>
              <w:spacing w:after="0"/>
              <w:rPr>
                <w:sz w:val="20"/>
                <w:szCs w:val="20"/>
                <w:color w:val="auto"/>
              </w:rPr>
            </w:pPr>
            <w:r>
              <w:rPr>
                <w:rFonts w:ascii="Arial" w:cs="Arial" w:eastAsia="Arial" w:hAnsi="Arial"/>
                <w:sz w:val="16"/>
                <w:szCs w:val="16"/>
                <w:color w:val="auto"/>
              </w:rPr>
              <w:t>30,000</w:t>
            </w:r>
          </w:p>
        </w:tc>
      </w:tr>
      <w:tr>
        <w:trPr>
          <w:trHeight w:val="223"/>
        </w:trPr>
        <w:tc>
          <w:tcPr>
            <w:tcW w:w="4120" w:type="dxa"/>
            <w:vAlign w:val="bottom"/>
            <w:tcBorders>
              <w:bottom w:val="single" w:sz="8" w:color="333333"/>
              <w:right w:val="single" w:sz="8" w:color="333333"/>
            </w:tcBorders>
          </w:tcPr>
          <w:p>
            <w:pPr>
              <w:ind w:left="80"/>
              <w:spacing w:after="0"/>
              <w:rPr>
                <w:sz w:val="20"/>
                <w:szCs w:val="20"/>
                <w:color w:val="auto"/>
              </w:rPr>
            </w:pPr>
            <w:r>
              <w:rPr>
                <w:rFonts w:ascii="Arial" w:cs="Arial" w:eastAsia="Arial" w:hAnsi="Arial"/>
                <w:sz w:val="16"/>
                <w:szCs w:val="16"/>
                <w:color w:val="auto"/>
              </w:rPr>
              <w:t>Audit and Risk Committee chair retainer</w:t>
            </w:r>
          </w:p>
        </w:tc>
        <w:tc>
          <w:tcPr>
            <w:tcW w:w="1280" w:type="dxa"/>
            <w:vAlign w:val="bottom"/>
            <w:tcBorders>
              <w:bottom w:val="single" w:sz="8" w:color="333333"/>
            </w:tcBorders>
          </w:tcPr>
          <w:p>
            <w:pPr>
              <w:jc w:val="right"/>
              <w:spacing w:after="0"/>
              <w:rPr>
                <w:sz w:val="20"/>
                <w:szCs w:val="20"/>
                <w:color w:val="auto"/>
              </w:rPr>
            </w:pPr>
            <w:r>
              <w:rPr>
                <w:rFonts w:ascii="Arial" w:cs="Arial" w:eastAsia="Arial" w:hAnsi="Arial"/>
                <w:sz w:val="16"/>
                <w:szCs w:val="16"/>
                <w:color w:val="auto"/>
              </w:rPr>
              <w:t>25,000</w:t>
            </w:r>
          </w:p>
        </w:tc>
      </w:tr>
      <w:tr>
        <w:trPr>
          <w:trHeight w:val="223"/>
        </w:trPr>
        <w:tc>
          <w:tcPr>
            <w:tcW w:w="4120" w:type="dxa"/>
            <w:vAlign w:val="bottom"/>
            <w:tcBorders>
              <w:bottom w:val="single" w:sz="8" w:color="333333"/>
              <w:right w:val="single" w:sz="8" w:color="333333"/>
            </w:tcBorders>
          </w:tcPr>
          <w:p>
            <w:pPr>
              <w:ind w:left="80"/>
              <w:spacing w:after="0"/>
              <w:rPr>
                <w:sz w:val="20"/>
                <w:szCs w:val="20"/>
                <w:color w:val="auto"/>
              </w:rPr>
            </w:pPr>
            <w:r>
              <w:rPr>
                <w:rFonts w:ascii="Arial" w:cs="Arial" w:eastAsia="Arial" w:hAnsi="Arial"/>
                <w:sz w:val="16"/>
                <w:szCs w:val="16"/>
                <w:color w:val="auto"/>
              </w:rPr>
              <w:t>Audit and Risk Committee member retainer</w:t>
            </w:r>
          </w:p>
        </w:tc>
        <w:tc>
          <w:tcPr>
            <w:tcW w:w="1280" w:type="dxa"/>
            <w:vAlign w:val="bottom"/>
            <w:tcBorders>
              <w:bottom w:val="single" w:sz="8" w:color="333333"/>
            </w:tcBorders>
          </w:tcPr>
          <w:p>
            <w:pPr>
              <w:jc w:val="right"/>
              <w:spacing w:after="0"/>
              <w:rPr>
                <w:sz w:val="20"/>
                <w:szCs w:val="20"/>
                <w:color w:val="auto"/>
              </w:rPr>
            </w:pPr>
            <w:r>
              <w:rPr>
                <w:rFonts w:ascii="Arial" w:cs="Arial" w:eastAsia="Arial" w:hAnsi="Arial"/>
                <w:sz w:val="16"/>
                <w:szCs w:val="16"/>
                <w:color w:val="auto"/>
              </w:rPr>
              <w:t>15,000</w:t>
            </w:r>
          </w:p>
        </w:tc>
      </w:tr>
      <w:tr>
        <w:trPr>
          <w:trHeight w:val="223"/>
        </w:trPr>
        <w:tc>
          <w:tcPr>
            <w:tcW w:w="4120" w:type="dxa"/>
            <w:vAlign w:val="bottom"/>
            <w:tcBorders>
              <w:bottom w:val="single" w:sz="8" w:color="333333"/>
              <w:right w:val="single" w:sz="8" w:color="333333"/>
            </w:tcBorders>
          </w:tcPr>
          <w:p>
            <w:pPr>
              <w:ind w:left="80"/>
              <w:spacing w:after="0"/>
              <w:rPr>
                <w:sz w:val="20"/>
                <w:szCs w:val="20"/>
                <w:color w:val="auto"/>
              </w:rPr>
            </w:pPr>
            <w:r>
              <w:rPr>
                <w:rFonts w:ascii="Arial" w:cs="Arial" w:eastAsia="Arial" w:hAnsi="Arial"/>
                <w:sz w:val="16"/>
                <w:szCs w:val="16"/>
                <w:color w:val="auto"/>
              </w:rPr>
              <w:t>All other committees chair retainer</w:t>
            </w:r>
          </w:p>
        </w:tc>
        <w:tc>
          <w:tcPr>
            <w:tcW w:w="1280" w:type="dxa"/>
            <w:vAlign w:val="bottom"/>
            <w:tcBorders>
              <w:bottom w:val="single" w:sz="8" w:color="333333"/>
            </w:tcBorders>
          </w:tcPr>
          <w:p>
            <w:pPr>
              <w:jc w:val="right"/>
              <w:spacing w:after="0"/>
              <w:rPr>
                <w:sz w:val="20"/>
                <w:szCs w:val="20"/>
                <w:color w:val="auto"/>
              </w:rPr>
            </w:pPr>
            <w:r>
              <w:rPr>
                <w:rFonts w:ascii="Arial" w:cs="Arial" w:eastAsia="Arial" w:hAnsi="Arial"/>
                <w:sz w:val="16"/>
                <w:szCs w:val="16"/>
                <w:color w:val="auto"/>
              </w:rPr>
              <w:t>15,000</w:t>
            </w:r>
          </w:p>
        </w:tc>
      </w:tr>
      <w:tr>
        <w:trPr>
          <w:trHeight w:val="223"/>
        </w:trPr>
        <w:tc>
          <w:tcPr>
            <w:tcW w:w="4120" w:type="dxa"/>
            <w:vAlign w:val="bottom"/>
            <w:tcBorders>
              <w:bottom w:val="single" w:sz="8" w:color="333333"/>
              <w:right w:val="single" w:sz="8" w:color="333333"/>
            </w:tcBorders>
          </w:tcPr>
          <w:p>
            <w:pPr>
              <w:ind w:left="80"/>
              <w:spacing w:after="0"/>
              <w:rPr>
                <w:sz w:val="20"/>
                <w:szCs w:val="20"/>
                <w:color w:val="auto"/>
              </w:rPr>
            </w:pPr>
            <w:r>
              <w:rPr>
                <w:rFonts w:ascii="Arial" w:cs="Arial" w:eastAsia="Arial" w:hAnsi="Arial"/>
                <w:sz w:val="16"/>
                <w:szCs w:val="16"/>
                <w:color w:val="auto"/>
              </w:rPr>
              <w:t>Deferred stock unit grant</w:t>
            </w:r>
          </w:p>
        </w:tc>
        <w:tc>
          <w:tcPr>
            <w:tcW w:w="1280" w:type="dxa"/>
            <w:vAlign w:val="bottom"/>
            <w:tcBorders>
              <w:bottom w:val="single" w:sz="8" w:color="333333"/>
            </w:tcBorders>
          </w:tcPr>
          <w:p>
            <w:pPr>
              <w:jc w:val="right"/>
              <w:spacing w:after="0"/>
              <w:rPr>
                <w:sz w:val="20"/>
                <w:szCs w:val="20"/>
                <w:color w:val="auto"/>
              </w:rPr>
            </w:pPr>
            <w:r>
              <w:rPr>
                <w:rFonts w:ascii="Arial" w:cs="Arial" w:eastAsia="Arial" w:hAnsi="Arial"/>
                <w:sz w:val="16"/>
                <w:szCs w:val="16"/>
                <w:color w:val="auto"/>
              </w:rPr>
              <w:t>250,000</w:t>
            </w:r>
          </w:p>
        </w:tc>
      </w:tr>
      <w:tr>
        <w:trPr>
          <w:trHeight w:val="223"/>
        </w:trPr>
        <w:tc>
          <w:tcPr>
            <w:tcW w:w="4120" w:type="dxa"/>
            <w:vAlign w:val="bottom"/>
            <w:tcBorders>
              <w:bottom w:val="single" w:sz="8" w:color="333333"/>
              <w:right w:val="single" w:sz="8" w:color="333333"/>
            </w:tcBorders>
          </w:tcPr>
          <w:p>
            <w:pPr>
              <w:ind w:left="80"/>
              <w:spacing w:after="0"/>
              <w:rPr>
                <w:sz w:val="20"/>
                <w:szCs w:val="20"/>
                <w:color w:val="auto"/>
              </w:rPr>
            </w:pPr>
            <w:r>
              <w:rPr>
                <w:rFonts w:ascii="Arial" w:cs="Arial" w:eastAsia="Arial" w:hAnsi="Arial"/>
                <w:sz w:val="16"/>
                <w:szCs w:val="16"/>
                <w:color w:val="auto"/>
              </w:rPr>
              <w:t>Bank Board retainer</w:t>
            </w:r>
          </w:p>
        </w:tc>
        <w:tc>
          <w:tcPr>
            <w:tcW w:w="1280" w:type="dxa"/>
            <w:vAlign w:val="bottom"/>
            <w:tcBorders>
              <w:bottom w:val="single" w:sz="8" w:color="333333"/>
            </w:tcBorders>
          </w:tcPr>
          <w:p>
            <w:pPr>
              <w:jc w:val="right"/>
              <w:spacing w:after="0"/>
              <w:rPr>
                <w:sz w:val="20"/>
                <w:szCs w:val="20"/>
                <w:color w:val="auto"/>
              </w:rPr>
            </w:pPr>
            <w:r>
              <w:rPr>
                <w:rFonts w:ascii="Arial" w:cs="Arial" w:eastAsia="Arial" w:hAnsi="Arial"/>
                <w:sz w:val="16"/>
                <w:szCs w:val="16"/>
                <w:color w:val="auto"/>
              </w:rPr>
              <w:t>15,000</w:t>
            </w:r>
          </w:p>
        </w:tc>
      </w:tr>
      <w:tr>
        <w:trPr>
          <w:trHeight w:val="223"/>
        </w:trPr>
        <w:tc>
          <w:tcPr>
            <w:tcW w:w="4120" w:type="dxa"/>
            <w:vAlign w:val="bottom"/>
            <w:tcBorders>
              <w:bottom w:val="single" w:sz="8" w:color="333333"/>
              <w:right w:val="single" w:sz="8" w:color="333333"/>
            </w:tcBorders>
          </w:tcPr>
          <w:p>
            <w:pPr>
              <w:ind w:left="80"/>
              <w:spacing w:after="0"/>
              <w:rPr>
                <w:sz w:val="20"/>
                <w:szCs w:val="20"/>
                <w:color w:val="auto"/>
              </w:rPr>
            </w:pPr>
            <w:r>
              <w:rPr>
                <w:rFonts w:ascii="Arial" w:cs="Arial" w:eastAsia="Arial" w:hAnsi="Arial"/>
                <w:sz w:val="16"/>
                <w:szCs w:val="16"/>
                <w:color w:val="auto"/>
              </w:rPr>
              <w:t>Bank Board’s chair retainer</w:t>
            </w:r>
          </w:p>
        </w:tc>
        <w:tc>
          <w:tcPr>
            <w:tcW w:w="1280" w:type="dxa"/>
            <w:vAlign w:val="bottom"/>
            <w:tcBorders>
              <w:bottom w:val="single" w:sz="8" w:color="333333"/>
            </w:tcBorders>
          </w:tcPr>
          <w:p>
            <w:pPr>
              <w:jc w:val="right"/>
              <w:spacing w:after="0"/>
              <w:rPr>
                <w:sz w:val="20"/>
                <w:szCs w:val="20"/>
                <w:color w:val="auto"/>
              </w:rPr>
            </w:pPr>
            <w:r>
              <w:rPr>
                <w:rFonts w:ascii="Arial" w:cs="Arial" w:eastAsia="Arial" w:hAnsi="Arial"/>
                <w:sz w:val="16"/>
                <w:szCs w:val="16"/>
                <w:color w:val="auto"/>
              </w:rPr>
              <w:t>25,000</w:t>
            </w:r>
          </w:p>
        </w:tc>
      </w:tr>
      <w:tr>
        <w:trPr>
          <w:trHeight w:val="223"/>
        </w:trPr>
        <w:tc>
          <w:tcPr>
            <w:tcW w:w="4120" w:type="dxa"/>
            <w:vAlign w:val="bottom"/>
            <w:tcBorders>
              <w:bottom w:val="single" w:sz="8" w:color="333333"/>
              <w:right w:val="single" w:sz="8" w:color="333333"/>
            </w:tcBorders>
          </w:tcPr>
          <w:p>
            <w:pPr>
              <w:ind w:left="80"/>
              <w:spacing w:after="0"/>
              <w:rPr>
                <w:sz w:val="20"/>
                <w:szCs w:val="20"/>
                <w:color w:val="auto"/>
              </w:rPr>
            </w:pPr>
            <w:r>
              <w:rPr>
                <w:rFonts w:ascii="Arial" w:cs="Arial" w:eastAsia="Arial" w:hAnsi="Arial"/>
                <w:sz w:val="16"/>
                <w:szCs w:val="16"/>
                <w:color w:val="auto"/>
              </w:rPr>
              <w:t>J.P. Morgan Securities plc Board retainer</w:t>
            </w:r>
          </w:p>
        </w:tc>
        <w:tc>
          <w:tcPr>
            <w:tcW w:w="1280" w:type="dxa"/>
            <w:vAlign w:val="bottom"/>
            <w:tcBorders>
              <w:bottom w:val="single" w:sz="8" w:color="333333"/>
            </w:tcBorders>
          </w:tcPr>
          <w:p>
            <w:pPr>
              <w:jc w:val="right"/>
              <w:spacing w:after="0"/>
              <w:rPr>
                <w:sz w:val="20"/>
                <w:szCs w:val="20"/>
                <w:color w:val="auto"/>
              </w:rPr>
            </w:pPr>
            <w:r>
              <w:rPr>
                <w:rFonts w:ascii="Arial" w:cs="Arial" w:eastAsia="Arial" w:hAnsi="Arial"/>
                <w:sz w:val="16"/>
                <w:szCs w:val="16"/>
                <w:color w:val="auto"/>
              </w:rPr>
              <w:t>110,000</w:t>
            </w:r>
          </w:p>
        </w:tc>
      </w:tr>
    </w:tbl>
    <w:p>
      <w:pPr>
        <w:spacing w:after="0" w:line="107"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 Board may periodically ask directors to serve on one or more Specific Purpose Committees or other committees that are not one of the Board’s principal standing committees or to serve on the board of directors of a subsidiary of the Firm. Any compensation for such service is included in the “2019 Director compensation table” on the next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1570355</wp:posOffset>
            </wp:positionV>
            <wp:extent cx="7029450" cy="19685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029450" cy="196850"/>
                    </a:xfrm>
                    <a:prstGeom prst="rect">
                      <a:avLst/>
                    </a:prstGeom>
                    <a:noFill/>
                  </pic:spPr>
                </pic:pic>
              </a:graphicData>
            </a:graphic>
          </wp:anchor>
        </w:drawing>
      </w:r>
    </w:p>
    <w:p>
      <w:pPr>
        <w:spacing w:after="0" w:line="2140" w:lineRule="exact"/>
        <w:rPr>
          <w:sz w:val="20"/>
          <w:szCs w:val="20"/>
          <w:color w:val="auto"/>
        </w:rPr>
      </w:pPr>
    </w:p>
    <w:p>
      <w:pPr>
        <w:sectPr>
          <w:pgSz w:w="11900" w:h="16838" w:orient="portrait"/>
          <w:cols w:equalWidth="0" w:num="2">
            <w:col w:w="5320" w:space="420"/>
            <w:col w:w="5400"/>
          </w:cols>
          <w:pgMar w:left="320" w:top="459" w:right="439" w:bottom="144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jc w:val="center"/>
        <w:ind w:right="-99"/>
        <w:spacing w:after="0"/>
        <w:rPr>
          <w:sz w:val="20"/>
          <w:szCs w:val="20"/>
          <w:color w:val="auto"/>
        </w:rPr>
      </w:pPr>
      <w:r>
        <w:rPr>
          <w:rFonts w:ascii="Arial" w:cs="Arial" w:eastAsia="Arial" w:hAnsi="Arial"/>
          <w:sz w:val="13"/>
          <w:szCs w:val="13"/>
          <w:b w:val="1"/>
          <w:bCs w:val="1"/>
          <w:color w:val="004876"/>
        </w:rPr>
        <w:t>32</w:t>
      </w:r>
    </w:p>
    <w:p>
      <w:pPr>
        <w:sectPr>
          <w:pgSz w:w="11900" w:h="16838" w:orient="portrait"/>
          <w:cols w:equalWidth="0" w:num="1">
            <w:col w:w="11140"/>
          </w:cols>
          <w:pgMar w:left="320" w:top="459" w:right="439" w:bottom="1440"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04876"/>
        </w:rPr>
        <w:t>CORPORATE GOVERNANCE |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10" w:lineRule="exact"/>
        <w:rPr>
          <w:sz w:val="20"/>
          <w:szCs w:val="20"/>
          <w:color w:val="auto"/>
        </w:rPr>
      </w:pPr>
    </w:p>
    <w:p>
      <w:pPr>
        <w:ind w:left="120"/>
        <w:spacing w:after="0"/>
        <w:rPr>
          <w:sz w:val="20"/>
          <w:szCs w:val="20"/>
          <w:color w:val="auto"/>
        </w:rPr>
      </w:pPr>
      <w:r>
        <w:rPr>
          <w:rFonts w:ascii="Arial" w:cs="Arial" w:eastAsia="Arial" w:hAnsi="Arial"/>
          <w:sz w:val="29"/>
          <w:szCs w:val="29"/>
          <w:color w:val="004876"/>
        </w:rPr>
        <w:t>2019 Director compensation table</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shows the compensation for each non-management director in 2019.</w:t>
      </w:r>
    </w:p>
    <w:p>
      <w:pPr>
        <w:spacing w:after="0" w:line="100"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5960" w:type="dxa"/>
            <w:vAlign w:val="bottom"/>
          </w:tcPr>
          <w:p>
            <w:pPr>
              <w:spacing w:after="0"/>
              <w:rPr>
                <w:sz w:val="16"/>
                <w:szCs w:val="16"/>
                <w:color w:val="auto"/>
              </w:rPr>
            </w:pPr>
          </w:p>
        </w:tc>
        <w:tc>
          <w:tcPr>
            <w:tcW w:w="148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004876"/>
              </w:rPr>
              <w:t>Fees earned or</w:t>
            </w:r>
          </w:p>
        </w:tc>
        <w:tc>
          <w:tcPr>
            <w:tcW w:w="106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6"/>
                <w:szCs w:val="16"/>
                <w:b w:val="1"/>
                <w:bCs w:val="1"/>
                <w:color w:val="004876"/>
              </w:rPr>
              <w:t>Other</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5960" w:type="dxa"/>
            <w:vAlign w:val="bottom"/>
          </w:tcPr>
          <w:p>
            <w:pPr>
              <w:spacing w:after="0"/>
              <w:rPr>
                <w:sz w:val="15"/>
                <w:szCs w:val="15"/>
                <w:color w:val="auto"/>
              </w:rPr>
            </w:pPr>
          </w:p>
        </w:tc>
        <w:tc>
          <w:tcPr>
            <w:tcW w:w="1480" w:type="dxa"/>
            <w:vAlign w:val="bottom"/>
            <w:vMerge w:val="continue"/>
          </w:tcPr>
          <w:p>
            <w:pPr>
              <w:spacing w:after="0"/>
              <w:rPr>
                <w:sz w:val="15"/>
                <w:szCs w:val="15"/>
                <w:color w:val="auto"/>
              </w:rPr>
            </w:pPr>
          </w:p>
        </w:tc>
        <w:tc>
          <w:tcPr>
            <w:tcW w:w="1060" w:type="dxa"/>
            <w:vAlign w:val="bottom"/>
          </w:tcPr>
          <w:p>
            <w:pPr>
              <w:jc w:val="right"/>
              <w:ind w:right="39"/>
              <w:spacing w:after="0" w:line="175" w:lineRule="exact"/>
              <w:rPr>
                <w:sz w:val="20"/>
                <w:szCs w:val="20"/>
                <w:color w:val="auto"/>
              </w:rPr>
            </w:pPr>
            <w:r>
              <w:rPr>
                <w:rFonts w:ascii="Arial" w:cs="Arial" w:eastAsia="Arial" w:hAnsi="Arial"/>
                <w:sz w:val="16"/>
                <w:szCs w:val="16"/>
                <w:b w:val="1"/>
                <w:bCs w:val="1"/>
                <w:color w:val="004876"/>
              </w:rPr>
              <w:t>2019 Stock</w:t>
            </w:r>
          </w:p>
        </w:tc>
        <w:tc>
          <w:tcPr>
            <w:tcW w:w="1500" w:type="dxa"/>
            <w:vAlign w:val="bottom"/>
          </w:tcPr>
          <w:p>
            <w:pPr>
              <w:jc w:val="center"/>
              <w:spacing w:after="0" w:line="175" w:lineRule="exact"/>
              <w:rPr>
                <w:sz w:val="20"/>
                <w:szCs w:val="20"/>
                <w:color w:val="auto"/>
              </w:rPr>
            </w:pPr>
            <w:r>
              <w:rPr>
                <w:rFonts w:ascii="Arial" w:cs="Arial" w:eastAsia="Arial" w:hAnsi="Arial"/>
                <w:sz w:val="16"/>
                <w:szCs w:val="16"/>
                <w:b w:val="1"/>
                <w:bCs w:val="1"/>
                <w:color w:val="004876"/>
              </w:rPr>
              <w:t>fees earned or</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5960" w:type="dxa"/>
            <w:vAlign w:val="bottom"/>
            <w:tcBorders>
              <w:bottom w:val="single" w:sz="8" w:color="333333"/>
            </w:tcBorders>
          </w:tcPr>
          <w:p>
            <w:pPr>
              <w:ind w:left="60"/>
              <w:spacing w:after="0"/>
              <w:rPr>
                <w:sz w:val="20"/>
                <w:szCs w:val="20"/>
                <w:color w:val="auto"/>
              </w:rPr>
            </w:pPr>
            <w:r>
              <w:rPr>
                <w:rFonts w:ascii="Arial" w:cs="Arial" w:eastAsia="Arial" w:hAnsi="Arial"/>
                <w:sz w:val="16"/>
                <w:szCs w:val="16"/>
                <w:b w:val="1"/>
                <w:bCs w:val="1"/>
                <w:color w:val="004876"/>
              </w:rPr>
              <w:t>Director</w:t>
            </w:r>
          </w:p>
        </w:tc>
        <w:tc>
          <w:tcPr>
            <w:tcW w:w="1480" w:type="dxa"/>
            <w:vAlign w:val="bottom"/>
            <w:tcBorders>
              <w:bottom w:val="single" w:sz="8" w:color="333333"/>
            </w:tcBorders>
          </w:tcPr>
          <w:p>
            <w:pPr>
              <w:jc w:val="right"/>
              <w:ind w:right="39"/>
              <w:spacing w:after="0" w:line="222" w:lineRule="exact"/>
              <w:rPr>
                <w:sz w:val="20"/>
                <w:szCs w:val="20"/>
                <w:color w:val="auto"/>
              </w:rPr>
            </w:pPr>
            <w:r>
              <w:rPr>
                <w:rFonts w:ascii="Arial" w:cs="Arial" w:eastAsia="Arial" w:hAnsi="Arial"/>
                <w:sz w:val="15"/>
                <w:szCs w:val="15"/>
                <w:b w:val="1"/>
                <w:bCs w:val="1"/>
                <w:color w:val="004876"/>
              </w:rPr>
              <w:t>paid in cash ($)</w:t>
            </w:r>
            <w:r>
              <w:rPr>
                <w:rFonts w:ascii="Arial" w:cs="Arial" w:eastAsia="Arial" w:hAnsi="Arial"/>
                <w:sz w:val="25"/>
                <w:szCs w:val="25"/>
                <w:b w:val="1"/>
                <w:bCs w:val="1"/>
                <w:color w:val="004876"/>
                <w:vertAlign w:val="superscript"/>
              </w:rPr>
              <w:t>1</w:t>
            </w:r>
          </w:p>
        </w:tc>
        <w:tc>
          <w:tcPr>
            <w:tcW w:w="1060" w:type="dxa"/>
            <w:vAlign w:val="bottom"/>
            <w:tcBorders>
              <w:bottom w:val="single" w:sz="8" w:color="333333"/>
            </w:tcBorders>
          </w:tcPr>
          <w:p>
            <w:pPr>
              <w:jc w:val="right"/>
              <w:ind w:right="79"/>
              <w:spacing w:after="0" w:line="222" w:lineRule="exact"/>
              <w:rPr>
                <w:sz w:val="20"/>
                <w:szCs w:val="20"/>
                <w:color w:val="auto"/>
              </w:rPr>
            </w:pPr>
            <w:r>
              <w:rPr>
                <w:rFonts w:ascii="Arial" w:cs="Arial" w:eastAsia="Arial" w:hAnsi="Arial"/>
                <w:sz w:val="15"/>
                <w:szCs w:val="15"/>
                <w:b w:val="1"/>
                <w:bCs w:val="1"/>
                <w:color w:val="004876"/>
              </w:rPr>
              <w:t>award ($)</w:t>
            </w:r>
            <w:r>
              <w:rPr>
                <w:rFonts w:ascii="Arial" w:cs="Arial" w:eastAsia="Arial" w:hAnsi="Arial"/>
                <w:sz w:val="25"/>
                <w:szCs w:val="25"/>
                <w:b w:val="1"/>
                <w:bCs w:val="1"/>
                <w:color w:val="004876"/>
                <w:vertAlign w:val="superscript"/>
              </w:rPr>
              <w:t>2</w:t>
            </w:r>
          </w:p>
        </w:tc>
        <w:tc>
          <w:tcPr>
            <w:tcW w:w="1500" w:type="dxa"/>
            <w:vAlign w:val="bottom"/>
            <w:tcBorders>
              <w:bottom w:val="single" w:sz="8" w:color="333333"/>
            </w:tcBorders>
          </w:tcPr>
          <w:p>
            <w:pPr>
              <w:jc w:val="center"/>
              <w:spacing w:after="0" w:line="222" w:lineRule="exact"/>
              <w:rPr>
                <w:sz w:val="20"/>
                <w:szCs w:val="20"/>
                <w:color w:val="auto"/>
              </w:rPr>
            </w:pPr>
            <w:r>
              <w:rPr>
                <w:rFonts w:ascii="Arial" w:cs="Arial" w:eastAsia="Arial" w:hAnsi="Arial"/>
                <w:sz w:val="15"/>
                <w:szCs w:val="15"/>
                <w:b w:val="1"/>
                <w:bCs w:val="1"/>
                <w:color w:val="004876"/>
              </w:rPr>
              <w:t>paid in cash ($)</w:t>
            </w:r>
            <w:r>
              <w:rPr>
                <w:rFonts w:ascii="Arial" w:cs="Arial" w:eastAsia="Arial" w:hAnsi="Arial"/>
                <w:sz w:val="25"/>
                <w:szCs w:val="25"/>
                <w:b w:val="1"/>
                <w:bCs w:val="1"/>
                <w:color w:val="004876"/>
                <w:vertAlign w:val="superscript"/>
              </w:rPr>
              <w:t>3</w:t>
            </w:r>
          </w:p>
        </w:tc>
        <w:tc>
          <w:tcPr>
            <w:tcW w:w="1020" w:type="dxa"/>
            <w:vAlign w:val="bottom"/>
            <w:tcBorders>
              <w:bottom w:val="single" w:sz="8" w:color="333333"/>
            </w:tcBorders>
          </w:tcPr>
          <w:p>
            <w:pPr>
              <w:jc w:val="right"/>
              <w:ind w:right="119"/>
              <w:spacing w:after="0"/>
              <w:rPr>
                <w:sz w:val="20"/>
                <w:szCs w:val="20"/>
                <w:color w:val="auto"/>
              </w:rPr>
            </w:pPr>
            <w:r>
              <w:rPr>
                <w:rFonts w:ascii="Arial" w:cs="Arial" w:eastAsia="Arial" w:hAnsi="Arial"/>
                <w:sz w:val="16"/>
                <w:szCs w:val="16"/>
                <w:b w:val="1"/>
                <w:bCs w:val="1"/>
                <w:color w:val="004876"/>
              </w:rPr>
              <w:t>Total ($)</w:t>
            </w:r>
          </w:p>
        </w:tc>
        <w:tc>
          <w:tcPr>
            <w:tcW w:w="0" w:type="dxa"/>
            <w:vAlign w:val="bottom"/>
          </w:tcPr>
          <w:p>
            <w:pPr>
              <w:spacing w:after="0"/>
              <w:rPr>
                <w:sz w:val="1"/>
                <w:szCs w:val="1"/>
                <w:color w:val="auto"/>
              </w:rPr>
            </w:pPr>
          </w:p>
        </w:tc>
      </w:tr>
      <w:tr>
        <w:trPr>
          <w:trHeight w:val="217"/>
        </w:trPr>
        <w:tc>
          <w:tcPr>
            <w:tcW w:w="5960" w:type="dxa"/>
            <w:vAlign w:val="bottom"/>
            <w:tcBorders>
              <w:bottom w:val="single" w:sz="8" w:color="333333"/>
              <w:right w:val="single" w:sz="8" w:color="333333"/>
            </w:tcBorders>
          </w:tcPr>
          <w:p>
            <w:pPr>
              <w:ind w:left="60"/>
              <w:spacing w:after="0"/>
              <w:rPr>
                <w:sz w:val="20"/>
                <w:szCs w:val="20"/>
                <w:color w:val="auto"/>
              </w:rPr>
            </w:pPr>
            <w:r>
              <w:rPr>
                <w:rFonts w:ascii="Arial" w:cs="Arial" w:eastAsia="Arial" w:hAnsi="Arial"/>
                <w:sz w:val="16"/>
                <w:szCs w:val="16"/>
                <w:b w:val="1"/>
                <w:bCs w:val="1"/>
                <w:color w:val="auto"/>
              </w:rPr>
              <w:t>Linda B. Bammann</w:t>
            </w:r>
          </w:p>
        </w:tc>
        <w:tc>
          <w:tcPr>
            <w:tcW w:w="1480" w:type="dxa"/>
            <w:vAlign w:val="bottom"/>
            <w:tcBorders>
              <w:bottom w:val="single" w:sz="8" w:color="333333"/>
              <w:right w:val="single" w:sz="8" w:color="333333"/>
            </w:tcBorders>
          </w:tcPr>
          <w:p>
            <w:pPr>
              <w:jc w:val="right"/>
              <w:ind w:right="39"/>
              <w:spacing w:after="0"/>
              <w:rPr>
                <w:sz w:val="20"/>
                <w:szCs w:val="20"/>
                <w:color w:val="auto"/>
              </w:rPr>
            </w:pPr>
            <w:r>
              <w:rPr>
                <w:rFonts w:ascii="Arial" w:cs="Arial" w:eastAsia="Arial" w:hAnsi="Arial"/>
                <w:sz w:val="16"/>
                <w:szCs w:val="16"/>
                <w:color w:val="auto"/>
              </w:rPr>
              <w:t>$ 140,000</w:t>
            </w:r>
          </w:p>
        </w:tc>
        <w:tc>
          <w:tcPr>
            <w:tcW w:w="1060" w:type="dxa"/>
            <w:vAlign w:val="bottom"/>
            <w:tcBorders>
              <w:bottom w:val="single" w:sz="8" w:color="333333"/>
              <w:right w:val="single" w:sz="8" w:color="333333"/>
            </w:tcBorders>
          </w:tcPr>
          <w:p>
            <w:pPr>
              <w:jc w:val="right"/>
              <w:ind w:right="39"/>
              <w:spacing w:after="0"/>
              <w:rPr>
                <w:sz w:val="20"/>
                <w:szCs w:val="20"/>
                <w:color w:val="auto"/>
              </w:rPr>
            </w:pPr>
            <w:r>
              <w:rPr>
                <w:rFonts w:ascii="Arial" w:cs="Arial" w:eastAsia="Arial" w:hAnsi="Arial"/>
                <w:sz w:val="16"/>
                <w:szCs w:val="16"/>
                <w:color w:val="auto"/>
              </w:rPr>
              <w:t>$ 250,000</w:t>
            </w:r>
          </w:p>
        </w:tc>
        <w:tc>
          <w:tcPr>
            <w:tcW w:w="1500" w:type="dxa"/>
            <w:vAlign w:val="bottom"/>
            <w:tcBorders>
              <w:bottom w:val="single" w:sz="8" w:color="333333"/>
              <w:right w:val="single" w:sz="8" w:color="333333"/>
            </w:tcBorders>
          </w:tcPr>
          <w:p>
            <w:pPr>
              <w:jc w:val="right"/>
              <w:ind w:right="19"/>
              <w:spacing w:after="0"/>
              <w:rPr>
                <w:sz w:val="20"/>
                <w:szCs w:val="20"/>
                <w:color w:val="auto"/>
              </w:rPr>
            </w:pPr>
            <w:r>
              <w:rPr>
                <w:rFonts w:ascii="Arial" w:cs="Arial" w:eastAsia="Arial" w:hAnsi="Arial"/>
                <w:sz w:val="16"/>
                <w:szCs w:val="16"/>
                <w:color w:val="auto"/>
              </w:rPr>
              <w:t>$ 15,000</w:t>
            </w:r>
          </w:p>
        </w:tc>
        <w:tc>
          <w:tcPr>
            <w:tcW w:w="1020" w:type="dxa"/>
            <w:vAlign w:val="bottom"/>
            <w:tcBorders>
              <w:bottom w:val="single" w:sz="8" w:color="333333"/>
            </w:tcBorders>
          </w:tcPr>
          <w:p>
            <w:pPr>
              <w:jc w:val="right"/>
              <w:ind w:right="19"/>
              <w:spacing w:after="0"/>
              <w:rPr>
                <w:sz w:val="20"/>
                <w:szCs w:val="20"/>
                <w:color w:val="auto"/>
              </w:rPr>
            </w:pPr>
            <w:r>
              <w:rPr>
                <w:rFonts w:ascii="Arial" w:cs="Arial" w:eastAsia="Arial" w:hAnsi="Arial"/>
                <w:sz w:val="16"/>
                <w:szCs w:val="16"/>
                <w:color w:val="auto"/>
              </w:rPr>
              <w:t>$ 405,000</w:t>
            </w:r>
          </w:p>
        </w:tc>
        <w:tc>
          <w:tcPr>
            <w:tcW w:w="0" w:type="dxa"/>
            <w:vAlign w:val="bottom"/>
          </w:tcPr>
          <w:p>
            <w:pPr>
              <w:spacing w:after="0"/>
              <w:rPr>
                <w:sz w:val="1"/>
                <w:szCs w:val="1"/>
                <w:color w:val="auto"/>
              </w:rPr>
            </w:pPr>
          </w:p>
        </w:tc>
      </w:tr>
      <w:tr>
        <w:trPr>
          <w:trHeight w:val="223"/>
        </w:trPr>
        <w:tc>
          <w:tcPr>
            <w:tcW w:w="5960" w:type="dxa"/>
            <w:vAlign w:val="bottom"/>
            <w:tcBorders>
              <w:bottom w:val="single" w:sz="8" w:color="333333"/>
              <w:right w:val="single" w:sz="8" w:color="333333"/>
            </w:tcBorders>
          </w:tcPr>
          <w:p>
            <w:pPr>
              <w:ind w:left="60"/>
              <w:spacing w:after="0"/>
              <w:rPr>
                <w:sz w:val="20"/>
                <w:szCs w:val="20"/>
                <w:color w:val="auto"/>
              </w:rPr>
            </w:pPr>
            <w:r>
              <w:rPr>
                <w:rFonts w:ascii="Arial" w:cs="Arial" w:eastAsia="Arial" w:hAnsi="Arial"/>
                <w:sz w:val="16"/>
                <w:szCs w:val="16"/>
                <w:b w:val="1"/>
                <w:bCs w:val="1"/>
                <w:color w:val="auto"/>
              </w:rPr>
              <w:t>James A. Bell</w:t>
            </w:r>
          </w:p>
        </w:tc>
        <w:tc>
          <w:tcPr>
            <w:tcW w:w="1480" w:type="dxa"/>
            <w:vAlign w:val="bottom"/>
            <w:tcBorders>
              <w:bottom w:val="single" w:sz="8" w:color="333333"/>
              <w:right w:val="single" w:sz="8" w:color="333333"/>
            </w:tcBorders>
          </w:tcPr>
          <w:p>
            <w:pPr>
              <w:jc w:val="right"/>
              <w:ind w:right="39"/>
              <w:spacing w:after="0"/>
              <w:rPr>
                <w:sz w:val="20"/>
                <w:szCs w:val="20"/>
                <w:color w:val="auto"/>
              </w:rPr>
            </w:pPr>
            <w:r>
              <w:rPr>
                <w:rFonts w:ascii="Arial" w:cs="Arial" w:eastAsia="Arial" w:hAnsi="Arial"/>
                <w:sz w:val="16"/>
                <w:szCs w:val="16"/>
                <w:color w:val="auto"/>
              </w:rPr>
              <w:t>140,000</w:t>
            </w:r>
          </w:p>
        </w:tc>
        <w:tc>
          <w:tcPr>
            <w:tcW w:w="1060" w:type="dxa"/>
            <w:vAlign w:val="bottom"/>
            <w:tcBorders>
              <w:bottom w:val="single" w:sz="8" w:color="333333"/>
              <w:right w:val="single" w:sz="8" w:color="333333"/>
            </w:tcBorders>
          </w:tcPr>
          <w:p>
            <w:pPr>
              <w:jc w:val="right"/>
              <w:ind w:right="39"/>
              <w:spacing w:after="0"/>
              <w:rPr>
                <w:sz w:val="20"/>
                <w:szCs w:val="20"/>
                <w:color w:val="auto"/>
              </w:rPr>
            </w:pPr>
            <w:r>
              <w:rPr>
                <w:rFonts w:ascii="Arial" w:cs="Arial" w:eastAsia="Arial" w:hAnsi="Arial"/>
                <w:sz w:val="16"/>
                <w:szCs w:val="16"/>
                <w:color w:val="auto"/>
              </w:rPr>
              <w:t>250,000</w:t>
            </w:r>
          </w:p>
        </w:tc>
        <w:tc>
          <w:tcPr>
            <w:tcW w:w="1500" w:type="dxa"/>
            <w:vAlign w:val="bottom"/>
            <w:tcBorders>
              <w:bottom w:val="single" w:sz="8" w:color="333333"/>
              <w:right w:val="single" w:sz="8" w:color="333333"/>
            </w:tcBorders>
          </w:tcPr>
          <w:p>
            <w:pPr>
              <w:jc w:val="right"/>
              <w:ind w:right="19"/>
              <w:spacing w:after="0"/>
              <w:rPr>
                <w:sz w:val="20"/>
                <w:szCs w:val="20"/>
                <w:color w:val="auto"/>
              </w:rPr>
            </w:pPr>
            <w:r>
              <w:rPr>
                <w:rFonts w:ascii="Arial" w:cs="Arial" w:eastAsia="Arial" w:hAnsi="Arial"/>
                <w:sz w:val="16"/>
                <w:szCs w:val="16"/>
                <w:color w:val="auto"/>
              </w:rPr>
              <w:t>22,500</w:t>
            </w:r>
          </w:p>
        </w:tc>
        <w:tc>
          <w:tcPr>
            <w:tcW w:w="1020" w:type="dxa"/>
            <w:vAlign w:val="bottom"/>
            <w:tcBorders>
              <w:bottom w:val="single" w:sz="8" w:color="333333"/>
            </w:tcBorders>
          </w:tcPr>
          <w:p>
            <w:pPr>
              <w:jc w:val="right"/>
              <w:ind w:right="19"/>
              <w:spacing w:after="0"/>
              <w:rPr>
                <w:sz w:val="20"/>
                <w:szCs w:val="20"/>
                <w:color w:val="auto"/>
              </w:rPr>
            </w:pPr>
            <w:r>
              <w:rPr>
                <w:rFonts w:ascii="Arial" w:cs="Arial" w:eastAsia="Arial" w:hAnsi="Arial"/>
                <w:sz w:val="16"/>
                <w:szCs w:val="16"/>
                <w:color w:val="auto"/>
              </w:rPr>
              <w:t>412,500</w:t>
            </w:r>
          </w:p>
        </w:tc>
        <w:tc>
          <w:tcPr>
            <w:tcW w:w="0" w:type="dxa"/>
            <w:vAlign w:val="bottom"/>
          </w:tcPr>
          <w:p>
            <w:pPr>
              <w:spacing w:after="0"/>
              <w:rPr>
                <w:sz w:val="1"/>
                <w:szCs w:val="1"/>
                <w:color w:val="auto"/>
              </w:rPr>
            </w:pPr>
          </w:p>
        </w:tc>
      </w:tr>
      <w:tr>
        <w:trPr>
          <w:trHeight w:val="223"/>
        </w:trPr>
        <w:tc>
          <w:tcPr>
            <w:tcW w:w="5960" w:type="dxa"/>
            <w:vAlign w:val="bottom"/>
            <w:tcBorders>
              <w:bottom w:val="single" w:sz="8" w:color="333333"/>
              <w:right w:val="single" w:sz="8" w:color="333333"/>
            </w:tcBorders>
          </w:tcPr>
          <w:p>
            <w:pPr>
              <w:ind w:left="60"/>
              <w:spacing w:after="0"/>
              <w:rPr>
                <w:sz w:val="20"/>
                <w:szCs w:val="20"/>
                <w:color w:val="auto"/>
              </w:rPr>
            </w:pPr>
            <w:r>
              <w:rPr>
                <w:rFonts w:ascii="Arial" w:cs="Arial" w:eastAsia="Arial" w:hAnsi="Arial"/>
                <w:sz w:val="16"/>
                <w:szCs w:val="16"/>
                <w:b w:val="1"/>
                <w:bCs w:val="1"/>
                <w:color w:val="auto"/>
              </w:rPr>
              <w:t>Stephen B. Burke</w:t>
            </w:r>
          </w:p>
        </w:tc>
        <w:tc>
          <w:tcPr>
            <w:tcW w:w="1480" w:type="dxa"/>
            <w:vAlign w:val="bottom"/>
            <w:tcBorders>
              <w:bottom w:val="single" w:sz="8" w:color="333333"/>
              <w:right w:val="single" w:sz="8" w:color="333333"/>
            </w:tcBorders>
          </w:tcPr>
          <w:p>
            <w:pPr>
              <w:jc w:val="right"/>
              <w:ind w:right="39"/>
              <w:spacing w:after="0"/>
              <w:rPr>
                <w:sz w:val="20"/>
                <w:szCs w:val="20"/>
                <w:color w:val="auto"/>
              </w:rPr>
            </w:pPr>
            <w:r>
              <w:rPr>
                <w:rFonts w:ascii="Arial" w:cs="Arial" w:eastAsia="Arial" w:hAnsi="Arial"/>
                <w:sz w:val="16"/>
                <w:szCs w:val="16"/>
                <w:color w:val="auto"/>
              </w:rPr>
              <w:t>109,190</w:t>
            </w:r>
          </w:p>
        </w:tc>
        <w:tc>
          <w:tcPr>
            <w:tcW w:w="1060" w:type="dxa"/>
            <w:vAlign w:val="bottom"/>
            <w:tcBorders>
              <w:bottom w:val="single" w:sz="8" w:color="333333"/>
              <w:right w:val="single" w:sz="8" w:color="333333"/>
            </w:tcBorders>
          </w:tcPr>
          <w:p>
            <w:pPr>
              <w:jc w:val="right"/>
              <w:ind w:right="39"/>
              <w:spacing w:after="0"/>
              <w:rPr>
                <w:sz w:val="20"/>
                <w:szCs w:val="20"/>
                <w:color w:val="auto"/>
              </w:rPr>
            </w:pPr>
            <w:r>
              <w:rPr>
                <w:rFonts w:ascii="Arial" w:cs="Arial" w:eastAsia="Arial" w:hAnsi="Arial"/>
                <w:sz w:val="16"/>
                <w:szCs w:val="16"/>
                <w:color w:val="auto"/>
              </w:rPr>
              <w:t>250,000</w:t>
            </w:r>
          </w:p>
        </w:tc>
        <w:tc>
          <w:tcPr>
            <w:tcW w:w="1500" w:type="dxa"/>
            <w:vAlign w:val="bottom"/>
            <w:tcBorders>
              <w:bottom w:val="single" w:sz="8" w:color="333333"/>
              <w:right w:val="single" w:sz="8" w:color="333333"/>
            </w:tcBorders>
          </w:tcPr>
          <w:p>
            <w:pPr>
              <w:jc w:val="right"/>
              <w:ind w:right="19"/>
              <w:spacing w:after="0"/>
              <w:rPr>
                <w:sz w:val="20"/>
                <w:szCs w:val="20"/>
                <w:color w:val="auto"/>
              </w:rPr>
            </w:pPr>
            <w:r>
              <w:rPr>
                <w:rFonts w:ascii="Arial" w:cs="Arial" w:eastAsia="Arial" w:hAnsi="Arial"/>
                <w:sz w:val="16"/>
                <w:szCs w:val="16"/>
                <w:color w:val="auto"/>
              </w:rPr>
              <w:t>45,316</w:t>
            </w:r>
          </w:p>
        </w:tc>
        <w:tc>
          <w:tcPr>
            <w:tcW w:w="1020" w:type="dxa"/>
            <w:vAlign w:val="bottom"/>
            <w:tcBorders>
              <w:bottom w:val="single" w:sz="8" w:color="333333"/>
            </w:tcBorders>
          </w:tcPr>
          <w:p>
            <w:pPr>
              <w:jc w:val="right"/>
              <w:ind w:right="19"/>
              <w:spacing w:after="0"/>
              <w:rPr>
                <w:sz w:val="20"/>
                <w:szCs w:val="20"/>
                <w:color w:val="auto"/>
              </w:rPr>
            </w:pPr>
            <w:r>
              <w:rPr>
                <w:rFonts w:ascii="Arial" w:cs="Arial" w:eastAsia="Arial" w:hAnsi="Arial"/>
                <w:sz w:val="16"/>
                <w:szCs w:val="16"/>
                <w:color w:val="auto"/>
              </w:rPr>
              <w:t>404,506</w:t>
            </w:r>
          </w:p>
        </w:tc>
        <w:tc>
          <w:tcPr>
            <w:tcW w:w="0" w:type="dxa"/>
            <w:vAlign w:val="bottom"/>
          </w:tcPr>
          <w:p>
            <w:pPr>
              <w:spacing w:after="0"/>
              <w:rPr>
                <w:sz w:val="1"/>
                <w:szCs w:val="1"/>
                <w:color w:val="auto"/>
              </w:rPr>
            </w:pPr>
          </w:p>
        </w:tc>
      </w:tr>
      <w:tr>
        <w:trPr>
          <w:trHeight w:val="223"/>
        </w:trPr>
        <w:tc>
          <w:tcPr>
            <w:tcW w:w="5960" w:type="dxa"/>
            <w:vAlign w:val="bottom"/>
            <w:tcBorders>
              <w:bottom w:val="single" w:sz="8" w:color="333333"/>
              <w:right w:val="single" w:sz="8" w:color="333333"/>
            </w:tcBorders>
          </w:tcPr>
          <w:p>
            <w:pPr>
              <w:ind w:left="60"/>
              <w:spacing w:after="0"/>
              <w:rPr>
                <w:sz w:val="20"/>
                <w:szCs w:val="20"/>
                <w:color w:val="auto"/>
              </w:rPr>
            </w:pPr>
            <w:r>
              <w:rPr>
                <w:rFonts w:ascii="Arial" w:cs="Arial" w:eastAsia="Arial" w:hAnsi="Arial"/>
                <w:sz w:val="16"/>
                <w:szCs w:val="16"/>
                <w:b w:val="1"/>
                <w:bCs w:val="1"/>
                <w:color w:val="auto"/>
              </w:rPr>
              <w:t>Todd A. Combs</w:t>
            </w:r>
          </w:p>
        </w:tc>
        <w:tc>
          <w:tcPr>
            <w:tcW w:w="1480" w:type="dxa"/>
            <w:vAlign w:val="bottom"/>
            <w:tcBorders>
              <w:bottom w:val="single" w:sz="8" w:color="333333"/>
              <w:right w:val="single" w:sz="8" w:color="333333"/>
            </w:tcBorders>
          </w:tcPr>
          <w:p>
            <w:pPr>
              <w:jc w:val="right"/>
              <w:ind w:right="39"/>
              <w:spacing w:after="0"/>
              <w:rPr>
                <w:sz w:val="20"/>
                <w:szCs w:val="20"/>
                <w:color w:val="auto"/>
              </w:rPr>
            </w:pPr>
            <w:r>
              <w:rPr>
                <w:rFonts w:ascii="Arial" w:cs="Arial" w:eastAsia="Arial" w:hAnsi="Arial"/>
                <w:sz w:val="16"/>
                <w:szCs w:val="16"/>
                <w:color w:val="auto"/>
              </w:rPr>
              <w:t>105,810</w:t>
            </w:r>
          </w:p>
        </w:tc>
        <w:tc>
          <w:tcPr>
            <w:tcW w:w="1060" w:type="dxa"/>
            <w:vAlign w:val="bottom"/>
            <w:tcBorders>
              <w:bottom w:val="single" w:sz="8" w:color="333333"/>
              <w:right w:val="single" w:sz="8" w:color="333333"/>
            </w:tcBorders>
          </w:tcPr>
          <w:p>
            <w:pPr>
              <w:jc w:val="right"/>
              <w:ind w:right="39"/>
              <w:spacing w:after="0"/>
              <w:rPr>
                <w:sz w:val="20"/>
                <w:szCs w:val="20"/>
                <w:color w:val="auto"/>
              </w:rPr>
            </w:pPr>
            <w:r>
              <w:rPr>
                <w:rFonts w:ascii="Arial" w:cs="Arial" w:eastAsia="Arial" w:hAnsi="Arial"/>
                <w:sz w:val="16"/>
                <w:szCs w:val="16"/>
                <w:color w:val="auto"/>
              </w:rPr>
              <w:t>250,000</w:t>
            </w:r>
          </w:p>
        </w:tc>
        <w:tc>
          <w:tcPr>
            <w:tcW w:w="1500" w:type="dxa"/>
            <w:vAlign w:val="bottom"/>
            <w:tcBorders>
              <w:bottom w:val="single" w:sz="8" w:color="333333"/>
              <w:right w:val="single" w:sz="8" w:color="333333"/>
            </w:tcBorders>
          </w:tcPr>
          <w:p>
            <w:pPr>
              <w:jc w:val="right"/>
              <w:ind w:right="19"/>
              <w:spacing w:after="0"/>
              <w:rPr>
                <w:sz w:val="20"/>
                <w:szCs w:val="20"/>
                <w:color w:val="auto"/>
              </w:rPr>
            </w:pPr>
            <w:r>
              <w:rPr>
                <w:rFonts w:ascii="Arial" w:cs="Arial" w:eastAsia="Arial" w:hAnsi="Arial"/>
                <w:sz w:val="16"/>
                <w:szCs w:val="16"/>
                <w:color w:val="auto"/>
              </w:rPr>
              <w:t>15,000</w:t>
            </w:r>
          </w:p>
        </w:tc>
        <w:tc>
          <w:tcPr>
            <w:tcW w:w="1020" w:type="dxa"/>
            <w:vAlign w:val="bottom"/>
            <w:tcBorders>
              <w:bottom w:val="single" w:sz="8" w:color="333333"/>
            </w:tcBorders>
          </w:tcPr>
          <w:p>
            <w:pPr>
              <w:jc w:val="right"/>
              <w:ind w:right="19"/>
              <w:spacing w:after="0"/>
              <w:rPr>
                <w:sz w:val="20"/>
                <w:szCs w:val="20"/>
                <w:color w:val="auto"/>
              </w:rPr>
            </w:pPr>
            <w:r>
              <w:rPr>
                <w:rFonts w:ascii="Arial" w:cs="Arial" w:eastAsia="Arial" w:hAnsi="Arial"/>
                <w:sz w:val="16"/>
                <w:szCs w:val="16"/>
                <w:color w:val="auto"/>
              </w:rPr>
              <w:t>370,810</w:t>
            </w:r>
          </w:p>
        </w:tc>
        <w:tc>
          <w:tcPr>
            <w:tcW w:w="0" w:type="dxa"/>
            <w:vAlign w:val="bottom"/>
          </w:tcPr>
          <w:p>
            <w:pPr>
              <w:spacing w:after="0"/>
              <w:rPr>
                <w:sz w:val="1"/>
                <w:szCs w:val="1"/>
                <w:color w:val="auto"/>
              </w:rPr>
            </w:pPr>
          </w:p>
        </w:tc>
      </w:tr>
      <w:tr>
        <w:trPr>
          <w:trHeight w:val="223"/>
        </w:trPr>
        <w:tc>
          <w:tcPr>
            <w:tcW w:w="5960" w:type="dxa"/>
            <w:vAlign w:val="bottom"/>
            <w:tcBorders>
              <w:bottom w:val="single" w:sz="8" w:color="333333"/>
              <w:right w:val="single" w:sz="8" w:color="333333"/>
            </w:tcBorders>
          </w:tcPr>
          <w:p>
            <w:pPr>
              <w:ind w:left="60"/>
              <w:spacing w:after="0"/>
              <w:rPr>
                <w:sz w:val="20"/>
                <w:szCs w:val="20"/>
                <w:color w:val="auto"/>
              </w:rPr>
            </w:pPr>
            <w:r>
              <w:rPr>
                <w:rFonts w:ascii="Arial" w:cs="Arial" w:eastAsia="Arial" w:hAnsi="Arial"/>
                <w:sz w:val="16"/>
                <w:szCs w:val="16"/>
                <w:b w:val="1"/>
                <w:bCs w:val="1"/>
                <w:color w:val="auto"/>
              </w:rPr>
              <w:t>James S. Crown</w:t>
            </w:r>
          </w:p>
        </w:tc>
        <w:tc>
          <w:tcPr>
            <w:tcW w:w="1480" w:type="dxa"/>
            <w:vAlign w:val="bottom"/>
            <w:tcBorders>
              <w:bottom w:val="single" w:sz="8" w:color="333333"/>
              <w:right w:val="single" w:sz="8" w:color="333333"/>
            </w:tcBorders>
          </w:tcPr>
          <w:p>
            <w:pPr>
              <w:jc w:val="right"/>
              <w:ind w:right="39"/>
              <w:spacing w:after="0"/>
              <w:rPr>
                <w:sz w:val="20"/>
                <w:szCs w:val="20"/>
                <w:color w:val="auto"/>
              </w:rPr>
            </w:pPr>
            <w:r>
              <w:rPr>
                <w:rFonts w:ascii="Arial" w:cs="Arial" w:eastAsia="Arial" w:hAnsi="Arial"/>
                <w:sz w:val="16"/>
                <w:szCs w:val="16"/>
                <w:color w:val="auto"/>
              </w:rPr>
              <w:t>115,000</w:t>
            </w:r>
          </w:p>
        </w:tc>
        <w:tc>
          <w:tcPr>
            <w:tcW w:w="1060" w:type="dxa"/>
            <w:vAlign w:val="bottom"/>
            <w:tcBorders>
              <w:bottom w:val="single" w:sz="8" w:color="333333"/>
              <w:right w:val="single" w:sz="8" w:color="333333"/>
            </w:tcBorders>
          </w:tcPr>
          <w:p>
            <w:pPr>
              <w:jc w:val="right"/>
              <w:ind w:right="39"/>
              <w:spacing w:after="0"/>
              <w:rPr>
                <w:sz w:val="20"/>
                <w:szCs w:val="20"/>
                <w:color w:val="auto"/>
              </w:rPr>
            </w:pPr>
            <w:r>
              <w:rPr>
                <w:rFonts w:ascii="Arial" w:cs="Arial" w:eastAsia="Arial" w:hAnsi="Arial"/>
                <w:sz w:val="16"/>
                <w:szCs w:val="16"/>
                <w:color w:val="auto"/>
              </w:rPr>
              <w:t>250,000</w:t>
            </w:r>
          </w:p>
        </w:tc>
        <w:tc>
          <w:tcPr>
            <w:tcW w:w="1500" w:type="dxa"/>
            <w:vAlign w:val="bottom"/>
            <w:tcBorders>
              <w:bottom w:val="single" w:sz="8" w:color="333333"/>
              <w:right w:val="single" w:sz="8" w:color="333333"/>
            </w:tcBorders>
          </w:tcPr>
          <w:p>
            <w:pPr>
              <w:jc w:val="right"/>
              <w:ind w:right="19"/>
              <w:spacing w:after="0"/>
              <w:rPr>
                <w:sz w:val="20"/>
                <w:szCs w:val="20"/>
                <w:color w:val="auto"/>
              </w:rPr>
            </w:pPr>
            <w:r>
              <w:rPr>
                <w:rFonts w:ascii="Arial" w:cs="Arial" w:eastAsia="Arial" w:hAnsi="Arial"/>
                <w:sz w:val="16"/>
                <w:szCs w:val="16"/>
                <w:color w:val="auto"/>
              </w:rPr>
              <w:t>15,000</w:t>
            </w:r>
          </w:p>
        </w:tc>
        <w:tc>
          <w:tcPr>
            <w:tcW w:w="1020" w:type="dxa"/>
            <w:vAlign w:val="bottom"/>
            <w:tcBorders>
              <w:bottom w:val="single" w:sz="8" w:color="333333"/>
            </w:tcBorders>
          </w:tcPr>
          <w:p>
            <w:pPr>
              <w:jc w:val="right"/>
              <w:ind w:right="19"/>
              <w:spacing w:after="0"/>
              <w:rPr>
                <w:sz w:val="20"/>
                <w:szCs w:val="20"/>
                <w:color w:val="auto"/>
              </w:rPr>
            </w:pPr>
            <w:r>
              <w:rPr>
                <w:rFonts w:ascii="Arial" w:cs="Arial" w:eastAsia="Arial" w:hAnsi="Arial"/>
                <w:sz w:val="16"/>
                <w:szCs w:val="16"/>
                <w:color w:val="auto"/>
              </w:rPr>
              <w:t>380,000</w:t>
            </w:r>
          </w:p>
        </w:tc>
        <w:tc>
          <w:tcPr>
            <w:tcW w:w="0" w:type="dxa"/>
            <w:vAlign w:val="bottom"/>
          </w:tcPr>
          <w:p>
            <w:pPr>
              <w:spacing w:after="0"/>
              <w:rPr>
                <w:sz w:val="1"/>
                <w:szCs w:val="1"/>
                <w:color w:val="auto"/>
              </w:rPr>
            </w:pPr>
          </w:p>
        </w:tc>
      </w:tr>
      <w:tr>
        <w:trPr>
          <w:trHeight w:val="223"/>
        </w:trPr>
        <w:tc>
          <w:tcPr>
            <w:tcW w:w="5960" w:type="dxa"/>
            <w:vAlign w:val="bottom"/>
            <w:tcBorders>
              <w:bottom w:val="single" w:sz="8" w:color="333333"/>
              <w:right w:val="single" w:sz="8" w:color="333333"/>
            </w:tcBorders>
          </w:tcPr>
          <w:p>
            <w:pPr>
              <w:ind w:left="60"/>
              <w:spacing w:after="0"/>
              <w:rPr>
                <w:sz w:val="20"/>
                <w:szCs w:val="20"/>
                <w:color w:val="auto"/>
              </w:rPr>
            </w:pPr>
            <w:r>
              <w:rPr>
                <w:rFonts w:ascii="Arial" w:cs="Arial" w:eastAsia="Arial" w:hAnsi="Arial"/>
                <w:sz w:val="16"/>
                <w:szCs w:val="16"/>
                <w:b w:val="1"/>
                <w:bCs w:val="1"/>
                <w:color w:val="auto"/>
              </w:rPr>
              <w:t>Timothy P. Flynn</w:t>
            </w:r>
          </w:p>
        </w:tc>
        <w:tc>
          <w:tcPr>
            <w:tcW w:w="1480" w:type="dxa"/>
            <w:vAlign w:val="bottom"/>
            <w:tcBorders>
              <w:bottom w:val="single" w:sz="8" w:color="333333"/>
              <w:right w:val="single" w:sz="8" w:color="333333"/>
            </w:tcBorders>
          </w:tcPr>
          <w:p>
            <w:pPr>
              <w:jc w:val="right"/>
              <w:ind w:right="39"/>
              <w:spacing w:after="0"/>
              <w:rPr>
                <w:sz w:val="20"/>
                <w:szCs w:val="20"/>
                <w:color w:val="auto"/>
              </w:rPr>
            </w:pPr>
            <w:r>
              <w:rPr>
                <w:rFonts w:ascii="Arial" w:cs="Arial" w:eastAsia="Arial" w:hAnsi="Arial"/>
                <w:sz w:val="16"/>
                <w:szCs w:val="16"/>
                <w:color w:val="auto"/>
              </w:rPr>
              <w:t>130,000</w:t>
            </w:r>
          </w:p>
        </w:tc>
        <w:tc>
          <w:tcPr>
            <w:tcW w:w="1060" w:type="dxa"/>
            <w:vAlign w:val="bottom"/>
            <w:tcBorders>
              <w:bottom w:val="single" w:sz="8" w:color="333333"/>
              <w:right w:val="single" w:sz="8" w:color="333333"/>
            </w:tcBorders>
          </w:tcPr>
          <w:p>
            <w:pPr>
              <w:jc w:val="right"/>
              <w:ind w:right="39"/>
              <w:spacing w:after="0"/>
              <w:rPr>
                <w:sz w:val="20"/>
                <w:szCs w:val="20"/>
                <w:color w:val="auto"/>
              </w:rPr>
            </w:pPr>
            <w:r>
              <w:rPr>
                <w:rFonts w:ascii="Arial" w:cs="Arial" w:eastAsia="Arial" w:hAnsi="Arial"/>
                <w:sz w:val="16"/>
                <w:szCs w:val="16"/>
                <w:color w:val="auto"/>
              </w:rPr>
              <w:t>250,000</w:t>
            </w:r>
          </w:p>
        </w:tc>
        <w:tc>
          <w:tcPr>
            <w:tcW w:w="1500" w:type="dxa"/>
            <w:vAlign w:val="bottom"/>
            <w:tcBorders>
              <w:bottom w:val="single" w:sz="8" w:color="333333"/>
              <w:right w:val="single" w:sz="8" w:color="333333"/>
            </w:tcBorders>
          </w:tcPr>
          <w:p>
            <w:pPr>
              <w:jc w:val="right"/>
              <w:ind w:right="19"/>
              <w:spacing w:after="0"/>
              <w:rPr>
                <w:sz w:val="20"/>
                <w:szCs w:val="20"/>
                <w:color w:val="auto"/>
              </w:rPr>
            </w:pPr>
            <w:r>
              <w:rPr>
                <w:rFonts w:ascii="Arial" w:cs="Arial" w:eastAsia="Arial" w:hAnsi="Arial"/>
                <w:sz w:val="16"/>
                <w:szCs w:val="16"/>
                <w:color w:val="auto"/>
              </w:rPr>
              <w:t>22,500</w:t>
            </w:r>
          </w:p>
        </w:tc>
        <w:tc>
          <w:tcPr>
            <w:tcW w:w="1020" w:type="dxa"/>
            <w:vAlign w:val="bottom"/>
            <w:tcBorders>
              <w:bottom w:val="single" w:sz="8" w:color="333333"/>
            </w:tcBorders>
          </w:tcPr>
          <w:p>
            <w:pPr>
              <w:jc w:val="right"/>
              <w:ind w:right="19"/>
              <w:spacing w:after="0"/>
              <w:rPr>
                <w:sz w:val="20"/>
                <w:szCs w:val="20"/>
                <w:color w:val="auto"/>
              </w:rPr>
            </w:pPr>
            <w:r>
              <w:rPr>
                <w:rFonts w:ascii="Arial" w:cs="Arial" w:eastAsia="Arial" w:hAnsi="Arial"/>
                <w:sz w:val="16"/>
                <w:szCs w:val="16"/>
                <w:color w:val="auto"/>
              </w:rPr>
              <w:t>402,500</w:t>
            </w:r>
          </w:p>
        </w:tc>
        <w:tc>
          <w:tcPr>
            <w:tcW w:w="0" w:type="dxa"/>
            <w:vAlign w:val="bottom"/>
          </w:tcPr>
          <w:p>
            <w:pPr>
              <w:spacing w:after="0"/>
              <w:rPr>
                <w:sz w:val="1"/>
                <w:szCs w:val="1"/>
                <w:color w:val="auto"/>
              </w:rPr>
            </w:pPr>
          </w:p>
        </w:tc>
      </w:tr>
      <w:tr>
        <w:trPr>
          <w:trHeight w:val="223"/>
        </w:trPr>
        <w:tc>
          <w:tcPr>
            <w:tcW w:w="5960" w:type="dxa"/>
            <w:vAlign w:val="bottom"/>
            <w:tcBorders>
              <w:bottom w:val="single" w:sz="8" w:color="333333"/>
              <w:right w:val="single" w:sz="8" w:color="333333"/>
            </w:tcBorders>
          </w:tcPr>
          <w:p>
            <w:pPr>
              <w:ind w:left="60"/>
              <w:spacing w:after="0"/>
              <w:rPr>
                <w:sz w:val="20"/>
                <w:szCs w:val="20"/>
                <w:color w:val="auto"/>
              </w:rPr>
            </w:pPr>
            <w:r>
              <w:rPr>
                <w:rFonts w:ascii="Arial" w:cs="Arial" w:eastAsia="Arial" w:hAnsi="Arial"/>
                <w:sz w:val="16"/>
                <w:szCs w:val="16"/>
                <w:b w:val="1"/>
                <w:bCs w:val="1"/>
                <w:color w:val="auto"/>
              </w:rPr>
              <w:t>Mellody Hobson</w:t>
            </w:r>
          </w:p>
        </w:tc>
        <w:tc>
          <w:tcPr>
            <w:tcW w:w="1480" w:type="dxa"/>
            <w:vAlign w:val="bottom"/>
            <w:tcBorders>
              <w:bottom w:val="single" w:sz="8" w:color="333333"/>
              <w:right w:val="single" w:sz="8" w:color="333333"/>
            </w:tcBorders>
          </w:tcPr>
          <w:p>
            <w:pPr>
              <w:jc w:val="right"/>
              <w:ind w:right="39"/>
              <w:spacing w:after="0"/>
              <w:rPr>
                <w:sz w:val="20"/>
                <w:szCs w:val="20"/>
                <w:color w:val="auto"/>
              </w:rPr>
            </w:pPr>
            <w:r>
              <w:rPr>
                <w:rFonts w:ascii="Arial" w:cs="Arial" w:eastAsia="Arial" w:hAnsi="Arial"/>
                <w:sz w:val="16"/>
                <w:szCs w:val="16"/>
                <w:color w:val="auto"/>
              </w:rPr>
              <w:t>115,000</w:t>
            </w:r>
          </w:p>
        </w:tc>
        <w:tc>
          <w:tcPr>
            <w:tcW w:w="1060" w:type="dxa"/>
            <w:vAlign w:val="bottom"/>
            <w:tcBorders>
              <w:bottom w:val="single" w:sz="8" w:color="333333"/>
              <w:right w:val="single" w:sz="8" w:color="333333"/>
            </w:tcBorders>
          </w:tcPr>
          <w:p>
            <w:pPr>
              <w:jc w:val="right"/>
              <w:ind w:right="39"/>
              <w:spacing w:after="0"/>
              <w:rPr>
                <w:sz w:val="20"/>
                <w:szCs w:val="20"/>
                <w:color w:val="auto"/>
              </w:rPr>
            </w:pPr>
            <w:r>
              <w:rPr>
                <w:rFonts w:ascii="Arial" w:cs="Arial" w:eastAsia="Arial" w:hAnsi="Arial"/>
                <w:sz w:val="16"/>
                <w:szCs w:val="16"/>
                <w:color w:val="auto"/>
              </w:rPr>
              <w:t>250,000</w:t>
            </w:r>
          </w:p>
        </w:tc>
        <w:tc>
          <w:tcPr>
            <w:tcW w:w="1500" w:type="dxa"/>
            <w:vAlign w:val="bottom"/>
            <w:tcBorders>
              <w:bottom w:val="single" w:sz="8" w:color="333333"/>
              <w:right w:val="single" w:sz="8" w:color="333333"/>
            </w:tcBorders>
          </w:tcPr>
          <w:p>
            <w:pPr>
              <w:jc w:val="right"/>
              <w:ind w:right="19"/>
              <w:spacing w:after="0"/>
              <w:rPr>
                <w:sz w:val="20"/>
                <w:szCs w:val="20"/>
                <w:color w:val="auto"/>
              </w:rPr>
            </w:pPr>
            <w:r>
              <w:rPr>
                <w:rFonts w:ascii="Arial" w:cs="Arial" w:eastAsia="Arial" w:hAnsi="Arial"/>
                <w:sz w:val="16"/>
                <w:szCs w:val="16"/>
                <w:color w:val="auto"/>
              </w:rPr>
              <w:t>35,000</w:t>
            </w:r>
          </w:p>
        </w:tc>
        <w:tc>
          <w:tcPr>
            <w:tcW w:w="1020" w:type="dxa"/>
            <w:vAlign w:val="bottom"/>
            <w:tcBorders>
              <w:bottom w:val="single" w:sz="8" w:color="333333"/>
            </w:tcBorders>
          </w:tcPr>
          <w:p>
            <w:pPr>
              <w:jc w:val="right"/>
              <w:ind w:right="19"/>
              <w:spacing w:after="0"/>
              <w:rPr>
                <w:sz w:val="20"/>
                <w:szCs w:val="20"/>
                <w:color w:val="auto"/>
              </w:rPr>
            </w:pPr>
            <w:r>
              <w:rPr>
                <w:rFonts w:ascii="Arial" w:cs="Arial" w:eastAsia="Arial" w:hAnsi="Arial"/>
                <w:sz w:val="16"/>
                <w:szCs w:val="16"/>
                <w:color w:val="auto"/>
              </w:rPr>
              <w:t>400,000</w:t>
            </w:r>
          </w:p>
        </w:tc>
        <w:tc>
          <w:tcPr>
            <w:tcW w:w="0" w:type="dxa"/>
            <w:vAlign w:val="bottom"/>
          </w:tcPr>
          <w:p>
            <w:pPr>
              <w:spacing w:after="0"/>
              <w:rPr>
                <w:sz w:val="1"/>
                <w:szCs w:val="1"/>
                <w:color w:val="auto"/>
              </w:rPr>
            </w:pPr>
          </w:p>
        </w:tc>
      </w:tr>
      <w:tr>
        <w:trPr>
          <w:trHeight w:val="223"/>
        </w:trPr>
        <w:tc>
          <w:tcPr>
            <w:tcW w:w="5960" w:type="dxa"/>
            <w:vAlign w:val="bottom"/>
            <w:tcBorders>
              <w:bottom w:val="single" w:sz="8" w:color="333333"/>
              <w:right w:val="single" w:sz="8" w:color="333333"/>
            </w:tcBorders>
          </w:tcPr>
          <w:p>
            <w:pPr>
              <w:ind w:left="60"/>
              <w:spacing w:after="0"/>
              <w:rPr>
                <w:sz w:val="20"/>
                <w:szCs w:val="20"/>
                <w:color w:val="auto"/>
              </w:rPr>
            </w:pPr>
            <w:r>
              <w:rPr>
                <w:rFonts w:ascii="Arial" w:cs="Arial" w:eastAsia="Arial" w:hAnsi="Arial"/>
                <w:sz w:val="16"/>
                <w:szCs w:val="16"/>
                <w:b w:val="1"/>
                <w:bCs w:val="1"/>
                <w:color w:val="auto"/>
              </w:rPr>
              <w:t>Laban P. Jackson, Jr.</w:t>
            </w:r>
          </w:p>
        </w:tc>
        <w:tc>
          <w:tcPr>
            <w:tcW w:w="1480" w:type="dxa"/>
            <w:vAlign w:val="bottom"/>
            <w:tcBorders>
              <w:bottom w:val="single" w:sz="8" w:color="333333"/>
              <w:right w:val="single" w:sz="8" w:color="333333"/>
            </w:tcBorders>
          </w:tcPr>
          <w:p>
            <w:pPr>
              <w:jc w:val="right"/>
              <w:ind w:right="39"/>
              <w:spacing w:after="0"/>
              <w:rPr>
                <w:sz w:val="20"/>
                <w:szCs w:val="20"/>
                <w:color w:val="auto"/>
              </w:rPr>
            </w:pPr>
            <w:r>
              <w:rPr>
                <w:rFonts w:ascii="Arial" w:cs="Arial" w:eastAsia="Arial" w:hAnsi="Arial"/>
                <w:sz w:val="16"/>
                <w:szCs w:val="16"/>
                <w:color w:val="auto"/>
              </w:rPr>
              <w:t>115,000</w:t>
            </w:r>
          </w:p>
        </w:tc>
        <w:tc>
          <w:tcPr>
            <w:tcW w:w="1060" w:type="dxa"/>
            <w:vAlign w:val="bottom"/>
            <w:tcBorders>
              <w:bottom w:val="single" w:sz="8" w:color="333333"/>
              <w:right w:val="single" w:sz="8" w:color="333333"/>
            </w:tcBorders>
          </w:tcPr>
          <w:p>
            <w:pPr>
              <w:jc w:val="right"/>
              <w:ind w:right="39"/>
              <w:spacing w:after="0"/>
              <w:rPr>
                <w:sz w:val="20"/>
                <w:szCs w:val="20"/>
                <w:color w:val="auto"/>
              </w:rPr>
            </w:pPr>
            <w:r>
              <w:rPr>
                <w:rFonts w:ascii="Arial" w:cs="Arial" w:eastAsia="Arial" w:hAnsi="Arial"/>
                <w:sz w:val="16"/>
                <w:szCs w:val="16"/>
                <w:color w:val="auto"/>
              </w:rPr>
              <w:t>250,000</w:t>
            </w:r>
          </w:p>
        </w:tc>
        <w:tc>
          <w:tcPr>
            <w:tcW w:w="1500" w:type="dxa"/>
            <w:vAlign w:val="bottom"/>
            <w:tcBorders>
              <w:bottom w:val="single" w:sz="8" w:color="333333"/>
              <w:right w:val="single" w:sz="8" w:color="333333"/>
            </w:tcBorders>
          </w:tcPr>
          <w:p>
            <w:pPr>
              <w:jc w:val="right"/>
              <w:ind w:right="19"/>
              <w:spacing w:after="0"/>
              <w:rPr>
                <w:sz w:val="20"/>
                <w:szCs w:val="20"/>
                <w:color w:val="auto"/>
              </w:rPr>
            </w:pPr>
            <w:r>
              <w:rPr>
                <w:rFonts w:ascii="Arial" w:cs="Arial" w:eastAsia="Arial" w:hAnsi="Arial"/>
                <w:sz w:val="16"/>
                <w:szCs w:val="16"/>
                <w:color w:val="auto"/>
              </w:rPr>
              <w:t>170,000</w:t>
            </w:r>
          </w:p>
        </w:tc>
        <w:tc>
          <w:tcPr>
            <w:tcW w:w="1020" w:type="dxa"/>
            <w:vAlign w:val="bottom"/>
            <w:tcBorders>
              <w:bottom w:val="single" w:sz="8" w:color="333333"/>
            </w:tcBorders>
          </w:tcPr>
          <w:p>
            <w:pPr>
              <w:jc w:val="right"/>
              <w:ind w:right="19"/>
              <w:spacing w:after="0"/>
              <w:rPr>
                <w:sz w:val="20"/>
                <w:szCs w:val="20"/>
                <w:color w:val="auto"/>
              </w:rPr>
            </w:pPr>
            <w:r>
              <w:rPr>
                <w:rFonts w:ascii="Arial" w:cs="Arial" w:eastAsia="Arial" w:hAnsi="Arial"/>
                <w:sz w:val="16"/>
                <w:szCs w:val="16"/>
                <w:color w:val="auto"/>
              </w:rPr>
              <w:t>535,000</w:t>
            </w:r>
          </w:p>
        </w:tc>
        <w:tc>
          <w:tcPr>
            <w:tcW w:w="0" w:type="dxa"/>
            <w:vAlign w:val="bottom"/>
          </w:tcPr>
          <w:p>
            <w:pPr>
              <w:spacing w:after="0"/>
              <w:rPr>
                <w:sz w:val="1"/>
                <w:szCs w:val="1"/>
                <w:color w:val="auto"/>
              </w:rPr>
            </w:pPr>
          </w:p>
        </w:tc>
      </w:tr>
      <w:tr>
        <w:trPr>
          <w:trHeight w:val="223"/>
        </w:trPr>
        <w:tc>
          <w:tcPr>
            <w:tcW w:w="5960" w:type="dxa"/>
            <w:vAlign w:val="bottom"/>
            <w:tcBorders>
              <w:bottom w:val="single" w:sz="8" w:color="333333"/>
              <w:right w:val="single" w:sz="8" w:color="333333"/>
            </w:tcBorders>
          </w:tcPr>
          <w:p>
            <w:pPr>
              <w:ind w:left="60"/>
              <w:spacing w:after="0"/>
              <w:rPr>
                <w:sz w:val="20"/>
                <w:szCs w:val="20"/>
                <w:color w:val="auto"/>
              </w:rPr>
            </w:pPr>
            <w:r>
              <w:rPr>
                <w:rFonts w:ascii="Arial" w:cs="Arial" w:eastAsia="Arial" w:hAnsi="Arial"/>
                <w:sz w:val="16"/>
                <w:szCs w:val="16"/>
                <w:b w:val="1"/>
                <w:bCs w:val="1"/>
                <w:color w:val="auto"/>
              </w:rPr>
              <w:t>Michael A. Neal</w:t>
            </w:r>
          </w:p>
        </w:tc>
        <w:tc>
          <w:tcPr>
            <w:tcW w:w="1480" w:type="dxa"/>
            <w:vAlign w:val="bottom"/>
            <w:tcBorders>
              <w:bottom w:val="single" w:sz="8" w:color="333333"/>
              <w:right w:val="single" w:sz="8" w:color="333333"/>
            </w:tcBorders>
          </w:tcPr>
          <w:p>
            <w:pPr>
              <w:jc w:val="right"/>
              <w:ind w:right="39"/>
              <w:spacing w:after="0"/>
              <w:rPr>
                <w:sz w:val="20"/>
                <w:szCs w:val="20"/>
                <w:color w:val="auto"/>
              </w:rPr>
            </w:pPr>
            <w:r>
              <w:rPr>
                <w:rFonts w:ascii="Arial" w:cs="Arial" w:eastAsia="Arial" w:hAnsi="Arial"/>
                <w:sz w:val="16"/>
                <w:szCs w:val="16"/>
                <w:color w:val="auto"/>
              </w:rPr>
              <w:t>115,000</w:t>
            </w:r>
          </w:p>
        </w:tc>
        <w:tc>
          <w:tcPr>
            <w:tcW w:w="1060" w:type="dxa"/>
            <w:vAlign w:val="bottom"/>
            <w:tcBorders>
              <w:bottom w:val="single" w:sz="8" w:color="333333"/>
              <w:right w:val="single" w:sz="8" w:color="333333"/>
            </w:tcBorders>
          </w:tcPr>
          <w:p>
            <w:pPr>
              <w:jc w:val="right"/>
              <w:ind w:right="39"/>
              <w:spacing w:after="0"/>
              <w:rPr>
                <w:sz w:val="20"/>
                <w:szCs w:val="20"/>
                <w:color w:val="auto"/>
              </w:rPr>
            </w:pPr>
            <w:r>
              <w:rPr>
                <w:rFonts w:ascii="Arial" w:cs="Arial" w:eastAsia="Arial" w:hAnsi="Arial"/>
                <w:sz w:val="16"/>
                <w:szCs w:val="16"/>
                <w:color w:val="auto"/>
              </w:rPr>
              <w:t>250,000</w:t>
            </w:r>
          </w:p>
        </w:tc>
        <w:tc>
          <w:tcPr>
            <w:tcW w:w="1500" w:type="dxa"/>
            <w:vAlign w:val="bottom"/>
            <w:tcBorders>
              <w:bottom w:val="single" w:sz="8" w:color="333333"/>
              <w:right w:val="single" w:sz="8" w:color="333333"/>
            </w:tcBorders>
          </w:tcPr>
          <w:p>
            <w:pPr>
              <w:jc w:val="right"/>
              <w:ind w:right="19"/>
              <w:spacing w:after="0"/>
              <w:rPr>
                <w:sz w:val="20"/>
                <w:szCs w:val="20"/>
                <w:color w:val="auto"/>
              </w:rPr>
            </w:pPr>
            <w:r>
              <w:rPr>
                <w:rFonts w:ascii="Arial" w:cs="Arial" w:eastAsia="Arial" w:hAnsi="Arial"/>
                <w:sz w:val="16"/>
                <w:szCs w:val="16"/>
                <w:color w:val="auto"/>
              </w:rPr>
              <w:t>15,000</w:t>
            </w:r>
          </w:p>
        </w:tc>
        <w:tc>
          <w:tcPr>
            <w:tcW w:w="1020" w:type="dxa"/>
            <w:vAlign w:val="bottom"/>
            <w:tcBorders>
              <w:bottom w:val="single" w:sz="8" w:color="333333"/>
            </w:tcBorders>
          </w:tcPr>
          <w:p>
            <w:pPr>
              <w:jc w:val="right"/>
              <w:ind w:right="19"/>
              <w:spacing w:after="0"/>
              <w:rPr>
                <w:sz w:val="20"/>
                <w:szCs w:val="20"/>
                <w:color w:val="auto"/>
              </w:rPr>
            </w:pPr>
            <w:r>
              <w:rPr>
                <w:rFonts w:ascii="Arial" w:cs="Arial" w:eastAsia="Arial" w:hAnsi="Arial"/>
                <w:sz w:val="16"/>
                <w:szCs w:val="16"/>
                <w:color w:val="auto"/>
              </w:rPr>
              <w:t>380,000</w:t>
            </w:r>
          </w:p>
        </w:tc>
        <w:tc>
          <w:tcPr>
            <w:tcW w:w="0" w:type="dxa"/>
            <w:vAlign w:val="bottom"/>
          </w:tcPr>
          <w:p>
            <w:pPr>
              <w:spacing w:after="0"/>
              <w:rPr>
                <w:sz w:val="1"/>
                <w:szCs w:val="1"/>
                <w:color w:val="auto"/>
              </w:rPr>
            </w:pPr>
          </w:p>
        </w:tc>
      </w:tr>
      <w:tr>
        <w:trPr>
          <w:trHeight w:val="223"/>
        </w:trPr>
        <w:tc>
          <w:tcPr>
            <w:tcW w:w="5960" w:type="dxa"/>
            <w:vAlign w:val="bottom"/>
            <w:tcBorders>
              <w:bottom w:val="single" w:sz="8" w:color="333333"/>
              <w:right w:val="single" w:sz="8" w:color="333333"/>
            </w:tcBorders>
          </w:tcPr>
          <w:p>
            <w:pPr>
              <w:ind w:left="60"/>
              <w:spacing w:after="0"/>
              <w:rPr>
                <w:sz w:val="20"/>
                <w:szCs w:val="20"/>
                <w:color w:val="auto"/>
              </w:rPr>
            </w:pPr>
            <w:r>
              <w:rPr>
                <w:rFonts w:ascii="Arial" w:cs="Arial" w:eastAsia="Arial" w:hAnsi="Arial"/>
                <w:sz w:val="16"/>
                <w:szCs w:val="16"/>
                <w:b w:val="1"/>
                <w:bCs w:val="1"/>
                <w:color w:val="auto"/>
              </w:rPr>
              <w:t>Lee R. Raymond</w:t>
            </w:r>
          </w:p>
        </w:tc>
        <w:tc>
          <w:tcPr>
            <w:tcW w:w="1480" w:type="dxa"/>
            <w:vAlign w:val="bottom"/>
            <w:tcBorders>
              <w:bottom w:val="single" w:sz="8" w:color="333333"/>
              <w:right w:val="single" w:sz="8" w:color="333333"/>
            </w:tcBorders>
          </w:tcPr>
          <w:p>
            <w:pPr>
              <w:jc w:val="right"/>
              <w:ind w:right="39"/>
              <w:spacing w:after="0"/>
              <w:rPr>
                <w:sz w:val="20"/>
                <w:szCs w:val="20"/>
                <w:color w:val="auto"/>
              </w:rPr>
            </w:pPr>
            <w:r>
              <w:rPr>
                <w:rFonts w:ascii="Arial" w:cs="Arial" w:eastAsia="Arial" w:hAnsi="Arial"/>
                <w:sz w:val="16"/>
                <w:szCs w:val="16"/>
                <w:color w:val="auto"/>
              </w:rPr>
              <w:t>145,000</w:t>
            </w:r>
          </w:p>
        </w:tc>
        <w:tc>
          <w:tcPr>
            <w:tcW w:w="1060" w:type="dxa"/>
            <w:vAlign w:val="bottom"/>
            <w:tcBorders>
              <w:bottom w:val="single" w:sz="8" w:color="333333"/>
              <w:right w:val="single" w:sz="8" w:color="333333"/>
            </w:tcBorders>
          </w:tcPr>
          <w:p>
            <w:pPr>
              <w:jc w:val="right"/>
              <w:ind w:right="39"/>
              <w:spacing w:after="0"/>
              <w:rPr>
                <w:sz w:val="20"/>
                <w:szCs w:val="20"/>
                <w:color w:val="auto"/>
              </w:rPr>
            </w:pPr>
            <w:r>
              <w:rPr>
                <w:rFonts w:ascii="Arial" w:cs="Arial" w:eastAsia="Arial" w:hAnsi="Arial"/>
                <w:sz w:val="16"/>
                <w:szCs w:val="16"/>
                <w:color w:val="auto"/>
              </w:rPr>
              <w:t>250,000</w:t>
            </w:r>
          </w:p>
        </w:tc>
        <w:tc>
          <w:tcPr>
            <w:tcW w:w="1500" w:type="dxa"/>
            <w:vAlign w:val="bottom"/>
            <w:tcBorders>
              <w:bottom w:val="single" w:sz="8" w:color="333333"/>
              <w:right w:val="single" w:sz="8" w:color="333333"/>
            </w:tcBorders>
          </w:tcPr>
          <w:p>
            <w:pPr>
              <w:jc w:val="right"/>
              <w:ind w:right="19"/>
              <w:spacing w:after="0"/>
              <w:rPr>
                <w:sz w:val="20"/>
                <w:szCs w:val="20"/>
                <w:color w:val="auto"/>
              </w:rPr>
            </w:pPr>
            <w:r>
              <w:rPr>
                <w:rFonts w:ascii="Arial" w:cs="Arial" w:eastAsia="Arial" w:hAnsi="Arial"/>
                <w:sz w:val="16"/>
                <w:szCs w:val="16"/>
                <w:color w:val="auto"/>
              </w:rPr>
              <w:t>52,500</w:t>
            </w:r>
          </w:p>
        </w:tc>
        <w:tc>
          <w:tcPr>
            <w:tcW w:w="1020" w:type="dxa"/>
            <w:vAlign w:val="bottom"/>
            <w:tcBorders>
              <w:bottom w:val="single" w:sz="8" w:color="333333"/>
            </w:tcBorders>
          </w:tcPr>
          <w:p>
            <w:pPr>
              <w:jc w:val="right"/>
              <w:ind w:right="19"/>
              <w:spacing w:after="0"/>
              <w:rPr>
                <w:sz w:val="20"/>
                <w:szCs w:val="20"/>
                <w:color w:val="auto"/>
              </w:rPr>
            </w:pPr>
            <w:r>
              <w:rPr>
                <w:rFonts w:ascii="Arial" w:cs="Arial" w:eastAsia="Arial" w:hAnsi="Arial"/>
                <w:sz w:val="16"/>
                <w:szCs w:val="16"/>
                <w:color w:val="auto"/>
              </w:rPr>
              <w:t>447,500</w:t>
            </w:r>
          </w:p>
        </w:tc>
        <w:tc>
          <w:tcPr>
            <w:tcW w:w="0" w:type="dxa"/>
            <w:vAlign w:val="bottom"/>
          </w:tcPr>
          <w:p>
            <w:pPr>
              <w:spacing w:after="0"/>
              <w:rPr>
                <w:sz w:val="1"/>
                <w:szCs w:val="1"/>
                <w:color w:val="auto"/>
              </w:rPr>
            </w:pPr>
          </w:p>
        </w:tc>
      </w:tr>
      <w:tr>
        <w:trPr>
          <w:trHeight w:val="229"/>
        </w:trPr>
        <w:tc>
          <w:tcPr>
            <w:tcW w:w="5960" w:type="dxa"/>
            <w:vAlign w:val="bottom"/>
            <w:tcBorders>
              <w:bottom w:val="single" w:sz="8" w:color="333333"/>
              <w:right w:val="single" w:sz="8" w:color="333333"/>
            </w:tcBorders>
          </w:tcPr>
          <w:p>
            <w:pPr>
              <w:ind w:left="60"/>
              <w:spacing w:after="0" w:line="230" w:lineRule="exact"/>
              <w:rPr>
                <w:sz w:val="20"/>
                <w:szCs w:val="20"/>
                <w:color w:val="auto"/>
              </w:rPr>
            </w:pPr>
            <w:r>
              <w:rPr>
                <w:rFonts w:ascii="Arial" w:cs="Arial" w:eastAsia="Arial" w:hAnsi="Arial"/>
                <w:sz w:val="16"/>
                <w:szCs w:val="16"/>
                <w:b w:val="1"/>
                <w:bCs w:val="1"/>
                <w:color w:val="auto"/>
              </w:rPr>
              <w:t>William C. Weldon</w:t>
            </w:r>
            <w:r>
              <w:rPr>
                <w:rFonts w:ascii="Arial" w:cs="Arial" w:eastAsia="Arial" w:hAnsi="Arial"/>
                <w:sz w:val="26"/>
                <w:szCs w:val="26"/>
                <w:b w:val="1"/>
                <w:bCs w:val="1"/>
                <w:color w:val="auto"/>
                <w:vertAlign w:val="superscript"/>
              </w:rPr>
              <w:t>4</w:t>
            </w:r>
          </w:p>
        </w:tc>
        <w:tc>
          <w:tcPr>
            <w:tcW w:w="1480" w:type="dxa"/>
            <w:vAlign w:val="bottom"/>
            <w:tcBorders>
              <w:bottom w:val="single" w:sz="8" w:color="333333"/>
              <w:right w:val="single" w:sz="8" w:color="333333"/>
            </w:tcBorders>
          </w:tcPr>
          <w:p>
            <w:pPr>
              <w:jc w:val="right"/>
              <w:ind w:right="39"/>
              <w:spacing w:after="0"/>
              <w:rPr>
                <w:sz w:val="20"/>
                <w:szCs w:val="20"/>
                <w:color w:val="auto"/>
              </w:rPr>
            </w:pPr>
            <w:r>
              <w:rPr>
                <w:rFonts w:ascii="Arial" w:cs="Arial" w:eastAsia="Arial" w:hAnsi="Arial"/>
                <w:sz w:val="16"/>
                <w:szCs w:val="16"/>
                <w:color w:val="auto"/>
              </w:rPr>
              <w:t>44,547</w:t>
            </w:r>
          </w:p>
        </w:tc>
        <w:tc>
          <w:tcPr>
            <w:tcW w:w="1060" w:type="dxa"/>
            <w:vAlign w:val="bottom"/>
            <w:tcBorders>
              <w:bottom w:val="single" w:sz="8" w:color="333333"/>
              <w:right w:val="single" w:sz="8" w:color="333333"/>
            </w:tcBorders>
          </w:tcPr>
          <w:p>
            <w:pPr>
              <w:jc w:val="right"/>
              <w:ind w:right="39"/>
              <w:spacing w:after="0"/>
              <w:rPr>
                <w:sz w:val="20"/>
                <w:szCs w:val="20"/>
                <w:color w:val="auto"/>
              </w:rPr>
            </w:pPr>
            <w:r>
              <w:rPr>
                <w:rFonts w:ascii="Arial" w:cs="Arial" w:eastAsia="Arial" w:hAnsi="Arial"/>
                <w:sz w:val="16"/>
                <w:szCs w:val="16"/>
                <w:color w:val="auto"/>
              </w:rPr>
              <w:t>250,000</w:t>
            </w:r>
          </w:p>
        </w:tc>
        <w:tc>
          <w:tcPr>
            <w:tcW w:w="1500" w:type="dxa"/>
            <w:vAlign w:val="bottom"/>
            <w:tcBorders>
              <w:bottom w:val="single" w:sz="8" w:color="333333"/>
              <w:right w:val="single" w:sz="8" w:color="333333"/>
            </w:tcBorders>
          </w:tcPr>
          <w:p>
            <w:pPr>
              <w:jc w:val="right"/>
              <w:ind w:right="19"/>
              <w:spacing w:after="0"/>
              <w:rPr>
                <w:sz w:val="20"/>
                <w:szCs w:val="20"/>
                <w:color w:val="auto"/>
              </w:rPr>
            </w:pPr>
            <w:r>
              <w:rPr>
                <w:rFonts w:ascii="Arial" w:cs="Arial" w:eastAsia="Arial" w:hAnsi="Arial"/>
                <w:sz w:val="16"/>
                <w:szCs w:val="16"/>
                <w:color w:val="auto"/>
              </w:rPr>
              <w:t>28,356</w:t>
            </w:r>
          </w:p>
        </w:tc>
        <w:tc>
          <w:tcPr>
            <w:tcW w:w="1020" w:type="dxa"/>
            <w:vAlign w:val="bottom"/>
            <w:tcBorders>
              <w:bottom w:val="single" w:sz="8" w:color="333333"/>
            </w:tcBorders>
          </w:tcPr>
          <w:p>
            <w:pPr>
              <w:jc w:val="right"/>
              <w:ind w:right="19"/>
              <w:spacing w:after="0"/>
              <w:rPr>
                <w:sz w:val="20"/>
                <w:szCs w:val="20"/>
                <w:color w:val="auto"/>
              </w:rPr>
            </w:pPr>
            <w:r>
              <w:rPr>
                <w:rFonts w:ascii="Arial" w:cs="Arial" w:eastAsia="Arial" w:hAnsi="Arial"/>
                <w:sz w:val="16"/>
                <w:szCs w:val="16"/>
                <w:color w:val="auto"/>
              </w:rPr>
              <w:t>322,903</w:t>
            </w: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340" w:right="440" w:hanging="210"/>
        <w:spacing w:after="0" w:line="216" w:lineRule="auto"/>
        <w:tabs>
          <w:tab w:leader="none" w:pos="340" w:val="left"/>
        </w:tabs>
        <w:numPr>
          <w:ilvl w:val="0"/>
          <w:numId w:val="77"/>
        </w:numPr>
        <w:rPr>
          <w:rFonts w:ascii="Arial" w:cs="Arial" w:eastAsia="Arial" w:hAnsi="Arial"/>
          <w:sz w:val="11"/>
          <w:szCs w:val="11"/>
          <w:color w:val="auto"/>
        </w:rPr>
      </w:pPr>
      <w:r>
        <w:rPr>
          <w:rFonts w:ascii="Arial" w:cs="Arial" w:eastAsia="Arial" w:hAnsi="Arial"/>
          <w:sz w:val="13"/>
          <w:szCs w:val="13"/>
          <w:color w:val="auto"/>
        </w:rPr>
        <w:t>Includes fees earned, whether paid in cash or deferred, for service on the Board of Directors. For additional information on each director’s service on committees of JPMorgan Chase, see “Committees of the Board” on pages 24-26.</w:t>
      </w:r>
    </w:p>
    <w:p>
      <w:pPr>
        <w:spacing w:after="0" w:line="1" w:lineRule="exact"/>
        <w:rPr>
          <w:sz w:val="20"/>
          <w:szCs w:val="20"/>
          <w:color w:val="auto"/>
        </w:rPr>
      </w:pPr>
    </w:p>
    <w:p>
      <w:pPr>
        <w:jc w:val="both"/>
        <w:ind w:left="340" w:right="20" w:hanging="210"/>
        <w:spacing w:after="0" w:line="216" w:lineRule="auto"/>
        <w:tabs>
          <w:tab w:leader="none" w:pos="340" w:val="left"/>
        </w:tabs>
        <w:numPr>
          <w:ilvl w:val="0"/>
          <w:numId w:val="78"/>
        </w:numPr>
        <w:rPr>
          <w:rFonts w:ascii="Arial" w:cs="Arial" w:eastAsia="Arial" w:hAnsi="Arial"/>
          <w:sz w:val="11"/>
          <w:szCs w:val="11"/>
          <w:color w:val="auto"/>
        </w:rPr>
      </w:pPr>
      <w:r>
        <w:rPr>
          <w:rFonts w:ascii="Arial" w:cs="Arial" w:eastAsia="Arial" w:hAnsi="Arial"/>
          <w:sz w:val="13"/>
          <w:szCs w:val="13"/>
          <w:color w:val="auto"/>
        </w:rPr>
        <w:t>On January 15, 2019, each director received an annual grant of deferred stock units equal to $250,000, based on a grant date fair market value of the Firm’s common stock of $100.54 per share. The aggregate number of stock and option awards outstanding at December 31, 2019, for each current director is included in the “Security ownership of directors and executive officers” table on page 84 under the columns “SARs/Options exercisable within 60 days” and “Additional underlying stock units,” respectively. All such awards are vested.</w:t>
      </w:r>
    </w:p>
    <w:p>
      <w:pPr>
        <w:spacing w:after="0" w:line="1" w:lineRule="exact"/>
        <w:rPr>
          <w:sz w:val="20"/>
          <w:szCs w:val="20"/>
          <w:color w:val="auto"/>
        </w:rPr>
      </w:pPr>
    </w:p>
    <w:p>
      <w:pPr>
        <w:ind w:left="340" w:right="120" w:hanging="210"/>
        <w:spacing w:after="0" w:line="216" w:lineRule="auto"/>
        <w:tabs>
          <w:tab w:leader="none" w:pos="340" w:val="left"/>
        </w:tabs>
        <w:numPr>
          <w:ilvl w:val="0"/>
          <w:numId w:val="79"/>
        </w:numPr>
        <w:rPr>
          <w:rFonts w:ascii="Arial" w:cs="Arial" w:eastAsia="Arial" w:hAnsi="Arial"/>
          <w:sz w:val="11"/>
          <w:szCs w:val="11"/>
          <w:color w:val="auto"/>
        </w:rPr>
      </w:pPr>
      <w:r>
        <w:rPr>
          <w:rFonts w:ascii="Arial" w:cs="Arial" w:eastAsia="Arial" w:hAnsi="Arial"/>
          <w:sz w:val="13"/>
          <w:szCs w:val="13"/>
          <w:color w:val="auto"/>
        </w:rPr>
        <w:t>Includes fees paid to the non-management directors for their service on the Board of Directors of the Bank or who are members of one or more Specific Purpose Committees. A fee of $2,500 is paid for each Specific Purpose Committee meeting attended (with the exception of the Omnibus Committee). Also includes for Mr. Jackson, $110,000 in compensation during 2019 in consideration of his service as a director of J.P. Morgan Securities plc, the Firm’s principal operating subsidiary outside the U.S. and a subsidiary of the Bank.</w:t>
      </w:r>
    </w:p>
    <w:p>
      <w:pPr>
        <w:spacing w:after="0" w:line="1" w:lineRule="exact"/>
        <w:rPr>
          <w:sz w:val="20"/>
          <w:szCs w:val="20"/>
          <w:color w:val="auto"/>
        </w:rPr>
      </w:pPr>
    </w:p>
    <w:p>
      <w:pPr>
        <w:ind w:left="340" w:right="340" w:hanging="210"/>
        <w:spacing w:after="0" w:line="230" w:lineRule="auto"/>
        <w:tabs>
          <w:tab w:leader="none" w:pos="340" w:val="left"/>
        </w:tabs>
        <w:numPr>
          <w:ilvl w:val="0"/>
          <w:numId w:val="80"/>
        </w:numPr>
        <w:rPr>
          <w:rFonts w:ascii="Arial" w:cs="Arial" w:eastAsia="Arial" w:hAnsi="Arial"/>
          <w:sz w:val="11"/>
          <w:szCs w:val="11"/>
          <w:color w:val="auto"/>
        </w:rPr>
      </w:pPr>
      <w:r>
        <w:rPr>
          <w:rFonts w:ascii="Arial" w:cs="Arial" w:eastAsia="Arial" w:hAnsi="Arial"/>
          <w:sz w:val="13"/>
          <w:szCs w:val="13"/>
          <w:color w:val="auto"/>
        </w:rPr>
        <w:t>Mr. Weldon retired from the Board in May 2019 on the eve of the 2019 annual meeting. Retainers for Board and committee service were pro-rated. Other fees paid to Mr. Weldon include an amount intended to cover taxes for a commemorative item for his service on the Board.</w:t>
      </w:r>
    </w:p>
    <w:p>
      <w:pPr>
        <w:sectPr>
          <w:pgSz w:w="11900" w:h="16838" w:orient="portrait"/>
          <w:cols w:equalWidth="0" w:num="1">
            <w:col w:w="11140"/>
          </w:cols>
          <w:pgMar w:left="320" w:top="459" w:right="439" w:bottom="1440" w:gutter="0" w:footer="0" w:header="0"/>
        </w:sectPr>
      </w:pPr>
    </w:p>
    <w:p>
      <w:pPr>
        <w:spacing w:after="0" w:line="282" w:lineRule="exact"/>
        <w:rPr>
          <w:sz w:val="20"/>
          <w:szCs w:val="20"/>
          <w:color w:val="auto"/>
        </w:rPr>
      </w:pPr>
    </w:p>
    <w:p>
      <w:pPr>
        <w:ind w:left="120" w:right="260"/>
        <w:spacing w:after="0" w:line="252" w:lineRule="auto"/>
        <w:rPr>
          <w:sz w:val="20"/>
          <w:szCs w:val="20"/>
          <w:color w:val="auto"/>
        </w:rPr>
      </w:pPr>
      <w:r>
        <w:rPr>
          <w:rFonts w:ascii="Arial" w:cs="Arial" w:eastAsia="Arial" w:hAnsi="Arial"/>
          <w:sz w:val="29"/>
          <w:szCs w:val="29"/>
          <w:color w:val="004876"/>
        </w:rPr>
        <w:t>Stock ownership: no sales, no hedging, no pledging</w:t>
      </w:r>
    </w:p>
    <w:p>
      <w:pPr>
        <w:spacing w:after="0" w:line="18"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As stated in the Governance Principles and further described in “Anti-hedging/anti-pledging provisions” on page 51, each director agrees to retain all shares of the Firm’s common stock he or she purchased on the open market or received pursuant to his or her service as a Board member for as long as he or she serves on our Board.</w:t>
      </w:r>
    </w:p>
    <w:p>
      <w:pPr>
        <w:spacing w:after="0" w:line="97" w:lineRule="exact"/>
        <w:rPr>
          <w:sz w:val="20"/>
          <w:szCs w:val="20"/>
          <w:color w:val="auto"/>
        </w:rPr>
      </w:pPr>
    </w:p>
    <w:p>
      <w:pPr>
        <w:ind w:left="120" w:right="280"/>
        <w:spacing w:after="0"/>
        <w:rPr>
          <w:sz w:val="20"/>
          <w:szCs w:val="20"/>
          <w:color w:val="auto"/>
        </w:rPr>
      </w:pPr>
      <w:r>
        <w:rPr>
          <w:rFonts w:ascii="Arial" w:cs="Arial" w:eastAsia="Arial" w:hAnsi="Arial"/>
          <w:sz w:val="18"/>
          <w:szCs w:val="18"/>
          <w:color w:val="auto"/>
        </w:rPr>
        <w:t>Shares held personally by a director may not be held in margin accounts or otherwise pledged as collateral, nor may the economic risk of such shares be hedged.</w:t>
      </w:r>
    </w:p>
    <w:p>
      <w:pPr>
        <w:spacing w:after="0" w:line="95"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As detailed on page 84 under “Security ownership of directors and executive officers,” Mr. Crown has ownership of certain shares attributed to him that arise from the business of Henry Crown and Company, an investment company where Mr. Crown serves as Chairman and CEO, and trusts of which Mr. Crown serves as trustee (the “Attributed Shares”). Mr. Crown disclaims beneficial ownership of such Attributed Shares, except to the extent of his pecuniary interest. The Attributed Shares are distinct from shares Mr. Crown or his spouse own individually, or shares held in trusts for the benefit of his children (the “Crown Personally Held Shares”). The Firm has reviewed the potential pledging of the Attributed Shares with Mr. Crown, recognizes Mr. Crown’s distinct obligations with respect to Henry Crown and Company and the trusts, and believes such Attributed Shares may be</w:t>
      </w:r>
    </w:p>
    <w:p>
      <w:pPr>
        <w:spacing w:after="0" w:line="20" w:lineRule="exact"/>
        <w:rPr>
          <w:sz w:val="20"/>
          <w:szCs w:val="20"/>
          <w:color w:val="auto"/>
        </w:rPr>
      </w:pPr>
      <w:r>
        <w:rPr>
          <w:sz w:val="20"/>
          <w:szCs w:val="20"/>
          <w:color w:val="auto"/>
        </w:rPr>
        <w:br w:type="column"/>
      </w:r>
    </w:p>
    <w:p>
      <w:pPr>
        <w:spacing w:after="0" w:line="266"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prudently pledged or held in margin loan accounts. Crown Personally Held Shares are not and may not be held in margin accounts or otherwise pledged as collateral, nor may the economic risk of such shares be hedged.</w:t>
      </w:r>
    </w:p>
    <w:p>
      <w:pPr>
        <w:spacing w:after="0" w:line="202" w:lineRule="exact"/>
        <w:rPr>
          <w:sz w:val="20"/>
          <w:szCs w:val="20"/>
          <w:color w:val="auto"/>
        </w:rPr>
      </w:pPr>
    </w:p>
    <w:p>
      <w:pPr>
        <w:spacing w:after="0"/>
        <w:rPr>
          <w:sz w:val="20"/>
          <w:szCs w:val="20"/>
          <w:color w:val="auto"/>
        </w:rPr>
      </w:pPr>
      <w:r>
        <w:rPr>
          <w:rFonts w:ascii="Arial" w:cs="Arial" w:eastAsia="Arial" w:hAnsi="Arial"/>
          <w:sz w:val="29"/>
          <w:szCs w:val="29"/>
          <w:color w:val="004876"/>
        </w:rPr>
        <w:t>Deferred compensation</w:t>
      </w:r>
    </w:p>
    <w:p>
      <w:pPr>
        <w:spacing w:after="0" w:line="48"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Each year, non-management directors may elect to defer all or part of their cash compensation. A director’s right to receive future payments under any deferred compensation arrangement is an unsecured claim against JPMorgan Chase’s general assets. Cash amounts may be deferred into various investment equivalents, including deferred stock units. Upon retirement from the Board, compensation deferred into stock units will be distributed in stock; all other deferred cash compensation will be distributed in cash. Deferred compensation will be distributed in either a lump sum or in annual installments for up to 15 years as elected by the director commencing in January of the year following the director’s retirement from the Board.</w:t>
      </w:r>
    </w:p>
    <w:p>
      <w:pPr>
        <w:spacing w:after="0" w:line="200" w:lineRule="exact"/>
        <w:rPr>
          <w:sz w:val="20"/>
          <w:szCs w:val="20"/>
          <w:color w:val="auto"/>
        </w:rPr>
      </w:pPr>
    </w:p>
    <w:p>
      <w:pPr>
        <w:spacing w:after="0"/>
        <w:rPr>
          <w:sz w:val="20"/>
          <w:szCs w:val="20"/>
          <w:color w:val="auto"/>
        </w:rPr>
      </w:pPr>
      <w:r>
        <w:rPr>
          <w:rFonts w:ascii="Arial" w:cs="Arial" w:eastAsia="Arial" w:hAnsi="Arial"/>
          <w:sz w:val="29"/>
          <w:szCs w:val="29"/>
          <w:color w:val="004876"/>
        </w:rPr>
        <w:t>Reimbursements and insurance</w:t>
      </w:r>
    </w:p>
    <w:p>
      <w:pPr>
        <w:spacing w:after="0" w:line="34"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The Firm reimburses directors for their expenses in connection with their Board service or pays such expenses directly. The Firm also pays the premiums on directors’ and officers’ liability insurance policies and on travel accident insurance policies covering directors as well as employees of the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429260</wp:posOffset>
            </wp:positionV>
            <wp:extent cx="7029450" cy="19685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029450" cy="196850"/>
                    </a:xfrm>
                    <a:prstGeom prst="rect">
                      <a:avLst/>
                    </a:prstGeom>
                    <a:noFill/>
                  </pic:spPr>
                </pic:pic>
              </a:graphicData>
            </a:graphic>
          </wp:anchor>
        </w:drawing>
      </w:r>
    </w:p>
    <w:p>
      <w:pPr>
        <w:spacing w:after="0" w:line="350" w:lineRule="exact"/>
        <w:rPr>
          <w:sz w:val="20"/>
          <w:szCs w:val="20"/>
          <w:color w:val="auto"/>
        </w:rPr>
      </w:pPr>
    </w:p>
    <w:p>
      <w:pPr>
        <w:sectPr>
          <w:pgSz w:w="11900" w:h="16838" w:orient="portrait"/>
          <w:cols w:equalWidth="0" w:num="2">
            <w:col w:w="5380" w:space="360"/>
            <w:col w:w="5400"/>
          </w:cols>
          <w:pgMar w:left="320" w:top="459" w:right="439" w:bottom="1440" w:gutter="0" w:footer="0" w:header="0"/>
          <w:type w:val="continuous"/>
        </w:sectPr>
      </w:pP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Arial" w:cs="Arial" w:eastAsia="Arial" w:hAnsi="Arial"/>
          <w:sz w:val="13"/>
          <w:szCs w:val="13"/>
          <w:b w:val="1"/>
          <w:bCs w:val="1"/>
          <w:color w:val="004876"/>
        </w:rPr>
        <w:t>33</w:t>
      </w:r>
    </w:p>
    <w:p>
      <w:pPr>
        <w:sectPr>
          <w:pgSz w:w="11900" w:h="16838" w:orient="portrait"/>
          <w:cols w:equalWidth="0" w:num="1">
            <w:col w:w="11140"/>
          </w:cols>
          <w:pgMar w:left="320" w:top="459" w:right="439" w:bottom="1440" w:gutter="0" w:footer="0" w:header="0"/>
          <w:type w:val="continuous"/>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4876"/>
        </w:rPr>
        <w:t>OTHER CORPORATE GOVERNANCE POLICIES AND PRACTICES |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12" w:lineRule="exact"/>
        <w:rPr>
          <w:sz w:val="20"/>
          <w:szCs w:val="20"/>
          <w:color w:val="auto"/>
        </w:rPr>
      </w:pPr>
    </w:p>
    <w:p>
      <w:pPr>
        <w:ind w:left="120"/>
        <w:spacing w:after="0"/>
        <w:rPr>
          <w:sz w:val="20"/>
          <w:szCs w:val="20"/>
          <w:color w:val="auto"/>
        </w:rPr>
      </w:pPr>
      <w:r>
        <w:rPr>
          <w:rFonts w:ascii="Arial" w:cs="Arial" w:eastAsia="Arial" w:hAnsi="Arial"/>
          <w:sz w:val="43"/>
          <w:szCs w:val="43"/>
          <w:color w:val="004876"/>
        </w:rPr>
        <w:t>Other corporate governance policies and practices</w:t>
      </w:r>
    </w:p>
    <w:p>
      <w:pPr>
        <w:sectPr>
          <w:pgSz w:w="11900" w:h="16838" w:orient="portrait"/>
          <w:cols w:equalWidth="0" w:num="1">
            <w:col w:w="11140"/>
          </w:cols>
          <w:pgMar w:left="320" w:top="459" w:right="439" w:bottom="1440" w:gutter="0" w:footer="0" w:header="0"/>
        </w:sectPr>
      </w:pPr>
    </w:p>
    <w:p>
      <w:pPr>
        <w:spacing w:after="0" w:line="178" w:lineRule="exact"/>
        <w:rPr>
          <w:sz w:val="20"/>
          <w:szCs w:val="20"/>
          <w:color w:val="auto"/>
        </w:rPr>
      </w:pPr>
    </w:p>
    <w:p>
      <w:pPr>
        <w:ind w:left="120"/>
        <w:spacing w:after="0"/>
        <w:rPr>
          <w:sz w:val="20"/>
          <w:szCs w:val="20"/>
          <w:color w:val="auto"/>
        </w:rPr>
      </w:pPr>
      <w:r>
        <w:rPr>
          <w:rFonts w:ascii="Arial" w:cs="Arial" w:eastAsia="Arial" w:hAnsi="Arial"/>
          <w:sz w:val="29"/>
          <w:szCs w:val="29"/>
          <w:color w:val="004876"/>
        </w:rPr>
        <w:t>Shareholder rights</w:t>
      </w:r>
    </w:p>
    <w:p>
      <w:pPr>
        <w:spacing w:after="0" w:line="48" w:lineRule="exact"/>
        <w:rPr>
          <w:sz w:val="20"/>
          <w:szCs w:val="20"/>
          <w:color w:val="auto"/>
        </w:rPr>
      </w:pPr>
    </w:p>
    <w:p>
      <w:pPr>
        <w:ind w:left="120" w:right="600"/>
        <w:spacing w:after="0" w:line="246" w:lineRule="auto"/>
        <w:rPr>
          <w:sz w:val="20"/>
          <w:szCs w:val="20"/>
          <w:color w:val="auto"/>
        </w:rPr>
      </w:pPr>
      <w:r>
        <w:rPr>
          <w:rFonts w:ascii="Arial" w:cs="Arial" w:eastAsia="Arial" w:hAnsi="Arial"/>
          <w:sz w:val="18"/>
          <w:szCs w:val="18"/>
          <w:color w:val="auto"/>
        </w:rPr>
        <w:t>The Firm’s Certificate of Incorporation and By-laws provide shareholders with important rights, including:</w:t>
      </w:r>
    </w:p>
    <w:p>
      <w:pPr>
        <w:spacing w:after="0" w:line="102" w:lineRule="exact"/>
        <w:rPr>
          <w:sz w:val="20"/>
          <w:szCs w:val="20"/>
          <w:color w:val="auto"/>
        </w:rPr>
      </w:pPr>
    </w:p>
    <w:p>
      <w:pPr>
        <w:ind w:left="300" w:right="100" w:hanging="184"/>
        <w:spacing w:after="0" w:line="257" w:lineRule="auto"/>
        <w:tabs>
          <w:tab w:leader="none" w:pos="300" w:val="left"/>
        </w:tabs>
        <w:numPr>
          <w:ilvl w:val="0"/>
          <w:numId w:val="81"/>
        </w:numPr>
        <w:rPr>
          <w:rFonts w:ascii="Arial" w:cs="Arial" w:eastAsia="Arial" w:hAnsi="Arial"/>
          <w:sz w:val="17"/>
          <w:szCs w:val="17"/>
          <w:color w:val="004876"/>
        </w:rPr>
      </w:pPr>
      <w:r>
        <w:rPr>
          <w:rFonts w:ascii="Arial" w:cs="Arial" w:eastAsia="Arial" w:hAnsi="Arial"/>
          <w:sz w:val="17"/>
          <w:szCs w:val="17"/>
          <w:color w:val="auto"/>
        </w:rPr>
        <w:t>Proxy access, which enables eligible shareholders to include their nominees for election as directors in the Firm’s proxy statement. For further information, see page 112, “Shareholder proposals and nominations for the 2021 annual meeting.”</w:t>
      </w:r>
    </w:p>
    <w:p>
      <w:pPr>
        <w:spacing w:after="0" w:line="94" w:lineRule="exact"/>
        <w:rPr>
          <w:rFonts w:ascii="Arial" w:cs="Arial" w:eastAsia="Arial" w:hAnsi="Arial"/>
          <w:sz w:val="17"/>
          <w:szCs w:val="17"/>
          <w:color w:val="004876"/>
        </w:rPr>
      </w:pPr>
    </w:p>
    <w:p>
      <w:pPr>
        <w:jc w:val="both"/>
        <w:ind w:left="300" w:right="160" w:hanging="184"/>
        <w:spacing w:after="0"/>
        <w:tabs>
          <w:tab w:leader="none" w:pos="300" w:val="left"/>
        </w:tabs>
        <w:numPr>
          <w:ilvl w:val="0"/>
          <w:numId w:val="81"/>
        </w:numPr>
        <w:rPr>
          <w:rFonts w:ascii="Arial" w:cs="Arial" w:eastAsia="Arial" w:hAnsi="Arial"/>
          <w:sz w:val="18"/>
          <w:szCs w:val="18"/>
          <w:color w:val="004876"/>
        </w:rPr>
      </w:pPr>
      <w:r>
        <w:rPr>
          <w:rFonts w:ascii="Arial" w:cs="Arial" w:eastAsia="Arial" w:hAnsi="Arial"/>
          <w:sz w:val="18"/>
          <w:szCs w:val="18"/>
          <w:color w:val="auto"/>
        </w:rPr>
        <w:t>The ability to call a special meeting by shareholders holding at least 20% of the outstanding shares of our common stock (net of hedges)</w:t>
      </w:r>
    </w:p>
    <w:p>
      <w:pPr>
        <w:spacing w:after="0" w:line="108" w:lineRule="exact"/>
        <w:rPr>
          <w:rFonts w:ascii="Arial" w:cs="Arial" w:eastAsia="Arial" w:hAnsi="Arial"/>
          <w:sz w:val="18"/>
          <w:szCs w:val="18"/>
          <w:color w:val="004876"/>
        </w:rPr>
      </w:pPr>
    </w:p>
    <w:p>
      <w:pPr>
        <w:ind w:left="300" w:right="20" w:hanging="184"/>
        <w:spacing w:after="0" w:line="238" w:lineRule="auto"/>
        <w:tabs>
          <w:tab w:leader="none" w:pos="300" w:val="left"/>
        </w:tabs>
        <w:numPr>
          <w:ilvl w:val="0"/>
          <w:numId w:val="81"/>
        </w:numPr>
        <w:rPr>
          <w:rFonts w:ascii="Arial" w:cs="Arial" w:eastAsia="Arial" w:hAnsi="Arial"/>
          <w:sz w:val="18"/>
          <w:szCs w:val="18"/>
          <w:color w:val="004876"/>
        </w:rPr>
      </w:pPr>
      <w:r>
        <w:rPr>
          <w:rFonts w:ascii="Arial" w:cs="Arial" w:eastAsia="Arial" w:hAnsi="Arial"/>
          <w:sz w:val="18"/>
          <w:szCs w:val="18"/>
          <w:color w:val="auto"/>
        </w:rPr>
        <w:t>The ability of shareholders holding at least 20% of the outstanding shares of our common stock (net of hedges) to seek a corporate action by written consent without a meeting on terms substantially similar to the terms applicable to call special meetings</w:t>
      </w:r>
    </w:p>
    <w:p>
      <w:pPr>
        <w:spacing w:after="0" w:line="107" w:lineRule="exact"/>
        <w:rPr>
          <w:rFonts w:ascii="Arial" w:cs="Arial" w:eastAsia="Arial" w:hAnsi="Arial"/>
          <w:sz w:val="18"/>
          <w:szCs w:val="18"/>
          <w:color w:val="004876"/>
        </w:rPr>
      </w:pPr>
    </w:p>
    <w:p>
      <w:pPr>
        <w:ind w:left="300" w:hanging="184"/>
        <w:spacing w:after="0"/>
        <w:tabs>
          <w:tab w:leader="none" w:pos="300" w:val="left"/>
        </w:tabs>
        <w:numPr>
          <w:ilvl w:val="0"/>
          <w:numId w:val="81"/>
        </w:numPr>
        <w:rPr>
          <w:rFonts w:ascii="Arial" w:cs="Arial" w:eastAsia="Arial" w:hAnsi="Arial"/>
          <w:sz w:val="18"/>
          <w:szCs w:val="18"/>
          <w:color w:val="004876"/>
        </w:rPr>
      </w:pPr>
      <w:r>
        <w:rPr>
          <w:rFonts w:ascii="Arial" w:cs="Arial" w:eastAsia="Arial" w:hAnsi="Arial"/>
          <w:sz w:val="18"/>
          <w:szCs w:val="18"/>
          <w:color w:val="auto"/>
        </w:rPr>
        <w:t>Majority election of directors</w:t>
      </w:r>
    </w:p>
    <w:p>
      <w:pPr>
        <w:spacing w:after="0" w:line="117" w:lineRule="exact"/>
        <w:rPr>
          <w:rFonts w:ascii="Arial" w:cs="Arial" w:eastAsia="Arial" w:hAnsi="Arial"/>
          <w:sz w:val="18"/>
          <w:szCs w:val="18"/>
          <w:color w:val="004876"/>
        </w:rPr>
      </w:pPr>
    </w:p>
    <w:p>
      <w:pPr>
        <w:ind w:left="300" w:hanging="184"/>
        <w:spacing w:after="0"/>
        <w:tabs>
          <w:tab w:leader="none" w:pos="300" w:val="left"/>
        </w:tabs>
        <w:numPr>
          <w:ilvl w:val="0"/>
          <w:numId w:val="81"/>
        </w:numPr>
        <w:rPr>
          <w:rFonts w:ascii="Arial" w:cs="Arial" w:eastAsia="Arial" w:hAnsi="Arial"/>
          <w:sz w:val="18"/>
          <w:szCs w:val="18"/>
          <w:color w:val="004876"/>
        </w:rPr>
      </w:pPr>
      <w:r>
        <w:rPr>
          <w:rFonts w:ascii="Arial" w:cs="Arial" w:eastAsia="Arial" w:hAnsi="Arial"/>
          <w:sz w:val="18"/>
          <w:szCs w:val="18"/>
          <w:color w:val="auto"/>
        </w:rPr>
        <w:t>No “poison pill” in effect</w:t>
      </w:r>
    </w:p>
    <w:p>
      <w:pPr>
        <w:spacing w:after="0" w:line="117" w:lineRule="exact"/>
        <w:rPr>
          <w:rFonts w:ascii="Arial" w:cs="Arial" w:eastAsia="Arial" w:hAnsi="Arial"/>
          <w:sz w:val="18"/>
          <w:szCs w:val="18"/>
          <w:color w:val="004876"/>
        </w:rPr>
      </w:pPr>
    </w:p>
    <w:p>
      <w:pPr>
        <w:ind w:left="300" w:right="640" w:hanging="184"/>
        <w:spacing w:after="0" w:line="246" w:lineRule="auto"/>
        <w:tabs>
          <w:tab w:leader="none" w:pos="300" w:val="left"/>
        </w:tabs>
        <w:numPr>
          <w:ilvl w:val="0"/>
          <w:numId w:val="81"/>
        </w:numPr>
        <w:rPr>
          <w:rFonts w:ascii="Arial" w:cs="Arial" w:eastAsia="Arial" w:hAnsi="Arial"/>
          <w:sz w:val="18"/>
          <w:szCs w:val="18"/>
          <w:color w:val="004876"/>
        </w:rPr>
      </w:pPr>
      <w:r>
        <w:rPr>
          <w:rFonts w:ascii="Arial" w:cs="Arial" w:eastAsia="Arial" w:hAnsi="Arial"/>
          <w:sz w:val="18"/>
          <w:szCs w:val="18"/>
          <w:color w:val="auto"/>
        </w:rPr>
        <w:t>No super-majority vote requirements in our Certificate of Incorporation or By-laws</w:t>
      </w:r>
    </w:p>
    <w:p>
      <w:pPr>
        <w:spacing w:after="0" w:line="89" w:lineRule="exact"/>
        <w:rPr>
          <w:sz w:val="20"/>
          <w:szCs w:val="20"/>
          <w:color w:val="auto"/>
        </w:rPr>
      </w:pPr>
    </w:p>
    <w:p>
      <w:pPr>
        <w:ind w:left="120" w:right="180"/>
        <w:spacing w:after="0" w:line="246" w:lineRule="auto"/>
        <w:rPr>
          <w:sz w:val="20"/>
          <w:szCs w:val="20"/>
          <w:color w:val="auto"/>
        </w:rPr>
      </w:pPr>
      <w:r>
        <w:rPr>
          <w:rFonts w:ascii="Arial" w:cs="Arial" w:eastAsia="Arial" w:hAnsi="Arial"/>
          <w:sz w:val="18"/>
          <w:szCs w:val="18"/>
          <w:color w:val="auto"/>
        </w:rPr>
        <w:t>The Firm’s Certificate of Incorporation and By-laws are available on our website at jpmorganchase.com/governance.</w:t>
      </w:r>
    </w:p>
    <w:p>
      <w:pPr>
        <w:spacing w:after="0" w:line="193" w:lineRule="exact"/>
        <w:rPr>
          <w:sz w:val="20"/>
          <w:szCs w:val="20"/>
          <w:color w:val="auto"/>
        </w:rPr>
      </w:pPr>
    </w:p>
    <w:p>
      <w:pPr>
        <w:ind w:left="120" w:right="300"/>
        <w:spacing w:after="0" w:line="252" w:lineRule="auto"/>
        <w:rPr>
          <w:sz w:val="20"/>
          <w:szCs w:val="20"/>
          <w:color w:val="auto"/>
        </w:rPr>
      </w:pPr>
      <w:r>
        <w:rPr>
          <w:rFonts w:ascii="Arial" w:cs="Arial" w:eastAsia="Arial" w:hAnsi="Arial"/>
          <w:sz w:val="29"/>
          <w:szCs w:val="29"/>
          <w:color w:val="004876"/>
        </w:rPr>
        <w:t>Policies and procedures for approval of related party transactions</w:t>
      </w:r>
    </w:p>
    <w:p>
      <w:pPr>
        <w:spacing w:after="0" w:line="18" w:lineRule="exact"/>
        <w:rPr>
          <w:sz w:val="20"/>
          <w:szCs w:val="20"/>
          <w:color w:val="auto"/>
        </w:rPr>
      </w:pPr>
    </w:p>
    <w:p>
      <w:pPr>
        <w:ind w:left="120" w:right="100"/>
        <w:spacing w:after="0" w:line="236" w:lineRule="auto"/>
        <w:rPr>
          <w:sz w:val="20"/>
          <w:szCs w:val="20"/>
          <w:color w:val="auto"/>
        </w:rPr>
      </w:pPr>
      <w:r>
        <w:rPr>
          <w:rFonts w:ascii="Arial" w:cs="Arial" w:eastAsia="Arial" w:hAnsi="Arial"/>
          <w:sz w:val="18"/>
          <w:szCs w:val="18"/>
          <w:color w:val="auto"/>
        </w:rPr>
        <w:t>The Firm has adopted a written Transactions with Related Persons Policy (“Policy”), which sets forth the Firm’s policies and procedures for reviewing and approving transactions with related persons – basically our directors, executive officers, their respective immediate family members and 5% shareholders. The transactions covered by the Policy include any financial transaction, arrangement or relationship in which the Firm is a participant, the related person has or will have a direct or indirect material interest and the aggregate amount involved will or may be expected to exceed $120,000 in any fiscal year.</w:t>
      </w:r>
    </w:p>
    <w:p>
      <w:pPr>
        <w:spacing w:after="0" w:line="98"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After becoming aware of any transaction which may be subject to the Policy, the related person is required to report all relevant facts with respect to the transaction to the General Counsel of the Firm. Upon determination by the General Counsel that a transaction requires review under the Policy, the material facts of the transaction and the related person’s interest in the transaction are provided to the Governance Committee. The transaction is then reviewed by the disinterested members of the Governance Committee, who determine whether approval</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or ratification of the transaction shall be granted. In reviewing a transaction, the Governance Committee considers facts and circumstances that it deems relevant to its determination, such as: management’s assessment of the commercial reasonableness of the transaction; the materiality of the related person’s direct or indirect interest in the transaction; whether the transaction may involve an actual, or the appearance of, a conflict of interest; and, if the transaction involves a director, the impact of the transaction on the director’s independence.</w:t>
      </w:r>
    </w:p>
    <w:p>
      <w:pPr>
        <w:spacing w:after="0" w:line="207"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Certain types of transactions are pre-approved in accordance with the terms of the Policy. These include transactions in the ordinary course of business involving financial products and services provided by, or to, the Firm, including loans, provided such transactions are in compliance with the Sarbanes-Oxley Act of 2002, Federal Reserve Board Regulation O and other applicable laws and regulations.</w:t>
      </w:r>
    </w:p>
    <w:p>
      <w:pPr>
        <w:spacing w:after="0" w:line="199" w:lineRule="exact"/>
        <w:rPr>
          <w:sz w:val="20"/>
          <w:szCs w:val="20"/>
          <w:color w:val="auto"/>
        </w:rPr>
      </w:pPr>
    </w:p>
    <w:p>
      <w:pPr>
        <w:ind w:right="620"/>
        <w:spacing w:after="0" w:line="267" w:lineRule="auto"/>
        <w:rPr>
          <w:sz w:val="20"/>
          <w:szCs w:val="20"/>
          <w:color w:val="auto"/>
        </w:rPr>
      </w:pPr>
      <w:r>
        <w:rPr>
          <w:rFonts w:ascii="Arial" w:cs="Arial" w:eastAsia="Arial" w:hAnsi="Arial"/>
          <w:sz w:val="28"/>
          <w:szCs w:val="28"/>
          <w:color w:val="004876"/>
        </w:rPr>
        <w:t>Transactions with directors, executive officers and 5% shareholders</w:t>
      </w:r>
    </w:p>
    <w:p>
      <w:pPr>
        <w:spacing w:after="0" w:line="2"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Our directors and executive officers, and some of their immediate family members and affiliated entities, and BlackRock and Vanguard, beneficial owners of more than 5% of our outstanding common stock, were customers of, or had transactions with or involving, JPMorgan Chase or our banking or other subsidiaries in the ordinary course of business during 2019. Additional transactions may be expected to take place in the future.</w:t>
      </w:r>
    </w:p>
    <w:p>
      <w:pPr>
        <w:spacing w:after="0" w:line="95" w:lineRule="exact"/>
        <w:rPr>
          <w:sz w:val="20"/>
          <w:szCs w:val="20"/>
          <w:color w:val="auto"/>
        </w:rPr>
      </w:pPr>
    </w:p>
    <w:p>
      <w:pPr>
        <w:ind w:right="60"/>
        <w:spacing w:after="0" w:line="250" w:lineRule="auto"/>
        <w:rPr>
          <w:sz w:val="20"/>
          <w:szCs w:val="20"/>
          <w:color w:val="auto"/>
        </w:rPr>
      </w:pPr>
      <w:r>
        <w:rPr>
          <w:rFonts w:ascii="Arial" w:cs="Arial" w:eastAsia="Arial" w:hAnsi="Arial"/>
          <w:sz w:val="17"/>
          <w:szCs w:val="17"/>
          <w:color w:val="auto"/>
        </w:rPr>
        <w:t>Any outstanding loans to the foregoing persons and entities and any other transactions involving the Firm’s financial products and services (such as banking, brokerage, investment, investment banking, and financial advisory products and services) provided to such persons and entities: (i) were made in the ordinary course of business, (ii) were made on substantially the same terms (including interest rates and collateral (where applicable)), as those prevailing at the time for comparable transactions with persons and entities not related to the Firm (or, where eligible with respect to executive officers, immediate family members and affiliated entities, on such terms as are available under our employee benefits or compensation programs), and (iii) did not involve more than the normal risk of collectibility or present other unfavorable features.</w:t>
      </w:r>
    </w:p>
    <w:p>
      <w:pPr>
        <w:spacing w:after="0" w:line="93"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The fiduciary committees for the JPMorgan Chase Retirement Plan and for the JPMorgan Chase 401(k) Savings Plan (each, a “Plan”) entered into agreements with BlackRock giving it discretionary authority to manage certain assets on behalf of each Plan. Pursuant to these agreements, fees of approximately $3.6 million were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507365</wp:posOffset>
            </wp:positionV>
            <wp:extent cx="7029450" cy="19685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029450" cy="196850"/>
                    </a:xfrm>
                    <a:prstGeom prst="rect">
                      <a:avLst/>
                    </a:prstGeom>
                    <a:noFill/>
                  </pic:spPr>
                </pic:pic>
              </a:graphicData>
            </a:graphic>
          </wp:anchor>
        </w:drawing>
      </w:r>
    </w:p>
    <w:p>
      <w:pPr>
        <w:spacing w:after="0" w:line="481" w:lineRule="exact"/>
        <w:rPr>
          <w:sz w:val="20"/>
          <w:szCs w:val="20"/>
          <w:color w:val="auto"/>
        </w:rPr>
      </w:pPr>
    </w:p>
    <w:p>
      <w:pPr>
        <w:sectPr>
          <w:pgSz w:w="11900" w:h="16838" w:orient="portrait"/>
          <w:cols w:equalWidth="0" w:num="2">
            <w:col w:w="5400" w:space="340"/>
            <w:col w:w="5400"/>
          </w:cols>
          <w:pgMar w:left="320" w:top="459" w:right="439" w:bottom="1440" w:gutter="0" w:footer="0" w:header="0"/>
          <w:type w:val="continuous"/>
        </w:sectPr>
      </w:pPr>
    </w:p>
    <w:p>
      <w:pPr>
        <w:spacing w:after="0" w:line="396" w:lineRule="exact"/>
        <w:rPr>
          <w:sz w:val="20"/>
          <w:szCs w:val="20"/>
          <w:color w:val="auto"/>
        </w:rPr>
      </w:pPr>
    </w:p>
    <w:p>
      <w:pPr>
        <w:jc w:val="center"/>
        <w:ind w:right="-99"/>
        <w:spacing w:after="0"/>
        <w:rPr>
          <w:sz w:val="20"/>
          <w:szCs w:val="20"/>
          <w:color w:val="auto"/>
        </w:rPr>
      </w:pPr>
      <w:r>
        <w:rPr>
          <w:rFonts w:ascii="Arial" w:cs="Arial" w:eastAsia="Arial" w:hAnsi="Arial"/>
          <w:sz w:val="13"/>
          <w:szCs w:val="13"/>
          <w:b w:val="1"/>
          <w:bCs w:val="1"/>
          <w:color w:val="004876"/>
        </w:rPr>
        <w:t>34</w:t>
      </w:r>
    </w:p>
    <w:p>
      <w:pPr>
        <w:sectPr>
          <w:pgSz w:w="11900" w:h="16838" w:orient="portrait"/>
          <w:cols w:equalWidth="0" w:num="1">
            <w:col w:w="11140"/>
          </w:cols>
          <w:pgMar w:left="320" w:top="459" w:right="439" w:bottom="1440" w:gutter="0" w:footer="0" w:header="0"/>
          <w:type w:val="continuous"/>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04876"/>
        </w:rPr>
        <w:t>CORPORATE GOVERNANCE | OTHER CORPORATE GOVERNANCE POLICIES AND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387" w:lineRule="exact"/>
        <w:rPr>
          <w:sz w:val="20"/>
          <w:szCs w:val="20"/>
          <w:color w:val="auto"/>
        </w:rPr>
      </w:pPr>
    </w:p>
    <w:p>
      <w:pPr>
        <w:ind w:left="120" w:right="120"/>
        <w:spacing w:after="0" w:line="237" w:lineRule="auto"/>
        <w:rPr>
          <w:sz w:val="20"/>
          <w:szCs w:val="20"/>
          <w:color w:val="auto"/>
        </w:rPr>
      </w:pPr>
      <w:r>
        <w:rPr>
          <w:rFonts w:ascii="Arial" w:cs="Arial" w:eastAsia="Arial" w:hAnsi="Arial"/>
          <w:sz w:val="18"/>
          <w:szCs w:val="18"/>
          <w:color w:val="auto"/>
        </w:rPr>
        <w:t>by the Plans to BlackRock in 2019. Subsidiaries of the Firm have subscribed to information services and received consulting services from BlackRock, including and related to select market data, analytics and modeling, and paid BlackRock approximately $730,000 in 2019 for the services. JPMorgan Chase paid BlackRock approximately $5.3 million in 2019 to access its Aladdin</w:t>
      </w:r>
      <w:r>
        <w:rPr>
          <w:rFonts w:ascii="Arial" w:cs="Arial" w:eastAsia="Arial" w:hAnsi="Arial"/>
          <w:sz w:val="15"/>
          <w:szCs w:val="15"/>
          <w:color w:val="auto"/>
        </w:rPr>
        <w:t>®</w:t>
      </w:r>
      <w:r>
        <w:rPr>
          <w:rFonts w:ascii="Arial" w:cs="Arial" w:eastAsia="Arial" w:hAnsi="Arial"/>
          <w:sz w:val="18"/>
          <w:szCs w:val="18"/>
          <w:color w:val="auto"/>
        </w:rPr>
        <w:t xml:space="preserve"> platform.</w:t>
      </w:r>
    </w:p>
    <w:p>
      <w:pPr>
        <w:spacing w:after="0" w:line="95"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Certain J.P. Morgan mutual funds and subsidiaries entered into a sub-transfer agency agreement with Vanguard and paid Vanguard approximately $410,000 in 2019 for services rendered, primarily accounting, recordkeeping and administrative services.</w:t>
      </w:r>
    </w:p>
    <w:p>
      <w:pPr>
        <w:spacing w:after="0" w:line="97"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In January 2019, the Firm entered into agreements for the sale and redevelopment of a retail bank branch property in California to modernize the branch and monetize excess development rights. Following a solicitation and review of proposals from several major real estate developers, a company not affiliated with the Firm or its directors or executive officers was selected to lead the project. The development company is expected to make the purchase through an existing legal entity as a result of which Director James Crown and members of his immediate family are expected to hold indirect equity interests in the property which in the aggregate would exceed 10%. The purchase price will depend upon the development rights attained and is anticipated to exceed $32 million. The transaction has not been consummated and closing is subject to completion of the development entitlements process and satisfaction of other contractual conditions precedent. The transaction is not material to the overall investment holdings of Mr. Crown and members of his immediate family, and it was negotiated with the unaffiliated development company in the ordinary course of business.</w:t>
      </w:r>
    </w:p>
    <w:p>
      <w:pPr>
        <w:spacing w:after="0" w:line="209" w:lineRule="exact"/>
        <w:rPr>
          <w:sz w:val="20"/>
          <w:szCs w:val="20"/>
          <w:color w:val="auto"/>
        </w:rPr>
      </w:pPr>
    </w:p>
    <w:p>
      <w:pPr>
        <w:ind w:left="120" w:right="260"/>
        <w:spacing w:after="0" w:line="247" w:lineRule="auto"/>
        <w:rPr>
          <w:sz w:val="20"/>
          <w:szCs w:val="20"/>
          <w:color w:val="auto"/>
        </w:rPr>
      </w:pPr>
      <w:r>
        <w:rPr>
          <w:rFonts w:ascii="Arial" w:cs="Arial" w:eastAsia="Arial" w:hAnsi="Arial"/>
          <w:sz w:val="29"/>
          <w:szCs w:val="29"/>
          <w:color w:val="004876"/>
        </w:rPr>
        <w:t>Compensation &amp; Management Development Committee interlocks and insider participation</w:t>
      </w:r>
    </w:p>
    <w:p>
      <w:pPr>
        <w:spacing w:after="0" w:line="27"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The members of the CMDC are listed on page 26. No member of the CMDC is or ever was a JPMorgan Chase officer or employee. No JPMorgan Chase executive officer is, or was during 2019, a member of the board of directors or compensation committee (or other committee serving an equivalent function) of another company that has, or had during 2019, an executive officer serving as a member of our Board or the CMDC. All of the members of the CMDC, and/or some of their immediate family members and affiliated entities, were customers of, or had transactions with or involving, JPMorgan Chase or our banking or other subsidiaries in the ordinary course of business during 2019. Additional transactions may be</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ind w:left="6" w:right="120"/>
        <w:spacing w:after="0" w:line="237" w:lineRule="auto"/>
        <w:rPr>
          <w:sz w:val="20"/>
          <w:szCs w:val="20"/>
          <w:color w:val="auto"/>
        </w:rPr>
      </w:pPr>
      <w:r>
        <w:rPr>
          <w:rFonts w:ascii="Arial" w:cs="Arial" w:eastAsia="Arial" w:hAnsi="Arial"/>
          <w:sz w:val="18"/>
          <w:szCs w:val="18"/>
          <w:color w:val="auto"/>
        </w:rPr>
        <w:t>expected to take place in the future. Any outstanding loans to the directors serving on the CMDC and their immediate family members and affiliated entities, and any transactions involving other financial products and services provided by the Firm to such persons and entities, were made in accordance with the standards stated above for transactions with directors, executive officers and 5% shareholders.</w:t>
      </w:r>
    </w:p>
    <w:p>
      <w:pPr>
        <w:spacing w:after="0" w:line="199" w:lineRule="exact"/>
        <w:rPr>
          <w:sz w:val="20"/>
          <w:szCs w:val="20"/>
          <w:color w:val="auto"/>
        </w:rPr>
      </w:pPr>
    </w:p>
    <w:p>
      <w:pPr>
        <w:ind w:left="6"/>
        <w:spacing w:after="0"/>
        <w:rPr>
          <w:sz w:val="20"/>
          <w:szCs w:val="20"/>
          <w:color w:val="auto"/>
        </w:rPr>
      </w:pPr>
      <w:r>
        <w:rPr>
          <w:rFonts w:ascii="Arial" w:cs="Arial" w:eastAsia="Arial" w:hAnsi="Arial"/>
          <w:sz w:val="29"/>
          <w:szCs w:val="29"/>
          <w:color w:val="004876"/>
        </w:rPr>
        <w:t>Political activities and lobbying</w:t>
      </w:r>
    </w:p>
    <w:p>
      <w:pPr>
        <w:spacing w:after="0" w:line="48" w:lineRule="exact"/>
        <w:rPr>
          <w:sz w:val="20"/>
          <w:szCs w:val="20"/>
          <w:color w:val="auto"/>
        </w:rPr>
      </w:pPr>
    </w:p>
    <w:p>
      <w:pPr>
        <w:ind w:left="6" w:right="60"/>
        <w:spacing w:after="0" w:line="237" w:lineRule="auto"/>
        <w:rPr>
          <w:sz w:val="20"/>
          <w:szCs w:val="20"/>
          <w:color w:val="auto"/>
        </w:rPr>
      </w:pPr>
      <w:r>
        <w:rPr>
          <w:rFonts w:ascii="Arial" w:cs="Arial" w:eastAsia="Arial" w:hAnsi="Arial"/>
          <w:sz w:val="18"/>
          <w:szCs w:val="18"/>
          <w:color w:val="auto"/>
        </w:rPr>
        <w:t>JPMorgan Chase believes that responsible corporate citizenship demands a commitment to a healthy and informed democracy through civic and community involvement. Because of the potential impact public policy can have on our businesses, employees, communities and customers, we engage with policymakers in order to advance and protect the long-term interests of the Firm.</w:t>
      </w:r>
    </w:p>
    <w:p>
      <w:pPr>
        <w:spacing w:after="0" w:line="97" w:lineRule="exact"/>
        <w:rPr>
          <w:sz w:val="20"/>
          <w:szCs w:val="20"/>
          <w:color w:val="auto"/>
        </w:rPr>
      </w:pPr>
    </w:p>
    <w:p>
      <w:pPr>
        <w:ind w:left="6"/>
        <w:spacing w:after="0" w:line="238" w:lineRule="auto"/>
        <w:rPr>
          <w:sz w:val="20"/>
          <w:szCs w:val="20"/>
          <w:color w:val="auto"/>
        </w:rPr>
      </w:pPr>
      <w:r>
        <w:rPr>
          <w:rFonts w:ascii="Arial" w:cs="Arial" w:eastAsia="Arial" w:hAnsi="Arial"/>
          <w:sz w:val="18"/>
          <w:szCs w:val="18"/>
          <w:color w:val="auto"/>
        </w:rPr>
        <w:t>The Public Responsibility Committee oversees the Firm’s significant policies and practices regarding political contributions, major lobbying priorities and principal trade association memberships that relate to the Firm’s public policy objectives.</w:t>
      </w:r>
    </w:p>
    <w:p>
      <w:pPr>
        <w:spacing w:after="0" w:line="97" w:lineRule="exact"/>
        <w:rPr>
          <w:sz w:val="20"/>
          <w:szCs w:val="20"/>
          <w:color w:val="auto"/>
        </w:rPr>
      </w:pPr>
    </w:p>
    <w:p>
      <w:pPr>
        <w:ind w:left="6"/>
        <w:spacing w:after="0"/>
        <w:rPr>
          <w:sz w:val="20"/>
          <w:szCs w:val="20"/>
          <w:color w:val="auto"/>
        </w:rPr>
      </w:pPr>
      <w:r>
        <w:rPr>
          <w:rFonts w:ascii="Arial" w:cs="Arial" w:eastAsia="Arial" w:hAnsi="Arial"/>
          <w:sz w:val="18"/>
          <w:szCs w:val="18"/>
          <w:color w:val="auto"/>
        </w:rPr>
        <w:t>The Firm’s policies and practices related to political activities:</w:t>
      </w:r>
    </w:p>
    <w:p>
      <w:pPr>
        <w:spacing w:after="0" w:line="117" w:lineRule="exact"/>
        <w:rPr>
          <w:sz w:val="20"/>
          <w:szCs w:val="20"/>
          <w:color w:val="auto"/>
        </w:rPr>
      </w:pPr>
    </w:p>
    <w:p>
      <w:pPr>
        <w:ind w:left="166" w:right="220" w:hanging="166"/>
        <w:spacing w:after="0" w:line="246" w:lineRule="auto"/>
        <w:tabs>
          <w:tab w:leader="none" w:pos="166" w:val="left"/>
        </w:tabs>
        <w:numPr>
          <w:ilvl w:val="0"/>
          <w:numId w:val="82"/>
        </w:numPr>
        <w:rPr>
          <w:rFonts w:ascii="Arial" w:cs="Arial" w:eastAsia="Arial" w:hAnsi="Arial"/>
          <w:sz w:val="18"/>
          <w:szCs w:val="18"/>
          <w:color w:val="004876"/>
        </w:rPr>
      </w:pPr>
      <w:r>
        <w:rPr>
          <w:rFonts w:ascii="Arial" w:cs="Arial" w:eastAsia="Arial" w:hAnsi="Arial"/>
          <w:sz w:val="18"/>
          <w:szCs w:val="18"/>
          <w:color w:val="auto"/>
        </w:rPr>
        <w:t>Prohibit contributions of corporate funds to candidates, political party committees and political action committees</w:t>
      </w:r>
    </w:p>
    <w:p>
      <w:pPr>
        <w:spacing w:after="0" w:line="102" w:lineRule="exact"/>
        <w:rPr>
          <w:rFonts w:ascii="Arial" w:cs="Arial" w:eastAsia="Arial" w:hAnsi="Arial"/>
          <w:sz w:val="18"/>
          <w:szCs w:val="18"/>
          <w:color w:val="004876"/>
        </w:rPr>
      </w:pPr>
    </w:p>
    <w:p>
      <w:pPr>
        <w:jc w:val="both"/>
        <w:ind w:left="166" w:right="40" w:hanging="166"/>
        <w:spacing w:after="0" w:line="238" w:lineRule="auto"/>
        <w:tabs>
          <w:tab w:leader="none" w:pos="166" w:val="left"/>
        </w:tabs>
        <w:numPr>
          <w:ilvl w:val="0"/>
          <w:numId w:val="82"/>
        </w:numPr>
        <w:rPr>
          <w:rFonts w:ascii="Arial" w:cs="Arial" w:eastAsia="Arial" w:hAnsi="Arial"/>
          <w:sz w:val="18"/>
          <w:szCs w:val="18"/>
          <w:color w:val="004876"/>
        </w:rPr>
      </w:pPr>
      <w:r>
        <w:rPr>
          <w:rFonts w:ascii="Arial" w:cs="Arial" w:eastAsia="Arial" w:hAnsi="Arial"/>
          <w:sz w:val="18"/>
          <w:szCs w:val="18"/>
          <w:color w:val="auto"/>
        </w:rPr>
        <w:t>Provide that the Firm restrict U.S. trade organizations and groups organized under Section 501(c)(4) of the Internal Revenue Code of which it is a member from using the Firm’s dues payments for any election-related activity</w:t>
      </w:r>
    </w:p>
    <w:p>
      <w:pPr>
        <w:spacing w:after="0" w:line="110" w:lineRule="exact"/>
        <w:rPr>
          <w:rFonts w:ascii="Arial" w:cs="Arial" w:eastAsia="Arial" w:hAnsi="Arial"/>
          <w:sz w:val="18"/>
          <w:szCs w:val="18"/>
          <w:color w:val="004876"/>
        </w:rPr>
      </w:pPr>
    </w:p>
    <w:p>
      <w:pPr>
        <w:ind w:left="166" w:right="20" w:hanging="166"/>
        <w:spacing w:after="0" w:line="238" w:lineRule="auto"/>
        <w:tabs>
          <w:tab w:leader="none" w:pos="166" w:val="left"/>
        </w:tabs>
        <w:numPr>
          <w:ilvl w:val="0"/>
          <w:numId w:val="82"/>
        </w:numPr>
        <w:rPr>
          <w:rFonts w:ascii="Arial" w:cs="Arial" w:eastAsia="Arial" w:hAnsi="Arial"/>
          <w:sz w:val="18"/>
          <w:szCs w:val="18"/>
          <w:color w:val="004876"/>
        </w:rPr>
      </w:pPr>
      <w:r>
        <w:rPr>
          <w:rFonts w:ascii="Arial" w:cs="Arial" w:eastAsia="Arial" w:hAnsi="Arial"/>
          <w:sz w:val="18"/>
          <w:szCs w:val="18"/>
          <w:color w:val="auto"/>
        </w:rPr>
        <w:t>Prohibit corporate funds from being used to make contributions to SuperPACs and political committees organized under Section 527 of the Internal Revenue Code to promote the election or defeat of candidates for office</w:t>
      </w:r>
    </w:p>
    <w:p>
      <w:pPr>
        <w:spacing w:after="0" w:line="110" w:lineRule="exact"/>
        <w:rPr>
          <w:rFonts w:ascii="Arial" w:cs="Arial" w:eastAsia="Arial" w:hAnsi="Arial"/>
          <w:sz w:val="18"/>
          <w:szCs w:val="18"/>
          <w:color w:val="004876"/>
        </w:rPr>
      </w:pPr>
    </w:p>
    <w:p>
      <w:pPr>
        <w:ind w:left="166" w:right="100" w:hanging="166"/>
        <w:spacing w:after="0" w:line="246" w:lineRule="auto"/>
        <w:tabs>
          <w:tab w:leader="none" w:pos="166" w:val="left"/>
        </w:tabs>
        <w:numPr>
          <w:ilvl w:val="0"/>
          <w:numId w:val="82"/>
        </w:numPr>
        <w:rPr>
          <w:rFonts w:ascii="Arial" w:cs="Arial" w:eastAsia="Arial" w:hAnsi="Arial"/>
          <w:sz w:val="18"/>
          <w:szCs w:val="18"/>
          <w:color w:val="004876"/>
        </w:rPr>
      </w:pPr>
      <w:r>
        <w:rPr>
          <w:rFonts w:ascii="Arial" w:cs="Arial" w:eastAsia="Arial" w:hAnsi="Arial"/>
          <w:sz w:val="18"/>
          <w:szCs w:val="18"/>
          <w:color w:val="auto"/>
        </w:rPr>
        <w:t>Prohibit the use of corporate funds to make independent political expenditures, including electioneering communications</w:t>
      </w:r>
    </w:p>
    <w:p>
      <w:pPr>
        <w:spacing w:after="0" w:line="197" w:lineRule="exact"/>
        <w:rPr>
          <w:sz w:val="20"/>
          <w:szCs w:val="20"/>
          <w:color w:val="auto"/>
        </w:rPr>
      </w:pPr>
    </w:p>
    <w:p>
      <w:pPr>
        <w:ind w:left="6" w:right="100"/>
        <w:spacing w:after="0"/>
        <w:rPr>
          <w:sz w:val="20"/>
          <w:szCs w:val="20"/>
          <w:color w:val="auto"/>
        </w:rPr>
      </w:pPr>
      <w:r>
        <w:rPr>
          <w:rFonts w:ascii="Arial" w:cs="Arial" w:eastAsia="Arial" w:hAnsi="Arial"/>
          <w:sz w:val="18"/>
          <w:szCs w:val="18"/>
          <w:color w:val="auto"/>
        </w:rPr>
        <w:t>The Firm discloses on its website contributions made by the Firm’s Political Action Committees and contributions of corporate funds made in connection with ballot initiatives.</w:t>
      </w:r>
    </w:p>
    <w:p>
      <w:pPr>
        <w:spacing w:after="0" w:line="95" w:lineRule="exact"/>
        <w:rPr>
          <w:sz w:val="20"/>
          <w:szCs w:val="20"/>
          <w:color w:val="auto"/>
        </w:rPr>
      </w:pPr>
    </w:p>
    <w:p>
      <w:pPr>
        <w:ind w:left="6" w:right="360"/>
        <w:spacing w:after="0"/>
        <w:rPr>
          <w:sz w:val="20"/>
          <w:szCs w:val="20"/>
          <w:color w:val="auto"/>
        </w:rPr>
      </w:pPr>
      <w:r>
        <w:rPr>
          <w:rFonts w:ascii="Arial" w:cs="Arial" w:eastAsia="Arial" w:hAnsi="Arial"/>
          <w:sz w:val="18"/>
          <w:szCs w:val="18"/>
          <w:color w:val="auto"/>
        </w:rPr>
        <w:t>For further information regarding the Firm’s policy engagement, political contributions and lobbying activity, see our website at jpmorganchase.com/policy-engagement.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-3566795</wp:posOffset>
            </wp:positionH>
            <wp:positionV relativeFrom="paragraph">
              <wp:posOffset>1020445</wp:posOffset>
            </wp:positionV>
            <wp:extent cx="7029450" cy="19685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029450" cy="196850"/>
                    </a:xfrm>
                    <a:prstGeom prst="rect">
                      <a:avLst/>
                    </a:prstGeom>
                    <a:noFill/>
                  </pic:spPr>
                </pic:pic>
              </a:graphicData>
            </a:graphic>
          </wp:anchor>
        </w:drawing>
      </w:r>
    </w:p>
    <w:p>
      <w:pPr>
        <w:spacing w:after="0" w:line="1278" w:lineRule="exact"/>
        <w:rPr>
          <w:sz w:val="20"/>
          <w:szCs w:val="20"/>
          <w:color w:val="auto"/>
        </w:rPr>
      </w:pPr>
    </w:p>
    <w:p>
      <w:pPr>
        <w:sectPr>
          <w:pgSz w:w="11900" w:h="16838" w:orient="portrait"/>
          <w:cols w:equalWidth="0" w:num="2">
            <w:col w:w="5400" w:space="334"/>
            <w:col w:w="5406"/>
          </w:cols>
          <w:pgMar w:left="320" w:top="459" w:right="439" w:bottom="1440" w:gutter="0" w:footer="0" w:header="0"/>
          <w:type w:val="continuous"/>
        </w:sectPr>
      </w:pPr>
    </w:p>
    <w:p>
      <w:pPr>
        <w:spacing w:after="0" w:line="200" w:lineRule="exact"/>
        <w:rPr>
          <w:sz w:val="20"/>
          <w:szCs w:val="20"/>
          <w:color w:val="auto"/>
        </w:rPr>
      </w:pPr>
    </w:p>
    <w:p>
      <w:pPr>
        <w:spacing w:after="0" w:line="206" w:lineRule="exact"/>
        <w:rPr>
          <w:sz w:val="20"/>
          <w:szCs w:val="20"/>
          <w:color w:val="auto"/>
        </w:rPr>
      </w:pPr>
    </w:p>
    <w:p>
      <w:pPr>
        <w:jc w:val="center"/>
        <w:ind w:right="-99"/>
        <w:spacing w:after="0"/>
        <w:rPr>
          <w:sz w:val="20"/>
          <w:szCs w:val="20"/>
          <w:color w:val="auto"/>
        </w:rPr>
      </w:pPr>
      <w:r>
        <w:rPr>
          <w:rFonts w:ascii="Arial" w:cs="Arial" w:eastAsia="Arial" w:hAnsi="Arial"/>
          <w:sz w:val="13"/>
          <w:szCs w:val="13"/>
          <w:b w:val="1"/>
          <w:bCs w:val="1"/>
          <w:color w:val="004876"/>
        </w:rPr>
        <w:t>35</w:t>
      </w:r>
    </w:p>
    <w:p>
      <w:pPr>
        <w:sectPr>
          <w:pgSz w:w="11900" w:h="16838" w:orient="portrait"/>
          <w:cols w:equalWidth="0" w:num="1">
            <w:col w:w="11140"/>
          </w:cols>
          <w:pgMar w:left="320" w:top="459" w:right="439" w:bottom="1440" w:gutter="0" w:footer="0" w:header="0"/>
          <w:type w:val="continuous"/>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4876"/>
        </w:rPr>
        <w:t>OTHER CORPORATE GOVERNANCE POLICIES AND PRACTICES |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384" w:lineRule="exact"/>
        <w:rPr>
          <w:sz w:val="20"/>
          <w:szCs w:val="20"/>
          <w:color w:val="auto"/>
        </w:rPr>
      </w:pPr>
    </w:p>
    <w:p>
      <w:pPr>
        <w:ind w:left="120"/>
        <w:spacing w:after="0"/>
        <w:rPr>
          <w:sz w:val="20"/>
          <w:szCs w:val="20"/>
          <w:color w:val="auto"/>
        </w:rPr>
      </w:pPr>
      <w:r>
        <w:rPr>
          <w:rFonts w:ascii="Arial" w:cs="Arial" w:eastAsia="Arial" w:hAnsi="Arial"/>
          <w:sz w:val="29"/>
          <w:szCs w:val="29"/>
          <w:color w:val="004876"/>
        </w:rPr>
        <w:t>Code of Conduct</w:t>
      </w:r>
    </w:p>
    <w:p>
      <w:pPr>
        <w:spacing w:after="0" w:line="48" w:lineRule="exact"/>
        <w:rPr>
          <w:sz w:val="20"/>
          <w:szCs w:val="20"/>
          <w:color w:val="auto"/>
        </w:rPr>
      </w:pPr>
    </w:p>
    <w:p>
      <w:pPr>
        <w:ind w:left="120" w:right="240"/>
        <w:spacing w:after="0"/>
        <w:rPr>
          <w:sz w:val="20"/>
          <w:szCs w:val="20"/>
          <w:color w:val="auto"/>
        </w:rPr>
      </w:pPr>
      <w:r>
        <w:rPr>
          <w:rFonts w:ascii="Arial" w:cs="Arial" w:eastAsia="Arial" w:hAnsi="Arial"/>
          <w:sz w:val="18"/>
          <w:szCs w:val="18"/>
          <w:color w:val="auto"/>
        </w:rPr>
        <w:t>The Code of Conduct is a collection of rules and principles intended to assist employees and directors in making decisions about their conduct in relation to the Firm’s business.</w:t>
      </w:r>
    </w:p>
    <w:p>
      <w:pPr>
        <w:spacing w:after="0" w:line="95" w:lineRule="exact"/>
        <w:rPr>
          <w:sz w:val="20"/>
          <w:szCs w:val="20"/>
          <w:color w:val="auto"/>
        </w:rPr>
      </w:pPr>
    </w:p>
    <w:p>
      <w:pPr>
        <w:ind w:left="120" w:right="20"/>
        <w:spacing w:after="0" w:line="235" w:lineRule="auto"/>
        <w:rPr>
          <w:sz w:val="20"/>
          <w:szCs w:val="20"/>
          <w:color w:val="auto"/>
        </w:rPr>
      </w:pPr>
      <w:r>
        <w:rPr>
          <w:rFonts w:ascii="Arial" w:cs="Arial" w:eastAsia="Arial" w:hAnsi="Arial"/>
          <w:sz w:val="18"/>
          <w:szCs w:val="18"/>
          <w:color w:val="auto"/>
        </w:rPr>
        <w:t>Employees and directors are periodically trained on the principles, obligations, and requirements under the Code of Conduct. They must annually affirm that they have read, understand, and are in compliance with the Code of Conduct. They are required to raise concerns about misconduct and report any potential or actual violations of the Code of Conduct, any internal Firm policy, or any law or regulation applicable to the Firm’s business. We also provide guidelines to employees in our Human Resources, Global Security &amp; Investigations and Legal departments regarding the review and treatment of employee-initiated complaints, including the proper escalation of potential or actual violations of the Code of Conduct, other Firm policy, regulations or the law. The Code of Conduct prohibits intimidation or retaliation against anyone who raises an issue or concern in good faith or assists with an investigation.</w:t>
      </w:r>
    </w:p>
    <w:p>
      <w:pPr>
        <w:spacing w:after="0" w:line="105"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Employees and directors can report any potential or actual violations of the Code of Conduct to management, Human Resources, the Office of the General Counsel or General Auditor, or via the Code of Conduct Reporting Hotline, either by phone or the Internet. The Hotline is anonymous, except in certain non-U.S. jurisdictions where laws prohibit anonymous reporting, and is available 24/7 globally, with translation services. It is maintained by a third party service provider. Suspected violations of the Code of Conduct, other Firm policy or the law are investigated by the Firm and may result in an employee being cleared of the suspected violation or in an escalating range of actions, including termination of employment, depending upon the facts and circumstances. Compliance and Human Resources report periodically to the Audit Committee on the Code of Conduct program. The CMDC periodically reviews reports from management regarding significant conduct issues and any related employee actions.</w:t>
      </w:r>
    </w:p>
    <w:p>
      <w:pPr>
        <w:spacing w:after="0" w:line="20" w:lineRule="exact"/>
        <w:rPr>
          <w:sz w:val="20"/>
          <w:szCs w:val="20"/>
          <w:color w:val="auto"/>
        </w:rPr>
      </w:pPr>
      <w:r>
        <w:rPr>
          <w:sz w:val="20"/>
          <w:szCs w:val="20"/>
          <w:color w:val="auto"/>
        </w:rPr>
        <w:br w:type="column"/>
      </w:r>
    </w:p>
    <w:p>
      <w:pPr>
        <w:spacing w:after="0" w:line="364" w:lineRule="exact"/>
        <w:rPr>
          <w:sz w:val="20"/>
          <w:szCs w:val="20"/>
          <w:color w:val="auto"/>
        </w:rPr>
      </w:pPr>
    </w:p>
    <w:p>
      <w:pPr>
        <w:spacing w:after="0"/>
        <w:rPr>
          <w:sz w:val="20"/>
          <w:szCs w:val="20"/>
          <w:color w:val="auto"/>
        </w:rPr>
      </w:pPr>
      <w:r>
        <w:rPr>
          <w:rFonts w:ascii="Arial" w:cs="Arial" w:eastAsia="Arial" w:hAnsi="Arial"/>
          <w:sz w:val="29"/>
          <w:szCs w:val="29"/>
          <w:color w:val="004876"/>
        </w:rPr>
        <w:t>Code of Ethics for Finance Professionals</w:t>
      </w:r>
    </w:p>
    <w:p>
      <w:pPr>
        <w:spacing w:after="0" w:line="48"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The Code of Ethics for Finance Professionals, a supplement to the Code of Conduct, applies to the CEO, CFO, Chairman, Controller and all other professionals of the Firm worldwide serving in a finance, accounting, treasury, tax or investor relations role. The purpose of our Code of Ethics is to promote honest and ethical conduct and adherence with the law in connection with the maintenance of the Firm’s financial books and records and the preparation of our financial statements. It also addresses the reporting of potential conflicts of interest and any suspected violations or other matters that would compromise the integrity of the Firm’s financial statements.</w:t>
      </w:r>
    </w:p>
    <w:p>
      <w:pPr>
        <w:spacing w:after="0" w:line="201" w:lineRule="exact"/>
        <w:rPr>
          <w:sz w:val="20"/>
          <w:szCs w:val="20"/>
          <w:color w:val="auto"/>
        </w:rPr>
      </w:pPr>
    </w:p>
    <w:p>
      <w:pPr>
        <w:spacing w:after="0"/>
        <w:rPr>
          <w:sz w:val="20"/>
          <w:szCs w:val="20"/>
          <w:color w:val="auto"/>
        </w:rPr>
      </w:pPr>
      <w:r>
        <w:rPr>
          <w:rFonts w:ascii="Arial" w:cs="Arial" w:eastAsia="Arial" w:hAnsi="Arial"/>
          <w:sz w:val="29"/>
          <w:szCs w:val="29"/>
          <w:color w:val="004876"/>
        </w:rPr>
        <w:t>Supplier Code of Conduct</w:t>
      </w:r>
    </w:p>
    <w:p>
      <w:pPr>
        <w:spacing w:after="0" w:line="48"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The Supplier Code of Conduct outlines the Firm’s expectation that suppliers demonstrate the highest standards of business conduct, integrity and adherence to the law. The Supplier Code of Conduct applies to our suppliers, vendors, consultants, contractors and other third parties working on behalf of the Firm, as well as to the owners, officers, directors, employees and contractors of these supplier organizations and entities. The Supplier Code provides specific guidance regarding the Firm’s Business Principles, suppliers’ responsibility to comply with all laws and regulations and to have policies ensuring such compliance, their duty to escalate concerns, handle information properly and maintain accurate records, address potential conflicts of interest, and operate responsibly with respect to competition laws, taxes, anti-corruption, political activity, environmental, social and human rights, and 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1259205</wp:posOffset>
            </wp:positionV>
            <wp:extent cx="7029450" cy="19685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029450" cy="196850"/>
                    </a:xfrm>
                    <a:prstGeom prst="rect">
                      <a:avLst/>
                    </a:prstGeom>
                    <a:noFill/>
                  </pic:spPr>
                </pic:pic>
              </a:graphicData>
            </a:graphic>
          </wp:anchor>
        </w:drawing>
      </w:r>
    </w:p>
    <w:p>
      <w:pPr>
        <w:spacing w:after="0" w:line="1644" w:lineRule="exact"/>
        <w:rPr>
          <w:sz w:val="20"/>
          <w:szCs w:val="20"/>
          <w:color w:val="auto"/>
        </w:rPr>
      </w:pPr>
    </w:p>
    <w:p>
      <w:pPr>
        <w:sectPr>
          <w:pgSz w:w="11900" w:h="16838" w:orient="portrait"/>
          <w:cols w:equalWidth="0" w:num="2">
            <w:col w:w="5380" w:space="360"/>
            <w:col w:w="5400"/>
          </w:cols>
          <w:pgMar w:left="320" w:top="459" w:right="439" w:bottom="1440" w:gutter="0" w:footer="0" w:header="0"/>
          <w:type w:val="continuous"/>
        </w:sectPr>
      </w:pPr>
    </w:p>
    <w:p>
      <w:pPr>
        <w:spacing w:after="0" w:line="200" w:lineRule="exact"/>
        <w:rPr>
          <w:sz w:val="20"/>
          <w:szCs w:val="20"/>
          <w:color w:val="auto"/>
        </w:rPr>
      </w:pPr>
    </w:p>
    <w:p>
      <w:pPr>
        <w:spacing w:after="0" w:line="216" w:lineRule="exact"/>
        <w:rPr>
          <w:sz w:val="20"/>
          <w:szCs w:val="20"/>
          <w:color w:val="auto"/>
        </w:rPr>
      </w:pPr>
    </w:p>
    <w:p>
      <w:pPr>
        <w:jc w:val="center"/>
        <w:ind w:right="-99"/>
        <w:spacing w:after="0"/>
        <w:rPr>
          <w:sz w:val="20"/>
          <w:szCs w:val="20"/>
          <w:color w:val="auto"/>
        </w:rPr>
      </w:pPr>
      <w:r>
        <w:rPr>
          <w:rFonts w:ascii="Arial" w:cs="Arial" w:eastAsia="Arial" w:hAnsi="Arial"/>
          <w:sz w:val="13"/>
          <w:szCs w:val="13"/>
          <w:b w:val="1"/>
          <w:bCs w:val="1"/>
          <w:color w:val="004876"/>
        </w:rPr>
        <w:t>36</w:t>
      </w:r>
    </w:p>
    <w:p>
      <w:pPr>
        <w:sectPr>
          <w:pgSz w:w="11900" w:h="16838" w:orient="portrait"/>
          <w:cols w:equalWidth="0" w:num="1">
            <w:col w:w="11140"/>
          </w:cols>
          <w:pgMar w:left="320" w:top="459" w:right="439" w:bottom="1440" w:gutter="0" w:footer="0" w:header="0"/>
          <w:type w:val="continuous"/>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20"/>
        <w:spacing w:after="0"/>
        <w:rPr>
          <w:sz w:val="20"/>
          <w:szCs w:val="20"/>
          <w:color w:val="auto"/>
        </w:rPr>
      </w:pPr>
      <w:r>
        <w:rPr>
          <w:rFonts w:ascii="Arial" w:cs="Arial" w:eastAsia="Arial" w:hAnsi="Arial"/>
          <w:sz w:val="43"/>
          <w:szCs w:val="43"/>
          <w:color w:val="004876"/>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20"/>
        <w:spacing w:after="0"/>
        <w:rPr>
          <w:sz w:val="20"/>
          <w:szCs w:val="20"/>
          <w:color w:val="auto"/>
        </w:rPr>
      </w:pPr>
      <w:r>
        <w:rPr>
          <w:rFonts w:ascii="Arial" w:cs="Arial" w:eastAsia="Arial" w:hAnsi="Arial"/>
          <w:sz w:val="28"/>
          <w:szCs w:val="28"/>
          <w:color w:val="004876"/>
        </w:rPr>
        <w:t>Proposal 2: Advisory resolution to approve executive compensation</w:t>
      </w:r>
    </w:p>
    <w:p>
      <w:pPr>
        <w:sectPr>
          <w:pgSz w:w="11900" w:h="16838" w:orient="portrait"/>
          <w:cols w:equalWidth="0" w:num="1">
            <w:col w:w="10139"/>
          </w:cols>
          <w:pgMar w:left="320" w:top="459" w:right="1440" w:bottom="1440" w:gutter="0" w:footer="0" w:header="0"/>
        </w:sectPr>
      </w:pPr>
    </w:p>
    <w:p>
      <w:pPr>
        <w:spacing w:after="0" w:line="200" w:lineRule="exact"/>
        <w:rPr>
          <w:sz w:val="20"/>
          <w:szCs w:val="20"/>
          <w:color w:val="auto"/>
        </w:rPr>
      </w:pPr>
    </w:p>
    <w:p>
      <w:pPr>
        <w:spacing w:after="0" w:line="237" w:lineRule="exact"/>
        <w:rPr>
          <w:sz w:val="20"/>
          <w:szCs w:val="20"/>
          <w:color w:val="auto"/>
        </w:rPr>
      </w:pPr>
    </w:p>
    <w:p>
      <w:pPr>
        <w:ind w:left="120" w:right="260"/>
        <w:spacing w:after="0" w:line="255" w:lineRule="auto"/>
        <w:rPr>
          <w:sz w:val="20"/>
          <w:szCs w:val="20"/>
          <w:color w:val="auto"/>
        </w:rPr>
      </w:pPr>
      <w:r>
        <w:rPr>
          <w:rFonts w:ascii="Arial" w:cs="Arial" w:eastAsia="Arial" w:hAnsi="Arial"/>
          <w:sz w:val="17"/>
          <w:szCs w:val="17"/>
          <w:color w:val="auto"/>
        </w:rPr>
        <w:t>Approve the Firm’s compensation practices and principles and their implementation for 2019 for the compensation of the Firm’s Named Executive Officers as discussed and disclosed in the Compensation Discussion and Analysis, the compensation tables, and any related material contained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832485</wp:posOffset>
            </wp:positionV>
            <wp:extent cx="699516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1115695</wp:posOffset>
            </wp:positionV>
            <wp:extent cx="7029450" cy="19685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029450" cy="1968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color w:val="FFFFFF"/>
        </w:rPr>
        <w:t>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wp:posOffset>
            </wp:positionH>
            <wp:positionV relativeFrom="paragraph">
              <wp:posOffset>-153670</wp:posOffset>
            </wp:positionV>
            <wp:extent cx="3240405" cy="63436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240405" cy="634365"/>
                    </a:xfrm>
                    <a:prstGeom prst="rect">
                      <a:avLst/>
                    </a:prstGeom>
                    <a:noFill/>
                  </pic:spPr>
                </pic:pic>
              </a:graphicData>
            </a:graphic>
          </wp:anchor>
        </w:drawing>
      </w:r>
    </w:p>
    <w:p>
      <w:pPr>
        <w:spacing w:after="0" w:line="11" w:lineRule="exact"/>
        <w:rPr>
          <w:sz w:val="20"/>
          <w:szCs w:val="20"/>
          <w:color w:val="auto"/>
        </w:rPr>
      </w:pPr>
    </w:p>
    <w:p>
      <w:pPr>
        <w:ind w:right="739"/>
        <w:spacing w:after="0" w:line="239" w:lineRule="auto"/>
        <w:rPr>
          <w:sz w:val="20"/>
          <w:szCs w:val="20"/>
          <w:color w:val="auto"/>
        </w:rPr>
      </w:pPr>
      <w:r>
        <w:rPr>
          <w:rFonts w:ascii="Arial" w:cs="Arial" w:eastAsia="Arial" w:hAnsi="Arial"/>
          <w:sz w:val="20"/>
          <w:szCs w:val="20"/>
          <w:color w:val="FFFFFF"/>
        </w:rPr>
        <w:t xml:space="preserve">Vote </w:t>
      </w:r>
      <w:r>
        <w:rPr>
          <w:rFonts w:ascii="Arial" w:cs="Arial" w:eastAsia="Arial" w:hAnsi="Arial"/>
          <w:sz w:val="20"/>
          <w:szCs w:val="20"/>
          <w:b w:val="1"/>
          <w:bCs w:val="1"/>
          <w:color w:val="FFFFFF"/>
        </w:rPr>
        <w:t>FOR</w:t>
      </w:r>
      <w:r>
        <w:rPr>
          <w:rFonts w:ascii="Arial" w:cs="Arial" w:eastAsia="Arial" w:hAnsi="Arial"/>
          <w:sz w:val="20"/>
          <w:szCs w:val="20"/>
          <w:color w:val="FFFFFF"/>
        </w:rPr>
        <w:t xml:space="preserve"> approval of this advisory resolution to approve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wp:posOffset>
            </wp:positionH>
            <wp:positionV relativeFrom="paragraph">
              <wp:posOffset>-292735</wp:posOffset>
            </wp:positionV>
            <wp:extent cx="137160" cy="14605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37160" cy="146050"/>
                    </a:xfrm>
                    <a:prstGeom prst="rect">
                      <a:avLst/>
                    </a:prstGeom>
                    <a:noFill/>
                  </pic:spPr>
                </pic:pic>
              </a:graphicData>
            </a:graphic>
          </wp:anchor>
        </w:drawing>
      </w:r>
    </w:p>
    <w:p>
      <w:pPr>
        <w:spacing w:after="0" w:line="276" w:lineRule="exact"/>
        <w:rPr>
          <w:sz w:val="20"/>
          <w:szCs w:val="20"/>
          <w:color w:val="auto"/>
        </w:rPr>
      </w:pPr>
    </w:p>
    <w:p>
      <w:pPr>
        <w:sectPr>
          <w:pgSz w:w="11900" w:h="16838" w:orient="portrait"/>
          <w:cols w:equalWidth="0" w:num="2">
            <w:col w:w="5620" w:space="720"/>
            <w:col w:w="3799"/>
          </w:cols>
          <w:pgMar w:left="320" w:top="45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540"/>
        <w:spacing w:after="0"/>
        <w:rPr>
          <w:sz w:val="20"/>
          <w:szCs w:val="20"/>
          <w:color w:val="auto"/>
        </w:rPr>
      </w:pPr>
      <w:r>
        <w:rPr>
          <w:rFonts w:ascii="Arial" w:cs="Arial" w:eastAsia="Arial" w:hAnsi="Arial"/>
          <w:sz w:val="13"/>
          <w:szCs w:val="13"/>
          <w:b w:val="1"/>
          <w:bCs w:val="1"/>
          <w:color w:val="004876"/>
        </w:rPr>
        <w:t>37</w:t>
      </w:r>
    </w:p>
    <w:p>
      <w:pPr>
        <w:sectPr>
          <w:pgSz w:w="11900" w:h="16838" w:orient="portrait"/>
          <w:cols w:equalWidth="0" w:num="1">
            <w:col w:w="10139"/>
          </w:cols>
          <w:pgMar w:left="320" w:top="459" w:right="1440" w:bottom="1440" w:gutter="0" w:footer="0" w:header="0"/>
          <w:type w:val="continuous"/>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216027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995160" cy="216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20"/>
        <w:spacing w:after="0"/>
        <w:rPr>
          <w:sz w:val="20"/>
          <w:szCs w:val="20"/>
          <w:color w:val="auto"/>
        </w:rPr>
      </w:pPr>
      <w:r>
        <w:rPr>
          <w:rFonts w:ascii="Arial" w:cs="Arial" w:eastAsia="Arial" w:hAnsi="Arial"/>
          <w:sz w:val="43"/>
          <w:szCs w:val="43"/>
          <w:color w:val="004876"/>
        </w:rPr>
        <w:t>EXECUTIVE SUMMARY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20" w:right="320"/>
        <w:spacing w:after="0" w:line="250" w:lineRule="auto"/>
        <w:rPr>
          <w:sz w:val="20"/>
          <w:szCs w:val="20"/>
          <w:color w:val="auto"/>
        </w:rPr>
      </w:pPr>
      <w:r>
        <w:rPr>
          <w:rFonts w:ascii="Arial" w:cs="Arial" w:eastAsia="Arial" w:hAnsi="Arial"/>
          <w:sz w:val="29"/>
          <w:szCs w:val="29"/>
          <w:i w:val="1"/>
          <w:iCs w:val="1"/>
          <w:color w:val="004876"/>
        </w:rPr>
        <w:t>We believe our compensation philosophy promotes an equitable and well-governed, long-term approach to compensation, including pay-for-performance practices that attract and retain top talent, are responsive to and aligned with shareholders, and encourage a shared success culture in support of our Business Principles and strategic framework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1470660</wp:posOffset>
            </wp:positionH>
            <wp:positionV relativeFrom="paragraph">
              <wp:posOffset>393065</wp:posOffset>
            </wp:positionV>
            <wp:extent cx="8890" cy="161988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890" cy="1619885"/>
                    </a:xfrm>
                    <a:prstGeom prst="rect">
                      <a:avLst/>
                    </a:prstGeom>
                    <a:noFill/>
                  </pic:spPr>
                </pic:pic>
              </a:graphicData>
            </a:graphic>
          </wp:anchor>
        </w:drawing>
      </w:r>
    </w:p>
    <w:p>
      <w:pPr>
        <w:sectPr>
          <w:pgSz w:w="11900" w:h="16838" w:orient="portrait"/>
          <w:cols w:equalWidth="0" w:num="1">
            <w:col w:w="11120"/>
          </w:cols>
          <w:pgMar w:left="320" w:top="459"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right"/>
        <w:ind w:left="260"/>
        <w:spacing w:after="0" w:line="234" w:lineRule="auto"/>
        <w:rPr>
          <w:sz w:val="20"/>
          <w:szCs w:val="20"/>
          <w:color w:val="auto"/>
        </w:rPr>
      </w:pPr>
      <w:r>
        <w:rPr>
          <w:rFonts w:ascii="Arial" w:cs="Arial" w:eastAsia="Arial" w:hAnsi="Arial"/>
          <w:sz w:val="22"/>
          <w:szCs w:val="22"/>
          <w:color w:val="004876"/>
        </w:rPr>
        <w:t>OUR LONG-TERM APPROACH TO EXECUTIVE COMPENSATION:</w:t>
      </w:r>
    </w:p>
    <w:p>
      <w:pPr>
        <w:spacing w:after="0" w:line="200" w:lineRule="exact"/>
        <w:rPr>
          <w:sz w:val="20"/>
          <w:szCs w:val="20"/>
          <w:color w:val="auto"/>
        </w:rPr>
      </w:pPr>
    </w:p>
    <w:p>
      <w:pPr>
        <w:spacing w:after="0" w:line="204" w:lineRule="exact"/>
        <w:rPr>
          <w:sz w:val="20"/>
          <w:szCs w:val="20"/>
          <w:color w:val="auto"/>
        </w:rPr>
      </w:pPr>
    </w:p>
    <w:p>
      <w:pPr>
        <w:jc w:val="right"/>
        <w:ind w:left="300"/>
        <w:spacing w:after="0" w:line="247" w:lineRule="auto"/>
        <w:rPr>
          <w:sz w:val="20"/>
          <w:szCs w:val="20"/>
          <w:color w:val="auto"/>
        </w:rPr>
      </w:pPr>
      <w:r>
        <w:rPr>
          <w:rFonts w:ascii="Arial" w:cs="Arial" w:eastAsia="Arial" w:hAnsi="Arial"/>
          <w:sz w:val="21"/>
          <w:szCs w:val="21"/>
          <w:color w:val="004876"/>
        </w:rPr>
        <w:t>DISCIPLINED PERFORMANCE ASSESSMENT TO DETERMINE PAY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440"/>
        <w:spacing w:after="0" w:line="257" w:lineRule="auto"/>
        <w:rPr>
          <w:sz w:val="20"/>
          <w:szCs w:val="20"/>
          <w:color w:val="auto"/>
        </w:rPr>
      </w:pPr>
      <w:r>
        <w:rPr>
          <w:rFonts w:ascii="Arial" w:cs="Arial" w:eastAsia="Arial" w:hAnsi="Arial"/>
          <w:sz w:val="17"/>
          <w:szCs w:val="17"/>
          <w:color w:val="auto"/>
        </w:rPr>
        <w:t>The Firm’s Board of Directors believes that JPMorgan Chase’s long-term success as a premier financial services firm depends in large measure on the talents of our employees and a proper alignment of their compensation with performance and sustained shareholder value. The Firm’s compensation programs play a significant role in our ability to attract, retain and properly motivate the highest quality workforce.</w:t>
      </w:r>
    </w:p>
    <w:p>
      <w:pPr>
        <w:spacing w:after="0" w:line="216" w:lineRule="exact"/>
        <w:rPr>
          <w:sz w:val="20"/>
          <w:szCs w:val="20"/>
          <w:color w:val="auto"/>
        </w:rPr>
      </w:pPr>
    </w:p>
    <w:p>
      <w:pPr>
        <w:ind w:right="80"/>
        <w:spacing w:after="0"/>
        <w:rPr>
          <w:sz w:val="20"/>
          <w:szCs w:val="20"/>
          <w:color w:val="auto"/>
        </w:rPr>
      </w:pPr>
      <w:r>
        <w:rPr>
          <w:rFonts w:ascii="Arial" w:cs="Arial" w:eastAsia="Arial" w:hAnsi="Arial"/>
          <w:sz w:val="18"/>
          <w:szCs w:val="18"/>
          <w:color w:val="auto"/>
        </w:rPr>
        <w:t>The foundations of our compensation practices are a focus on performance within a well-controlled environment, alignment with the interests of shareholders, sensitivity to the relevant marketplace and a long-term view consistent with our Business Principles and strategic framework.</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Discussion and Analysis that follows describes our compensation philosophy and pay-for-performance framework, and discusses how compensation for the Firm’s Named Executive Officers is aligned with the Firm’s long-term performance and with our shareholders’ interests.</w:t>
      </w:r>
    </w:p>
    <w:p>
      <w:pPr>
        <w:spacing w:after="0" w:line="200" w:lineRule="exact"/>
        <w:rPr>
          <w:sz w:val="20"/>
          <w:szCs w:val="20"/>
          <w:color w:val="auto"/>
        </w:rPr>
      </w:pPr>
    </w:p>
    <w:p>
      <w:pPr>
        <w:sectPr>
          <w:pgSz w:w="11900" w:h="16838" w:orient="portrait"/>
          <w:cols w:equalWidth="0" w:num="2">
            <w:col w:w="2140" w:space="300"/>
            <w:col w:w="8680"/>
          </w:cols>
          <w:pgMar w:left="320" w:top="459" w:right="459" w:bottom="1440" w:gutter="0" w:footer="0" w:header="0"/>
          <w:type w:val="continuous"/>
        </w:sectPr>
      </w:pPr>
    </w:p>
    <w:p>
      <w:pPr>
        <w:spacing w:after="0" w:line="229" w:lineRule="exact"/>
        <w:rPr>
          <w:sz w:val="20"/>
          <w:szCs w:val="20"/>
          <w:color w:val="auto"/>
        </w:rPr>
      </w:pPr>
    </w:p>
    <w:p>
      <w:pPr>
        <w:ind w:left="120"/>
        <w:spacing w:after="0"/>
        <w:rPr>
          <w:sz w:val="20"/>
          <w:szCs w:val="20"/>
          <w:color w:val="auto"/>
        </w:rPr>
      </w:pPr>
      <w:r>
        <w:rPr>
          <w:rFonts w:ascii="Arial" w:cs="Arial" w:eastAsia="Arial" w:hAnsi="Arial"/>
          <w:sz w:val="20"/>
          <w:szCs w:val="20"/>
          <w:color w:val="004876"/>
        </w:rPr>
        <w:t>PROPOSAL 2 – ADVISORY RESOLUTION TO APPROVE EXECUTIVE COMPENSATION</w:t>
      </w:r>
    </w:p>
    <w:p>
      <w:pPr>
        <w:spacing w:after="0" w:line="97" w:lineRule="exact"/>
        <w:rPr>
          <w:sz w:val="20"/>
          <w:szCs w:val="20"/>
          <w:color w:val="auto"/>
        </w:rPr>
      </w:pPr>
    </w:p>
    <w:p>
      <w:pPr>
        <w:ind w:left="120" w:right="340"/>
        <w:spacing w:after="0"/>
        <w:rPr>
          <w:sz w:val="20"/>
          <w:szCs w:val="20"/>
          <w:color w:val="auto"/>
        </w:rPr>
      </w:pPr>
      <w:r>
        <w:rPr>
          <w:rFonts w:ascii="Arial" w:cs="Arial" w:eastAsia="Arial" w:hAnsi="Arial"/>
          <w:sz w:val="18"/>
          <w:szCs w:val="18"/>
          <w:color w:val="auto"/>
        </w:rPr>
        <w:t>As required by Section 14A of the Securities Exchange Act of 1934, as amended, this proposal seeks a shareholder advisory vote to approve the compensation of our Named Executive Officers as disclosed pursuant to Item 402 of Regulation S-K through the following resolution:</w:t>
      </w:r>
    </w:p>
    <w:p>
      <w:pPr>
        <w:spacing w:after="0" w:line="73" w:lineRule="exact"/>
        <w:rPr>
          <w:sz w:val="20"/>
          <w:szCs w:val="20"/>
          <w:color w:val="auto"/>
        </w:rPr>
      </w:pPr>
    </w:p>
    <w:p>
      <w:pPr>
        <w:ind w:left="120" w:right="260"/>
        <w:spacing w:after="0" w:line="253" w:lineRule="auto"/>
        <w:rPr>
          <w:sz w:val="20"/>
          <w:szCs w:val="20"/>
          <w:color w:val="auto"/>
        </w:rPr>
      </w:pPr>
      <w:r>
        <w:rPr>
          <w:rFonts w:ascii="Arial" w:cs="Arial" w:eastAsia="Arial" w:hAnsi="Arial"/>
          <w:sz w:val="18"/>
          <w:szCs w:val="18"/>
          <w:b w:val="1"/>
          <w:bCs w:val="1"/>
          <w:color w:val="auto"/>
        </w:rPr>
        <w:t>“Resolved, that shareholders approve the Firm’s compensation practices and principles and their implementation for 2019 for the compensation of the Firm’s Named Executive Officers as discussed and disclosed in the Compensation Discussion and Analysis, the compensation tables, and any related material contained in this proxy statement.”</w:t>
      </w:r>
    </w:p>
    <w:p>
      <w:pPr>
        <w:spacing w:after="0" w:line="83" w:lineRule="exact"/>
        <w:rPr>
          <w:sz w:val="20"/>
          <w:szCs w:val="20"/>
          <w:color w:val="auto"/>
        </w:rPr>
      </w:pPr>
    </w:p>
    <w:p>
      <w:pPr>
        <w:ind w:left="120" w:right="160"/>
        <w:spacing w:after="0" w:line="246" w:lineRule="auto"/>
        <w:rPr>
          <w:sz w:val="20"/>
          <w:szCs w:val="20"/>
          <w:color w:val="auto"/>
        </w:rPr>
      </w:pPr>
      <w:r>
        <w:rPr>
          <w:rFonts w:ascii="Arial" w:cs="Arial" w:eastAsia="Arial" w:hAnsi="Arial"/>
          <w:sz w:val="18"/>
          <w:szCs w:val="18"/>
          <w:color w:val="auto"/>
        </w:rPr>
        <w:t>This advisory vote will not be binding upon the Board of Directors. However, the Compensation &amp; Management Development Committee will take into account the outcome of the vote when considering future executive compensation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236855</wp:posOffset>
            </wp:positionV>
            <wp:extent cx="7029450" cy="19685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029450" cy="19685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center"/>
        <w:ind w:right="-139"/>
        <w:spacing w:after="0"/>
        <w:rPr>
          <w:sz w:val="20"/>
          <w:szCs w:val="20"/>
          <w:color w:val="auto"/>
        </w:rPr>
      </w:pPr>
      <w:r>
        <w:rPr>
          <w:rFonts w:ascii="Arial" w:cs="Arial" w:eastAsia="Arial" w:hAnsi="Arial"/>
          <w:sz w:val="13"/>
          <w:szCs w:val="13"/>
          <w:b w:val="1"/>
          <w:bCs w:val="1"/>
          <w:color w:val="004876"/>
        </w:rPr>
        <w:t>38</w:t>
      </w:r>
    </w:p>
    <w:p>
      <w:pPr>
        <w:sectPr>
          <w:pgSz w:w="11900" w:h="16838" w:orient="portrait"/>
          <w:cols w:equalWidth="0" w:num="1">
            <w:col w:w="11120"/>
          </w:cols>
          <w:pgMar w:left="320" w:top="459" w:right="459" w:bottom="1440" w:gutter="0" w:footer="0" w:header="0"/>
          <w:type w:val="continuous"/>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04876"/>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12" w:lineRule="exact"/>
        <w:rPr>
          <w:sz w:val="20"/>
          <w:szCs w:val="20"/>
          <w:color w:val="auto"/>
        </w:rPr>
      </w:pPr>
    </w:p>
    <w:p>
      <w:pPr>
        <w:ind w:left="120"/>
        <w:spacing w:after="0"/>
        <w:rPr>
          <w:sz w:val="20"/>
          <w:szCs w:val="20"/>
          <w:color w:val="auto"/>
        </w:rPr>
      </w:pPr>
      <w:r>
        <w:rPr>
          <w:rFonts w:ascii="Arial" w:cs="Arial" w:eastAsia="Arial" w:hAnsi="Arial"/>
          <w:sz w:val="43"/>
          <w:szCs w:val="43"/>
          <w:color w:val="004876"/>
        </w:rPr>
        <w:t>2019 Say on pay and shareholder engagement</w:t>
      </w:r>
    </w:p>
    <w:p>
      <w:pPr>
        <w:spacing w:after="0" w:line="114" w:lineRule="exact"/>
        <w:rPr>
          <w:sz w:val="20"/>
          <w:szCs w:val="20"/>
          <w:color w:val="auto"/>
        </w:rPr>
      </w:pPr>
    </w:p>
    <w:p>
      <w:pPr>
        <w:ind w:left="120"/>
        <w:spacing w:after="0" w:line="246" w:lineRule="auto"/>
        <w:rPr>
          <w:sz w:val="20"/>
          <w:szCs w:val="20"/>
          <w:color w:val="auto"/>
        </w:rPr>
      </w:pPr>
      <w:r>
        <w:rPr>
          <w:rFonts w:ascii="Arial" w:cs="Arial" w:eastAsia="Arial" w:hAnsi="Arial"/>
          <w:sz w:val="18"/>
          <w:szCs w:val="18"/>
          <w:color w:val="auto"/>
        </w:rPr>
        <w:t>After three years of consistently strong (91%+) shareholder support since the CMDC introduced the PSU program in 2015, our Say on Pay resolution received only 72% support at our annual meeting of shareholders in May 2019.</w:t>
      </w:r>
    </w:p>
    <w:p>
      <w:pPr>
        <w:spacing w:after="0" w:line="89"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As a consequence of this result, the CMDC instructed management to broaden the usual scope of our shareholder outreach, with a heightened focus on obtaining specific feedback regarding executive compensation-related matters. After reaching out to our top 100 shareholders representing over 50% of the Firm’s outstanding common stock, we expanded our shareholder outreach to solicit feedback from additional shareholders who, according to public filings, changed their vote from “for” in 2018 to “against” in 2019. The effect of our comprehensive shareholder outreach program in 2019 was that we received feedback from shareholders representing approximately 45% of the Firm’s outstanding common stock across more than 60 engagements.</w:t>
      </w:r>
    </w:p>
    <w:p>
      <w:pPr>
        <w:spacing w:after="0" w:line="97" w:lineRule="exact"/>
        <w:rPr>
          <w:sz w:val="20"/>
          <w:szCs w:val="20"/>
          <w:color w:val="auto"/>
        </w:rPr>
      </w:pPr>
    </w:p>
    <w:p>
      <w:pPr>
        <w:ind w:left="120" w:right="100"/>
        <w:spacing w:after="0"/>
        <w:rPr>
          <w:sz w:val="20"/>
          <w:szCs w:val="20"/>
          <w:color w:val="auto"/>
        </w:rPr>
      </w:pPr>
      <w:r>
        <w:rPr>
          <w:rFonts w:ascii="Arial" w:cs="Arial" w:eastAsia="Arial" w:hAnsi="Arial"/>
          <w:sz w:val="18"/>
          <w:szCs w:val="18"/>
          <w:color w:val="auto"/>
        </w:rPr>
        <w:t>A comprehensive summary of this feedback was reviewed by the CMDC in making its 2019 OC member pay determinations, and as a result, the CMDC made several enhancements to our 2019 PSU awards and our executive compensation disclosures that are responsive to the key areas of the feedback we received, as summarized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146050</wp:posOffset>
            </wp:positionV>
            <wp:extent cx="7029450" cy="72351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029450" cy="7235190"/>
                    </a:xfrm>
                    <a:prstGeom prst="rect">
                      <a:avLst/>
                    </a:prstGeom>
                    <a:noFill/>
                  </pic:spPr>
                </pic:pic>
              </a:graphicData>
            </a:graphic>
          </wp:anchor>
        </w:drawing>
      </w:r>
    </w:p>
    <w:p>
      <w:pPr>
        <w:sectPr>
          <w:pgSz w:w="11900" w:h="16838" w:orient="portrait"/>
          <w:cols w:equalWidth="0" w:num="1">
            <w:col w:w="11140"/>
          </w:cols>
          <w:pgMar w:left="320" w:top="459" w:right="439" w:bottom="17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99"/>
        <w:spacing w:after="0"/>
        <w:rPr>
          <w:sz w:val="20"/>
          <w:szCs w:val="20"/>
          <w:color w:val="auto"/>
        </w:rPr>
      </w:pPr>
      <w:r>
        <w:rPr>
          <w:rFonts w:ascii="Arial" w:cs="Arial" w:eastAsia="Arial" w:hAnsi="Arial"/>
          <w:sz w:val="13"/>
          <w:szCs w:val="13"/>
          <w:b w:val="1"/>
          <w:bCs w:val="1"/>
          <w:color w:val="004876"/>
        </w:rPr>
        <w:t>39</w:t>
      </w:r>
    </w:p>
    <w:p>
      <w:pPr>
        <w:sectPr>
          <w:pgSz w:w="11900" w:h="16838" w:orient="portrait"/>
          <w:cols w:equalWidth="0" w:num="1">
            <w:col w:w="11140"/>
          </w:cols>
          <w:pgMar w:left="320" w:top="459" w:right="439" w:bottom="179" w:gutter="0" w:footer="0" w:header="0"/>
          <w:type w:val="continuous"/>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120"/>
        <w:spacing w:after="0"/>
        <w:rPr>
          <w:sz w:val="20"/>
          <w:szCs w:val="20"/>
          <w:color w:val="auto"/>
        </w:rPr>
      </w:pPr>
      <w:r>
        <w:rPr>
          <w:rFonts w:ascii="Arial" w:cs="Arial" w:eastAsia="Arial" w:hAnsi="Arial"/>
          <w:sz w:val="16"/>
          <w:szCs w:val="16"/>
          <w:b w:val="1"/>
          <w:bCs w:val="1"/>
          <w:color w:val="004876"/>
        </w:rPr>
        <w:t>COMPENSATION DISCUSSION AND ANALYSIS |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1" w:lineRule="exact"/>
        <w:rPr>
          <w:sz w:val="20"/>
          <w:szCs w:val="20"/>
          <w:color w:val="auto"/>
        </w:rPr>
      </w:pPr>
    </w:p>
    <w:p>
      <w:pPr>
        <w:ind w:left="120"/>
        <w:spacing w:after="0"/>
        <w:rPr>
          <w:sz w:val="20"/>
          <w:szCs w:val="20"/>
          <w:color w:val="auto"/>
        </w:rPr>
      </w:pPr>
      <w:r>
        <w:rPr>
          <w:rFonts w:ascii="Arial" w:cs="Arial" w:eastAsia="Arial" w:hAnsi="Arial"/>
          <w:sz w:val="43"/>
          <w:szCs w:val="43"/>
          <w:color w:val="004876"/>
        </w:rPr>
        <w:t>Compensation Discussion and Analysis</w:t>
      </w:r>
    </w:p>
    <w:p>
      <w:pPr>
        <w:spacing w:after="0" w:line="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004876"/>
        </w:rPr>
        <w:t>The following CD&amp;A is organized around three key factors for shareholders to consider: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128905</wp:posOffset>
            </wp:positionV>
            <wp:extent cx="7029450" cy="737235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029450" cy="7372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40" w:hanging="210"/>
        <w:spacing w:after="0"/>
        <w:tabs>
          <w:tab w:leader="none" w:pos="340" w:val="left"/>
        </w:tabs>
        <w:numPr>
          <w:ilvl w:val="0"/>
          <w:numId w:val="83"/>
        </w:numPr>
        <w:rPr>
          <w:rFonts w:ascii="Arial" w:cs="Arial" w:eastAsia="Arial" w:hAnsi="Arial"/>
          <w:sz w:val="11"/>
          <w:szCs w:val="11"/>
          <w:color w:val="auto"/>
        </w:rPr>
      </w:pPr>
      <w:r>
        <w:rPr>
          <w:rFonts w:ascii="Arial" w:cs="Arial" w:eastAsia="Arial" w:hAnsi="Arial"/>
          <w:sz w:val="13"/>
          <w:szCs w:val="13"/>
          <w:color w:val="auto"/>
        </w:rPr>
        <w:t>ROTCE is a non-GAAP financial measure; refer to Note 1 on page 114 for a further discussion of this measure.</w:t>
      </w:r>
    </w:p>
    <w:p>
      <w:pPr>
        <w:spacing w:after="0" w:line="12" w:lineRule="exact"/>
        <w:rPr>
          <w:rFonts w:ascii="Arial" w:cs="Arial" w:eastAsia="Arial" w:hAnsi="Arial"/>
          <w:sz w:val="11"/>
          <w:szCs w:val="11"/>
          <w:color w:val="auto"/>
        </w:rPr>
      </w:pPr>
    </w:p>
    <w:p>
      <w:pPr>
        <w:ind w:left="140"/>
        <w:spacing w:after="0"/>
        <w:rPr>
          <w:rFonts w:ascii="Arial" w:cs="Arial" w:eastAsia="Arial" w:hAnsi="Arial"/>
          <w:sz w:val="11"/>
          <w:szCs w:val="11"/>
          <w:color w:val="auto"/>
        </w:rPr>
      </w:pPr>
      <w:r>
        <w:rPr>
          <w:rFonts w:ascii="Arial" w:cs="Arial" w:eastAsia="Arial" w:hAnsi="Arial"/>
          <w:sz w:val="11"/>
          <w:szCs w:val="11"/>
          <w:color w:val="auto"/>
        </w:rPr>
        <w:t xml:space="preserve">2   </w:t>
      </w:r>
      <w:r>
        <w:rPr>
          <w:rFonts w:ascii="Arial" w:cs="Arial" w:eastAsia="Arial" w:hAnsi="Arial"/>
          <w:sz w:val="12"/>
          <w:szCs w:val="12"/>
          <w:color w:val="auto"/>
        </w:rPr>
        <w:t>Reflects common dividends and common stock repurchases, net of common stock issued to employees.</w:t>
      </w:r>
    </w:p>
    <w:p>
      <w:pPr>
        <w:spacing w:after="0" w:line="24" w:lineRule="exact"/>
        <w:rPr>
          <w:rFonts w:ascii="Arial" w:cs="Arial" w:eastAsia="Arial" w:hAnsi="Arial"/>
          <w:sz w:val="11"/>
          <w:szCs w:val="11"/>
          <w:color w:val="auto"/>
        </w:rPr>
      </w:pPr>
    </w:p>
    <w:p>
      <w:pPr>
        <w:ind w:left="140"/>
        <w:spacing w:after="0"/>
        <w:rPr>
          <w:rFonts w:ascii="Arial" w:cs="Arial" w:eastAsia="Arial" w:hAnsi="Arial"/>
          <w:sz w:val="11"/>
          <w:szCs w:val="11"/>
          <w:color w:val="auto"/>
        </w:rPr>
      </w:pPr>
      <w:r>
        <w:rPr>
          <w:rFonts w:ascii="Arial" w:cs="Arial" w:eastAsia="Arial" w:hAnsi="Arial"/>
          <w:sz w:val="11"/>
          <w:szCs w:val="11"/>
          <w:color w:val="auto"/>
        </w:rPr>
        <w:t xml:space="preserve">3   </w:t>
      </w:r>
      <w:r>
        <w:rPr>
          <w:rFonts w:ascii="Arial" w:cs="Arial" w:eastAsia="Arial" w:hAnsi="Arial"/>
          <w:sz w:val="12"/>
          <w:szCs w:val="12"/>
          <w:color w:val="auto"/>
        </w:rPr>
        <w:t>For external recognition sources for CCB, CIB and AWM, refer to pages 67-69; CB recognition is from S&amp;P Global Market Intelligence as of December 31, 2019.</w:t>
      </w:r>
    </w:p>
    <w:p>
      <w:pPr>
        <w:spacing w:after="0" w:line="24" w:lineRule="exact"/>
        <w:rPr>
          <w:rFonts w:ascii="Arial" w:cs="Arial" w:eastAsia="Arial" w:hAnsi="Arial"/>
          <w:sz w:val="11"/>
          <w:szCs w:val="11"/>
          <w:color w:val="auto"/>
        </w:rPr>
      </w:pPr>
    </w:p>
    <w:p>
      <w:pPr>
        <w:ind w:left="340" w:right="640" w:hanging="202"/>
        <w:spacing w:after="0" w:line="259" w:lineRule="auto"/>
        <w:rPr>
          <w:rFonts w:ascii="Arial" w:cs="Arial" w:eastAsia="Arial" w:hAnsi="Arial"/>
          <w:sz w:val="11"/>
          <w:szCs w:val="11"/>
          <w:color w:val="auto"/>
        </w:rPr>
      </w:pPr>
      <w:r>
        <w:rPr>
          <w:rFonts w:ascii="Arial" w:cs="Arial" w:eastAsia="Arial" w:hAnsi="Arial"/>
          <w:sz w:val="11"/>
          <w:szCs w:val="11"/>
          <w:color w:val="auto"/>
        </w:rPr>
        <w:t xml:space="preserve">4 </w:t>
      </w:r>
      <w:r>
        <w:rPr>
          <w:rFonts w:ascii="Arial" w:cs="Arial" w:eastAsia="Arial" w:hAnsi="Arial"/>
          <w:sz w:val="12"/>
          <w:szCs w:val="12"/>
          <w:color w:val="auto"/>
        </w:rPr>
        <w:t>Total compensation range for Other NEOs includes Mr. Pinto. Pay mix components for Other NEOs exclude Mr. Pinto. The terms and conditions of Mr. Pinto’s compensation reflect the</w:t>
      </w:r>
      <w:r>
        <w:rPr>
          <w:rFonts w:ascii="Arial" w:cs="Arial" w:eastAsia="Arial" w:hAnsi="Arial"/>
          <w:sz w:val="11"/>
          <w:szCs w:val="11"/>
          <w:color w:val="auto"/>
        </w:rPr>
        <w:t xml:space="preserve"> </w:t>
      </w:r>
      <w:r>
        <w:rPr>
          <w:rFonts w:ascii="Arial" w:cs="Arial" w:eastAsia="Arial" w:hAnsi="Arial"/>
          <w:sz w:val="12"/>
          <w:szCs w:val="12"/>
          <w:color w:val="auto"/>
        </w:rPr>
        <w:t>requirements of E.U. and U.K. regulations. Refer to Note 1 on page 47 for additional information on Mr. Pinto’s pay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234950</wp:posOffset>
            </wp:positionV>
            <wp:extent cx="7029450" cy="19685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029450" cy="196850"/>
                    </a:xfrm>
                    <a:prstGeom prst="rect">
                      <a:avLst/>
                    </a:prstGeom>
                    <a:noFill/>
                  </pic:spPr>
                </pic:pic>
              </a:graphicData>
            </a:graphic>
          </wp:anchor>
        </w:drawing>
      </w:r>
    </w:p>
    <w:p>
      <w:pPr>
        <w:sectPr>
          <w:pgSz w:w="11900" w:h="16838" w:orient="portrait"/>
          <w:cols w:equalWidth="0" w:num="1">
            <w:col w:w="11140"/>
          </w:cols>
          <w:pgMar w:left="320" w:top="459" w:right="439" w:bottom="638"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ind w:right="-99"/>
        <w:spacing w:after="0"/>
        <w:rPr>
          <w:sz w:val="20"/>
          <w:szCs w:val="20"/>
          <w:color w:val="auto"/>
        </w:rPr>
      </w:pPr>
      <w:r>
        <w:rPr>
          <w:rFonts w:ascii="Arial" w:cs="Arial" w:eastAsia="Arial" w:hAnsi="Arial"/>
          <w:sz w:val="13"/>
          <w:szCs w:val="13"/>
          <w:b w:val="1"/>
          <w:bCs w:val="1"/>
          <w:color w:val="004876"/>
        </w:rPr>
        <w:t>40</w:t>
      </w:r>
    </w:p>
    <w:p>
      <w:pPr>
        <w:sectPr>
          <w:pgSz w:w="11900" w:h="16838" w:orient="portrait"/>
          <w:cols w:equalWidth="0" w:num="1">
            <w:col w:w="11140"/>
          </w:cols>
          <w:pgMar w:left="320" w:top="459" w:right="439" w:bottom="638" w:gutter="0" w:footer="0" w:header="0"/>
          <w:type w:val="continuous"/>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04876"/>
        </w:rPr>
        <w:t>EXECUTIVE COMPENSATION | 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94297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995160" cy="942975"/>
                    </a:xfrm>
                    <a:prstGeom prst="rect">
                      <a:avLst/>
                    </a:prstGeom>
                    <a:noFill/>
                  </pic:spPr>
                </pic:pic>
              </a:graphicData>
            </a:graphic>
          </wp:anchor>
        </w:drawing>
      </w:r>
    </w:p>
    <w:p>
      <w:pPr>
        <w:spacing w:after="0" w:line="239" w:lineRule="exact"/>
        <w:rPr>
          <w:sz w:val="20"/>
          <w:szCs w:val="20"/>
          <w:color w:val="auto"/>
        </w:rPr>
      </w:pPr>
    </w:p>
    <w:p>
      <w:pPr>
        <w:ind w:left="2340"/>
        <w:spacing w:after="0"/>
        <w:rPr>
          <w:sz w:val="20"/>
          <w:szCs w:val="20"/>
          <w:color w:val="auto"/>
        </w:rPr>
      </w:pPr>
      <w:r>
        <w:rPr>
          <w:rFonts w:ascii="Arial" w:cs="Arial" w:eastAsia="Arial" w:hAnsi="Arial"/>
          <w:sz w:val="40"/>
          <w:szCs w:val="40"/>
          <w:color w:val="004876"/>
        </w:rPr>
        <w:t>How we think about pay decisions</w:t>
      </w:r>
    </w:p>
    <w:p>
      <w:pPr>
        <w:spacing w:after="0" w:line="96" w:lineRule="exact"/>
        <w:rPr>
          <w:sz w:val="20"/>
          <w:szCs w:val="20"/>
          <w:color w:val="auto"/>
        </w:rPr>
      </w:pPr>
    </w:p>
    <w:p>
      <w:pPr>
        <w:ind w:left="2340"/>
        <w:spacing w:after="0" w:line="250" w:lineRule="auto"/>
        <w:rPr>
          <w:sz w:val="20"/>
          <w:szCs w:val="20"/>
          <w:color w:val="auto"/>
        </w:rPr>
      </w:pPr>
      <w:r>
        <w:rPr>
          <w:rFonts w:ascii="Arial" w:cs="Arial" w:eastAsia="Arial" w:hAnsi="Arial"/>
          <w:sz w:val="18"/>
          <w:szCs w:val="18"/>
          <w:i w:val="1"/>
          <w:iCs w:val="1"/>
          <w:color w:val="004876"/>
        </w:rPr>
        <w:t>The Firm’s Business Principles and strategic framework form the basis of our OC members’ strategic priorities. The CMDC references those strategic priorities and the Firm’s compensation philosophy to assess OC members’ performance and to determine their respective total compensation levels and pay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261620</wp:posOffset>
            </wp:positionV>
            <wp:extent cx="6995160" cy="109728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995160" cy="1097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60" w:right="260" w:hanging="2"/>
        <w:spacing w:after="0" w:line="246" w:lineRule="auto"/>
        <w:rPr>
          <w:sz w:val="20"/>
          <w:szCs w:val="20"/>
          <w:color w:val="auto"/>
        </w:rPr>
      </w:pPr>
      <w:r>
        <w:rPr>
          <w:rFonts w:ascii="Arial" w:cs="Arial" w:eastAsia="Arial" w:hAnsi="Arial"/>
          <w:sz w:val="18"/>
          <w:szCs w:val="18"/>
          <w:color w:val="auto"/>
        </w:rPr>
        <w:t>The Firm’s Business Principles and culture are fundamental to our success in the way we do business over the long-term.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691515</wp:posOffset>
            </wp:positionV>
            <wp:extent cx="6995160" cy="354076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995160" cy="3540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040" w:right="1060"/>
        <w:spacing w:after="0" w:line="234" w:lineRule="auto"/>
        <w:rPr>
          <w:sz w:val="20"/>
          <w:szCs w:val="20"/>
          <w:color w:val="auto"/>
        </w:rPr>
      </w:pPr>
      <w:r>
        <w:rPr>
          <w:rFonts w:ascii="Arial" w:cs="Arial" w:eastAsia="Arial" w:hAnsi="Arial"/>
          <w:sz w:val="18"/>
          <w:szCs w:val="18"/>
          <w:color w:val="auto"/>
        </w:rPr>
        <w:t>Guided by our Business Principles, our strategic framework provides holistic direction for the Firm and focuses on three primary strategic tenets:</w:t>
      </w:r>
    </w:p>
    <w:p>
      <w:pPr>
        <w:ind w:left="1220" w:hanging="173"/>
        <w:spacing w:after="0" w:line="236" w:lineRule="auto"/>
        <w:tabs>
          <w:tab w:leader="none" w:pos="1220" w:val="left"/>
        </w:tabs>
        <w:numPr>
          <w:ilvl w:val="0"/>
          <w:numId w:val="84"/>
        </w:numPr>
        <w:rPr>
          <w:rFonts w:ascii="Arial" w:cs="Arial" w:eastAsia="Arial" w:hAnsi="Arial"/>
          <w:sz w:val="18"/>
          <w:szCs w:val="18"/>
          <w:color w:val="004876"/>
        </w:rPr>
      </w:pPr>
      <w:r>
        <w:rPr>
          <w:rFonts w:ascii="Arial" w:cs="Arial" w:eastAsia="Arial" w:hAnsi="Arial"/>
          <w:sz w:val="18"/>
          <w:szCs w:val="18"/>
          <w:color w:val="auto"/>
        </w:rPr>
        <w:t>Operating exceptional client franchises;</w:t>
      </w:r>
    </w:p>
    <w:p>
      <w:pPr>
        <w:ind w:left="1220" w:hanging="173"/>
        <w:spacing w:after="0" w:line="234" w:lineRule="auto"/>
        <w:tabs>
          <w:tab w:leader="none" w:pos="1220" w:val="left"/>
        </w:tabs>
        <w:numPr>
          <w:ilvl w:val="0"/>
          <w:numId w:val="84"/>
        </w:numPr>
        <w:rPr>
          <w:rFonts w:ascii="Arial" w:cs="Arial" w:eastAsia="Arial" w:hAnsi="Arial"/>
          <w:sz w:val="18"/>
          <w:szCs w:val="18"/>
          <w:color w:val="004876"/>
        </w:rPr>
      </w:pPr>
      <w:r>
        <w:rPr>
          <w:rFonts w:ascii="Arial" w:cs="Arial" w:eastAsia="Arial" w:hAnsi="Arial"/>
          <w:sz w:val="18"/>
          <w:szCs w:val="18"/>
          <w:color w:val="auto"/>
        </w:rPr>
        <w:t>Maintaining our fortress balance sheet and principles; and</w:t>
      </w:r>
    </w:p>
    <w:p>
      <w:pPr>
        <w:ind w:left="1200" w:hanging="153"/>
        <w:spacing w:after="0"/>
        <w:tabs>
          <w:tab w:leader="none" w:pos="1200" w:val="left"/>
        </w:tabs>
        <w:numPr>
          <w:ilvl w:val="0"/>
          <w:numId w:val="84"/>
        </w:numPr>
        <w:rPr>
          <w:rFonts w:ascii="Arial" w:cs="Arial" w:eastAsia="Arial" w:hAnsi="Arial"/>
          <w:sz w:val="18"/>
          <w:szCs w:val="18"/>
          <w:color w:val="004876"/>
        </w:rPr>
      </w:pPr>
      <w:r>
        <w:rPr>
          <w:rFonts w:ascii="Arial" w:cs="Arial" w:eastAsia="Arial" w:hAnsi="Arial"/>
          <w:sz w:val="18"/>
          <w:szCs w:val="18"/>
          <w:color w:val="auto"/>
        </w:rPr>
        <w:t>Adding long-term shareholder value.</w:t>
      </w:r>
    </w:p>
    <w:p>
      <w:pPr>
        <w:spacing w:after="0" w:line="117" w:lineRule="exact"/>
        <w:rPr>
          <w:sz w:val="20"/>
          <w:szCs w:val="20"/>
          <w:color w:val="auto"/>
        </w:rPr>
      </w:pPr>
    </w:p>
    <w:p>
      <w:pPr>
        <w:ind w:left="1040" w:right="1040"/>
        <w:spacing w:after="0" w:line="238" w:lineRule="auto"/>
        <w:rPr>
          <w:sz w:val="20"/>
          <w:szCs w:val="20"/>
          <w:color w:val="auto"/>
        </w:rPr>
      </w:pPr>
      <w:r>
        <w:rPr>
          <w:rFonts w:ascii="Arial" w:cs="Arial" w:eastAsia="Arial" w:hAnsi="Arial"/>
          <w:sz w:val="18"/>
          <w:szCs w:val="18"/>
          <w:color w:val="auto"/>
        </w:rPr>
        <w:t>Each year, the Operating Committee reviews the strategic framework to consider enhancements to the framework and its underlying tenets and priorities, and to adapt to changes in the competitive and market landscape if necessary, by considering the Firm’s strengths and challenges and the Firm’s performance over the prior year. In 2019, the CMDC approved the Firm’s 2019-20 strategic framework as the priorities of the Operating Committee, including the 11 strategic priorities in the bullets listed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040" w:right="1320"/>
        <w:spacing w:after="0" w:line="246" w:lineRule="auto"/>
        <w:rPr>
          <w:sz w:val="20"/>
          <w:szCs w:val="20"/>
          <w:color w:val="auto"/>
        </w:rPr>
      </w:pPr>
      <w:r>
        <w:rPr>
          <w:rFonts w:ascii="Arial" w:cs="Arial" w:eastAsia="Arial" w:hAnsi="Arial"/>
          <w:sz w:val="18"/>
          <w:szCs w:val="18"/>
          <w:color w:val="auto"/>
        </w:rPr>
        <w:t>Businesses and functions develop strategic initiatives that map to the strategic framework and are designed to reinforce the Firm’s operating principles to be complete, global, diversified, and at scale.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322580</wp:posOffset>
            </wp:positionV>
            <wp:extent cx="7029450" cy="19685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029450" cy="196850"/>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jc w:val="center"/>
        <w:ind w:right="-139"/>
        <w:spacing w:after="0"/>
        <w:rPr>
          <w:sz w:val="20"/>
          <w:szCs w:val="20"/>
          <w:color w:val="auto"/>
        </w:rPr>
      </w:pPr>
      <w:r>
        <w:rPr>
          <w:rFonts w:ascii="Arial" w:cs="Arial" w:eastAsia="Arial" w:hAnsi="Arial"/>
          <w:sz w:val="13"/>
          <w:szCs w:val="13"/>
          <w:b w:val="1"/>
          <w:bCs w:val="1"/>
          <w:color w:val="004876"/>
        </w:rPr>
        <w:t>41</w:t>
      </w:r>
    </w:p>
    <w:p>
      <w:pPr>
        <w:sectPr>
          <w:pgSz w:w="11900" w:h="16838" w:orient="portrait"/>
          <w:cols w:equalWidth="0" w:num="1">
            <w:col w:w="11120"/>
          </w:cols>
          <w:pgMar w:left="32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4876"/>
        </w:rPr>
        <w:t>COMPENSATION DISCUSSION AND ANALYSIS |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17399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995160" cy="1739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100" w:right="1040" w:hanging="9"/>
        <w:spacing w:after="0" w:line="246" w:lineRule="auto"/>
        <w:rPr>
          <w:sz w:val="20"/>
          <w:szCs w:val="20"/>
          <w:color w:val="auto"/>
        </w:rPr>
      </w:pPr>
      <w:r>
        <w:rPr>
          <w:rFonts w:ascii="Arial" w:cs="Arial" w:eastAsia="Arial" w:hAnsi="Arial"/>
          <w:sz w:val="18"/>
          <w:szCs w:val="18"/>
          <w:color w:val="auto"/>
        </w:rPr>
        <w:t>Also guided by our Business Principles, our compensation philosophy is fundamental to our goal to attract, retain, and motivate our workforce in a competitive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1265555</wp:posOffset>
            </wp:positionV>
            <wp:extent cx="6995160" cy="210058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995160" cy="2100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100" w:right="860"/>
        <w:spacing w:after="0" w:line="234" w:lineRule="auto"/>
        <w:rPr>
          <w:sz w:val="20"/>
          <w:szCs w:val="20"/>
          <w:color w:val="auto"/>
        </w:rPr>
      </w:pPr>
      <w:r>
        <w:rPr>
          <w:rFonts w:ascii="Arial" w:cs="Arial" w:eastAsia="Arial" w:hAnsi="Arial"/>
          <w:sz w:val="18"/>
          <w:szCs w:val="18"/>
          <w:color w:val="auto"/>
        </w:rPr>
        <w:t>In accordance with our compensation philosophy, the CMDC uses a balanced discretionary approach to assess OC member performance throughout the year against four broad dimensions:</w:t>
      </w:r>
    </w:p>
    <w:p>
      <w:pPr>
        <w:ind w:left="1260" w:hanging="163"/>
        <w:spacing w:after="0" w:line="236" w:lineRule="auto"/>
        <w:tabs>
          <w:tab w:leader="none" w:pos="1260" w:val="left"/>
        </w:tabs>
        <w:numPr>
          <w:ilvl w:val="0"/>
          <w:numId w:val="85"/>
        </w:numPr>
        <w:rPr>
          <w:rFonts w:ascii="Arial" w:cs="Arial" w:eastAsia="Arial" w:hAnsi="Arial"/>
          <w:sz w:val="18"/>
          <w:szCs w:val="18"/>
          <w:color w:val="004876"/>
        </w:rPr>
      </w:pPr>
      <w:r>
        <w:rPr>
          <w:rFonts w:ascii="Arial" w:cs="Arial" w:eastAsia="Arial" w:hAnsi="Arial"/>
          <w:sz w:val="18"/>
          <w:szCs w:val="18"/>
          <w:b w:val="1"/>
          <w:bCs w:val="1"/>
          <w:color w:val="auto"/>
        </w:rPr>
        <w:t>Business Results</w:t>
      </w:r>
    </w:p>
    <w:p>
      <w:pPr>
        <w:ind w:left="1260" w:hanging="163"/>
        <w:spacing w:after="0" w:line="234" w:lineRule="auto"/>
        <w:tabs>
          <w:tab w:leader="none" w:pos="1260" w:val="left"/>
        </w:tabs>
        <w:numPr>
          <w:ilvl w:val="0"/>
          <w:numId w:val="85"/>
        </w:numPr>
        <w:rPr>
          <w:rFonts w:ascii="Arial" w:cs="Arial" w:eastAsia="Arial" w:hAnsi="Arial"/>
          <w:sz w:val="18"/>
          <w:szCs w:val="18"/>
          <w:color w:val="004876"/>
        </w:rPr>
      </w:pPr>
      <w:r>
        <w:rPr>
          <w:rFonts w:ascii="Arial" w:cs="Arial" w:eastAsia="Arial" w:hAnsi="Arial"/>
          <w:sz w:val="18"/>
          <w:szCs w:val="18"/>
          <w:b w:val="1"/>
          <w:bCs w:val="1"/>
          <w:color w:val="auto"/>
        </w:rPr>
        <w:t xml:space="preserve">Risk, Controls &amp; Conduct, </w:t>
      </w:r>
      <w:r>
        <w:rPr>
          <w:rFonts w:ascii="Arial" w:cs="Arial" w:eastAsia="Arial" w:hAnsi="Arial"/>
          <w:sz w:val="18"/>
          <w:szCs w:val="18"/>
          <w:color w:val="auto"/>
        </w:rPr>
        <w:t>including feedback received from the Firm’s risk and control professionals</w:t>
      </w:r>
    </w:p>
    <w:p>
      <w:pPr>
        <w:ind w:left="1260" w:hanging="163"/>
        <w:spacing w:after="0" w:line="234" w:lineRule="auto"/>
        <w:tabs>
          <w:tab w:leader="none" w:pos="1260" w:val="left"/>
        </w:tabs>
        <w:numPr>
          <w:ilvl w:val="0"/>
          <w:numId w:val="85"/>
        </w:numPr>
        <w:rPr>
          <w:rFonts w:ascii="Arial" w:cs="Arial" w:eastAsia="Arial" w:hAnsi="Arial"/>
          <w:sz w:val="18"/>
          <w:szCs w:val="18"/>
          <w:color w:val="004876"/>
        </w:rPr>
      </w:pPr>
      <w:r>
        <w:rPr>
          <w:rFonts w:ascii="Arial" w:cs="Arial" w:eastAsia="Arial" w:hAnsi="Arial"/>
          <w:sz w:val="18"/>
          <w:szCs w:val="18"/>
          <w:b w:val="1"/>
          <w:bCs w:val="1"/>
          <w:color w:val="auto"/>
        </w:rPr>
        <w:t xml:space="preserve">Client/Customer/Stakeholder, </w:t>
      </w:r>
      <w:r>
        <w:rPr>
          <w:rFonts w:ascii="Arial" w:cs="Arial" w:eastAsia="Arial" w:hAnsi="Arial"/>
          <w:sz w:val="18"/>
          <w:szCs w:val="18"/>
          <w:color w:val="auto"/>
        </w:rPr>
        <w:t>including our engagement in communities</w:t>
      </w:r>
    </w:p>
    <w:p>
      <w:pPr>
        <w:ind w:left="1240" w:right="1260" w:hanging="143"/>
        <w:spacing w:after="0" w:line="246" w:lineRule="auto"/>
        <w:tabs>
          <w:tab w:leader="none" w:pos="1253" w:val="left"/>
        </w:tabs>
        <w:numPr>
          <w:ilvl w:val="0"/>
          <w:numId w:val="85"/>
        </w:numPr>
        <w:rPr>
          <w:rFonts w:ascii="Arial" w:cs="Arial" w:eastAsia="Arial" w:hAnsi="Arial"/>
          <w:sz w:val="18"/>
          <w:szCs w:val="18"/>
          <w:color w:val="004876"/>
        </w:rPr>
      </w:pPr>
      <w:r>
        <w:rPr>
          <w:rFonts w:ascii="Arial" w:cs="Arial" w:eastAsia="Arial" w:hAnsi="Arial"/>
          <w:sz w:val="18"/>
          <w:szCs w:val="18"/>
          <w:b w:val="1"/>
          <w:bCs w:val="1"/>
          <w:color w:val="auto"/>
        </w:rPr>
        <w:t xml:space="preserve">Teamwork &amp; Leadership, </w:t>
      </w:r>
      <w:r>
        <w:rPr>
          <w:rFonts w:ascii="Arial" w:cs="Arial" w:eastAsia="Arial" w:hAnsi="Arial"/>
          <w:sz w:val="18"/>
          <w:szCs w:val="18"/>
          <w:color w:val="auto"/>
        </w:rPr>
        <w:t>including creating a diverse, inclusive and respectful environment and developing</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managers and leaders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1051560</wp:posOffset>
            </wp:positionV>
            <wp:extent cx="6995160" cy="269176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995160" cy="2691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ind w:left="1100" w:right="720"/>
        <w:spacing w:after="0"/>
        <w:rPr>
          <w:sz w:val="20"/>
          <w:szCs w:val="20"/>
          <w:color w:val="auto"/>
        </w:rPr>
      </w:pPr>
      <w:r>
        <w:rPr>
          <w:rFonts w:ascii="Arial" w:cs="Arial" w:eastAsia="Arial" w:hAnsi="Arial"/>
          <w:sz w:val="18"/>
          <w:szCs w:val="18"/>
          <w:color w:val="auto"/>
        </w:rPr>
        <w:t>Following the performance assessment process, the CMDC determines the total compensation for each OC member, as well as their respective pay mix. Pay mix may include salary, cash incentive, RSUs and formula-based PSUs. Pay levels and pay mix are determined in the context of competitive market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2254885</wp:posOffset>
            </wp:positionV>
            <wp:extent cx="7029450" cy="19748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029450" cy="197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19"/>
        <w:spacing w:after="0"/>
        <w:rPr>
          <w:sz w:val="20"/>
          <w:szCs w:val="20"/>
          <w:color w:val="auto"/>
        </w:rPr>
      </w:pPr>
      <w:r>
        <w:rPr>
          <w:rFonts w:ascii="Arial" w:cs="Arial" w:eastAsia="Arial" w:hAnsi="Arial"/>
          <w:sz w:val="13"/>
          <w:szCs w:val="13"/>
          <w:b w:val="1"/>
          <w:bCs w:val="1"/>
          <w:color w:val="004876"/>
        </w:rPr>
        <w:t>42</w:t>
      </w:r>
    </w:p>
    <w:p>
      <w:pPr>
        <w:sectPr>
          <w:pgSz w:w="11900" w:h="16838" w:orient="portrait"/>
          <w:cols w:equalWidth="0" w:num="1">
            <w:col w:w="11140"/>
          </w:cols>
          <w:pgMar w:left="32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04876"/>
        </w:rPr>
        <w:t>EXECUTIVE COMPENSATION | 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160655</wp:posOffset>
            </wp:positionV>
            <wp:extent cx="7029450" cy="26543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029450"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20"/>
        <w:spacing w:after="0"/>
        <w:rPr>
          <w:sz w:val="20"/>
          <w:szCs w:val="20"/>
          <w:color w:val="auto"/>
        </w:rPr>
      </w:pPr>
      <w:r>
        <w:rPr>
          <w:rFonts w:ascii="Arial" w:cs="Arial" w:eastAsia="Arial" w:hAnsi="Arial"/>
          <w:sz w:val="29"/>
          <w:szCs w:val="29"/>
          <w:color w:val="004876"/>
        </w:rPr>
        <w:t>Our compensation philosophy, pay practices and governance process</w:t>
      </w:r>
    </w:p>
    <w:p>
      <w:pPr>
        <w:spacing w:after="0" w:line="115" w:lineRule="exact"/>
        <w:rPr>
          <w:sz w:val="20"/>
          <w:szCs w:val="20"/>
          <w:color w:val="auto"/>
        </w:rPr>
      </w:pPr>
    </w:p>
    <w:p>
      <w:pPr>
        <w:ind w:left="120" w:right="920"/>
        <w:spacing w:after="0" w:line="246" w:lineRule="auto"/>
        <w:rPr>
          <w:sz w:val="20"/>
          <w:szCs w:val="20"/>
          <w:color w:val="auto"/>
        </w:rPr>
      </w:pPr>
      <w:r>
        <w:rPr>
          <w:rFonts w:ascii="Arial" w:cs="Arial" w:eastAsia="Arial" w:hAnsi="Arial"/>
          <w:sz w:val="18"/>
          <w:szCs w:val="18"/>
          <w:color w:val="auto"/>
        </w:rPr>
        <w:t>Our pay-for-performance compensation program is designed to align the long-term interests of our employees with those of our shareholders by emphasizing sustained value and reinforcing personal accountability.</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20"/>
          <w:szCs w:val="20"/>
          <w:color w:val="004876"/>
        </w:rPr>
        <w:t>COMPENSATION PHILOSOPHY</w:t>
      </w:r>
    </w:p>
    <w:p>
      <w:pPr>
        <w:spacing w:after="0" w:line="97" w:lineRule="exact"/>
        <w:rPr>
          <w:sz w:val="20"/>
          <w:szCs w:val="20"/>
          <w:color w:val="auto"/>
        </w:rPr>
      </w:pPr>
    </w:p>
    <w:p>
      <w:pPr>
        <w:ind w:left="120" w:right="120"/>
        <w:spacing w:after="0" w:line="238" w:lineRule="auto"/>
        <w:rPr>
          <w:sz w:val="20"/>
          <w:szCs w:val="20"/>
          <w:color w:val="auto"/>
        </w:rPr>
      </w:pPr>
      <w:r>
        <w:rPr>
          <w:rFonts w:ascii="Arial" w:cs="Arial" w:eastAsia="Arial" w:hAnsi="Arial"/>
          <w:sz w:val="18"/>
          <w:szCs w:val="18"/>
          <w:color w:val="auto"/>
        </w:rPr>
        <w:t>Our compensation philosophy provides the guiding principles that drive compensation-related decisions across all levels of the Firm. We believe our compensation philosophy promotes an equitable and well-governed approach to compensation, which includes pay-for-performance practices that attract and retain top talent in a competitive market, is responsive to and aligned with shareholders, reinforces our culture and Business Principles, and integrates risk, controls and conduct considerations.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147955</wp:posOffset>
            </wp:positionV>
            <wp:extent cx="1611630" cy="74612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611630" cy="74612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73" w:lineRule="exact"/>
        <w:rPr>
          <w:sz w:val="20"/>
          <w:szCs w:val="20"/>
          <w:color w:val="auto"/>
        </w:rPr>
      </w:pPr>
    </w:p>
    <w:p>
      <w:pPr>
        <w:jc w:val="right"/>
        <w:ind w:left="480"/>
        <w:spacing w:after="0" w:line="248" w:lineRule="auto"/>
        <w:rPr>
          <w:sz w:val="20"/>
          <w:szCs w:val="20"/>
          <w:color w:val="auto"/>
        </w:rPr>
      </w:pPr>
      <w:r>
        <w:rPr>
          <w:rFonts w:ascii="Arial" w:cs="Arial" w:eastAsia="Arial" w:hAnsi="Arial"/>
          <w:sz w:val="19"/>
          <w:szCs w:val="19"/>
          <w:b w:val="1"/>
          <w:bCs w:val="1"/>
          <w:color w:val="FFFFFF"/>
        </w:rPr>
        <w:t>PAYING FOR PERFORMANCE AND ALIGNING WITH SHAREHOLDERS’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106680</wp:posOffset>
            </wp:positionV>
            <wp:extent cx="1611630" cy="50609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611630" cy="5060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ind w:left="138" w:right="20" w:hanging="138"/>
        <w:spacing w:after="0" w:line="249" w:lineRule="auto"/>
        <w:tabs>
          <w:tab w:leader="none" w:pos="132" w:val="left"/>
        </w:tabs>
        <w:numPr>
          <w:ilvl w:val="0"/>
          <w:numId w:val="86"/>
        </w:numPr>
        <w:rPr>
          <w:rFonts w:ascii="Arial" w:cs="Arial" w:eastAsia="Arial" w:hAnsi="Arial"/>
          <w:sz w:val="16"/>
          <w:szCs w:val="16"/>
          <w:color w:val="004876"/>
        </w:rPr>
      </w:pPr>
      <w:r>
        <w:rPr>
          <w:rFonts w:ascii="Arial" w:cs="Arial" w:eastAsia="Arial" w:hAnsi="Arial"/>
          <w:sz w:val="16"/>
          <w:szCs w:val="16"/>
          <w:color w:val="auto"/>
        </w:rPr>
        <w:t>In making compensation-related decisions, we focus on risk-adjusted performance (the Firm’s risk and control professionals help contextualize the risk taken to achieve the return) and reward behaviors that generate sustained value for the Firm. This means that compensation should not be overly formulaic, rigid or focused on the short-term.</w:t>
      </w:r>
    </w:p>
    <w:p>
      <w:pPr>
        <w:spacing w:after="0" w:line="183" w:lineRule="exact"/>
        <w:rPr>
          <w:rFonts w:ascii="Arial" w:cs="Arial" w:eastAsia="Arial" w:hAnsi="Arial"/>
          <w:sz w:val="16"/>
          <w:szCs w:val="16"/>
          <w:color w:val="004876"/>
        </w:rPr>
      </w:pPr>
    </w:p>
    <w:p>
      <w:pPr>
        <w:ind w:left="138" w:right="240" w:hanging="138"/>
        <w:spacing w:after="0" w:line="260" w:lineRule="auto"/>
        <w:tabs>
          <w:tab w:leader="none" w:pos="123" w:val="left"/>
        </w:tabs>
        <w:numPr>
          <w:ilvl w:val="0"/>
          <w:numId w:val="86"/>
        </w:numPr>
        <w:rPr>
          <w:rFonts w:ascii="Arial" w:cs="Arial" w:eastAsia="Arial" w:hAnsi="Arial"/>
          <w:sz w:val="16"/>
          <w:szCs w:val="16"/>
          <w:color w:val="004876"/>
        </w:rPr>
      </w:pPr>
      <w:r>
        <w:rPr>
          <w:rFonts w:ascii="Arial" w:cs="Arial" w:eastAsia="Arial" w:hAnsi="Arial"/>
          <w:sz w:val="16"/>
          <w:szCs w:val="16"/>
          <w:color w:val="auto"/>
        </w:rPr>
        <w:t>A majority of OC member incentive compensation should be in equity that vests over multiple years to align with sustained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-1679575</wp:posOffset>
            </wp:positionH>
            <wp:positionV relativeFrom="paragraph">
              <wp:posOffset>28575</wp:posOffset>
            </wp:positionV>
            <wp:extent cx="699516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2" w:lineRule="exact"/>
        <w:rPr>
          <w:sz w:val="20"/>
          <w:szCs w:val="20"/>
          <w:color w:val="auto"/>
        </w:rPr>
      </w:pPr>
    </w:p>
    <w:p>
      <w:pPr>
        <w:sectPr>
          <w:pgSz w:w="11900" w:h="16838" w:orient="portrait"/>
          <w:cols w:equalWidth="0" w:num="2">
            <w:col w:w="2500" w:space="262"/>
            <w:col w:w="8378"/>
          </w:cols>
          <w:pgMar w:left="320" w:top="459" w:right="439" w:bottom="1440" w:gutter="0" w:footer="0" w:header="0"/>
          <w:type w:val="continuous"/>
        </w:sectPr>
      </w:pPr>
    </w:p>
    <w:p>
      <w:pPr>
        <w:spacing w:after="0" w:line="11" w:lineRule="exact"/>
        <w:rPr>
          <w:sz w:val="20"/>
          <w:szCs w:val="20"/>
          <w:color w:val="auto"/>
        </w:rPr>
      </w:pPr>
    </w:p>
    <w:p>
      <w:pPr>
        <w:jc w:val="right"/>
        <w:ind w:left="640"/>
        <w:spacing w:after="0" w:line="260" w:lineRule="auto"/>
        <w:rPr>
          <w:sz w:val="20"/>
          <w:szCs w:val="20"/>
          <w:color w:val="auto"/>
        </w:rPr>
      </w:pPr>
      <w:r>
        <w:rPr>
          <w:rFonts w:ascii="Arial" w:cs="Arial" w:eastAsia="Arial" w:hAnsi="Arial"/>
          <w:sz w:val="19"/>
          <w:szCs w:val="19"/>
          <w:b w:val="1"/>
          <w:bCs w:val="1"/>
          <w:color w:val="FFFFFF"/>
        </w:rPr>
        <w:t>ENCOURAGING A SHARED SUCCESS CULTURE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132715</wp:posOffset>
            </wp:positionV>
            <wp:extent cx="1611630" cy="50546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611630" cy="5054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38" w:right="460" w:hanging="138"/>
        <w:spacing w:after="0" w:line="246" w:lineRule="auto"/>
        <w:tabs>
          <w:tab w:leader="none" w:pos="129" w:val="left"/>
        </w:tabs>
        <w:numPr>
          <w:ilvl w:val="0"/>
          <w:numId w:val="87"/>
        </w:numPr>
        <w:rPr>
          <w:rFonts w:ascii="Arial" w:cs="Arial" w:eastAsia="Arial" w:hAnsi="Arial"/>
          <w:sz w:val="16"/>
          <w:szCs w:val="16"/>
          <w:color w:val="004876"/>
        </w:rPr>
      </w:pPr>
      <w:r>
        <w:rPr>
          <w:rFonts w:ascii="Arial" w:cs="Arial" w:eastAsia="Arial" w:hAnsi="Arial"/>
          <w:sz w:val="16"/>
          <w:szCs w:val="16"/>
          <w:color w:val="auto"/>
        </w:rPr>
        <w:t>Teamwork and leadership should be encouraged and rewarded to foster a culture that supports our Business Principles.</w:t>
      </w:r>
    </w:p>
    <w:p>
      <w:pPr>
        <w:ind w:left="138" w:right="660" w:hanging="138"/>
        <w:spacing w:after="0" w:line="260" w:lineRule="auto"/>
        <w:tabs>
          <w:tab w:leader="none" w:pos="132" w:val="left"/>
        </w:tabs>
        <w:numPr>
          <w:ilvl w:val="0"/>
          <w:numId w:val="87"/>
        </w:numPr>
        <w:rPr>
          <w:rFonts w:ascii="Arial" w:cs="Arial" w:eastAsia="Arial" w:hAnsi="Arial"/>
          <w:sz w:val="16"/>
          <w:szCs w:val="16"/>
          <w:color w:val="004876"/>
        </w:rPr>
      </w:pPr>
      <w:r>
        <w:rPr>
          <w:rFonts w:ascii="Arial" w:cs="Arial" w:eastAsia="Arial" w:hAnsi="Arial"/>
          <w:sz w:val="16"/>
          <w:szCs w:val="16"/>
          <w:color w:val="auto"/>
        </w:rPr>
        <w:t>Contributions should be considered across the Firm, within business units, and at an individual level when evaluating an employee’s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-1679575</wp:posOffset>
            </wp:positionH>
            <wp:positionV relativeFrom="paragraph">
              <wp:posOffset>28575</wp:posOffset>
            </wp:positionV>
            <wp:extent cx="699516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82" w:lineRule="exact"/>
        <w:rPr>
          <w:sz w:val="20"/>
          <w:szCs w:val="20"/>
          <w:color w:val="auto"/>
        </w:rPr>
      </w:pPr>
    </w:p>
    <w:p>
      <w:pPr>
        <w:sectPr>
          <w:pgSz w:w="11900" w:h="16838" w:orient="portrait"/>
          <w:cols w:equalWidth="0" w:num="2">
            <w:col w:w="2500" w:space="262"/>
            <w:col w:w="8378"/>
          </w:cols>
          <w:pgMar w:left="320" w:top="459" w:right="439" w:bottom="1440" w:gutter="0" w:footer="0" w:header="0"/>
          <w:type w:val="continuous"/>
        </w:sectPr>
      </w:pPr>
    </w:p>
    <w:p>
      <w:pPr>
        <w:spacing w:after="0" w:line="11" w:lineRule="exact"/>
        <w:rPr>
          <w:sz w:val="20"/>
          <w:szCs w:val="20"/>
          <w:color w:val="auto"/>
        </w:rPr>
      </w:pPr>
    </w:p>
    <w:p>
      <w:pPr>
        <w:jc w:val="right"/>
        <w:ind w:left="940"/>
        <w:spacing w:after="0" w:line="260" w:lineRule="auto"/>
        <w:rPr>
          <w:sz w:val="20"/>
          <w:szCs w:val="20"/>
          <w:color w:val="auto"/>
        </w:rPr>
      </w:pPr>
      <w:r>
        <w:rPr>
          <w:rFonts w:ascii="Arial" w:cs="Arial" w:eastAsia="Arial" w:hAnsi="Arial"/>
          <w:sz w:val="19"/>
          <w:szCs w:val="19"/>
          <w:b w:val="1"/>
          <w:bCs w:val="1"/>
          <w:color w:val="FFFFFF"/>
        </w:rPr>
        <w:t>ATTRACTING AND RETAINING TOP TALENT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132715</wp:posOffset>
            </wp:positionV>
            <wp:extent cx="1611630" cy="86550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611630" cy="8655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38" w:right="80" w:hanging="138"/>
        <w:spacing w:after="0" w:line="246" w:lineRule="auto"/>
        <w:tabs>
          <w:tab w:leader="none" w:pos="132" w:val="left"/>
        </w:tabs>
        <w:numPr>
          <w:ilvl w:val="0"/>
          <w:numId w:val="88"/>
        </w:numPr>
        <w:rPr>
          <w:rFonts w:ascii="Arial" w:cs="Arial" w:eastAsia="Arial" w:hAnsi="Arial"/>
          <w:sz w:val="16"/>
          <w:szCs w:val="16"/>
          <w:color w:val="004876"/>
        </w:rPr>
      </w:pPr>
      <w:r>
        <w:rPr>
          <w:rFonts w:ascii="Arial" w:cs="Arial" w:eastAsia="Arial" w:hAnsi="Arial"/>
          <w:sz w:val="16"/>
          <w:szCs w:val="16"/>
          <w:color w:val="auto"/>
        </w:rPr>
        <w:t>Our long-term success depends on the talents of our employees. Our compensation philosophy plays a significant role in our ability to attract, properly motivate and retain top talent.</w:t>
      </w:r>
    </w:p>
    <w:p>
      <w:pPr>
        <w:ind w:left="138" w:right="240" w:hanging="138"/>
        <w:spacing w:after="0" w:line="260" w:lineRule="auto"/>
        <w:tabs>
          <w:tab w:leader="none" w:pos="132" w:val="left"/>
        </w:tabs>
        <w:numPr>
          <w:ilvl w:val="0"/>
          <w:numId w:val="88"/>
        </w:numPr>
        <w:rPr>
          <w:rFonts w:ascii="Arial" w:cs="Arial" w:eastAsia="Arial" w:hAnsi="Arial"/>
          <w:sz w:val="16"/>
          <w:szCs w:val="16"/>
          <w:color w:val="004876"/>
        </w:rPr>
      </w:pPr>
      <w:r>
        <w:rPr>
          <w:rFonts w:ascii="Arial" w:cs="Arial" w:eastAsia="Arial" w:hAnsi="Arial"/>
          <w:sz w:val="16"/>
          <w:szCs w:val="16"/>
          <w:color w:val="auto"/>
        </w:rPr>
        <w:t>Competitive and reasonable compensation should help attract and retain the best talent to grow and sustain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-1679575</wp:posOffset>
            </wp:positionH>
            <wp:positionV relativeFrom="paragraph">
              <wp:posOffset>28575</wp:posOffset>
            </wp:positionV>
            <wp:extent cx="699516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2" w:lineRule="exact"/>
        <w:rPr>
          <w:sz w:val="20"/>
          <w:szCs w:val="20"/>
          <w:color w:val="auto"/>
        </w:rPr>
      </w:pPr>
    </w:p>
    <w:p>
      <w:pPr>
        <w:sectPr>
          <w:pgSz w:w="11900" w:h="16838" w:orient="portrait"/>
          <w:cols w:equalWidth="0" w:num="2">
            <w:col w:w="2480" w:space="282"/>
            <w:col w:w="8378"/>
          </w:cols>
          <w:pgMar w:left="320" w:top="459" w:right="439" w:bottom="1440" w:gutter="0" w:footer="0" w:header="0"/>
          <w:type w:val="continuous"/>
        </w:sectPr>
      </w:pPr>
    </w:p>
    <w:p>
      <w:pPr>
        <w:spacing w:after="0" w:line="11" w:lineRule="exact"/>
        <w:rPr>
          <w:sz w:val="20"/>
          <w:szCs w:val="20"/>
          <w:color w:val="auto"/>
        </w:rPr>
      </w:pPr>
    </w:p>
    <w:p>
      <w:pPr>
        <w:jc w:val="right"/>
        <w:ind w:left="560"/>
        <w:spacing w:after="0" w:line="260" w:lineRule="auto"/>
        <w:rPr>
          <w:sz w:val="20"/>
          <w:szCs w:val="20"/>
          <w:color w:val="auto"/>
        </w:rPr>
      </w:pPr>
      <w:r>
        <w:rPr>
          <w:rFonts w:ascii="Arial" w:cs="Arial" w:eastAsia="Arial" w:hAnsi="Arial"/>
          <w:sz w:val="19"/>
          <w:szCs w:val="19"/>
          <w:b w:val="1"/>
          <w:bCs w:val="1"/>
          <w:color w:val="FFFFFF"/>
        </w:rPr>
        <w:t>INTEGRATING RISK MANAGEMENT AND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492760</wp:posOffset>
            </wp:positionV>
            <wp:extent cx="1611630" cy="7372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611630" cy="7372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left="138" w:right="180" w:hanging="138"/>
        <w:spacing w:after="0" w:line="246" w:lineRule="auto"/>
        <w:tabs>
          <w:tab w:leader="none" w:pos="132" w:val="left"/>
        </w:tabs>
        <w:numPr>
          <w:ilvl w:val="0"/>
          <w:numId w:val="89"/>
        </w:numPr>
        <w:rPr>
          <w:rFonts w:ascii="Arial" w:cs="Arial" w:eastAsia="Arial" w:hAnsi="Arial"/>
          <w:sz w:val="16"/>
          <w:szCs w:val="16"/>
          <w:color w:val="004876"/>
        </w:rPr>
      </w:pPr>
      <w:r>
        <w:rPr>
          <w:rFonts w:ascii="Arial" w:cs="Arial" w:eastAsia="Arial" w:hAnsi="Arial"/>
          <w:sz w:val="16"/>
          <w:szCs w:val="16"/>
          <w:color w:val="auto"/>
        </w:rPr>
        <w:t>Risk management, compensation recovery, and repayment policies should be robust and designed to encourage behaving with the standards of integrity that are required by our culture and Business Principles. Excessive risk-taking should be deterred.</w:t>
      </w:r>
    </w:p>
    <w:p>
      <w:pPr>
        <w:spacing w:after="0" w:line="1" w:lineRule="exact"/>
        <w:rPr>
          <w:rFonts w:ascii="Arial" w:cs="Arial" w:eastAsia="Arial" w:hAnsi="Arial"/>
          <w:sz w:val="16"/>
          <w:szCs w:val="16"/>
          <w:color w:val="004876"/>
        </w:rPr>
      </w:pPr>
    </w:p>
    <w:p>
      <w:pPr>
        <w:ind w:left="138" w:right="360" w:hanging="138"/>
        <w:spacing w:after="0" w:line="246" w:lineRule="auto"/>
        <w:tabs>
          <w:tab w:leader="none" w:pos="132" w:val="left"/>
        </w:tabs>
        <w:numPr>
          <w:ilvl w:val="0"/>
          <w:numId w:val="89"/>
        </w:numPr>
        <w:rPr>
          <w:rFonts w:ascii="Arial" w:cs="Arial" w:eastAsia="Arial" w:hAnsi="Arial"/>
          <w:sz w:val="16"/>
          <w:szCs w:val="16"/>
          <w:color w:val="004876"/>
        </w:rPr>
      </w:pPr>
      <w:r>
        <w:rPr>
          <w:rFonts w:ascii="Arial" w:cs="Arial" w:eastAsia="Arial" w:hAnsi="Arial"/>
          <w:sz w:val="16"/>
          <w:szCs w:val="16"/>
          <w:color w:val="auto"/>
        </w:rPr>
        <w:t>HR Control Forums should discuss actual or potential misconduct of individuals involved in matters that create material risk, controls and conduct concerns.</w:t>
      </w:r>
    </w:p>
    <w:p>
      <w:pPr>
        <w:ind w:left="138" w:hanging="138"/>
        <w:spacing w:after="0"/>
        <w:tabs>
          <w:tab w:leader="none" w:pos="138" w:val="left"/>
        </w:tabs>
        <w:numPr>
          <w:ilvl w:val="0"/>
          <w:numId w:val="89"/>
        </w:numPr>
        <w:rPr>
          <w:rFonts w:ascii="Arial" w:cs="Arial" w:eastAsia="Arial" w:hAnsi="Arial"/>
          <w:sz w:val="16"/>
          <w:szCs w:val="16"/>
          <w:color w:val="004876"/>
        </w:rPr>
      </w:pPr>
      <w:r>
        <w:rPr>
          <w:rFonts w:ascii="Arial" w:cs="Arial" w:eastAsia="Arial" w:hAnsi="Arial"/>
          <w:sz w:val="16"/>
          <w:szCs w:val="16"/>
          <w:color w:val="auto"/>
        </w:rPr>
        <w:t>Recoupment policies should include recovery of cash and equity compensation.</w:t>
      </w:r>
    </w:p>
    <w:p>
      <w:pPr>
        <w:spacing w:after="0" w:line="5" w:lineRule="exact"/>
        <w:rPr>
          <w:rFonts w:ascii="Arial" w:cs="Arial" w:eastAsia="Arial" w:hAnsi="Arial"/>
          <w:sz w:val="16"/>
          <w:szCs w:val="16"/>
          <w:color w:val="004876"/>
        </w:rPr>
      </w:pPr>
    </w:p>
    <w:p>
      <w:pPr>
        <w:ind w:left="138" w:hanging="138"/>
        <w:spacing w:after="0"/>
        <w:tabs>
          <w:tab w:leader="none" w:pos="138" w:val="left"/>
        </w:tabs>
        <w:numPr>
          <w:ilvl w:val="0"/>
          <w:numId w:val="89"/>
        </w:numPr>
        <w:rPr>
          <w:rFonts w:ascii="Arial" w:cs="Arial" w:eastAsia="Arial" w:hAnsi="Arial"/>
          <w:sz w:val="16"/>
          <w:szCs w:val="16"/>
          <w:color w:val="004876"/>
        </w:rPr>
      </w:pPr>
      <w:r>
        <w:rPr>
          <w:rFonts w:ascii="Arial" w:cs="Arial" w:eastAsia="Arial" w:hAnsi="Arial"/>
          <w:sz w:val="16"/>
          <w:szCs w:val="16"/>
          <w:color w:val="auto"/>
        </w:rPr>
        <w:t>Our pay practices must comply with applicable rules and regulations, both in the U.S. and globally.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-1679575</wp:posOffset>
            </wp:positionH>
            <wp:positionV relativeFrom="paragraph">
              <wp:posOffset>45085</wp:posOffset>
            </wp:positionV>
            <wp:extent cx="699516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80" w:space="282"/>
            <w:col w:w="8378"/>
          </w:cols>
          <w:pgMar w:left="320" w:top="459" w:right="439" w:bottom="1440" w:gutter="0" w:footer="0" w:header="0"/>
          <w:type w:val="continuous"/>
        </w:sectPr>
      </w:pP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FFFFFF"/>
        </w:rPr>
        <w:t>NO SPECIAL</w:t>
      </w:r>
    </w:p>
    <w:p>
      <w:pPr>
        <w:jc w:val="right"/>
        <w:ind w:right="20"/>
        <w:spacing w:after="0" w:line="235" w:lineRule="auto"/>
        <w:rPr>
          <w:sz w:val="20"/>
          <w:szCs w:val="20"/>
          <w:color w:val="auto"/>
        </w:rPr>
      </w:pPr>
      <w:r>
        <w:rPr>
          <w:rFonts w:ascii="Arial" w:cs="Arial" w:eastAsia="Arial" w:hAnsi="Arial"/>
          <w:sz w:val="20"/>
          <w:szCs w:val="20"/>
          <w:b w:val="1"/>
          <w:bCs w:val="1"/>
          <w:color w:val="FFFFFF"/>
        </w:rPr>
        <w:t>PERQUISITES AND</w:t>
      </w:r>
    </w:p>
    <w:p>
      <w:pPr>
        <w:jc w:val="right"/>
        <w:ind w:right="20"/>
        <w:spacing w:after="0" w:line="238" w:lineRule="auto"/>
        <w:rPr>
          <w:sz w:val="20"/>
          <w:szCs w:val="20"/>
          <w:color w:val="auto"/>
        </w:rPr>
      </w:pPr>
      <w:r>
        <w:rPr>
          <w:rFonts w:ascii="Arial" w:cs="Arial" w:eastAsia="Arial" w:hAnsi="Arial"/>
          <w:sz w:val="19"/>
          <w:szCs w:val="19"/>
          <w:b w:val="1"/>
          <w:bCs w:val="1"/>
          <w:color w:val="FFFFFF"/>
        </w:rPr>
        <w:t>NON-PERFORMANCE</w:t>
      </w:r>
    </w:p>
    <w:p>
      <w:pPr>
        <w:jc w:val="right"/>
        <w:ind w:right="20"/>
        <w:spacing w:after="0" w:line="225" w:lineRule="auto"/>
        <w:rPr>
          <w:sz w:val="20"/>
          <w:szCs w:val="20"/>
          <w:color w:val="auto"/>
        </w:rPr>
      </w:pPr>
      <w:r>
        <w:rPr>
          <w:rFonts w:ascii="Arial" w:cs="Arial" w:eastAsia="Arial" w:hAnsi="Arial"/>
          <w:sz w:val="20"/>
          <w:szCs w:val="20"/>
          <w:b w:val="1"/>
          <w:bCs w:val="1"/>
          <w:color w:val="FFFFFF"/>
        </w:rPr>
        <w:t>BASED</w:t>
      </w:r>
    </w:p>
    <w:p>
      <w:pPr>
        <w:spacing w:after="0" w:line="1" w:lineRule="exact"/>
        <w:rPr>
          <w:sz w:val="20"/>
          <w:szCs w:val="20"/>
          <w:color w:val="auto"/>
        </w:rPr>
      </w:pPr>
    </w:p>
    <w:p>
      <w:pPr>
        <w:jc w:val="right"/>
        <w:ind w:right="20"/>
        <w:spacing w:after="0"/>
        <w:rPr>
          <w:sz w:val="20"/>
          <w:szCs w:val="20"/>
          <w:color w:val="auto"/>
        </w:rPr>
      </w:pPr>
      <w:r>
        <w:rPr>
          <w:rFonts w:ascii="Arial" w:cs="Arial" w:eastAsia="Arial" w:hAnsi="Arial"/>
          <w:sz w:val="20"/>
          <w:szCs w:val="20"/>
          <w:b w:val="1"/>
          <w:bCs w:val="1"/>
          <w:color w:val="FFFFFF"/>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104775</wp:posOffset>
            </wp:positionV>
            <wp:extent cx="1611630" cy="86550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611630" cy="8655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38" w:hanging="138"/>
        <w:spacing w:after="0"/>
        <w:tabs>
          <w:tab w:leader="none" w:pos="138" w:val="left"/>
        </w:tabs>
        <w:numPr>
          <w:ilvl w:val="0"/>
          <w:numId w:val="90"/>
        </w:numPr>
        <w:rPr>
          <w:rFonts w:ascii="Arial" w:cs="Arial" w:eastAsia="Arial" w:hAnsi="Arial"/>
          <w:sz w:val="16"/>
          <w:szCs w:val="16"/>
          <w:color w:val="004876"/>
        </w:rPr>
      </w:pPr>
      <w:r>
        <w:rPr>
          <w:rFonts w:ascii="Arial" w:cs="Arial" w:eastAsia="Arial" w:hAnsi="Arial"/>
          <w:sz w:val="16"/>
          <w:szCs w:val="16"/>
          <w:color w:val="auto"/>
        </w:rPr>
        <w:t>Compensation should be straightforward and consist primarily of cash and equity incentives.</w:t>
      </w:r>
    </w:p>
    <w:p>
      <w:pPr>
        <w:spacing w:after="0" w:line="5" w:lineRule="exact"/>
        <w:rPr>
          <w:rFonts w:ascii="Arial" w:cs="Arial" w:eastAsia="Arial" w:hAnsi="Arial"/>
          <w:sz w:val="16"/>
          <w:szCs w:val="16"/>
          <w:color w:val="004876"/>
        </w:rPr>
      </w:pPr>
    </w:p>
    <w:p>
      <w:pPr>
        <w:ind w:left="138" w:right="160" w:hanging="138"/>
        <w:spacing w:after="0" w:line="253" w:lineRule="auto"/>
        <w:tabs>
          <w:tab w:leader="none" w:pos="132" w:val="left"/>
        </w:tabs>
        <w:numPr>
          <w:ilvl w:val="0"/>
          <w:numId w:val="90"/>
        </w:numPr>
        <w:rPr>
          <w:rFonts w:ascii="Arial" w:cs="Arial" w:eastAsia="Arial" w:hAnsi="Arial"/>
          <w:sz w:val="16"/>
          <w:szCs w:val="16"/>
          <w:color w:val="004876"/>
        </w:rPr>
      </w:pPr>
      <w:r>
        <w:rPr>
          <w:rFonts w:ascii="Arial" w:cs="Arial" w:eastAsia="Arial" w:hAnsi="Arial"/>
          <w:sz w:val="16"/>
          <w:szCs w:val="16"/>
          <w:color w:val="auto"/>
        </w:rPr>
        <w:t>We do not have special supplemental retirement or other special benefits just for executives, nor do we have any change-in-control agreements, golden parachutes, merger bonuses, or other special severance benefit arrangements for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-1679575</wp:posOffset>
            </wp:positionH>
            <wp:positionV relativeFrom="paragraph">
              <wp:posOffset>263525</wp:posOffset>
            </wp:positionV>
            <wp:extent cx="699516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552" w:lineRule="exact"/>
        <w:rPr>
          <w:sz w:val="20"/>
          <w:szCs w:val="20"/>
          <w:color w:val="auto"/>
        </w:rPr>
      </w:pPr>
    </w:p>
    <w:p>
      <w:pPr>
        <w:sectPr>
          <w:pgSz w:w="11900" w:h="16838" w:orient="portrait"/>
          <w:cols w:equalWidth="0" w:num="2">
            <w:col w:w="2500" w:space="262"/>
            <w:col w:w="8378"/>
          </w:cols>
          <w:pgMar w:left="320" w:top="459" w:right="439" w:bottom="1440" w:gutter="0" w:footer="0" w:header="0"/>
          <w:type w:val="continuous"/>
        </w:sectPr>
      </w:pPr>
    </w:p>
    <w:p>
      <w:pPr>
        <w:spacing w:after="0" w:line="11" w:lineRule="exact"/>
        <w:rPr>
          <w:sz w:val="20"/>
          <w:szCs w:val="20"/>
          <w:color w:val="auto"/>
        </w:rPr>
      </w:pPr>
    </w:p>
    <w:p>
      <w:pPr>
        <w:jc w:val="right"/>
        <w:ind w:left="1080"/>
        <w:spacing w:after="0" w:line="260" w:lineRule="auto"/>
        <w:rPr>
          <w:sz w:val="20"/>
          <w:szCs w:val="20"/>
          <w:color w:val="auto"/>
        </w:rPr>
      </w:pPr>
      <w:r>
        <w:rPr>
          <w:rFonts w:ascii="Arial" w:cs="Arial" w:eastAsia="Arial" w:hAnsi="Arial"/>
          <w:sz w:val="19"/>
          <w:szCs w:val="19"/>
          <w:b w:val="1"/>
          <w:bCs w:val="1"/>
          <w:color w:val="FFFFFF"/>
        </w:rPr>
        <w:t>MAINTAINING STRONG GOVERNANCE</w:t>
      </w:r>
    </w:p>
    <w:p>
      <w:pPr>
        <w:spacing w:after="0" w:line="20" w:lineRule="exact"/>
        <w:rPr>
          <w:sz w:val="20"/>
          <w:szCs w:val="20"/>
          <w:color w:val="auto"/>
        </w:rPr>
      </w:pPr>
      <w:r>
        <w:rPr>
          <w:sz w:val="20"/>
          <w:szCs w:val="20"/>
          <w:color w:val="auto"/>
        </w:rPr>
        <w:br w:type="column"/>
      </w:r>
    </w:p>
    <w:p>
      <w:pPr>
        <w:ind w:left="138" w:right="120" w:hanging="138"/>
        <w:spacing w:after="0" w:line="246" w:lineRule="auto"/>
        <w:tabs>
          <w:tab w:leader="none" w:pos="132" w:val="left"/>
        </w:tabs>
        <w:numPr>
          <w:ilvl w:val="0"/>
          <w:numId w:val="91"/>
        </w:numPr>
        <w:rPr>
          <w:rFonts w:ascii="Arial" w:cs="Arial" w:eastAsia="Arial" w:hAnsi="Arial"/>
          <w:sz w:val="16"/>
          <w:szCs w:val="16"/>
          <w:color w:val="004876"/>
        </w:rPr>
      </w:pPr>
      <w:r>
        <w:rPr>
          <w:rFonts w:ascii="Arial" w:cs="Arial" w:eastAsia="Arial" w:hAnsi="Arial"/>
          <w:sz w:val="16"/>
          <w:szCs w:val="16"/>
          <w:color w:val="auto"/>
        </w:rPr>
        <w:t>Strong corporate governance is fostered by independent Board oversight of our executive compensation program by the CMDC, including defining the Firm’s compensation philosophy, reviewing and approving the Firm’s overall incentive compensation pools, and approving compensation for our OC, including the terms of compensation awards; CEO compensation is subject to full Board ratification.</w:t>
      </w:r>
    </w:p>
    <w:p>
      <w:pPr>
        <w:spacing w:after="0" w:line="1" w:lineRule="exact"/>
        <w:rPr>
          <w:rFonts w:ascii="Arial" w:cs="Arial" w:eastAsia="Arial" w:hAnsi="Arial"/>
          <w:sz w:val="16"/>
          <w:szCs w:val="16"/>
          <w:color w:val="004876"/>
        </w:rPr>
      </w:pPr>
    </w:p>
    <w:p>
      <w:pPr>
        <w:ind w:left="138" w:right="120" w:hanging="138"/>
        <w:spacing w:after="0" w:line="253" w:lineRule="auto"/>
        <w:tabs>
          <w:tab w:leader="none" w:pos="132" w:val="left"/>
        </w:tabs>
        <w:numPr>
          <w:ilvl w:val="0"/>
          <w:numId w:val="91"/>
        </w:numPr>
        <w:rPr>
          <w:rFonts w:ascii="Arial" w:cs="Arial" w:eastAsia="Arial" w:hAnsi="Arial"/>
          <w:sz w:val="16"/>
          <w:szCs w:val="16"/>
          <w:color w:val="004876"/>
        </w:rPr>
      </w:pPr>
      <w:r>
        <w:rPr>
          <w:rFonts w:ascii="Arial" w:cs="Arial" w:eastAsia="Arial" w:hAnsi="Arial"/>
          <w:sz w:val="16"/>
          <w:szCs w:val="16"/>
          <w:color w:val="auto"/>
        </w:rPr>
        <w:t>We have a rigorous process in place to review risk, control and conduct issues at the Firm, line of business, functional, and regional levels, which have impacted compensation pools as well as reduced compensation at the individual level, in addition to other employee 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-1679575</wp:posOffset>
            </wp:positionH>
            <wp:positionV relativeFrom="paragraph">
              <wp:posOffset>32385</wp:posOffset>
            </wp:positionV>
            <wp:extent cx="699516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59" w:lineRule="exact"/>
        <w:rPr>
          <w:sz w:val="20"/>
          <w:szCs w:val="20"/>
          <w:color w:val="auto"/>
        </w:rPr>
      </w:pPr>
    </w:p>
    <w:p>
      <w:pPr>
        <w:sectPr>
          <w:pgSz w:w="11900" w:h="16838" w:orient="portrait"/>
          <w:cols w:equalWidth="0" w:num="2">
            <w:col w:w="2480" w:space="282"/>
            <w:col w:w="8378"/>
          </w:cols>
          <w:pgMar w:left="320" w:top="459" w:right="439" w:bottom="1440" w:gutter="0" w:footer="0" w:header="0"/>
          <w:type w:val="continuous"/>
        </w:sectPr>
      </w:pPr>
    </w:p>
    <w:tbl>
      <w:tblPr>
        <w:tblLayout w:type="fixed"/>
        <w:tblInd w:w="120" w:type="dxa"/>
        <w:tblCellMar>
          <w:top w:w="0" w:type="dxa"/>
          <w:left w:w="0" w:type="dxa"/>
          <w:bottom w:w="0" w:type="dxa"/>
          <w:right w:w="0" w:type="dxa"/>
        </w:tblCellMar>
      </w:tblPr>
      <w:tr>
        <w:trPr>
          <w:trHeight w:val="243"/>
        </w:trPr>
        <w:tc>
          <w:tcPr>
            <w:tcW w:w="2540" w:type="dxa"/>
            <w:vAlign w:val="bottom"/>
            <w:shd w:val="clear" w:color="auto" w:fill="42683C"/>
          </w:tcPr>
          <w:p>
            <w:pPr>
              <w:jc w:val="right"/>
              <w:ind w:right="81"/>
              <w:spacing w:after="0"/>
              <w:rPr>
                <w:sz w:val="20"/>
                <w:szCs w:val="20"/>
                <w:color w:val="auto"/>
              </w:rPr>
            </w:pPr>
            <w:r>
              <w:rPr>
                <w:rFonts w:ascii="Arial" w:cs="Arial" w:eastAsia="Arial" w:hAnsi="Arial"/>
                <w:sz w:val="20"/>
                <w:szCs w:val="20"/>
                <w:b w:val="1"/>
                <w:bCs w:val="1"/>
                <w:color w:val="FFFFFF"/>
              </w:rPr>
              <w:t>TRANSPARENCY WITH</w:t>
            </w:r>
          </w:p>
        </w:tc>
        <w:tc>
          <w:tcPr>
            <w:tcW w:w="8480" w:type="dxa"/>
            <w:vAlign w:val="bottom"/>
          </w:tcPr>
          <w:p>
            <w:pPr>
              <w:ind w:left="100"/>
              <w:spacing w:after="0"/>
              <w:rPr>
                <w:sz w:val="20"/>
                <w:szCs w:val="20"/>
                <w:color w:val="auto"/>
              </w:rPr>
            </w:pPr>
            <w:r>
              <w:rPr>
                <w:rFonts w:ascii="Arial" w:cs="Arial" w:eastAsia="Arial" w:hAnsi="Arial"/>
                <w:sz w:val="16"/>
                <w:szCs w:val="16"/>
                <w:color w:val="004876"/>
              </w:rPr>
              <w:t xml:space="preserve">• </w:t>
            </w:r>
            <w:r>
              <w:rPr>
                <w:rFonts w:ascii="Arial" w:cs="Arial" w:eastAsia="Arial" w:hAnsi="Arial"/>
                <w:sz w:val="16"/>
                <w:szCs w:val="16"/>
                <w:color w:val="000000"/>
              </w:rPr>
              <w:t>Transparency to shareholders regarding our executive compensation program is important. We disclose all</w:t>
            </w:r>
          </w:p>
        </w:tc>
        <w:tc>
          <w:tcPr>
            <w:tcW w:w="0" w:type="dxa"/>
            <w:vAlign w:val="bottom"/>
          </w:tcPr>
          <w:p>
            <w:pPr>
              <w:spacing w:after="0"/>
              <w:rPr>
                <w:sz w:val="1"/>
                <w:szCs w:val="1"/>
                <w:color w:val="auto"/>
              </w:rPr>
            </w:pPr>
          </w:p>
        </w:tc>
      </w:tr>
      <w:tr>
        <w:trPr>
          <w:trHeight w:val="164"/>
        </w:trPr>
        <w:tc>
          <w:tcPr>
            <w:tcW w:w="2540" w:type="dxa"/>
            <w:vAlign w:val="bottom"/>
            <w:vMerge w:val="restart"/>
            <w:shd w:val="clear" w:color="auto" w:fill="42683C"/>
          </w:tcPr>
          <w:p>
            <w:pPr>
              <w:jc w:val="right"/>
              <w:ind w:right="81"/>
              <w:spacing w:after="0"/>
              <w:rPr>
                <w:sz w:val="20"/>
                <w:szCs w:val="20"/>
                <w:color w:val="auto"/>
              </w:rPr>
            </w:pPr>
            <w:r>
              <w:rPr>
                <w:rFonts w:ascii="Arial" w:cs="Arial" w:eastAsia="Arial" w:hAnsi="Arial"/>
                <w:sz w:val="20"/>
                <w:szCs w:val="20"/>
                <w:b w:val="1"/>
                <w:bCs w:val="1"/>
                <w:color w:val="FFFFFF"/>
              </w:rPr>
              <w:t>SHAREHOLDERS</w:t>
            </w:r>
          </w:p>
        </w:tc>
        <w:tc>
          <w:tcPr>
            <w:tcW w:w="8480" w:type="dxa"/>
            <w:vAlign w:val="bottom"/>
          </w:tcPr>
          <w:p>
            <w:pPr>
              <w:ind w:left="240"/>
              <w:spacing w:after="0" w:line="164" w:lineRule="exact"/>
              <w:rPr>
                <w:sz w:val="20"/>
                <w:szCs w:val="20"/>
                <w:color w:val="auto"/>
              </w:rPr>
            </w:pPr>
            <w:r>
              <w:rPr>
                <w:rFonts w:ascii="Arial" w:cs="Arial" w:eastAsia="Arial" w:hAnsi="Arial"/>
                <w:sz w:val="16"/>
                <w:szCs w:val="16"/>
                <w:color w:val="auto"/>
              </w:rPr>
              <w:t>material terms of our executive pay program and any actions on our part in response to significant events, as</w:t>
            </w:r>
          </w:p>
        </w:tc>
        <w:tc>
          <w:tcPr>
            <w:tcW w:w="0" w:type="dxa"/>
            <w:vAlign w:val="bottom"/>
          </w:tcPr>
          <w:p>
            <w:pPr>
              <w:spacing w:after="0"/>
              <w:rPr>
                <w:sz w:val="1"/>
                <w:szCs w:val="1"/>
                <w:color w:val="auto"/>
              </w:rPr>
            </w:pPr>
          </w:p>
        </w:tc>
      </w:tr>
      <w:tr>
        <w:trPr>
          <w:trHeight w:val="110"/>
        </w:trPr>
        <w:tc>
          <w:tcPr>
            <w:tcW w:w="2540" w:type="dxa"/>
            <w:vAlign w:val="bottom"/>
            <w:vMerge w:val="continue"/>
            <w:shd w:val="clear" w:color="auto" w:fill="42683C"/>
          </w:tcPr>
          <w:p>
            <w:pPr>
              <w:spacing w:after="0"/>
              <w:rPr>
                <w:sz w:val="9"/>
                <w:szCs w:val="9"/>
                <w:color w:val="auto"/>
              </w:rPr>
            </w:pPr>
          </w:p>
        </w:tc>
        <w:tc>
          <w:tcPr>
            <w:tcW w:w="8480" w:type="dxa"/>
            <w:vAlign w:val="bottom"/>
            <w:vMerge w:val="restart"/>
          </w:tcPr>
          <w:p>
            <w:pPr>
              <w:ind w:left="240"/>
              <w:spacing w:after="0"/>
              <w:rPr>
                <w:sz w:val="20"/>
                <w:szCs w:val="20"/>
                <w:color w:val="auto"/>
              </w:rPr>
            </w:pPr>
            <w:r>
              <w:rPr>
                <w:rFonts w:ascii="Arial" w:cs="Arial" w:eastAsia="Arial" w:hAnsi="Arial"/>
                <w:sz w:val="16"/>
                <w:szCs w:val="16"/>
                <w:color w:val="auto"/>
              </w:rPr>
              <w:t>appropriate.</w:t>
            </w:r>
          </w:p>
        </w:tc>
        <w:tc>
          <w:tcPr>
            <w:tcW w:w="0" w:type="dxa"/>
            <w:vAlign w:val="bottom"/>
          </w:tcPr>
          <w:p>
            <w:pPr>
              <w:spacing w:after="0"/>
              <w:rPr>
                <w:sz w:val="1"/>
                <w:szCs w:val="1"/>
                <w:color w:val="auto"/>
              </w:rPr>
            </w:pPr>
          </w:p>
        </w:tc>
      </w:tr>
      <w:tr>
        <w:trPr>
          <w:trHeight w:val="77"/>
        </w:trPr>
        <w:tc>
          <w:tcPr>
            <w:tcW w:w="2540" w:type="dxa"/>
            <w:vAlign w:val="bottom"/>
            <w:shd w:val="clear" w:color="auto" w:fill="42683C"/>
          </w:tcPr>
          <w:p>
            <w:pPr>
              <w:spacing w:after="0"/>
              <w:rPr>
                <w:sz w:val="6"/>
                <w:szCs w:val="6"/>
                <w:color w:val="auto"/>
              </w:rPr>
            </w:pPr>
          </w:p>
        </w:tc>
        <w:tc>
          <w:tcPr>
            <w:tcW w:w="8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4"/>
        </w:trPr>
        <w:tc>
          <w:tcPr>
            <w:tcW w:w="2540" w:type="dxa"/>
            <w:vAlign w:val="bottom"/>
            <w:tcBorders>
              <w:bottom w:val="single" w:sz="8" w:color="333333"/>
            </w:tcBorders>
          </w:tcPr>
          <w:p>
            <w:pPr>
              <w:spacing w:after="0"/>
              <w:rPr>
                <w:sz w:val="4"/>
                <w:szCs w:val="4"/>
                <w:color w:val="auto"/>
              </w:rPr>
            </w:pPr>
          </w:p>
        </w:tc>
        <w:tc>
          <w:tcPr>
            <w:tcW w:w="8480" w:type="dxa"/>
            <w:vAlign w:val="bottom"/>
            <w:tcBorders>
              <w:bottom w:val="single" w:sz="8" w:color="333333"/>
            </w:tcBorders>
          </w:tcPr>
          <w:p>
            <w:pPr>
              <w:spacing w:after="0"/>
              <w:rPr>
                <w:sz w:val="4"/>
                <w:szCs w:val="4"/>
                <w:color w:val="auto"/>
              </w:rPr>
            </w:pPr>
          </w:p>
        </w:tc>
        <w:tc>
          <w:tcPr>
            <w:tcW w:w="0" w:type="dxa"/>
            <w:vAlign w:val="bottom"/>
          </w:tcPr>
          <w:p>
            <w:pPr>
              <w:spacing w:after="0"/>
              <w:rPr>
                <w:sz w:val="1"/>
                <w:szCs w:val="1"/>
                <w:color w:val="auto"/>
              </w:rPr>
            </w:pPr>
          </w:p>
        </w:tc>
      </w:tr>
      <w:tr>
        <w:trPr>
          <w:trHeight w:val="735"/>
        </w:trPr>
        <w:tc>
          <w:tcPr>
            <w:tcW w:w="2540" w:type="dxa"/>
            <w:vAlign w:val="bottom"/>
          </w:tcPr>
          <w:p>
            <w:pPr>
              <w:spacing w:after="0"/>
              <w:rPr>
                <w:sz w:val="24"/>
                <w:szCs w:val="24"/>
                <w:color w:val="auto"/>
              </w:rPr>
            </w:pPr>
          </w:p>
        </w:tc>
        <w:tc>
          <w:tcPr>
            <w:tcW w:w="8480" w:type="dxa"/>
            <w:vAlign w:val="bottom"/>
          </w:tcPr>
          <w:p>
            <w:pPr>
              <w:jc w:val="right"/>
              <w:ind w:right="5362"/>
              <w:spacing w:after="0"/>
              <w:rPr>
                <w:sz w:val="20"/>
                <w:szCs w:val="20"/>
                <w:color w:val="auto"/>
              </w:rPr>
            </w:pPr>
            <w:r>
              <w:rPr>
                <w:rFonts w:ascii="Arial" w:cs="Arial" w:eastAsia="Arial" w:hAnsi="Arial"/>
                <w:sz w:val="13"/>
                <w:szCs w:val="13"/>
                <w:b w:val="1"/>
                <w:bCs w:val="1"/>
                <w:color w:val="004876"/>
              </w:rPr>
              <w:t>43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-161925</wp:posOffset>
            </wp:positionV>
            <wp:extent cx="7029450" cy="19748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029450" cy="19748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4876"/>
        </w:rPr>
        <w:t>COMPENSATION DISCUSSION AND ANALYSIS |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160655</wp:posOffset>
            </wp:positionV>
            <wp:extent cx="7029450" cy="26543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029450"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20" w:right="540"/>
        <w:spacing w:after="0"/>
        <w:rPr>
          <w:sz w:val="20"/>
          <w:szCs w:val="20"/>
          <w:color w:val="auto"/>
        </w:rPr>
      </w:pPr>
      <w:r>
        <w:rPr>
          <w:rFonts w:ascii="Arial" w:cs="Arial" w:eastAsia="Arial" w:hAnsi="Arial"/>
          <w:sz w:val="18"/>
          <w:szCs w:val="18"/>
          <w:color w:val="auto"/>
        </w:rPr>
        <w:t>The effectiveness of our compensation program is dependent upon the alignment of sound pay-for-performance practices with our compensation philosophy. Highlighted below are pay practices that are integral to our compensation program, as well as certain pay practices that we chose not to implement.</w:t>
      </w:r>
    </w:p>
    <w:p>
      <w:pPr>
        <w:spacing w:after="0" w:line="200" w:lineRule="exact"/>
        <w:rPr>
          <w:sz w:val="20"/>
          <w:szCs w:val="20"/>
          <w:color w:val="auto"/>
        </w:rPr>
      </w:pPr>
    </w:p>
    <w:p>
      <w:pPr>
        <w:ind w:left="120"/>
        <w:spacing w:after="0"/>
        <w:rPr>
          <w:sz w:val="20"/>
          <w:szCs w:val="20"/>
          <w:color w:val="auto"/>
        </w:rPr>
      </w:pPr>
      <w:r>
        <w:rPr>
          <w:rFonts w:ascii="Arial" w:cs="Arial" w:eastAsia="Arial" w:hAnsi="Arial"/>
          <w:sz w:val="20"/>
          <w:szCs w:val="20"/>
          <w:color w:val="004876"/>
        </w:rPr>
        <w:t>WE ADOPT SOUND PAY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68580</wp:posOffset>
            </wp:positionV>
            <wp:extent cx="6998970" cy="194183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998970" cy="1941830"/>
                    </a:xfrm>
                    <a:prstGeom prst="rect">
                      <a:avLst/>
                    </a:prstGeom>
                    <a:noFill/>
                  </pic:spPr>
                </pic:pic>
              </a:graphicData>
            </a:graphic>
          </wp:anchor>
        </w:drawing>
      </w:r>
    </w:p>
    <w:p>
      <w:pPr>
        <w:spacing w:after="0" w:line="91" w:lineRule="exact"/>
        <w:rPr>
          <w:sz w:val="20"/>
          <w:szCs w:val="20"/>
          <w:color w:val="auto"/>
        </w:rPr>
      </w:pPr>
    </w:p>
    <w:tbl>
      <w:tblPr>
        <w:tblLayout w:type="fixed"/>
        <w:tblInd w:w="120" w:type="dxa"/>
        <w:tblCellMar>
          <w:top w:w="0" w:type="dxa"/>
          <w:left w:w="0" w:type="dxa"/>
          <w:bottom w:w="0" w:type="dxa"/>
          <w:right w:w="0" w:type="dxa"/>
        </w:tblCellMar>
      </w:tblPr>
      <w:tr>
        <w:trPr>
          <w:trHeight w:val="245"/>
        </w:trPr>
        <w:tc>
          <w:tcPr>
            <w:tcW w:w="5760" w:type="dxa"/>
            <w:vAlign w:val="bottom"/>
            <w:shd w:val="clear" w:color="auto" w:fill="EDEDED"/>
          </w:tcPr>
          <w:p>
            <w:pPr>
              <w:ind w:left="460"/>
              <w:spacing w:after="0"/>
              <w:rPr>
                <w:sz w:val="20"/>
                <w:szCs w:val="20"/>
                <w:color w:val="auto"/>
              </w:rPr>
            </w:pPr>
            <w:r>
              <w:rPr>
                <w:rFonts w:ascii="Arial" w:cs="Arial" w:eastAsia="Arial" w:hAnsi="Arial"/>
                <w:sz w:val="16"/>
                <w:szCs w:val="16"/>
                <w:b w:val="1"/>
                <w:bCs w:val="1"/>
                <w:color w:val="004876"/>
              </w:rPr>
              <w:t xml:space="preserve">Principles-based compensation philosophy </w:t>
            </w:r>
            <w:r>
              <w:rPr>
                <w:rFonts w:ascii="Arial" w:cs="Arial" w:eastAsia="Arial" w:hAnsi="Arial"/>
                <w:sz w:val="16"/>
                <w:szCs w:val="16"/>
                <w:color w:val="000000"/>
              </w:rPr>
              <w:t>– Guiding principles</w:t>
            </w:r>
          </w:p>
        </w:tc>
        <w:tc>
          <w:tcPr>
            <w:tcW w:w="5260" w:type="dxa"/>
            <w:vAlign w:val="bottom"/>
            <w:shd w:val="clear" w:color="auto" w:fill="EDEDED"/>
          </w:tcPr>
          <w:p>
            <w:pPr>
              <w:ind w:left="300"/>
              <w:spacing w:after="0"/>
              <w:rPr>
                <w:sz w:val="20"/>
                <w:szCs w:val="20"/>
                <w:color w:val="auto"/>
              </w:rPr>
            </w:pPr>
            <w:r>
              <w:rPr>
                <w:rFonts w:ascii="Arial" w:cs="Arial" w:eastAsia="Arial" w:hAnsi="Arial"/>
                <w:sz w:val="16"/>
                <w:szCs w:val="16"/>
                <w:b w:val="1"/>
                <w:bCs w:val="1"/>
                <w:color w:val="004876"/>
              </w:rPr>
              <w:t xml:space="preserve">Competitive benchmarking </w:t>
            </w:r>
            <w:r>
              <w:rPr>
                <w:rFonts w:ascii="Arial" w:cs="Arial" w:eastAsia="Arial" w:hAnsi="Arial"/>
                <w:sz w:val="16"/>
                <w:szCs w:val="16"/>
                <w:color w:val="000000"/>
              </w:rPr>
              <w:t>– We benchmark pay levels and pay</w:t>
            </w:r>
          </w:p>
        </w:tc>
      </w:tr>
      <w:tr>
        <w:trPr>
          <w:trHeight w:val="203"/>
        </w:trPr>
        <w:tc>
          <w:tcPr>
            <w:tcW w:w="5760" w:type="dxa"/>
            <w:vAlign w:val="bottom"/>
            <w:shd w:val="clear" w:color="auto" w:fill="EDEDED"/>
          </w:tcPr>
          <w:p>
            <w:pPr>
              <w:ind w:left="460"/>
              <w:spacing w:after="0"/>
              <w:rPr>
                <w:sz w:val="20"/>
                <w:szCs w:val="20"/>
                <w:color w:val="auto"/>
              </w:rPr>
            </w:pPr>
            <w:r>
              <w:rPr>
                <w:rFonts w:ascii="Arial" w:cs="Arial" w:eastAsia="Arial" w:hAnsi="Arial"/>
                <w:sz w:val="16"/>
                <w:szCs w:val="16"/>
                <w:color w:val="auto"/>
              </w:rPr>
              <w:t>that drive compensation-related decision-making across all levels of</w:t>
            </w:r>
          </w:p>
        </w:tc>
        <w:tc>
          <w:tcPr>
            <w:tcW w:w="5260" w:type="dxa"/>
            <w:vAlign w:val="bottom"/>
            <w:shd w:val="clear" w:color="auto" w:fill="EDEDED"/>
          </w:tcPr>
          <w:p>
            <w:pPr>
              <w:ind w:left="300"/>
              <w:spacing w:after="0"/>
              <w:rPr>
                <w:sz w:val="20"/>
                <w:szCs w:val="20"/>
                <w:color w:val="auto"/>
              </w:rPr>
            </w:pPr>
            <w:r>
              <w:rPr>
                <w:rFonts w:ascii="Arial" w:cs="Arial" w:eastAsia="Arial" w:hAnsi="Arial"/>
                <w:sz w:val="16"/>
                <w:szCs w:val="16"/>
                <w:color w:val="auto"/>
              </w:rPr>
              <w:t>practices against relevant market data</w:t>
            </w:r>
          </w:p>
        </w:tc>
      </w:tr>
      <w:tr>
        <w:trPr>
          <w:trHeight w:val="183"/>
        </w:trPr>
        <w:tc>
          <w:tcPr>
            <w:tcW w:w="5760" w:type="dxa"/>
            <w:vAlign w:val="bottom"/>
            <w:shd w:val="clear" w:color="auto" w:fill="EDEDED"/>
          </w:tcPr>
          <w:p>
            <w:pPr>
              <w:ind w:left="460"/>
              <w:spacing w:after="0" w:line="183" w:lineRule="exact"/>
              <w:rPr>
                <w:sz w:val="20"/>
                <w:szCs w:val="20"/>
                <w:color w:val="auto"/>
              </w:rPr>
            </w:pPr>
            <w:r>
              <w:rPr>
                <w:rFonts w:ascii="Arial" w:cs="Arial" w:eastAsia="Arial" w:hAnsi="Arial"/>
                <w:sz w:val="16"/>
                <w:szCs w:val="16"/>
                <w:color w:val="auto"/>
              </w:rPr>
              <w:t>the Firm</w:t>
            </w:r>
          </w:p>
        </w:tc>
        <w:tc>
          <w:tcPr>
            <w:tcW w:w="5260" w:type="dxa"/>
            <w:vAlign w:val="bottom"/>
            <w:shd w:val="clear" w:color="auto" w:fill="EDEDED"/>
          </w:tcPr>
          <w:p>
            <w:pPr>
              <w:spacing w:after="0"/>
              <w:rPr>
                <w:sz w:val="15"/>
                <w:szCs w:val="15"/>
                <w:color w:val="auto"/>
              </w:rPr>
            </w:pPr>
          </w:p>
        </w:tc>
      </w:tr>
      <w:tr>
        <w:trPr>
          <w:trHeight w:val="209"/>
        </w:trPr>
        <w:tc>
          <w:tcPr>
            <w:tcW w:w="5760" w:type="dxa"/>
            <w:vAlign w:val="bottom"/>
            <w:shd w:val="clear" w:color="auto" w:fill="EDEDED"/>
          </w:tcPr>
          <w:p>
            <w:pPr>
              <w:ind w:left="460"/>
              <w:spacing w:after="0"/>
              <w:rPr>
                <w:sz w:val="20"/>
                <w:szCs w:val="20"/>
                <w:color w:val="auto"/>
              </w:rPr>
            </w:pPr>
            <w:r>
              <w:rPr>
                <w:rFonts w:ascii="Arial" w:cs="Arial" w:eastAsia="Arial" w:hAnsi="Arial"/>
                <w:sz w:val="16"/>
                <w:szCs w:val="16"/>
                <w:b w:val="1"/>
                <w:bCs w:val="1"/>
                <w:color w:val="004876"/>
              </w:rPr>
              <w:t xml:space="preserve">Robust anti-hedging/anti-pledging provisions </w:t>
            </w:r>
            <w:r>
              <w:rPr>
                <w:rFonts w:ascii="Arial" w:cs="Arial" w:eastAsia="Arial" w:hAnsi="Arial"/>
                <w:sz w:val="16"/>
                <w:szCs w:val="16"/>
                <w:color w:val="000000"/>
              </w:rPr>
              <w:t>– Strict prohibition</w:t>
            </w:r>
          </w:p>
        </w:tc>
        <w:tc>
          <w:tcPr>
            <w:tcW w:w="5260" w:type="dxa"/>
            <w:vAlign w:val="bottom"/>
            <w:shd w:val="clear" w:color="auto" w:fill="EDEDED"/>
          </w:tcPr>
          <w:p>
            <w:pPr>
              <w:ind w:left="300"/>
              <w:spacing w:after="0"/>
              <w:rPr>
                <w:sz w:val="20"/>
                <w:szCs w:val="20"/>
                <w:color w:val="auto"/>
              </w:rPr>
            </w:pPr>
            <w:r>
              <w:rPr>
                <w:rFonts w:ascii="Arial" w:cs="Arial" w:eastAsia="Arial" w:hAnsi="Arial"/>
                <w:sz w:val="16"/>
                <w:szCs w:val="16"/>
                <w:b w:val="1"/>
                <w:bCs w:val="1"/>
                <w:color w:val="004876"/>
              </w:rPr>
              <w:t xml:space="preserve">Responsible use of equity </w:t>
            </w:r>
            <w:r>
              <w:rPr>
                <w:rFonts w:ascii="Arial" w:cs="Arial" w:eastAsia="Arial" w:hAnsi="Arial"/>
                <w:sz w:val="16"/>
                <w:szCs w:val="16"/>
                <w:color w:val="000000"/>
              </w:rPr>
              <w:t>– We used less than 1% of weighted</w:t>
            </w:r>
          </w:p>
        </w:tc>
      </w:tr>
      <w:tr>
        <w:trPr>
          <w:trHeight w:val="189"/>
        </w:trPr>
        <w:tc>
          <w:tcPr>
            <w:tcW w:w="5760" w:type="dxa"/>
            <w:vAlign w:val="bottom"/>
            <w:shd w:val="clear" w:color="auto" w:fill="EDEDED"/>
          </w:tcPr>
          <w:p>
            <w:pPr>
              <w:ind w:left="460"/>
              <w:spacing w:after="0"/>
              <w:rPr>
                <w:sz w:val="20"/>
                <w:szCs w:val="20"/>
                <w:color w:val="auto"/>
              </w:rPr>
            </w:pPr>
            <w:r>
              <w:rPr>
                <w:rFonts w:ascii="Arial" w:cs="Arial" w:eastAsia="Arial" w:hAnsi="Arial"/>
                <w:sz w:val="16"/>
                <w:szCs w:val="16"/>
                <w:color w:val="auto"/>
              </w:rPr>
              <w:t>on hedging and pledging of unvested awards and shares owned</w:t>
            </w:r>
          </w:p>
        </w:tc>
        <w:tc>
          <w:tcPr>
            <w:tcW w:w="5260" w:type="dxa"/>
            <w:vAlign w:val="bottom"/>
            <w:shd w:val="clear" w:color="auto" w:fill="EDEDED"/>
          </w:tcPr>
          <w:p>
            <w:pPr>
              <w:ind w:left="300"/>
              <w:spacing w:after="0"/>
              <w:rPr>
                <w:sz w:val="20"/>
                <w:szCs w:val="20"/>
                <w:color w:val="auto"/>
              </w:rPr>
            </w:pPr>
            <w:r>
              <w:rPr>
                <w:rFonts w:ascii="Arial" w:cs="Arial" w:eastAsia="Arial" w:hAnsi="Arial"/>
                <w:sz w:val="16"/>
                <w:szCs w:val="16"/>
                <w:color w:val="auto"/>
              </w:rPr>
              <w:t>average diluted shares in 2019 for employee compensation</w:t>
            </w:r>
          </w:p>
        </w:tc>
      </w:tr>
      <w:tr>
        <w:trPr>
          <w:trHeight w:val="169"/>
        </w:trPr>
        <w:tc>
          <w:tcPr>
            <w:tcW w:w="5760" w:type="dxa"/>
            <w:vAlign w:val="bottom"/>
            <w:shd w:val="clear" w:color="auto" w:fill="EDEDED"/>
          </w:tcPr>
          <w:p>
            <w:pPr>
              <w:ind w:left="460"/>
              <w:spacing w:after="0" w:line="169" w:lineRule="exact"/>
              <w:rPr>
                <w:sz w:val="20"/>
                <w:szCs w:val="20"/>
                <w:color w:val="auto"/>
              </w:rPr>
            </w:pPr>
            <w:r>
              <w:rPr>
                <w:rFonts w:ascii="Arial" w:cs="Arial" w:eastAsia="Arial" w:hAnsi="Arial"/>
                <w:sz w:val="16"/>
                <w:szCs w:val="16"/>
                <w:color w:val="auto"/>
              </w:rPr>
              <w:t>outright</w:t>
            </w:r>
          </w:p>
        </w:tc>
        <w:tc>
          <w:tcPr>
            <w:tcW w:w="5260" w:type="dxa"/>
            <w:vAlign w:val="bottom"/>
            <w:shd w:val="clear" w:color="auto" w:fill="EDEDED"/>
          </w:tcPr>
          <w:p>
            <w:pPr>
              <w:spacing w:after="0"/>
              <w:rPr>
                <w:sz w:val="14"/>
                <w:szCs w:val="14"/>
                <w:color w:val="auto"/>
              </w:rPr>
            </w:pPr>
          </w:p>
        </w:tc>
      </w:tr>
      <w:tr>
        <w:trPr>
          <w:trHeight w:val="209"/>
        </w:trPr>
        <w:tc>
          <w:tcPr>
            <w:tcW w:w="5760" w:type="dxa"/>
            <w:vAlign w:val="bottom"/>
            <w:shd w:val="clear" w:color="auto" w:fill="EDEDED"/>
          </w:tcPr>
          <w:p>
            <w:pPr>
              <w:ind w:left="460"/>
              <w:spacing w:after="0"/>
              <w:rPr>
                <w:sz w:val="20"/>
                <w:szCs w:val="20"/>
                <w:color w:val="auto"/>
              </w:rPr>
            </w:pPr>
            <w:r>
              <w:rPr>
                <w:rFonts w:ascii="Arial" w:cs="Arial" w:eastAsia="Arial" w:hAnsi="Arial"/>
                <w:sz w:val="16"/>
                <w:szCs w:val="16"/>
                <w:b w:val="1"/>
                <w:bCs w:val="1"/>
                <w:color w:val="004876"/>
              </w:rPr>
              <w:t xml:space="preserve">Strong clawback provisions </w:t>
            </w:r>
            <w:r>
              <w:rPr>
                <w:rFonts w:ascii="Arial" w:cs="Arial" w:eastAsia="Arial" w:hAnsi="Arial"/>
                <w:sz w:val="16"/>
                <w:szCs w:val="16"/>
                <w:color w:val="000000"/>
              </w:rPr>
              <w:t>– Comprehensive recovery provisions</w:t>
            </w:r>
          </w:p>
        </w:tc>
        <w:tc>
          <w:tcPr>
            <w:tcW w:w="5260" w:type="dxa"/>
            <w:vAlign w:val="bottom"/>
            <w:shd w:val="clear" w:color="auto" w:fill="EDEDED"/>
          </w:tcPr>
          <w:p>
            <w:pPr>
              <w:ind w:left="300"/>
              <w:spacing w:after="0"/>
              <w:rPr>
                <w:sz w:val="20"/>
                <w:szCs w:val="20"/>
                <w:color w:val="auto"/>
              </w:rPr>
            </w:pPr>
            <w:r>
              <w:rPr>
                <w:rFonts w:ascii="Arial" w:cs="Arial" w:eastAsia="Arial" w:hAnsi="Arial"/>
                <w:sz w:val="16"/>
                <w:szCs w:val="16"/>
                <w:b w:val="1"/>
                <w:bCs w:val="1"/>
                <w:color w:val="004876"/>
              </w:rPr>
              <w:t xml:space="preserve">Risk, controls and conduct impact pay </w:t>
            </w:r>
            <w:r>
              <w:rPr>
                <w:rFonts w:ascii="Arial" w:cs="Arial" w:eastAsia="Arial" w:hAnsi="Arial"/>
                <w:sz w:val="16"/>
                <w:szCs w:val="16"/>
                <w:color w:val="000000"/>
              </w:rPr>
              <w:t>– We consider material</w:t>
            </w:r>
          </w:p>
        </w:tc>
      </w:tr>
      <w:tr>
        <w:trPr>
          <w:trHeight w:val="189"/>
        </w:trPr>
        <w:tc>
          <w:tcPr>
            <w:tcW w:w="5760" w:type="dxa"/>
            <w:vAlign w:val="bottom"/>
            <w:shd w:val="clear" w:color="auto" w:fill="EDEDED"/>
          </w:tcPr>
          <w:p>
            <w:pPr>
              <w:ind w:left="460"/>
              <w:spacing w:after="0"/>
              <w:rPr>
                <w:sz w:val="20"/>
                <w:szCs w:val="20"/>
                <w:color w:val="auto"/>
              </w:rPr>
            </w:pPr>
            <w:r>
              <w:rPr>
                <w:rFonts w:ascii="Arial" w:cs="Arial" w:eastAsia="Arial" w:hAnsi="Arial"/>
                <w:sz w:val="16"/>
                <w:szCs w:val="16"/>
                <w:color w:val="auto"/>
              </w:rPr>
              <w:t>that enable us to cancel or reduce unvested awards and require</w:t>
            </w:r>
          </w:p>
        </w:tc>
        <w:tc>
          <w:tcPr>
            <w:tcW w:w="5260" w:type="dxa"/>
            <w:vAlign w:val="bottom"/>
            <w:shd w:val="clear" w:color="auto" w:fill="EDEDED"/>
          </w:tcPr>
          <w:p>
            <w:pPr>
              <w:ind w:left="300"/>
              <w:spacing w:after="0"/>
              <w:rPr>
                <w:sz w:val="20"/>
                <w:szCs w:val="20"/>
                <w:color w:val="auto"/>
              </w:rPr>
            </w:pPr>
            <w:r>
              <w:rPr>
                <w:rFonts w:ascii="Arial" w:cs="Arial" w:eastAsia="Arial" w:hAnsi="Arial"/>
                <w:sz w:val="16"/>
                <w:szCs w:val="16"/>
                <w:color w:val="auto"/>
              </w:rPr>
              <w:t>risk, controls and conduct issues and make adjustments to</w:t>
            </w:r>
          </w:p>
        </w:tc>
      </w:tr>
      <w:tr>
        <w:trPr>
          <w:trHeight w:val="169"/>
        </w:trPr>
        <w:tc>
          <w:tcPr>
            <w:tcW w:w="5760" w:type="dxa"/>
            <w:vAlign w:val="bottom"/>
            <w:shd w:val="clear" w:color="auto" w:fill="EDEDED"/>
          </w:tcPr>
          <w:p>
            <w:pPr>
              <w:ind w:left="460"/>
              <w:spacing w:after="0" w:line="169" w:lineRule="exact"/>
              <w:rPr>
                <w:sz w:val="20"/>
                <w:szCs w:val="20"/>
                <w:color w:val="auto"/>
              </w:rPr>
            </w:pPr>
            <w:r>
              <w:rPr>
                <w:rFonts w:ascii="Arial" w:cs="Arial" w:eastAsia="Arial" w:hAnsi="Arial"/>
                <w:sz w:val="16"/>
                <w:szCs w:val="16"/>
                <w:color w:val="auto"/>
              </w:rPr>
              <w:t>repayment of previously awarded compensation, if appropriate</w:t>
            </w:r>
          </w:p>
        </w:tc>
        <w:tc>
          <w:tcPr>
            <w:tcW w:w="5260" w:type="dxa"/>
            <w:vAlign w:val="bottom"/>
            <w:shd w:val="clear" w:color="auto" w:fill="EDEDED"/>
          </w:tcPr>
          <w:p>
            <w:pPr>
              <w:ind w:left="300"/>
              <w:spacing w:after="0" w:line="169" w:lineRule="exact"/>
              <w:rPr>
                <w:sz w:val="20"/>
                <w:szCs w:val="20"/>
                <w:color w:val="auto"/>
              </w:rPr>
            </w:pPr>
            <w:r>
              <w:rPr>
                <w:rFonts w:ascii="Arial" w:cs="Arial" w:eastAsia="Arial" w:hAnsi="Arial"/>
                <w:sz w:val="16"/>
                <w:szCs w:val="16"/>
                <w:color w:val="auto"/>
              </w:rPr>
              <w:t>compensation, if appropriate</w:t>
            </w:r>
          </w:p>
        </w:tc>
      </w:tr>
      <w:tr>
        <w:trPr>
          <w:trHeight w:val="209"/>
        </w:trPr>
        <w:tc>
          <w:tcPr>
            <w:tcW w:w="5760" w:type="dxa"/>
            <w:vAlign w:val="bottom"/>
            <w:shd w:val="clear" w:color="auto" w:fill="EDEDED"/>
          </w:tcPr>
          <w:p>
            <w:pPr>
              <w:ind w:left="460"/>
              <w:spacing w:after="0"/>
              <w:rPr>
                <w:sz w:val="20"/>
                <w:szCs w:val="20"/>
                <w:color w:val="auto"/>
              </w:rPr>
            </w:pPr>
            <w:r>
              <w:rPr>
                <w:rFonts w:ascii="Arial" w:cs="Arial" w:eastAsia="Arial" w:hAnsi="Arial"/>
                <w:sz w:val="16"/>
                <w:szCs w:val="16"/>
                <w:b w:val="1"/>
                <w:bCs w:val="1"/>
                <w:color w:val="004876"/>
              </w:rPr>
              <w:t xml:space="preserve">Pay at risk </w:t>
            </w:r>
            <w:r>
              <w:rPr>
                <w:rFonts w:ascii="Arial" w:cs="Arial" w:eastAsia="Arial" w:hAnsi="Arial"/>
                <w:sz w:val="16"/>
                <w:szCs w:val="16"/>
                <w:color w:val="000000"/>
              </w:rPr>
              <w:t>– OC member compensation is predominantly “at-risk”</w:t>
            </w:r>
          </w:p>
        </w:tc>
        <w:tc>
          <w:tcPr>
            <w:tcW w:w="5260" w:type="dxa"/>
            <w:vAlign w:val="bottom"/>
            <w:shd w:val="clear" w:color="auto" w:fill="EDEDED"/>
          </w:tcPr>
          <w:p>
            <w:pPr>
              <w:ind w:left="300"/>
              <w:spacing w:after="0"/>
              <w:rPr>
                <w:sz w:val="20"/>
                <w:szCs w:val="20"/>
                <w:color w:val="auto"/>
              </w:rPr>
            </w:pPr>
            <w:r>
              <w:rPr>
                <w:rFonts w:ascii="Arial" w:cs="Arial" w:eastAsia="Arial" w:hAnsi="Arial"/>
                <w:sz w:val="16"/>
                <w:szCs w:val="16"/>
                <w:b w:val="1"/>
                <w:bCs w:val="1"/>
                <w:color w:val="004876"/>
              </w:rPr>
              <w:t xml:space="preserve">Strong share holding requirements </w:t>
            </w:r>
            <w:r>
              <w:rPr>
                <w:rFonts w:ascii="Arial" w:cs="Arial" w:eastAsia="Arial" w:hAnsi="Arial"/>
                <w:sz w:val="16"/>
                <w:szCs w:val="16"/>
                <w:color w:val="000000"/>
              </w:rPr>
              <w:t>– OC members are required</w:t>
            </w:r>
          </w:p>
        </w:tc>
      </w:tr>
      <w:tr>
        <w:trPr>
          <w:trHeight w:val="189"/>
        </w:trPr>
        <w:tc>
          <w:tcPr>
            <w:tcW w:w="5760" w:type="dxa"/>
            <w:vAlign w:val="bottom"/>
            <w:shd w:val="clear" w:color="auto" w:fill="EDEDED"/>
          </w:tcPr>
          <w:p>
            <w:pPr>
              <w:ind w:left="460"/>
              <w:spacing w:after="0"/>
              <w:rPr>
                <w:sz w:val="20"/>
                <w:szCs w:val="20"/>
                <w:color w:val="auto"/>
              </w:rPr>
            </w:pPr>
            <w:r>
              <w:rPr>
                <w:rFonts w:ascii="Arial" w:cs="Arial" w:eastAsia="Arial" w:hAnsi="Arial"/>
                <w:sz w:val="16"/>
                <w:szCs w:val="16"/>
                <w:color w:val="auto"/>
              </w:rPr>
              <w:t>and contingent on the achievement of performance goals that are</w:t>
            </w:r>
          </w:p>
        </w:tc>
        <w:tc>
          <w:tcPr>
            <w:tcW w:w="5260" w:type="dxa"/>
            <w:vAlign w:val="bottom"/>
            <w:shd w:val="clear" w:color="auto" w:fill="EDEDED"/>
          </w:tcPr>
          <w:p>
            <w:pPr>
              <w:ind w:left="300"/>
              <w:spacing w:after="0"/>
              <w:rPr>
                <w:sz w:val="20"/>
                <w:szCs w:val="20"/>
                <w:color w:val="auto"/>
              </w:rPr>
            </w:pPr>
            <w:r>
              <w:rPr>
                <w:rFonts w:ascii="Arial" w:cs="Arial" w:eastAsia="Arial" w:hAnsi="Arial"/>
                <w:sz w:val="16"/>
                <w:szCs w:val="16"/>
                <w:color w:val="auto"/>
              </w:rPr>
              <w:t>to retain significant portions of net shares received from awards to</w:t>
            </w:r>
          </w:p>
        </w:tc>
      </w:tr>
      <w:tr>
        <w:trPr>
          <w:trHeight w:val="195"/>
        </w:trPr>
        <w:tc>
          <w:tcPr>
            <w:tcW w:w="5760" w:type="dxa"/>
            <w:vAlign w:val="bottom"/>
            <w:shd w:val="clear" w:color="auto" w:fill="EDEDED"/>
          </w:tcPr>
          <w:p>
            <w:pPr>
              <w:ind w:left="460"/>
              <w:spacing w:after="0"/>
              <w:rPr>
                <w:sz w:val="20"/>
                <w:szCs w:val="20"/>
                <w:color w:val="auto"/>
              </w:rPr>
            </w:pPr>
            <w:r>
              <w:rPr>
                <w:rFonts w:ascii="Arial" w:cs="Arial" w:eastAsia="Arial" w:hAnsi="Arial"/>
                <w:sz w:val="16"/>
                <w:szCs w:val="16"/>
                <w:color w:val="auto"/>
              </w:rPr>
              <w:t>integrally linked to shareholder value and safety and soundness</w:t>
            </w:r>
          </w:p>
        </w:tc>
        <w:tc>
          <w:tcPr>
            <w:tcW w:w="5260" w:type="dxa"/>
            <w:vAlign w:val="bottom"/>
            <w:shd w:val="clear" w:color="auto" w:fill="EDEDED"/>
          </w:tcPr>
          <w:p>
            <w:pPr>
              <w:ind w:left="300"/>
              <w:spacing w:after="0"/>
              <w:rPr>
                <w:sz w:val="20"/>
                <w:szCs w:val="20"/>
                <w:color w:val="auto"/>
              </w:rPr>
            </w:pPr>
            <w:r>
              <w:rPr>
                <w:rFonts w:ascii="Arial" w:cs="Arial" w:eastAsia="Arial" w:hAnsi="Arial"/>
                <w:sz w:val="16"/>
                <w:szCs w:val="16"/>
                <w:color w:val="auto"/>
              </w:rPr>
              <w:t>increase ownership over the long-term</w:t>
            </w:r>
          </w:p>
        </w:tc>
      </w:tr>
      <w:tr>
        <w:trPr>
          <w:trHeight w:val="237"/>
        </w:trPr>
        <w:tc>
          <w:tcPr>
            <w:tcW w:w="5760" w:type="dxa"/>
            <w:vAlign w:val="bottom"/>
            <w:shd w:val="clear" w:color="auto" w:fill="EDEDED"/>
          </w:tcPr>
          <w:p>
            <w:pPr>
              <w:ind w:left="460"/>
              <w:spacing w:after="0"/>
              <w:rPr>
                <w:sz w:val="20"/>
                <w:szCs w:val="20"/>
                <w:color w:val="auto"/>
              </w:rPr>
            </w:pPr>
            <w:r>
              <w:rPr>
                <w:rFonts w:ascii="Arial" w:cs="Arial" w:eastAsia="Arial" w:hAnsi="Arial"/>
                <w:sz w:val="16"/>
                <w:szCs w:val="16"/>
                <w:b w:val="1"/>
                <w:bCs w:val="1"/>
                <w:color w:val="004876"/>
              </w:rPr>
              <w:t xml:space="preserve">Majority of variable pay is in deferred equity </w:t>
            </w:r>
            <w:r>
              <w:rPr>
                <w:rFonts w:ascii="Arial" w:cs="Arial" w:eastAsia="Arial" w:hAnsi="Arial"/>
                <w:sz w:val="16"/>
                <w:szCs w:val="16"/>
                <w:color w:val="000000"/>
              </w:rPr>
              <w:t>– Most OC member</w:t>
            </w:r>
          </w:p>
        </w:tc>
        <w:tc>
          <w:tcPr>
            <w:tcW w:w="5260" w:type="dxa"/>
            <w:vAlign w:val="bottom"/>
            <w:shd w:val="clear" w:color="auto" w:fill="EDEDED"/>
          </w:tcPr>
          <w:p>
            <w:pPr>
              <w:ind w:left="300"/>
              <w:spacing w:after="0"/>
              <w:rPr>
                <w:sz w:val="20"/>
                <w:szCs w:val="20"/>
                <w:color w:val="auto"/>
              </w:rPr>
            </w:pPr>
            <w:r>
              <w:rPr>
                <w:rFonts w:ascii="Arial" w:cs="Arial" w:eastAsia="Arial" w:hAnsi="Arial"/>
                <w:sz w:val="16"/>
                <w:szCs w:val="16"/>
                <w:b w:val="1"/>
                <w:bCs w:val="1"/>
                <w:color w:val="004876"/>
              </w:rPr>
              <w:t xml:space="preserve">Robust shareholder engagement </w:t>
            </w:r>
            <w:r>
              <w:rPr>
                <w:rFonts w:ascii="Arial" w:cs="Arial" w:eastAsia="Arial" w:hAnsi="Arial"/>
                <w:sz w:val="16"/>
                <w:szCs w:val="16"/>
                <w:color w:val="000000"/>
              </w:rPr>
              <w:t>– Each year we provide the</w:t>
            </w:r>
          </w:p>
        </w:tc>
      </w:tr>
      <w:tr>
        <w:trPr>
          <w:trHeight w:val="184"/>
        </w:trPr>
        <w:tc>
          <w:tcPr>
            <w:tcW w:w="5760" w:type="dxa"/>
            <w:vAlign w:val="bottom"/>
            <w:shd w:val="clear" w:color="auto" w:fill="EDEDED"/>
          </w:tcPr>
          <w:p>
            <w:pPr>
              <w:ind w:left="460"/>
              <w:spacing w:after="0"/>
              <w:rPr>
                <w:sz w:val="20"/>
                <w:szCs w:val="20"/>
                <w:color w:val="auto"/>
              </w:rPr>
            </w:pPr>
            <w:r>
              <w:rPr>
                <w:rFonts w:ascii="Arial" w:cs="Arial" w:eastAsia="Arial" w:hAnsi="Arial"/>
                <w:sz w:val="16"/>
                <w:szCs w:val="16"/>
                <w:color w:val="auto"/>
              </w:rPr>
              <w:t>variable compensation is deferred in the form of PSUs and RSUs that</w:t>
            </w:r>
          </w:p>
        </w:tc>
        <w:tc>
          <w:tcPr>
            <w:tcW w:w="5260" w:type="dxa"/>
            <w:vAlign w:val="bottom"/>
            <w:shd w:val="clear" w:color="auto" w:fill="EDEDED"/>
          </w:tcPr>
          <w:p>
            <w:pPr>
              <w:ind w:left="300"/>
              <w:spacing w:after="0"/>
              <w:rPr>
                <w:sz w:val="20"/>
                <w:szCs w:val="20"/>
                <w:color w:val="auto"/>
              </w:rPr>
            </w:pPr>
            <w:r>
              <w:rPr>
                <w:rFonts w:ascii="Arial" w:cs="Arial" w:eastAsia="Arial" w:hAnsi="Arial"/>
                <w:sz w:val="16"/>
                <w:szCs w:val="16"/>
                <w:color w:val="auto"/>
              </w:rPr>
              <w:t>Board with feedback from our shareholders on a variety of topics,</w:t>
            </w:r>
          </w:p>
        </w:tc>
      </w:tr>
      <w:tr>
        <w:trPr>
          <w:trHeight w:val="273"/>
        </w:trPr>
        <w:tc>
          <w:tcPr>
            <w:tcW w:w="5760" w:type="dxa"/>
            <w:vAlign w:val="bottom"/>
            <w:shd w:val="clear" w:color="auto" w:fill="EDEDED"/>
          </w:tcPr>
          <w:p>
            <w:pPr>
              <w:ind w:left="460"/>
              <w:spacing w:after="0" w:line="273" w:lineRule="exact"/>
              <w:rPr>
                <w:sz w:val="20"/>
                <w:szCs w:val="20"/>
                <w:color w:val="auto"/>
              </w:rPr>
            </w:pPr>
            <w:r>
              <w:rPr>
                <w:rFonts w:ascii="Arial" w:cs="Arial" w:eastAsia="Arial" w:hAnsi="Arial"/>
                <w:sz w:val="16"/>
                <w:szCs w:val="16"/>
                <w:color w:val="auto"/>
              </w:rPr>
              <w:t>vest over three years</w:t>
            </w:r>
            <w:r>
              <w:rPr>
                <w:rFonts w:ascii="Arial" w:cs="Arial" w:eastAsia="Arial" w:hAnsi="Arial"/>
                <w:sz w:val="27"/>
                <w:szCs w:val="27"/>
                <w:color w:val="auto"/>
                <w:vertAlign w:val="superscript"/>
              </w:rPr>
              <w:t>1</w:t>
            </w:r>
          </w:p>
        </w:tc>
        <w:tc>
          <w:tcPr>
            <w:tcW w:w="5260" w:type="dxa"/>
            <w:vAlign w:val="bottom"/>
            <w:shd w:val="clear" w:color="auto" w:fill="EDEDED"/>
          </w:tcPr>
          <w:p>
            <w:pPr>
              <w:ind w:left="300"/>
              <w:spacing w:after="0"/>
              <w:rPr>
                <w:sz w:val="20"/>
                <w:szCs w:val="20"/>
                <w:color w:val="auto"/>
              </w:rPr>
            </w:pPr>
            <w:r>
              <w:rPr>
                <w:rFonts w:ascii="Arial" w:cs="Arial" w:eastAsia="Arial" w:hAnsi="Arial"/>
                <w:sz w:val="16"/>
                <w:szCs w:val="16"/>
                <w:color w:val="auto"/>
              </w:rPr>
              <w:t>including our compensation programs and practices</w:t>
            </w:r>
          </w:p>
        </w:tc>
      </w:tr>
    </w:tbl>
    <w:p>
      <w:pPr>
        <w:spacing w:after="0" w:line="212" w:lineRule="exact"/>
        <w:rPr>
          <w:sz w:val="20"/>
          <w:szCs w:val="20"/>
          <w:color w:val="auto"/>
        </w:rPr>
      </w:pPr>
    </w:p>
    <w:p>
      <w:pPr>
        <w:ind w:left="120"/>
        <w:spacing w:after="0"/>
        <w:rPr>
          <w:sz w:val="20"/>
          <w:szCs w:val="20"/>
          <w:color w:val="auto"/>
        </w:rPr>
      </w:pPr>
      <w:r>
        <w:rPr>
          <w:rFonts w:ascii="Arial" w:cs="Arial" w:eastAsia="Arial" w:hAnsi="Arial"/>
          <w:sz w:val="20"/>
          <w:szCs w:val="20"/>
          <w:color w:val="004876"/>
        </w:rPr>
        <w:t>WE AVOID POOR PAY PRACTICES</w:t>
      </w:r>
    </w:p>
    <w:p>
      <w:pPr>
        <w:spacing w:after="0" w:line="111"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5760" w:type="dxa"/>
            <w:vAlign w:val="bottom"/>
            <w:shd w:val="clear" w:color="auto" w:fill="EDEDED"/>
          </w:tcPr>
          <w:p>
            <w:pPr>
              <w:ind w:left="420"/>
              <w:spacing w:after="0"/>
              <w:rPr>
                <w:sz w:val="20"/>
                <w:szCs w:val="20"/>
                <w:color w:val="auto"/>
              </w:rPr>
            </w:pPr>
            <w:r>
              <w:rPr>
                <w:rFonts w:ascii="Arial" w:cs="Arial" w:eastAsia="Arial" w:hAnsi="Arial"/>
                <w:sz w:val="16"/>
                <w:szCs w:val="16"/>
                <w:b w:val="1"/>
                <w:bCs w:val="1"/>
                <w:color w:val="004876"/>
              </w:rPr>
              <w:t xml:space="preserve">No golden parachute agreements </w:t>
            </w:r>
            <w:r>
              <w:rPr>
                <w:rFonts w:ascii="Arial" w:cs="Arial" w:eastAsia="Arial" w:hAnsi="Arial"/>
                <w:sz w:val="16"/>
                <w:szCs w:val="16"/>
                <w:color w:val="000000"/>
              </w:rPr>
              <w:t>– We do not provide additional</w:t>
            </w:r>
          </w:p>
        </w:tc>
        <w:tc>
          <w:tcPr>
            <w:tcW w:w="5260" w:type="dxa"/>
            <w:vAlign w:val="bottom"/>
            <w:shd w:val="clear" w:color="auto" w:fill="EDEDED"/>
          </w:tcPr>
          <w:p>
            <w:pPr>
              <w:ind w:left="300"/>
              <w:spacing w:after="0"/>
              <w:rPr>
                <w:sz w:val="20"/>
                <w:szCs w:val="20"/>
                <w:color w:val="auto"/>
              </w:rPr>
            </w:pPr>
            <w:r>
              <w:rPr>
                <w:rFonts w:ascii="Arial" w:cs="Arial" w:eastAsia="Arial" w:hAnsi="Arial"/>
                <w:sz w:val="16"/>
                <w:szCs w:val="16"/>
                <w:b w:val="1"/>
                <w:bCs w:val="1"/>
                <w:color w:val="004876"/>
              </w:rPr>
              <w:t xml:space="preserve">No guaranteed bonuses </w:t>
            </w:r>
            <w:r>
              <w:rPr>
                <w:rFonts w:ascii="Arial" w:cs="Arial" w:eastAsia="Arial" w:hAnsi="Arial"/>
                <w:sz w:val="16"/>
                <w:szCs w:val="16"/>
                <w:color w:val="000000"/>
              </w:rPr>
              <w:t>– We do not provide guaranteed bonuses,</w:t>
            </w:r>
          </w:p>
        </w:tc>
      </w:tr>
      <w:tr>
        <w:trPr>
          <w:trHeight w:val="196"/>
        </w:trPr>
        <w:tc>
          <w:tcPr>
            <w:tcW w:w="5760" w:type="dxa"/>
            <w:vAlign w:val="bottom"/>
            <w:shd w:val="clear" w:color="auto" w:fill="EDEDED"/>
          </w:tcPr>
          <w:p>
            <w:pPr>
              <w:ind w:left="420"/>
              <w:spacing w:after="0"/>
              <w:rPr>
                <w:sz w:val="20"/>
                <w:szCs w:val="20"/>
                <w:color w:val="auto"/>
              </w:rPr>
            </w:pPr>
            <w:r>
              <w:rPr>
                <w:rFonts w:ascii="Arial" w:cs="Arial" w:eastAsia="Arial" w:hAnsi="Arial"/>
                <w:sz w:val="16"/>
                <w:szCs w:val="16"/>
                <w:color w:val="auto"/>
              </w:rPr>
              <w:t>payments or benefits as a result of a change-in-control event</w:t>
            </w:r>
          </w:p>
        </w:tc>
        <w:tc>
          <w:tcPr>
            <w:tcW w:w="5260" w:type="dxa"/>
            <w:vAlign w:val="bottom"/>
            <w:shd w:val="clear" w:color="auto" w:fill="EDEDED"/>
          </w:tcPr>
          <w:p>
            <w:pPr>
              <w:ind w:left="300"/>
              <w:spacing w:after="0"/>
              <w:rPr>
                <w:sz w:val="20"/>
                <w:szCs w:val="20"/>
                <w:color w:val="auto"/>
              </w:rPr>
            </w:pPr>
            <w:r>
              <w:rPr>
                <w:rFonts w:ascii="Arial" w:cs="Arial" w:eastAsia="Arial" w:hAnsi="Arial"/>
                <w:sz w:val="16"/>
                <w:szCs w:val="16"/>
                <w:color w:val="auto"/>
              </w:rPr>
              <w:t>except for select individuals at hire</w:t>
            </w:r>
          </w:p>
        </w:tc>
      </w:tr>
      <w:tr>
        <w:trPr>
          <w:trHeight w:val="209"/>
        </w:trPr>
        <w:tc>
          <w:tcPr>
            <w:tcW w:w="5760" w:type="dxa"/>
            <w:vAlign w:val="bottom"/>
            <w:shd w:val="clear" w:color="auto" w:fill="EDEDED"/>
          </w:tcPr>
          <w:p>
            <w:pPr>
              <w:ind w:left="420"/>
              <w:spacing w:after="0"/>
              <w:rPr>
                <w:sz w:val="20"/>
                <w:szCs w:val="20"/>
                <w:color w:val="auto"/>
              </w:rPr>
            </w:pPr>
            <w:r>
              <w:rPr>
                <w:rFonts w:ascii="Arial" w:cs="Arial" w:eastAsia="Arial" w:hAnsi="Arial"/>
                <w:sz w:val="16"/>
                <w:szCs w:val="16"/>
                <w:b w:val="1"/>
                <w:bCs w:val="1"/>
                <w:color w:val="004876"/>
              </w:rPr>
              <w:t xml:space="preserve">No special severance </w:t>
            </w:r>
            <w:r>
              <w:rPr>
                <w:rFonts w:ascii="Arial" w:cs="Arial" w:eastAsia="Arial" w:hAnsi="Arial"/>
                <w:sz w:val="16"/>
                <w:szCs w:val="16"/>
                <w:b w:val="1"/>
                <w:bCs w:val="1"/>
                <w:color w:val="000000"/>
              </w:rPr>
              <w:t>–</w:t>
            </w:r>
            <w:r>
              <w:rPr>
                <w:rFonts w:ascii="Arial" w:cs="Arial" w:eastAsia="Arial" w:hAnsi="Arial"/>
                <w:sz w:val="16"/>
                <w:szCs w:val="16"/>
                <w:b w:val="1"/>
                <w:bCs w:val="1"/>
                <w:color w:val="004876"/>
              </w:rPr>
              <w:t xml:space="preserve"> </w:t>
            </w:r>
            <w:r>
              <w:rPr>
                <w:rFonts w:ascii="Arial" w:cs="Arial" w:eastAsia="Arial" w:hAnsi="Arial"/>
                <w:sz w:val="16"/>
                <w:szCs w:val="16"/>
                <w:color w:val="000000"/>
              </w:rPr>
              <w:t>We do not provide special severance.</w:t>
            </w:r>
          </w:p>
        </w:tc>
        <w:tc>
          <w:tcPr>
            <w:tcW w:w="5260" w:type="dxa"/>
            <w:vAlign w:val="bottom"/>
            <w:shd w:val="clear" w:color="auto" w:fill="EDEDED"/>
          </w:tcPr>
          <w:p>
            <w:pPr>
              <w:ind w:left="300"/>
              <w:spacing w:after="0"/>
              <w:rPr>
                <w:sz w:val="20"/>
                <w:szCs w:val="20"/>
                <w:color w:val="auto"/>
              </w:rPr>
            </w:pPr>
            <w:r>
              <w:rPr>
                <w:rFonts w:ascii="Arial" w:cs="Arial" w:eastAsia="Arial" w:hAnsi="Arial"/>
                <w:sz w:val="16"/>
                <w:szCs w:val="16"/>
                <w:b w:val="1"/>
                <w:bCs w:val="1"/>
                <w:color w:val="004876"/>
              </w:rPr>
              <w:t>No special executive benefits</w:t>
            </w:r>
          </w:p>
        </w:tc>
      </w:tr>
      <w:tr>
        <w:trPr>
          <w:trHeight w:val="189"/>
        </w:trPr>
        <w:tc>
          <w:tcPr>
            <w:tcW w:w="5760" w:type="dxa"/>
            <w:vAlign w:val="bottom"/>
            <w:shd w:val="clear" w:color="auto" w:fill="EDEDED"/>
          </w:tcPr>
          <w:p>
            <w:pPr>
              <w:ind w:left="420"/>
              <w:spacing w:after="0"/>
              <w:rPr>
                <w:sz w:val="20"/>
                <w:szCs w:val="20"/>
                <w:color w:val="auto"/>
              </w:rPr>
            </w:pPr>
            <w:r>
              <w:rPr>
                <w:rFonts w:ascii="Arial" w:cs="Arial" w:eastAsia="Arial" w:hAnsi="Arial"/>
                <w:sz w:val="16"/>
                <w:szCs w:val="16"/>
                <w:color w:val="auto"/>
              </w:rPr>
              <w:t>All employees, including OC members, participate at the same level of</w:t>
            </w:r>
          </w:p>
        </w:tc>
        <w:tc>
          <w:tcPr>
            <w:tcW w:w="5260" w:type="dxa"/>
            <w:vAlign w:val="bottom"/>
            <w:shd w:val="clear" w:color="auto" w:fill="EDEDED"/>
          </w:tcPr>
          <w:p>
            <w:pPr>
              <w:ind w:left="300"/>
              <w:spacing w:after="0"/>
              <w:rPr>
                <w:sz w:val="20"/>
                <w:szCs w:val="20"/>
                <w:color w:val="auto"/>
              </w:rPr>
            </w:pPr>
            <w:r>
              <w:rPr>
                <w:rFonts w:ascii="Arial" w:cs="Arial" w:eastAsia="Arial" w:hAnsi="Arial"/>
                <w:sz w:val="16"/>
                <w:szCs w:val="16"/>
                <w:color w:val="004876"/>
              </w:rPr>
              <w:t xml:space="preserve">• </w:t>
            </w:r>
            <w:r>
              <w:rPr>
                <w:rFonts w:ascii="Arial" w:cs="Arial" w:eastAsia="Arial" w:hAnsi="Arial"/>
                <w:sz w:val="16"/>
                <w:szCs w:val="16"/>
                <w:color w:val="000000"/>
              </w:rPr>
              <w:t>No private club dues or tax gross-ups for benefits</w:t>
            </w:r>
          </w:p>
        </w:tc>
      </w:tr>
      <w:tr>
        <w:trPr>
          <w:trHeight w:val="189"/>
        </w:trPr>
        <w:tc>
          <w:tcPr>
            <w:tcW w:w="5760" w:type="dxa"/>
            <w:vAlign w:val="bottom"/>
            <w:shd w:val="clear" w:color="auto" w:fill="EDEDED"/>
          </w:tcPr>
          <w:p>
            <w:pPr>
              <w:ind w:left="420"/>
              <w:spacing w:after="0"/>
              <w:rPr>
                <w:sz w:val="20"/>
                <w:szCs w:val="20"/>
                <w:color w:val="auto"/>
              </w:rPr>
            </w:pPr>
            <w:r>
              <w:rPr>
                <w:rFonts w:ascii="Arial" w:cs="Arial" w:eastAsia="Arial" w:hAnsi="Arial"/>
                <w:sz w:val="16"/>
                <w:szCs w:val="16"/>
                <w:color w:val="auto"/>
              </w:rPr>
              <w:t>severance, based on years of service, capped at 52 weeks up to a</w:t>
            </w:r>
          </w:p>
        </w:tc>
        <w:tc>
          <w:tcPr>
            <w:tcW w:w="5260" w:type="dxa"/>
            <w:vAlign w:val="bottom"/>
            <w:shd w:val="clear" w:color="auto" w:fill="EDEDED"/>
          </w:tcPr>
          <w:p>
            <w:pPr>
              <w:ind w:left="300"/>
              <w:spacing w:after="0"/>
              <w:rPr>
                <w:sz w:val="20"/>
                <w:szCs w:val="20"/>
                <w:color w:val="auto"/>
              </w:rPr>
            </w:pPr>
            <w:r>
              <w:rPr>
                <w:rFonts w:ascii="Arial" w:cs="Arial" w:eastAsia="Arial" w:hAnsi="Arial"/>
                <w:sz w:val="16"/>
                <w:szCs w:val="16"/>
                <w:color w:val="004876"/>
              </w:rPr>
              <w:t xml:space="preserve">• </w:t>
            </w:r>
            <w:r>
              <w:rPr>
                <w:rFonts w:ascii="Arial" w:cs="Arial" w:eastAsia="Arial" w:hAnsi="Arial"/>
                <w:sz w:val="16"/>
                <w:szCs w:val="16"/>
                <w:color w:val="000000"/>
              </w:rPr>
              <w:t>No 401(k) Savings Plan matching contribution</w:t>
            </w:r>
          </w:p>
        </w:tc>
      </w:tr>
      <w:tr>
        <w:trPr>
          <w:trHeight w:val="189"/>
        </w:trPr>
        <w:tc>
          <w:tcPr>
            <w:tcW w:w="5760" w:type="dxa"/>
            <w:vAlign w:val="bottom"/>
            <w:shd w:val="clear" w:color="auto" w:fill="EDEDED"/>
          </w:tcPr>
          <w:p>
            <w:pPr>
              <w:ind w:left="420"/>
              <w:spacing w:after="0"/>
              <w:rPr>
                <w:sz w:val="20"/>
                <w:szCs w:val="20"/>
                <w:color w:val="auto"/>
              </w:rPr>
            </w:pPr>
            <w:r>
              <w:rPr>
                <w:rFonts w:ascii="Arial" w:cs="Arial" w:eastAsia="Arial" w:hAnsi="Arial"/>
                <w:sz w:val="16"/>
                <w:szCs w:val="16"/>
                <w:color w:val="auto"/>
              </w:rPr>
              <w:t>maximum credited salary</w:t>
            </w:r>
          </w:p>
        </w:tc>
        <w:tc>
          <w:tcPr>
            <w:tcW w:w="5260" w:type="dxa"/>
            <w:vAlign w:val="bottom"/>
            <w:shd w:val="clear" w:color="auto" w:fill="EDEDED"/>
          </w:tcPr>
          <w:p>
            <w:pPr>
              <w:ind w:left="300"/>
              <w:spacing w:after="0"/>
              <w:rPr>
                <w:sz w:val="20"/>
                <w:szCs w:val="20"/>
                <w:color w:val="auto"/>
              </w:rPr>
            </w:pPr>
            <w:r>
              <w:rPr>
                <w:rFonts w:ascii="Arial" w:cs="Arial" w:eastAsia="Arial" w:hAnsi="Arial"/>
                <w:sz w:val="16"/>
                <w:szCs w:val="16"/>
                <w:color w:val="004876"/>
              </w:rPr>
              <w:t xml:space="preserve">• </w:t>
            </w:r>
            <w:r>
              <w:rPr>
                <w:rFonts w:ascii="Arial" w:cs="Arial" w:eastAsia="Arial" w:hAnsi="Arial"/>
                <w:sz w:val="16"/>
                <w:szCs w:val="16"/>
                <w:color w:val="000000"/>
              </w:rPr>
              <w:t>No special health or medical benefits</w:t>
            </w:r>
          </w:p>
        </w:tc>
      </w:tr>
      <w:tr>
        <w:trPr>
          <w:trHeight w:val="195"/>
        </w:trPr>
        <w:tc>
          <w:tcPr>
            <w:tcW w:w="5760" w:type="dxa"/>
            <w:vAlign w:val="bottom"/>
            <w:shd w:val="clear" w:color="auto" w:fill="EDEDED"/>
          </w:tcPr>
          <w:p>
            <w:pPr>
              <w:spacing w:after="0"/>
              <w:rPr>
                <w:sz w:val="16"/>
                <w:szCs w:val="16"/>
                <w:color w:val="auto"/>
              </w:rPr>
            </w:pPr>
          </w:p>
        </w:tc>
        <w:tc>
          <w:tcPr>
            <w:tcW w:w="5260" w:type="dxa"/>
            <w:vAlign w:val="bottom"/>
            <w:shd w:val="clear" w:color="auto" w:fill="EDEDED"/>
          </w:tcPr>
          <w:p>
            <w:pPr>
              <w:ind w:left="300"/>
              <w:spacing w:after="0"/>
              <w:rPr>
                <w:sz w:val="20"/>
                <w:szCs w:val="20"/>
                <w:color w:val="auto"/>
              </w:rPr>
            </w:pPr>
            <w:r>
              <w:rPr>
                <w:rFonts w:ascii="Arial" w:cs="Arial" w:eastAsia="Arial" w:hAnsi="Arial"/>
                <w:sz w:val="16"/>
                <w:szCs w:val="16"/>
                <w:color w:val="004876"/>
              </w:rPr>
              <w:t xml:space="preserve">• </w:t>
            </w:r>
            <w:r>
              <w:rPr>
                <w:rFonts w:ascii="Arial" w:cs="Arial" w:eastAsia="Arial" w:hAnsi="Arial"/>
                <w:sz w:val="16"/>
                <w:szCs w:val="16"/>
                <w:color w:val="000000"/>
              </w:rPr>
              <w:t>No special pension credits</w:t>
            </w:r>
          </w:p>
        </w:tc>
      </w:tr>
      <w:tr>
        <w:trPr>
          <w:trHeight w:val="60"/>
        </w:trPr>
        <w:tc>
          <w:tcPr>
            <w:tcW w:w="5760" w:type="dxa"/>
            <w:vAlign w:val="bottom"/>
            <w:shd w:val="clear" w:color="auto" w:fill="EDEDED"/>
          </w:tcPr>
          <w:p>
            <w:pPr>
              <w:spacing w:after="0"/>
              <w:rPr>
                <w:sz w:val="5"/>
                <w:szCs w:val="5"/>
                <w:color w:val="auto"/>
              </w:rPr>
            </w:pPr>
          </w:p>
        </w:tc>
        <w:tc>
          <w:tcPr>
            <w:tcW w:w="5260" w:type="dxa"/>
            <w:vAlign w:val="bottom"/>
            <w:shd w:val="clear" w:color="auto" w:fill="EDEDED"/>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-882650</wp:posOffset>
            </wp:positionV>
            <wp:extent cx="171450" cy="17145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-882650</wp:posOffset>
            </wp:positionV>
            <wp:extent cx="171450" cy="17145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-625475</wp:posOffset>
            </wp:positionV>
            <wp:extent cx="171450" cy="17145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-625475</wp:posOffset>
            </wp:positionV>
            <wp:extent cx="171450" cy="17145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20"/>
          <w:szCs w:val="20"/>
          <w:color w:val="004876"/>
        </w:rPr>
        <w:t>GOVERNANCE RESPONSIBILITIES OF THE CMDC</w:t>
      </w:r>
    </w:p>
    <w:p>
      <w:pPr>
        <w:spacing w:after="0" w:line="97" w:lineRule="exact"/>
        <w:rPr>
          <w:sz w:val="20"/>
          <w:szCs w:val="20"/>
          <w:color w:val="auto"/>
        </w:rPr>
      </w:pPr>
    </w:p>
    <w:p>
      <w:pPr>
        <w:ind w:left="120" w:right="360"/>
        <w:spacing w:after="0" w:line="246" w:lineRule="auto"/>
        <w:rPr>
          <w:sz w:val="20"/>
          <w:szCs w:val="20"/>
          <w:color w:val="auto"/>
        </w:rPr>
      </w:pPr>
      <w:r>
        <w:rPr>
          <w:rFonts w:ascii="Arial" w:cs="Arial" w:eastAsia="Arial" w:hAnsi="Arial"/>
          <w:sz w:val="18"/>
          <w:szCs w:val="18"/>
          <w:color w:val="auto"/>
        </w:rPr>
        <w:t>The CMDC oversees our compensation programs throughout the year, which enables the programs to be proactive in addressing both current and emerging developments or challenges. Key committee responsibilities related to compensation programs include:</w:t>
      </w:r>
    </w:p>
    <w:p>
      <w:pPr>
        <w:sectPr>
          <w:pgSz w:w="11900" w:h="16838" w:orient="portrait"/>
          <w:cols w:equalWidth="0" w:num="1">
            <w:col w:w="11140"/>
          </w:cols>
          <w:pgMar w:left="320" w:top="459" w:right="439" w:bottom="1440" w:gutter="0" w:footer="0" w:header="0"/>
        </w:sectPr>
      </w:pPr>
    </w:p>
    <w:p>
      <w:pPr>
        <w:spacing w:after="0" w:line="156" w:lineRule="exact"/>
        <w:rPr>
          <w:sz w:val="20"/>
          <w:szCs w:val="20"/>
          <w:color w:val="auto"/>
        </w:rPr>
      </w:pPr>
    </w:p>
    <w:p>
      <w:pPr>
        <w:ind w:left="300" w:right="60" w:hanging="184"/>
        <w:spacing w:after="0" w:line="246" w:lineRule="auto"/>
        <w:tabs>
          <w:tab w:leader="none" w:pos="300" w:val="left"/>
        </w:tabs>
        <w:numPr>
          <w:ilvl w:val="0"/>
          <w:numId w:val="92"/>
        </w:numPr>
        <w:rPr>
          <w:rFonts w:ascii="Arial" w:cs="Arial" w:eastAsia="Arial" w:hAnsi="Arial"/>
          <w:sz w:val="18"/>
          <w:szCs w:val="18"/>
          <w:color w:val="004876"/>
        </w:rPr>
      </w:pPr>
      <w:r>
        <w:rPr>
          <w:rFonts w:ascii="Arial" w:cs="Arial" w:eastAsia="Arial" w:hAnsi="Arial"/>
          <w:sz w:val="18"/>
          <w:szCs w:val="18"/>
          <w:color w:val="auto"/>
        </w:rPr>
        <w:t>Periodically reviewing and approving a statement of the Firm’s compensation philosophy, principles and practices</w:t>
      </w:r>
    </w:p>
    <w:p>
      <w:pPr>
        <w:spacing w:after="0" w:line="102" w:lineRule="exact"/>
        <w:rPr>
          <w:rFonts w:ascii="Arial" w:cs="Arial" w:eastAsia="Arial" w:hAnsi="Arial"/>
          <w:sz w:val="18"/>
          <w:szCs w:val="18"/>
          <w:color w:val="004876"/>
        </w:rPr>
      </w:pPr>
    </w:p>
    <w:p>
      <w:pPr>
        <w:ind w:left="300" w:right="160" w:hanging="184"/>
        <w:spacing w:after="0" w:line="238" w:lineRule="auto"/>
        <w:tabs>
          <w:tab w:leader="none" w:pos="300" w:val="left"/>
        </w:tabs>
        <w:numPr>
          <w:ilvl w:val="0"/>
          <w:numId w:val="92"/>
        </w:numPr>
        <w:rPr>
          <w:rFonts w:ascii="Arial" w:cs="Arial" w:eastAsia="Arial" w:hAnsi="Arial"/>
          <w:sz w:val="18"/>
          <w:szCs w:val="18"/>
          <w:color w:val="004876"/>
        </w:rPr>
      </w:pPr>
      <w:r>
        <w:rPr>
          <w:rFonts w:ascii="Arial" w:cs="Arial" w:eastAsia="Arial" w:hAnsi="Arial"/>
          <w:sz w:val="18"/>
          <w:szCs w:val="18"/>
          <w:color w:val="auto"/>
        </w:rPr>
        <w:t>Reviewing the Firm’s compensation practices and the relationship among risk, risk management and compensation (including safety and soundness and avoiding practices that could encourage excessive risk-taking)</w:t>
      </w:r>
    </w:p>
    <w:p>
      <w:pPr>
        <w:spacing w:after="0" w:line="110" w:lineRule="exact"/>
        <w:rPr>
          <w:rFonts w:ascii="Arial" w:cs="Arial" w:eastAsia="Arial" w:hAnsi="Arial"/>
          <w:sz w:val="18"/>
          <w:szCs w:val="18"/>
          <w:color w:val="004876"/>
        </w:rPr>
      </w:pPr>
    </w:p>
    <w:p>
      <w:pPr>
        <w:ind w:left="300" w:hanging="184"/>
        <w:spacing w:after="0" w:line="238" w:lineRule="auto"/>
        <w:tabs>
          <w:tab w:leader="none" w:pos="300" w:val="left"/>
        </w:tabs>
        <w:numPr>
          <w:ilvl w:val="0"/>
          <w:numId w:val="92"/>
        </w:numPr>
        <w:rPr>
          <w:rFonts w:ascii="Arial" w:cs="Arial" w:eastAsia="Arial" w:hAnsi="Arial"/>
          <w:sz w:val="18"/>
          <w:szCs w:val="18"/>
          <w:color w:val="004876"/>
        </w:rPr>
      </w:pPr>
      <w:r>
        <w:rPr>
          <w:rFonts w:ascii="Arial" w:cs="Arial" w:eastAsia="Arial" w:hAnsi="Arial"/>
          <w:sz w:val="18"/>
          <w:szCs w:val="18"/>
          <w:color w:val="auto"/>
        </w:rPr>
        <w:t>Adopting pay practices and approving any necessary formulas, performance metrics or pool calculations in compliance with applicable U.S. and global regulatory, statutory or governance requirements</w:t>
      </w:r>
    </w:p>
    <w:p>
      <w:pPr>
        <w:spacing w:after="0" w:line="110" w:lineRule="exact"/>
        <w:rPr>
          <w:rFonts w:ascii="Arial" w:cs="Arial" w:eastAsia="Arial" w:hAnsi="Arial"/>
          <w:sz w:val="18"/>
          <w:szCs w:val="18"/>
          <w:color w:val="004876"/>
        </w:rPr>
      </w:pPr>
    </w:p>
    <w:p>
      <w:pPr>
        <w:ind w:left="300" w:hanging="184"/>
        <w:spacing w:after="0" w:line="246" w:lineRule="auto"/>
        <w:tabs>
          <w:tab w:leader="none" w:pos="300" w:val="left"/>
        </w:tabs>
        <w:numPr>
          <w:ilvl w:val="0"/>
          <w:numId w:val="92"/>
        </w:numPr>
        <w:rPr>
          <w:rFonts w:ascii="Arial" w:cs="Arial" w:eastAsia="Arial" w:hAnsi="Arial"/>
          <w:sz w:val="18"/>
          <w:szCs w:val="18"/>
          <w:color w:val="004876"/>
        </w:rPr>
      </w:pPr>
      <w:r>
        <w:rPr>
          <w:rFonts w:ascii="Arial" w:cs="Arial" w:eastAsia="Arial" w:hAnsi="Arial"/>
          <w:sz w:val="18"/>
          <w:szCs w:val="18"/>
          <w:color w:val="auto"/>
        </w:rPr>
        <w:t>Reviewing and approving overall incentive compensation pools (including equity/cash mix)</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ind w:left="166" w:right="380" w:hanging="166"/>
        <w:spacing w:after="0" w:line="246" w:lineRule="auto"/>
        <w:tabs>
          <w:tab w:leader="none" w:pos="166" w:val="left"/>
        </w:tabs>
        <w:numPr>
          <w:ilvl w:val="0"/>
          <w:numId w:val="93"/>
        </w:numPr>
        <w:rPr>
          <w:rFonts w:ascii="Arial" w:cs="Arial" w:eastAsia="Arial" w:hAnsi="Arial"/>
          <w:sz w:val="18"/>
          <w:szCs w:val="18"/>
          <w:color w:val="004876"/>
        </w:rPr>
      </w:pPr>
      <w:r>
        <w:rPr>
          <w:rFonts w:ascii="Arial" w:cs="Arial" w:eastAsia="Arial" w:hAnsi="Arial"/>
          <w:sz w:val="18"/>
          <w:szCs w:val="18"/>
          <w:color w:val="auto"/>
        </w:rPr>
        <w:t>Reviewing the business-aligned incentive compensation plan governance, design and evaluation framework</w:t>
      </w:r>
    </w:p>
    <w:p>
      <w:pPr>
        <w:spacing w:after="0" w:line="102" w:lineRule="exact"/>
        <w:rPr>
          <w:rFonts w:ascii="Arial" w:cs="Arial" w:eastAsia="Arial" w:hAnsi="Arial"/>
          <w:sz w:val="18"/>
          <w:szCs w:val="18"/>
          <w:color w:val="004876"/>
        </w:rPr>
      </w:pPr>
    </w:p>
    <w:p>
      <w:pPr>
        <w:ind w:left="166" w:right="20" w:hanging="166"/>
        <w:spacing w:after="0" w:line="238" w:lineRule="auto"/>
        <w:tabs>
          <w:tab w:leader="none" w:pos="166" w:val="left"/>
        </w:tabs>
        <w:numPr>
          <w:ilvl w:val="0"/>
          <w:numId w:val="93"/>
        </w:numPr>
        <w:rPr>
          <w:rFonts w:ascii="Arial" w:cs="Arial" w:eastAsia="Arial" w:hAnsi="Arial"/>
          <w:sz w:val="18"/>
          <w:szCs w:val="18"/>
          <w:color w:val="004876"/>
        </w:rPr>
      </w:pPr>
      <w:r>
        <w:rPr>
          <w:rFonts w:ascii="Arial" w:cs="Arial" w:eastAsia="Arial" w:hAnsi="Arial"/>
          <w:sz w:val="18"/>
          <w:szCs w:val="18"/>
          <w:color w:val="auto"/>
        </w:rPr>
        <w:t>Reviewing over multiple meetings and approving compensation for our OC and, for the CEO, making a compensation recommendation to the Board for consideration and ratification by the independent directors</w:t>
      </w:r>
    </w:p>
    <w:p>
      <w:pPr>
        <w:spacing w:after="0" w:line="110" w:lineRule="exact"/>
        <w:rPr>
          <w:rFonts w:ascii="Arial" w:cs="Arial" w:eastAsia="Arial" w:hAnsi="Arial"/>
          <w:sz w:val="18"/>
          <w:szCs w:val="18"/>
          <w:color w:val="004876"/>
        </w:rPr>
      </w:pPr>
    </w:p>
    <w:p>
      <w:pPr>
        <w:ind w:left="166" w:right="280" w:hanging="166"/>
        <w:spacing w:after="0" w:line="238" w:lineRule="auto"/>
        <w:tabs>
          <w:tab w:leader="none" w:pos="166" w:val="left"/>
        </w:tabs>
        <w:numPr>
          <w:ilvl w:val="0"/>
          <w:numId w:val="93"/>
        </w:numPr>
        <w:rPr>
          <w:rFonts w:ascii="Arial" w:cs="Arial" w:eastAsia="Arial" w:hAnsi="Arial"/>
          <w:sz w:val="18"/>
          <w:szCs w:val="18"/>
          <w:color w:val="004876"/>
        </w:rPr>
      </w:pPr>
      <w:r>
        <w:rPr>
          <w:rFonts w:ascii="Arial" w:cs="Arial" w:eastAsia="Arial" w:hAnsi="Arial"/>
          <w:sz w:val="18"/>
          <w:szCs w:val="18"/>
          <w:color w:val="auto"/>
        </w:rPr>
        <w:t>Reviewing compensation for employees who are material risk-takers identified under Federal Reserve standards (“Tier 1 employees”) and/or European Union standards (“Identified Staff”), collectively “Designated Employees”</w:t>
      </w:r>
    </w:p>
    <w:p>
      <w:pPr>
        <w:spacing w:after="0" w:line="110" w:lineRule="exact"/>
        <w:rPr>
          <w:rFonts w:ascii="Arial" w:cs="Arial" w:eastAsia="Arial" w:hAnsi="Arial"/>
          <w:sz w:val="18"/>
          <w:szCs w:val="18"/>
          <w:color w:val="004876"/>
        </w:rPr>
      </w:pPr>
    </w:p>
    <w:p>
      <w:pPr>
        <w:ind w:left="166" w:right="100" w:hanging="166"/>
        <w:spacing w:after="0" w:line="246" w:lineRule="auto"/>
        <w:tabs>
          <w:tab w:leader="none" w:pos="166" w:val="left"/>
        </w:tabs>
        <w:numPr>
          <w:ilvl w:val="0"/>
          <w:numId w:val="93"/>
        </w:numPr>
        <w:rPr>
          <w:rFonts w:ascii="Arial" w:cs="Arial" w:eastAsia="Arial" w:hAnsi="Arial"/>
          <w:sz w:val="18"/>
          <w:szCs w:val="18"/>
          <w:color w:val="004876"/>
        </w:rPr>
      </w:pPr>
      <w:r>
        <w:rPr>
          <w:rFonts w:ascii="Arial" w:cs="Arial" w:eastAsia="Arial" w:hAnsi="Arial"/>
          <w:sz w:val="18"/>
          <w:szCs w:val="18"/>
          <w:color w:val="auto"/>
        </w:rPr>
        <w:t>Reviewing and approving the design and terms of compensation awards, including recovery/clawback provisions</w:t>
      </w:r>
    </w:p>
    <w:p>
      <w:pPr>
        <w:spacing w:after="0" w:line="200" w:lineRule="exact"/>
        <w:rPr>
          <w:sz w:val="20"/>
          <w:szCs w:val="20"/>
          <w:color w:val="auto"/>
        </w:rPr>
      </w:pPr>
    </w:p>
    <w:p>
      <w:pPr>
        <w:sectPr>
          <w:pgSz w:w="11900" w:h="16838" w:orient="portrait"/>
          <w:cols w:equalWidth="0" w:num="2">
            <w:col w:w="5300" w:space="434"/>
            <w:col w:w="5406"/>
          </w:cols>
          <w:pgMar w:left="320" w:top="459" w:right="439" w:bottom="1440" w:gutter="0" w:footer="0" w:header="0"/>
          <w:type w:val="continuous"/>
        </w:sectPr>
      </w:pPr>
    </w:p>
    <w:p>
      <w:pPr>
        <w:spacing w:after="0" w:line="15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CMDC continues to retain the discretion to make awards and pay amounts that may not qualify as tax deductible.</w:t>
      </w:r>
    </w:p>
    <w:p>
      <w:pPr>
        <w:spacing w:after="0" w:line="233" w:lineRule="exact"/>
        <w:rPr>
          <w:sz w:val="20"/>
          <w:szCs w:val="20"/>
          <w:color w:val="auto"/>
        </w:rPr>
      </w:pPr>
    </w:p>
    <w:p>
      <w:pPr>
        <w:ind w:left="340" w:hanging="210"/>
        <w:spacing w:after="0" w:line="230" w:lineRule="auto"/>
        <w:tabs>
          <w:tab w:leader="none" w:pos="340" w:val="left"/>
        </w:tabs>
        <w:numPr>
          <w:ilvl w:val="0"/>
          <w:numId w:val="94"/>
        </w:numPr>
        <w:rPr>
          <w:rFonts w:ascii="Arial" w:cs="Arial" w:eastAsia="Arial" w:hAnsi="Arial"/>
          <w:sz w:val="11"/>
          <w:szCs w:val="11"/>
          <w:color w:val="auto"/>
        </w:rPr>
      </w:pPr>
      <w:r>
        <w:rPr>
          <w:rFonts w:ascii="Arial" w:cs="Arial" w:eastAsia="Arial" w:hAnsi="Arial"/>
          <w:sz w:val="13"/>
          <w:szCs w:val="13"/>
          <w:color w:val="auto"/>
        </w:rPr>
        <w:t>PSUs are also subject to a two-year hold after each vesting for a combined holding period of five years. The terms and conditions of Mr. Pinto’s compensation reflect the requirements of E.U. and U.K. regulations. Refer to Note 1 on page 47 for additional information on Mr. Pinto’s pay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241935</wp:posOffset>
            </wp:positionV>
            <wp:extent cx="7029450" cy="19685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029450" cy="19685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p>
      <w:pPr>
        <w:spacing w:after="0" w:line="200" w:lineRule="exact"/>
        <w:rPr>
          <w:sz w:val="20"/>
          <w:szCs w:val="20"/>
          <w:color w:val="auto"/>
        </w:rPr>
      </w:pPr>
    </w:p>
    <w:p>
      <w:pPr>
        <w:spacing w:after="0" w:line="259" w:lineRule="exact"/>
        <w:rPr>
          <w:sz w:val="20"/>
          <w:szCs w:val="20"/>
          <w:color w:val="auto"/>
        </w:rPr>
      </w:pPr>
    </w:p>
    <w:p>
      <w:pPr>
        <w:jc w:val="center"/>
        <w:ind w:right="-99"/>
        <w:spacing w:after="0"/>
        <w:rPr>
          <w:sz w:val="20"/>
          <w:szCs w:val="20"/>
          <w:color w:val="auto"/>
        </w:rPr>
      </w:pPr>
      <w:r>
        <w:rPr>
          <w:rFonts w:ascii="Arial" w:cs="Arial" w:eastAsia="Arial" w:hAnsi="Arial"/>
          <w:sz w:val="13"/>
          <w:szCs w:val="13"/>
          <w:b w:val="1"/>
          <w:bCs w:val="1"/>
          <w:color w:val="004876"/>
        </w:rPr>
        <w:t>44</w:t>
      </w:r>
    </w:p>
    <w:p>
      <w:pPr>
        <w:sectPr>
          <w:pgSz w:w="11900" w:h="16838" w:orient="portrait"/>
          <w:cols w:equalWidth="0" w:num="1">
            <w:col w:w="11140"/>
          </w:cols>
          <w:pgMar w:left="320" w:top="459" w:right="439" w:bottom="1440" w:gutter="0" w:footer="0" w:header="0"/>
          <w:type w:val="continuous"/>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04876"/>
        </w:rPr>
        <w:t>EXECUTIVE COMPENSATION | 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160655</wp:posOffset>
            </wp:positionV>
            <wp:extent cx="7029450" cy="26543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029450"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20"/>
        <w:spacing w:after="0"/>
        <w:rPr>
          <w:sz w:val="20"/>
          <w:szCs w:val="20"/>
          <w:color w:val="auto"/>
        </w:rPr>
      </w:pPr>
      <w:r>
        <w:rPr>
          <w:rFonts w:ascii="Arial" w:cs="Arial" w:eastAsia="Arial" w:hAnsi="Arial"/>
          <w:sz w:val="29"/>
          <w:szCs w:val="29"/>
          <w:color w:val="004876"/>
        </w:rPr>
        <w:t>Performance assessment starts with planning and priority-setting</w:t>
      </w:r>
    </w:p>
    <w:p>
      <w:pPr>
        <w:spacing w:after="0" w:line="115" w:lineRule="exact"/>
        <w:rPr>
          <w:sz w:val="20"/>
          <w:szCs w:val="20"/>
          <w:color w:val="auto"/>
        </w:rPr>
      </w:pPr>
    </w:p>
    <w:p>
      <w:pPr>
        <w:ind w:left="120" w:right="300"/>
        <w:spacing w:after="0" w:line="238" w:lineRule="auto"/>
        <w:rPr>
          <w:sz w:val="20"/>
          <w:szCs w:val="20"/>
          <w:color w:val="auto"/>
        </w:rPr>
      </w:pPr>
      <w:r>
        <w:rPr>
          <w:rFonts w:ascii="Arial" w:cs="Arial" w:eastAsia="Arial" w:hAnsi="Arial"/>
          <w:sz w:val="18"/>
          <w:szCs w:val="18"/>
          <w:color w:val="auto"/>
        </w:rPr>
        <w:t>The CMDC uses a disciplined pay-for-performance framework to make decisions about the compensation of our OC members, so that their compensation is commensurate with the overall performance of the Firm, their respective businesses, and their individual performance. The cycle starts with establishing strategic plans, budgets and priorities at those same levels, with the key elements and timing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70485</wp:posOffset>
            </wp:positionV>
            <wp:extent cx="7029450" cy="576072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029450" cy="5760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0"/>
        <w:spacing w:after="0" w:line="246" w:lineRule="auto"/>
        <w:rPr>
          <w:sz w:val="20"/>
          <w:szCs w:val="20"/>
          <w:color w:val="auto"/>
        </w:rPr>
      </w:pPr>
      <w:r>
        <w:rPr>
          <w:rFonts w:ascii="Arial" w:cs="Arial" w:eastAsia="Arial" w:hAnsi="Arial"/>
          <w:sz w:val="18"/>
          <w:szCs w:val="18"/>
          <w:color w:val="auto"/>
        </w:rPr>
        <w:t>Throughout the performance assessment process, the Board and CMDC engage in regular discussions with the CEO and the Head of HR about individual OC members’ performance, as appropriate.</w:t>
      </w:r>
    </w:p>
    <w:p>
      <w:pPr>
        <w:spacing w:after="0" w:line="89" w:lineRule="exact"/>
        <w:rPr>
          <w:sz w:val="20"/>
          <w:szCs w:val="20"/>
          <w:color w:val="auto"/>
        </w:rPr>
      </w:pPr>
    </w:p>
    <w:p>
      <w:pPr>
        <w:ind w:left="120" w:right="40"/>
        <w:spacing w:after="0" w:line="261" w:lineRule="auto"/>
        <w:rPr>
          <w:sz w:val="20"/>
          <w:szCs w:val="20"/>
          <w:color w:val="auto"/>
        </w:rPr>
      </w:pPr>
      <w:r>
        <w:rPr>
          <w:rFonts w:ascii="Arial" w:cs="Arial" w:eastAsia="Arial" w:hAnsi="Arial"/>
          <w:sz w:val="17"/>
          <w:szCs w:val="17"/>
          <w:color w:val="auto"/>
        </w:rPr>
        <w:t>This approach (rather than determining pay levels during a single year-end process) enables the CMDC and the Board to make balanced and informed OC member pay decisions that are aligned with long-term performance against four broad dimensions, which consider short-, medium- and long-term priorities that drive sustained shareholder value, while accounting for risk, controls and conduct objectives:</w:t>
      </w:r>
    </w:p>
    <w:p>
      <w:pPr>
        <w:spacing w:after="0" w:line="214"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380" w:type="dxa"/>
            <w:vAlign w:val="bottom"/>
            <w:vMerge w:val="restart"/>
            <w:shd w:val="clear" w:color="auto" w:fill="004876"/>
          </w:tcPr>
          <w:p>
            <w:pPr>
              <w:ind w:left="440"/>
              <w:spacing w:after="0"/>
              <w:rPr>
                <w:sz w:val="20"/>
                <w:szCs w:val="20"/>
                <w:color w:val="auto"/>
              </w:rPr>
            </w:pPr>
            <w:r>
              <w:rPr>
                <w:rFonts w:ascii="Arial" w:cs="Arial" w:eastAsia="Arial" w:hAnsi="Arial"/>
                <w:sz w:val="18"/>
                <w:szCs w:val="18"/>
                <w:b w:val="1"/>
                <w:bCs w:val="1"/>
                <w:color w:val="FFFFFF"/>
              </w:rPr>
              <w:t>Business Results</w:t>
            </w:r>
          </w:p>
        </w:tc>
        <w:tc>
          <w:tcPr>
            <w:tcW w:w="120" w:type="dxa"/>
            <w:vAlign w:val="bottom"/>
          </w:tcPr>
          <w:p>
            <w:pPr>
              <w:spacing w:after="0"/>
              <w:rPr>
                <w:sz w:val="20"/>
                <w:szCs w:val="20"/>
                <w:color w:val="auto"/>
              </w:rPr>
            </w:pPr>
          </w:p>
        </w:tc>
        <w:tc>
          <w:tcPr>
            <w:tcW w:w="2460" w:type="dxa"/>
            <w:vAlign w:val="bottom"/>
            <w:shd w:val="clear" w:color="auto" w:fill="5988A5"/>
          </w:tcPr>
          <w:p>
            <w:pPr>
              <w:jc w:val="center"/>
              <w:spacing w:after="0"/>
              <w:rPr>
                <w:sz w:val="20"/>
                <w:szCs w:val="20"/>
                <w:color w:val="auto"/>
              </w:rPr>
            </w:pPr>
            <w:r>
              <w:rPr>
                <w:rFonts w:ascii="Arial" w:cs="Arial" w:eastAsia="Arial" w:hAnsi="Arial"/>
                <w:sz w:val="18"/>
                <w:szCs w:val="18"/>
                <w:b w:val="1"/>
                <w:bCs w:val="1"/>
                <w:color w:val="FFFFFF"/>
                <w:w w:val="99"/>
              </w:rPr>
              <w:t>Risk, Controls &amp;</w:t>
            </w:r>
          </w:p>
        </w:tc>
        <w:tc>
          <w:tcPr>
            <w:tcW w:w="120" w:type="dxa"/>
            <w:vAlign w:val="bottom"/>
          </w:tcPr>
          <w:p>
            <w:pPr>
              <w:spacing w:after="0"/>
              <w:rPr>
                <w:sz w:val="20"/>
                <w:szCs w:val="20"/>
                <w:color w:val="auto"/>
              </w:rPr>
            </w:pPr>
          </w:p>
        </w:tc>
        <w:tc>
          <w:tcPr>
            <w:tcW w:w="2360" w:type="dxa"/>
            <w:vAlign w:val="bottom"/>
            <w:shd w:val="clear" w:color="auto" w:fill="7F7F7F"/>
          </w:tcPr>
          <w:p>
            <w:pPr>
              <w:jc w:val="center"/>
              <w:spacing w:after="0"/>
              <w:rPr>
                <w:sz w:val="20"/>
                <w:szCs w:val="20"/>
                <w:color w:val="auto"/>
              </w:rPr>
            </w:pPr>
            <w:r>
              <w:rPr>
                <w:rFonts w:ascii="Arial" w:cs="Arial" w:eastAsia="Arial" w:hAnsi="Arial"/>
                <w:sz w:val="18"/>
                <w:szCs w:val="18"/>
                <w:b w:val="1"/>
                <w:bCs w:val="1"/>
                <w:color w:val="FFFFFF"/>
              </w:rPr>
              <w:t>Client / Customer /</w:t>
            </w:r>
          </w:p>
        </w:tc>
        <w:tc>
          <w:tcPr>
            <w:tcW w:w="120" w:type="dxa"/>
            <w:vAlign w:val="bottom"/>
          </w:tcPr>
          <w:p>
            <w:pPr>
              <w:spacing w:after="0"/>
              <w:rPr>
                <w:sz w:val="20"/>
                <w:szCs w:val="20"/>
                <w:color w:val="auto"/>
              </w:rPr>
            </w:pPr>
          </w:p>
        </w:tc>
        <w:tc>
          <w:tcPr>
            <w:tcW w:w="2360" w:type="dxa"/>
            <w:vAlign w:val="bottom"/>
            <w:shd w:val="clear" w:color="auto" w:fill="4C4C4C"/>
          </w:tcPr>
          <w:p>
            <w:pPr>
              <w:jc w:val="center"/>
              <w:ind w:left="10"/>
              <w:spacing w:after="0"/>
              <w:rPr>
                <w:sz w:val="20"/>
                <w:szCs w:val="20"/>
                <w:color w:val="auto"/>
              </w:rPr>
            </w:pPr>
            <w:r>
              <w:rPr>
                <w:rFonts w:ascii="Arial" w:cs="Arial" w:eastAsia="Arial" w:hAnsi="Arial"/>
                <w:sz w:val="18"/>
                <w:szCs w:val="18"/>
                <w:b w:val="1"/>
                <w:bCs w:val="1"/>
                <w:color w:val="FFFFFF"/>
                <w:w w:val="98"/>
              </w:rPr>
              <w:t>Teamwork &amp;</w:t>
            </w:r>
          </w:p>
        </w:tc>
        <w:tc>
          <w:tcPr>
            <w:tcW w:w="0" w:type="dxa"/>
            <w:vAlign w:val="bottom"/>
          </w:tcPr>
          <w:p>
            <w:pPr>
              <w:spacing w:after="0"/>
              <w:rPr>
                <w:sz w:val="1"/>
                <w:szCs w:val="1"/>
                <w:color w:val="auto"/>
              </w:rPr>
            </w:pPr>
          </w:p>
        </w:tc>
      </w:tr>
      <w:tr>
        <w:trPr>
          <w:trHeight w:val="239"/>
        </w:trPr>
        <w:tc>
          <w:tcPr>
            <w:tcW w:w="2380" w:type="dxa"/>
            <w:vAlign w:val="bottom"/>
            <w:vMerge w:val="continue"/>
            <w:shd w:val="clear" w:color="auto" w:fill="004876"/>
          </w:tcPr>
          <w:p>
            <w:pPr>
              <w:spacing w:after="0"/>
              <w:rPr>
                <w:sz w:val="20"/>
                <w:szCs w:val="20"/>
                <w:color w:val="auto"/>
              </w:rPr>
            </w:pPr>
          </w:p>
        </w:tc>
        <w:tc>
          <w:tcPr>
            <w:tcW w:w="120" w:type="dxa"/>
            <w:vAlign w:val="bottom"/>
          </w:tcPr>
          <w:p>
            <w:pPr>
              <w:spacing w:after="0"/>
              <w:rPr>
                <w:sz w:val="20"/>
                <w:szCs w:val="20"/>
                <w:color w:val="auto"/>
              </w:rPr>
            </w:pPr>
          </w:p>
        </w:tc>
        <w:tc>
          <w:tcPr>
            <w:tcW w:w="2460" w:type="dxa"/>
            <w:vAlign w:val="bottom"/>
            <w:shd w:val="clear" w:color="auto" w:fill="5988A5"/>
          </w:tcPr>
          <w:p>
            <w:pPr>
              <w:jc w:val="center"/>
              <w:spacing w:after="0"/>
              <w:rPr>
                <w:sz w:val="20"/>
                <w:szCs w:val="20"/>
                <w:color w:val="auto"/>
              </w:rPr>
            </w:pPr>
            <w:r>
              <w:rPr>
                <w:rFonts w:ascii="Arial" w:cs="Arial" w:eastAsia="Arial" w:hAnsi="Arial"/>
                <w:sz w:val="18"/>
                <w:szCs w:val="18"/>
                <w:b w:val="1"/>
                <w:bCs w:val="1"/>
                <w:color w:val="FFFFFF"/>
              </w:rPr>
              <w:t>Conduct</w:t>
            </w:r>
          </w:p>
        </w:tc>
        <w:tc>
          <w:tcPr>
            <w:tcW w:w="120" w:type="dxa"/>
            <w:vAlign w:val="bottom"/>
          </w:tcPr>
          <w:p>
            <w:pPr>
              <w:spacing w:after="0"/>
              <w:rPr>
                <w:sz w:val="20"/>
                <w:szCs w:val="20"/>
                <w:color w:val="auto"/>
              </w:rPr>
            </w:pPr>
          </w:p>
        </w:tc>
        <w:tc>
          <w:tcPr>
            <w:tcW w:w="2360" w:type="dxa"/>
            <w:vAlign w:val="bottom"/>
            <w:shd w:val="clear" w:color="auto" w:fill="7F7F7F"/>
          </w:tcPr>
          <w:p>
            <w:pPr>
              <w:jc w:val="center"/>
              <w:spacing w:after="0"/>
              <w:rPr>
                <w:sz w:val="20"/>
                <w:szCs w:val="20"/>
                <w:color w:val="auto"/>
              </w:rPr>
            </w:pPr>
            <w:r>
              <w:rPr>
                <w:rFonts w:ascii="Arial" w:cs="Arial" w:eastAsia="Arial" w:hAnsi="Arial"/>
                <w:sz w:val="18"/>
                <w:szCs w:val="18"/>
                <w:b w:val="1"/>
                <w:bCs w:val="1"/>
                <w:color w:val="FFFFFF"/>
              </w:rPr>
              <w:t>Stakeholder</w:t>
            </w:r>
          </w:p>
        </w:tc>
        <w:tc>
          <w:tcPr>
            <w:tcW w:w="120" w:type="dxa"/>
            <w:vAlign w:val="bottom"/>
          </w:tcPr>
          <w:p>
            <w:pPr>
              <w:spacing w:after="0"/>
              <w:rPr>
                <w:sz w:val="20"/>
                <w:szCs w:val="20"/>
                <w:color w:val="auto"/>
              </w:rPr>
            </w:pPr>
          </w:p>
        </w:tc>
        <w:tc>
          <w:tcPr>
            <w:tcW w:w="2360" w:type="dxa"/>
            <w:vAlign w:val="bottom"/>
            <w:shd w:val="clear" w:color="auto" w:fill="4C4C4C"/>
          </w:tcPr>
          <w:p>
            <w:pPr>
              <w:jc w:val="center"/>
              <w:spacing w:after="0"/>
              <w:rPr>
                <w:sz w:val="20"/>
                <w:szCs w:val="20"/>
                <w:color w:val="auto"/>
              </w:rPr>
            </w:pPr>
            <w:r>
              <w:rPr>
                <w:rFonts w:ascii="Arial" w:cs="Arial" w:eastAsia="Arial" w:hAnsi="Arial"/>
                <w:sz w:val="18"/>
                <w:szCs w:val="18"/>
                <w:b w:val="1"/>
                <w:bCs w:val="1"/>
                <w:color w:val="FFFFFF"/>
                <w:w w:val="99"/>
              </w:rPr>
              <w:t>Leadership</w:t>
            </w:r>
          </w:p>
        </w:tc>
        <w:tc>
          <w:tcPr>
            <w:tcW w:w="0" w:type="dxa"/>
            <w:vAlign w:val="bottom"/>
          </w:tcPr>
          <w:p>
            <w:pPr>
              <w:spacing w:after="0"/>
              <w:rPr>
                <w:sz w:val="1"/>
                <w:szCs w:val="1"/>
                <w:color w:val="auto"/>
              </w:rPr>
            </w:pPr>
          </w:p>
        </w:tc>
      </w:tr>
      <w:tr>
        <w:trPr>
          <w:trHeight w:val="108"/>
        </w:trPr>
        <w:tc>
          <w:tcPr>
            <w:tcW w:w="2380" w:type="dxa"/>
            <w:vAlign w:val="bottom"/>
            <w:shd w:val="clear" w:color="auto" w:fill="004876"/>
          </w:tcPr>
          <w:p>
            <w:pPr>
              <w:spacing w:after="0"/>
              <w:rPr>
                <w:sz w:val="9"/>
                <w:szCs w:val="9"/>
                <w:color w:val="auto"/>
              </w:rPr>
            </w:pPr>
          </w:p>
        </w:tc>
        <w:tc>
          <w:tcPr>
            <w:tcW w:w="120" w:type="dxa"/>
            <w:vAlign w:val="bottom"/>
          </w:tcPr>
          <w:p>
            <w:pPr>
              <w:spacing w:after="0"/>
              <w:rPr>
                <w:sz w:val="9"/>
                <w:szCs w:val="9"/>
                <w:color w:val="auto"/>
              </w:rPr>
            </w:pPr>
          </w:p>
        </w:tc>
        <w:tc>
          <w:tcPr>
            <w:tcW w:w="2460" w:type="dxa"/>
            <w:vAlign w:val="bottom"/>
            <w:shd w:val="clear" w:color="auto" w:fill="5988A5"/>
          </w:tcPr>
          <w:p>
            <w:pPr>
              <w:spacing w:after="0"/>
              <w:rPr>
                <w:sz w:val="9"/>
                <w:szCs w:val="9"/>
                <w:color w:val="auto"/>
              </w:rPr>
            </w:pPr>
          </w:p>
        </w:tc>
        <w:tc>
          <w:tcPr>
            <w:tcW w:w="120" w:type="dxa"/>
            <w:vAlign w:val="bottom"/>
          </w:tcPr>
          <w:p>
            <w:pPr>
              <w:spacing w:after="0"/>
              <w:rPr>
                <w:sz w:val="9"/>
                <w:szCs w:val="9"/>
                <w:color w:val="auto"/>
              </w:rPr>
            </w:pPr>
          </w:p>
        </w:tc>
        <w:tc>
          <w:tcPr>
            <w:tcW w:w="2360" w:type="dxa"/>
            <w:vAlign w:val="bottom"/>
            <w:shd w:val="clear" w:color="auto" w:fill="7F7F7F"/>
          </w:tcPr>
          <w:p>
            <w:pPr>
              <w:spacing w:after="0"/>
              <w:rPr>
                <w:sz w:val="9"/>
                <w:szCs w:val="9"/>
                <w:color w:val="auto"/>
              </w:rPr>
            </w:pPr>
          </w:p>
        </w:tc>
        <w:tc>
          <w:tcPr>
            <w:tcW w:w="120" w:type="dxa"/>
            <w:vAlign w:val="bottom"/>
          </w:tcPr>
          <w:p>
            <w:pPr>
              <w:spacing w:after="0"/>
              <w:rPr>
                <w:sz w:val="9"/>
                <w:szCs w:val="9"/>
                <w:color w:val="auto"/>
              </w:rPr>
            </w:pPr>
          </w:p>
        </w:tc>
        <w:tc>
          <w:tcPr>
            <w:tcW w:w="2360" w:type="dxa"/>
            <w:vAlign w:val="bottom"/>
            <w:shd w:val="clear" w:color="auto" w:fill="4C4C4C"/>
          </w:tcPr>
          <w:p>
            <w:pPr>
              <w:spacing w:after="0"/>
              <w:rPr>
                <w:sz w:val="9"/>
                <w:szCs w:val="9"/>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120" w:right="620"/>
        <w:spacing w:after="0" w:line="246" w:lineRule="auto"/>
        <w:rPr>
          <w:sz w:val="20"/>
          <w:szCs w:val="20"/>
          <w:color w:val="auto"/>
        </w:rPr>
      </w:pPr>
      <w:r>
        <w:rPr>
          <w:rFonts w:ascii="Arial" w:cs="Arial" w:eastAsia="Arial" w:hAnsi="Arial"/>
          <w:sz w:val="18"/>
          <w:szCs w:val="18"/>
          <w:color w:val="auto"/>
        </w:rPr>
        <w:t>To promote a proper pay-for-performance alignment, the CMDC does not assign relative weightings to these dimensions, and also considers other relevant factors, including market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468630</wp:posOffset>
            </wp:positionV>
            <wp:extent cx="7029450" cy="19685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029450" cy="196850"/>
                    </a:xfrm>
                    <a:prstGeom prst="rect">
                      <a:avLst/>
                    </a:prstGeom>
                    <a:noFill/>
                  </pic:spPr>
                </pic:pic>
              </a:graphicData>
            </a:graphic>
          </wp:anchor>
        </w:drawing>
      </w:r>
    </w:p>
    <w:p>
      <w:pPr>
        <w:sectPr>
          <w:pgSz w:w="11900" w:h="16838" w:orient="portrait"/>
          <w:cols w:equalWidth="0" w:num="1">
            <w:col w:w="11080"/>
          </w:cols>
          <w:pgMar w:left="320" w:top="459" w:right="499" w:bottom="30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59"/>
        <w:spacing w:after="0"/>
        <w:rPr>
          <w:sz w:val="20"/>
          <w:szCs w:val="20"/>
          <w:color w:val="auto"/>
        </w:rPr>
      </w:pPr>
      <w:r>
        <w:rPr>
          <w:rFonts w:ascii="Arial" w:cs="Arial" w:eastAsia="Arial" w:hAnsi="Arial"/>
          <w:sz w:val="13"/>
          <w:szCs w:val="13"/>
          <w:b w:val="1"/>
          <w:bCs w:val="1"/>
          <w:color w:val="004876"/>
        </w:rPr>
        <w:t>45</w:t>
      </w:r>
    </w:p>
    <w:p>
      <w:pPr>
        <w:sectPr>
          <w:pgSz w:w="11900" w:h="16838" w:orient="portrait"/>
          <w:cols w:equalWidth="0" w:num="1">
            <w:col w:w="11080"/>
          </w:cols>
          <w:pgMar w:left="320" w:top="459" w:right="499" w:bottom="301" w:gutter="0" w:footer="0" w:header="0"/>
          <w:type w:val="continuous"/>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4876"/>
        </w:rPr>
        <w:t>COMPENSATION DISCUSSION AND ANALYSIS |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160655</wp:posOffset>
            </wp:positionV>
            <wp:extent cx="7029450" cy="26543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029450"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20"/>
        <w:spacing w:after="0"/>
        <w:rPr>
          <w:sz w:val="20"/>
          <w:szCs w:val="20"/>
          <w:color w:val="auto"/>
        </w:rPr>
      </w:pPr>
      <w:r>
        <w:rPr>
          <w:rFonts w:ascii="Arial" w:cs="Arial" w:eastAsia="Arial" w:hAnsi="Arial"/>
          <w:sz w:val="29"/>
          <w:szCs w:val="29"/>
          <w:color w:val="004876"/>
        </w:rPr>
        <w:t>Pay determination and pay mix</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20"/>
          <w:szCs w:val="20"/>
          <w:color w:val="004876"/>
        </w:rPr>
        <w:t>EVALUATING MARKET PRACTICES</w:t>
      </w:r>
    </w:p>
    <w:p>
      <w:pPr>
        <w:spacing w:after="0" w:line="97" w:lineRule="exact"/>
        <w:rPr>
          <w:sz w:val="20"/>
          <w:szCs w:val="20"/>
          <w:color w:val="auto"/>
        </w:rPr>
      </w:pPr>
    </w:p>
    <w:p>
      <w:pPr>
        <w:ind w:left="120" w:right="340"/>
        <w:spacing w:after="0" w:line="246" w:lineRule="auto"/>
        <w:rPr>
          <w:sz w:val="20"/>
          <w:szCs w:val="20"/>
          <w:color w:val="auto"/>
        </w:rPr>
      </w:pPr>
      <w:r>
        <w:rPr>
          <w:rFonts w:ascii="Arial" w:cs="Arial" w:eastAsia="Arial" w:hAnsi="Arial"/>
          <w:sz w:val="18"/>
          <w:szCs w:val="18"/>
          <w:color w:val="auto"/>
        </w:rPr>
        <w:t>In order to effectively attract, properly motivate and retain our senior executives, the CMDC periodically reviews market data relating to pay levels, pay mix and pay practices.</w:t>
      </w:r>
    </w:p>
    <w:p>
      <w:pPr>
        <w:spacing w:after="0" w:line="89" w:lineRule="exact"/>
        <w:rPr>
          <w:sz w:val="20"/>
          <w:szCs w:val="20"/>
          <w:color w:val="auto"/>
        </w:rPr>
      </w:pPr>
    </w:p>
    <w:p>
      <w:pPr>
        <w:ind w:left="120" w:right="120"/>
        <w:spacing w:after="0"/>
        <w:rPr>
          <w:sz w:val="20"/>
          <w:szCs w:val="20"/>
          <w:color w:val="auto"/>
        </w:rPr>
      </w:pPr>
      <w:r>
        <w:rPr>
          <w:rFonts w:ascii="Arial" w:cs="Arial" w:eastAsia="Arial" w:hAnsi="Arial"/>
          <w:sz w:val="18"/>
          <w:szCs w:val="18"/>
          <w:color w:val="auto"/>
        </w:rPr>
        <w:t>In evaluating market data for OC members, the CMDC benchmarks against our primary financial services peer group, which consists of large financial services companies with which the Firm directly competes for both talent and business. The following companies comprise our primary financial services peer group, which remains unchanged from last year:</w:t>
      </w:r>
    </w:p>
    <w:p>
      <w:pPr>
        <w:spacing w:after="0" w:line="81" w:lineRule="exact"/>
        <w:rPr>
          <w:sz w:val="20"/>
          <w:szCs w:val="20"/>
          <w:color w:val="auto"/>
        </w:rPr>
      </w:pPr>
    </w:p>
    <w:tbl>
      <w:tblPr>
        <w:tblLayout w:type="fixed"/>
        <w:tblInd w:w="120" w:type="dxa"/>
        <w:tblCellMar>
          <w:top w:w="0" w:type="dxa"/>
          <w:left w:w="0" w:type="dxa"/>
          <w:bottom w:w="0" w:type="dxa"/>
          <w:right w:w="0" w:type="dxa"/>
        </w:tblCellMar>
      </w:tblPr>
      <w:tr>
        <w:trPr>
          <w:trHeight w:val="217"/>
        </w:trPr>
        <w:tc>
          <w:tcPr>
            <w:tcW w:w="120" w:type="dxa"/>
            <w:vAlign w:val="bottom"/>
          </w:tcPr>
          <w:p>
            <w:pPr>
              <w:spacing w:after="0"/>
              <w:rPr>
                <w:sz w:val="20"/>
                <w:szCs w:val="20"/>
                <w:color w:val="auto"/>
              </w:rPr>
            </w:pPr>
            <w:r>
              <w:rPr>
                <w:rFonts w:ascii="Arial" w:cs="Arial" w:eastAsia="Arial" w:hAnsi="Arial"/>
                <w:sz w:val="18"/>
                <w:szCs w:val="18"/>
                <w:color w:val="004876"/>
              </w:rPr>
              <w:t>•</w:t>
            </w:r>
          </w:p>
        </w:tc>
        <w:tc>
          <w:tcPr>
            <w:tcW w:w="3500" w:type="dxa"/>
            <w:vAlign w:val="bottom"/>
          </w:tcPr>
          <w:p>
            <w:pPr>
              <w:ind w:left="60"/>
              <w:spacing w:after="0"/>
              <w:rPr>
                <w:sz w:val="20"/>
                <w:szCs w:val="20"/>
                <w:color w:val="auto"/>
              </w:rPr>
            </w:pPr>
            <w:r>
              <w:rPr>
                <w:rFonts w:ascii="Arial" w:cs="Arial" w:eastAsia="Arial" w:hAnsi="Arial"/>
                <w:sz w:val="18"/>
                <w:szCs w:val="18"/>
                <w:color w:val="auto"/>
              </w:rPr>
              <w:t>American Express</w:t>
            </w:r>
          </w:p>
        </w:tc>
        <w:tc>
          <w:tcPr>
            <w:tcW w:w="2120" w:type="dxa"/>
            <w:vAlign w:val="bottom"/>
          </w:tcPr>
          <w:p>
            <w:pPr>
              <w:ind w:left="2000"/>
              <w:spacing w:after="0"/>
              <w:rPr>
                <w:sz w:val="20"/>
                <w:szCs w:val="20"/>
                <w:color w:val="auto"/>
              </w:rPr>
            </w:pPr>
            <w:r>
              <w:rPr>
                <w:rFonts w:ascii="Arial" w:cs="Arial" w:eastAsia="Arial" w:hAnsi="Arial"/>
                <w:sz w:val="18"/>
                <w:szCs w:val="18"/>
                <w:color w:val="004876"/>
              </w:rPr>
              <w:t>•</w:t>
            </w:r>
          </w:p>
        </w:tc>
        <w:tc>
          <w:tcPr>
            <w:tcW w:w="1320" w:type="dxa"/>
            <w:vAlign w:val="bottom"/>
          </w:tcPr>
          <w:p>
            <w:pPr>
              <w:ind w:left="40"/>
              <w:spacing w:after="0"/>
              <w:rPr>
                <w:sz w:val="20"/>
                <w:szCs w:val="20"/>
                <w:color w:val="auto"/>
              </w:rPr>
            </w:pPr>
            <w:r>
              <w:rPr>
                <w:rFonts w:ascii="Arial" w:cs="Arial" w:eastAsia="Arial" w:hAnsi="Arial"/>
                <w:sz w:val="18"/>
                <w:szCs w:val="18"/>
                <w:color w:val="auto"/>
                <w:w w:val="98"/>
              </w:rPr>
              <w:t>Goldman Sachs</w:t>
            </w:r>
          </w:p>
        </w:tc>
      </w:tr>
      <w:tr>
        <w:trPr>
          <w:trHeight w:val="243"/>
        </w:trPr>
        <w:tc>
          <w:tcPr>
            <w:tcW w:w="120" w:type="dxa"/>
            <w:vAlign w:val="bottom"/>
          </w:tcPr>
          <w:p>
            <w:pPr>
              <w:spacing w:after="0"/>
              <w:rPr>
                <w:sz w:val="20"/>
                <w:szCs w:val="20"/>
                <w:color w:val="auto"/>
              </w:rPr>
            </w:pPr>
            <w:r>
              <w:rPr>
                <w:rFonts w:ascii="Arial" w:cs="Arial" w:eastAsia="Arial" w:hAnsi="Arial"/>
                <w:sz w:val="18"/>
                <w:szCs w:val="18"/>
                <w:color w:val="004876"/>
              </w:rPr>
              <w:t>•</w:t>
            </w:r>
          </w:p>
        </w:tc>
        <w:tc>
          <w:tcPr>
            <w:tcW w:w="3500" w:type="dxa"/>
            <w:vAlign w:val="bottom"/>
          </w:tcPr>
          <w:p>
            <w:pPr>
              <w:ind w:left="60"/>
              <w:spacing w:after="0"/>
              <w:rPr>
                <w:sz w:val="20"/>
                <w:szCs w:val="20"/>
                <w:color w:val="auto"/>
              </w:rPr>
            </w:pPr>
            <w:r>
              <w:rPr>
                <w:rFonts w:ascii="Arial" w:cs="Arial" w:eastAsia="Arial" w:hAnsi="Arial"/>
                <w:sz w:val="18"/>
                <w:szCs w:val="18"/>
                <w:color w:val="auto"/>
              </w:rPr>
              <w:t>Bank of America</w:t>
            </w:r>
          </w:p>
        </w:tc>
        <w:tc>
          <w:tcPr>
            <w:tcW w:w="2120" w:type="dxa"/>
            <w:vAlign w:val="bottom"/>
          </w:tcPr>
          <w:p>
            <w:pPr>
              <w:ind w:left="2000"/>
              <w:spacing w:after="0"/>
              <w:rPr>
                <w:sz w:val="20"/>
                <w:szCs w:val="20"/>
                <w:color w:val="auto"/>
              </w:rPr>
            </w:pPr>
            <w:r>
              <w:rPr>
                <w:rFonts w:ascii="Arial" w:cs="Arial" w:eastAsia="Arial" w:hAnsi="Arial"/>
                <w:sz w:val="18"/>
                <w:szCs w:val="18"/>
                <w:color w:val="004876"/>
              </w:rPr>
              <w:t>•</w:t>
            </w:r>
          </w:p>
        </w:tc>
        <w:tc>
          <w:tcPr>
            <w:tcW w:w="1320" w:type="dxa"/>
            <w:vAlign w:val="bottom"/>
          </w:tcPr>
          <w:p>
            <w:pPr>
              <w:ind w:left="40"/>
              <w:spacing w:after="0"/>
              <w:rPr>
                <w:sz w:val="20"/>
                <w:szCs w:val="20"/>
                <w:color w:val="auto"/>
              </w:rPr>
            </w:pPr>
            <w:r>
              <w:rPr>
                <w:rFonts w:ascii="Arial" w:cs="Arial" w:eastAsia="Arial" w:hAnsi="Arial"/>
                <w:sz w:val="18"/>
                <w:szCs w:val="18"/>
                <w:color w:val="auto"/>
                <w:w w:val="99"/>
              </w:rPr>
              <w:t>Morgan Stanley</w:t>
            </w:r>
          </w:p>
        </w:tc>
      </w:tr>
      <w:tr>
        <w:trPr>
          <w:trHeight w:val="243"/>
        </w:trPr>
        <w:tc>
          <w:tcPr>
            <w:tcW w:w="120" w:type="dxa"/>
            <w:vAlign w:val="bottom"/>
          </w:tcPr>
          <w:p>
            <w:pPr>
              <w:spacing w:after="0"/>
              <w:rPr>
                <w:sz w:val="20"/>
                <w:szCs w:val="20"/>
                <w:color w:val="auto"/>
              </w:rPr>
            </w:pPr>
            <w:r>
              <w:rPr>
                <w:rFonts w:ascii="Arial" w:cs="Arial" w:eastAsia="Arial" w:hAnsi="Arial"/>
                <w:sz w:val="18"/>
                <w:szCs w:val="18"/>
                <w:color w:val="004876"/>
              </w:rPr>
              <w:t>•</w:t>
            </w:r>
          </w:p>
        </w:tc>
        <w:tc>
          <w:tcPr>
            <w:tcW w:w="3500" w:type="dxa"/>
            <w:vAlign w:val="bottom"/>
          </w:tcPr>
          <w:p>
            <w:pPr>
              <w:ind w:left="60"/>
              <w:spacing w:after="0"/>
              <w:rPr>
                <w:sz w:val="20"/>
                <w:szCs w:val="20"/>
                <w:color w:val="auto"/>
              </w:rPr>
            </w:pPr>
            <w:r>
              <w:rPr>
                <w:rFonts w:ascii="Arial" w:cs="Arial" w:eastAsia="Arial" w:hAnsi="Arial"/>
                <w:sz w:val="18"/>
                <w:szCs w:val="18"/>
                <w:color w:val="auto"/>
              </w:rPr>
              <w:t>Citigroup</w:t>
            </w:r>
          </w:p>
        </w:tc>
        <w:tc>
          <w:tcPr>
            <w:tcW w:w="2120" w:type="dxa"/>
            <w:vAlign w:val="bottom"/>
          </w:tcPr>
          <w:p>
            <w:pPr>
              <w:ind w:left="2000"/>
              <w:spacing w:after="0"/>
              <w:rPr>
                <w:sz w:val="20"/>
                <w:szCs w:val="20"/>
                <w:color w:val="auto"/>
              </w:rPr>
            </w:pPr>
            <w:r>
              <w:rPr>
                <w:rFonts w:ascii="Arial" w:cs="Arial" w:eastAsia="Arial" w:hAnsi="Arial"/>
                <w:sz w:val="18"/>
                <w:szCs w:val="18"/>
                <w:color w:val="004876"/>
              </w:rPr>
              <w:t>•</w:t>
            </w:r>
          </w:p>
        </w:tc>
        <w:tc>
          <w:tcPr>
            <w:tcW w:w="1320" w:type="dxa"/>
            <w:vAlign w:val="bottom"/>
          </w:tcPr>
          <w:p>
            <w:pPr>
              <w:ind w:left="40"/>
              <w:spacing w:after="0"/>
              <w:rPr>
                <w:sz w:val="20"/>
                <w:szCs w:val="20"/>
                <w:color w:val="auto"/>
              </w:rPr>
            </w:pPr>
            <w:r>
              <w:rPr>
                <w:rFonts w:ascii="Arial" w:cs="Arial" w:eastAsia="Arial" w:hAnsi="Arial"/>
                <w:sz w:val="18"/>
                <w:szCs w:val="18"/>
                <w:color w:val="auto"/>
              </w:rPr>
              <w:t>Wells Fargo</w:t>
            </w:r>
          </w:p>
        </w:tc>
      </w:tr>
    </w:tbl>
    <w:p>
      <w:pPr>
        <w:spacing w:after="0" w:line="256" w:lineRule="exact"/>
        <w:rPr>
          <w:sz w:val="20"/>
          <w:szCs w:val="20"/>
          <w:color w:val="auto"/>
        </w:rPr>
      </w:pPr>
    </w:p>
    <w:p>
      <w:pPr>
        <w:ind w:left="120" w:right="160"/>
        <w:spacing w:after="0" w:line="236" w:lineRule="auto"/>
        <w:rPr>
          <w:sz w:val="20"/>
          <w:szCs w:val="20"/>
          <w:color w:val="auto"/>
        </w:rPr>
      </w:pPr>
      <w:r>
        <w:rPr>
          <w:rFonts w:ascii="Arial" w:cs="Arial" w:eastAsia="Arial" w:hAnsi="Arial"/>
          <w:sz w:val="18"/>
          <w:szCs w:val="18"/>
          <w:color w:val="auto"/>
        </w:rPr>
        <w:t>Given the diversity of the Firm’s businesses, the CMDC may also periodically reference the pay plans and practices of other financial services companies as well as leading large, global firms across multiple industries. The CMDC considers the size, presence, brand and reputation of the companies, and the nature and mix of their businesses in using this data. These companies include, but are not limited to: 3M, AT&amp;T, Barclays, BlackRock, BNY Mellon, Boeing, Capital One Financial, Chevron, Coca-Cola, Comcast, Credit Suisse, CVS Health, Deutsche Bank, ExxonMobil, General Electric, HSBC, IBM, Johnson &amp; Johnson, Merck, Oracle, PepsiCo, Pfizer, Procter &amp; Gamble, UBS, United Technologies, Verizon, Wal-Mart and Walt Disney. Although these reference companies are not part of our primary financial services peer group, we believe that their practices can provide a relevant point of reference for maintaining a competitive talent and compensation program.</w:t>
      </w:r>
    </w:p>
    <w:p>
      <w:pPr>
        <w:spacing w:after="0" w:line="205" w:lineRule="exact"/>
        <w:rPr>
          <w:sz w:val="20"/>
          <w:szCs w:val="20"/>
          <w:color w:val="auto"/>
        </w:rPr>
      </w:pPr>
    </w:p>
    <w:p>
      <w:pPr>
        <w:ind w:left="120"/>
        <w:spacing w:after="0"/>
        <w:rPr>
          <w:sz w:val="20"/>
          <w:szCs w:val="20"/>
          <w:color w:val="auto"/>
        </w:rPr>
      </w:pPr>
      <w:r>
        <w:rPr>
          <w:rFonts w:ascii="Arial" w:cs="Arial" w:eastAsia="Arial" w:hAnsi="Arial"/>
          <w:sz w:val="20"/>
          <w:szCs w:val="20"/>
          <w:color w:val="004876"/>
        </w:rPr>
        <w:t>DISCIPLINED PROCESS TO DETERMINE PAY</w:t>
      </w:r>
    </w:p>
    <w:p>
      <w:pPr>
        <w:spacing w:after="0" w:line="97" w:lineRule="exact"/>
        <w:rPr>
          <w:sz w:val="20"/>
          <w:szCs w:val="20"/>
          <w:color w:val="auto"/>
        </w:rPr>
      </w:pPr>
    </w:p>
    <w:p>
      <w:pPr>
        <w:ind w:left="120"/>
        <w:spacing w:after="0"/>
        <w:rPr>
          <w:sz w:val="20"/>
          <w:szCs w:val="20"/>
          <w:color w:val="auto"/>
        </w:rPr>
      </w:pPr>
      <w:r>
        <w:rPr>
          <w:rFonts w:ascii="Arial" w:cs="Arial" w:eastAsia="Arial" w:hAnsi="Arial"/>
          <w:sz w:val="18"/>
          <w:szCs w:val="18"/>
          <w:color w:val="004876"/>
        </w:rPr>
        <w:t>Pay level</w:t>
      </w:r>
    </w:p>
    <w:p>
      <w:pPr>
        <w:spacing w:after="0" w:line="104" w:lineRule="exact"/>
        <w:rPr>
          <w:sz w:val="20"/>
          <w:szCs w:val="20"/>
          <w:color w:val="auto"/>
        </w:rPr>
      </w:pPr>
    </w:p>
    <w:p>
      <w:pPr>
        <w:ind w:left="120" w:right="260"/>
        <w:spacing w:after="0" w:line="246" w:lineRule="auto"/>
        <w:rPr>
          <w:sz w:val="20"/>
          <w:szCs w:val="20"/>
          <w:color w:val="auto"/>
        </w:rPr>
      </w:pPr>
      <w:r>
        <w:rPr>
          <w:rFonts w:ascii="Arial" w:cs="Arial" w:eastAsia="Arial" w:hAnsi="Arial"/>
          <w:sz w:val="18"/>
          <w:szCs w:val="18"/>
          <w:color w:val="auto"/>
        </w:rPr>
        <w:t>In determining total compensation levels for individual OC members, the CMDC evaluates various pay scenarios in light of the following considerations to inform their judgment:</w:t>
      </w:r>
    </w:p>
    <w:p>
      <w:pPr>
        <w:spacing w:after="0" w:line="102" w:lineRule="exact"/>
        <w:rPr>
          <w:sz w:val="20"/>
          <w:szCs w:val="20"/>
          <w:color w:val="auto"/>
        </w:rPr>
      </w:pPr>
    </w:p>
    <w:p>
      <w:pPr>
        <w:ind w:left="340" w:hanging="224"/>
        <w:spacing w:after="0"/>
        <w:tabs>
          <w:tab w:leader="none" w:pos="340" w:val="left"/>
        </w:tabs>
        <w:numPr>
          <w:ilvl w:val="0"/>
          <w:numId w:val="95"/>
        </w:numPr>
        <w:rPr>
          <w:rFonts w:ascii="Arial" w:cs="Arial" w:eastAsia="Arial" w:hAnsi="Arial"/>
          <w:sz w:val="18"/>
          <w:szCs w:val="18"/>
          <w:color w:val="004876"/>
        </w:rPr>
      </w:pPr>
      <w:r>
        <w:rPr>
          <w:rFonts w:ascii="Arial" w:cs="Arial" w:eastAsia="Arial" w:hAnsi="Arial"/>
          <w:sz w:val="18"/>
          <w:szCs w:val="18"/>
          <w:color w:val="auto"/>
        </w:rPr>
        <w:t>Performance, based on the four broad assessment dimensions as discussed on pages 54-64, including risk and control</w:t>
      </w:r>
    </w:p>
    <w:p>
      <w:pPr>
        <w:spacing w:after="0" w:line="117" w:lineRule="exact"/>
        <w:rPr>
          <w:rFonts w:ascii="Arial" w:cs="Arial" w:eastAsia="Arial" w:hAnsi="Arial"/>
          <w:sz w:val="18"/>
          <w:szCs w:val="18"/>
          <w:color w:val="004876"/>
        </w:rPr>
      </w:pPr>
    </w:p>
    <w:p>
      <w:pPr>
        <w:ind w:left="340" w:hanging="224"/>
        <w:spacing w:after="0"/>
        <w:tabs>
          <w:tab w:leader="none" w:pos="340" w:val="left"/>
        </w:tabs>
        <w:numPr>
          <w:ilvl w:val="0"/>
          <w:numId w:val="95"/>
        </w:numPr>
        <w:rPr>
          <w:rFonts w:ascii="Arial" w:cs="Arial" w:eastAsia="Arial" w:hAnsi="Arial"/>
          <w:sz w:val="18"/>
          <w:szCs w:val="18"/>
          <w:color w:val="004876"/>
        </w:rPr>
      </w:pPr>
      <w:r>
        <w:rPr>
          <w:rFonts w:ascii="Arial" w:cs="Arial" w:eastAsia="Arial" w:hAnsi="Arial"/>
          <w:sz w:val="18"/>
          <w:szCs w:val="18"/>
          <w:color w:val="auto"/>
        </w:rPr>
        <w:t>Value of the position to the organization and shareholders over time (i.e., “value of seat”)</w:t>
      </w:r>
    </w:p>
    <w:p>
      <w:pPr>
        <w:spacing w:after="0" w:line="117" w:lineRule="exact"/>
        <w:rPr>
          <w:rFonts w:ascii="Arial" w:cs="Arial" w:eastAsia="Arial" w:hAnsi="Arial"/>
          <w:sz w:val="18"/>
          <w:szCs w:val="18"/>
          <w:color w:val="004876"/>
        </w:rPr>
      </w:pPr>
    </w:p>
    <w:p>
      <w:pPr>
        <w:ind w:left="340" w:hanging="224"/>
        <w:spacing w:after="0"/>
        <w:tabs>
          <w:tab w:leader="none" w:pos="340" w:val="left"/>
        </w:tabs>
        <w:numPr>
          <w:ilvl w:val="0"/>
          <w:numId w:val="95"/>
        </w:numPr>
        <w:rPr>
          <w:rFonts w:ascii="Arial" w:cs="Arial" w:eastAsia="Arial" w:hAnsi="Arial"/>
          <w:sz w:val="18"/>
          <w:szCs w:val="18"/>
          <w:color w:val="004876"/>
        </w:rPr>
      </w:pPr>
      <w:r>
        <w:rPr>
          <w:rFonts w:ascii="Arial" w:cs="Arial" w:eastAsia="Arial" w:hAnsi="Arial"/>
          <w:sz w:val="18"/>
          <w:szCs w:val="18"/>
          <w:color w:val="auto"/>
        </w:rPr>
        <w:t>Leadership and the example they set for others by acting with integrity and strengthening the Firm’s culture</w:t>
      </w:r>
    </w:p>
    <w:p>
      <w:pPr>
        <w:spacing w:after="0" w:line="117" w:lineRule="exact"/>
        <w:rPr>
          <w:rFonts w:ascii="Arial" w:cs="Arial" w:eastAsia="Arial" w:hAnsi="Arial"/>
          <w:sz w:val="18"/>
          <w:szCs w:val="18"/>
          <w:color w:val="004876"/>
        </w:rPr>
      </w:pPr>
    </w:p>
    <w:p>
      <w:pPr>
        <w:ind w:left="340" w:hanging="224"/>
        <w:spacing w:after="0"/>
        <w:tabs>
          <w:tab w:leader="none" w:pos="340" w:val="left"/>
        </w:tabs>
        <w:numPr>
          <w:ilvl w:val="0"/>
          <w:numId w:val="95"/>
        </w:numPr>
        <w:rPr>
          <w:rFonts w:ascii="Arial" w:cs="Arial" w:eastAsia="Arial" w:hAnsi="Arial"/>
          <w:sz w:val="18"/>
          <w:szCs w:val="18"/>
          <w:color w:val="004876"/>
        </w:rPr>
      </w:pPr>
      <w:r>
        <w:rPr>
          <w:rFonts w:ascii="Arial" w:cs="Arial" w:eastAsia="Arial" w:hAnsi="Arial"/>
          <w:sz w:val="18"/>
          <w:szCs w:val="18"/>
          <w:color w:val="auto"/>
        </w:rPr>
        <w:t>External talent market (i.e., market data)</w:t>
      </w:r>
    </w:p>
    <w:p>
      <w:pPr>
        <w:spacing w:after="0" w:line="104"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While market data provides the CMDC with useful information regarding our competitors, the CMDC does not target specific positioning (e.g., 50</w:t>
      </w:r>
      <w:r>
        <w:rPr>
          <w:rFonts w:ascii="Arial" w:cs="Arial" w:eastAsia="Arial" w:hAnsi="Arial"/>
          <w:sz w:val="15"/>
          <w:szCs w:val="15"/>
          <w:color w:val="auto"/>
        </w:rPr>
        <w:t>th</w:t>
      </w:r>
      <w:r>
        <w:rPr>
          <w:rFonts w:ascii="Arial" w:cs="Arial" w:eastAsia="Arial" w:hAnsi="Arial"/>
          <w:sz w:val="18"/>
          <w:szCs w:val="18"/>
          <w:color w:val="auto"/>
        </w:rPr>
        <w:t xml:space="preserve"> percentile), nor does it use a formulaic approach in determining competitive pay levels. Instead, the CMDC uses a range of data as a reference, which is considered in the context of each executive’s performance over a multi-year period, and the CMDC’s assessment of the value the individual delivers to the Firm.</w:t>
      </w:r>
    </w:p>
    <w:p>
      <w:pPr>
        <w:spacing w:after="0" w:line="97" w:lineRule="exact"/>
        <w:rPr>
          <w:sz w:val="20"/>
          <w:szCs w:val="20"/>
          <w:color w:val="auto"/>
        </w:rPr>
      </w:pPr>
    </w:p>
    <w:p>
      <w:pPr>
        <w:ind w:left="120" w:right="80"/>
        <w:spacing w:after="0" w:line="237" w:lineRule="auto"/>
        <w:rPr>
          <w:sz w:val="20"/>
          <w:szCs w:val="20"/>
          <w:color w:val="auto"/>
        </w:rPr>
      </w:pPr>
      <w:r>
        <w:rPr>
          <w:rFonts w:ascii="Arial" w:cs="Arial" w:eastAsia="Arial" w:hAnsi="Arial"/>
          <w:sz w:val="18"/>
          <w:szCs w:val="18"/>
          <w:color w:val="auto"/>
        </w:rPr>
        <w:t>In its assessment of the Operating Committee’s 2019 performance as a whole, the CMDC took into account that the Firm achieved record financial performance across several measures and continued to execute well on its long-term business strategy, among other factors. Consideration of such strong performance in isolation could have justified significantly increasing the OC members’ 2019 total compensation awards. However, in making their ultimate OC member pay decisions, the CMDC and Board further considered that rationale against other determinants that included a balanced assessment of the strong progress that was made against Firmwide initiatives, reinforcing our culture and values, addressing issues and enhancing controls, as well as the value of each individual OC member’s respective seat, and the competitiveness of their respective pay levels.</w:t>
      </w:r>
    </w:p>
    <w:p>
      <w:pPr>
        <w:spacing w:after="0" w:line="203" w:lineRule="exact"/>
        <w:rPr>
          <w:sz w:val="20"/>
          <w:szCs w:val="20"/>
          <w:color w:val="auto"/>
        </w:rPr>
      </w:pPr>
    </w:p>
    <w:p>
      <w:pPr>
        <w:ind w:left="120"/>
        <w:spacing w:after="0"/>
        <w:rPr>
          <w:sz w:val="20"/>
          <w:szCs w:val="20"/>
          <w:color w:val="auto"/>
        </w:rPr>
      </w:pPr>
      <w:r>
        <w:rPr>
          <w:rFonts w:ascii="Arial" w:cs="Arial" w:eastAsia="Arial" w:hAnsi="Arial"/>
          <w:sz w:val="18"/>
          <w:szCs w:val="18"/>
          <w:color w:val="004876"/>
        </w:rPr>
        <w:t>Pay mix</w:t>
      </w:r>
    </w:p>
    <w:p>
      <w:pPr>
        <w:spacing w:after="0" w:line="104" w:lineRule="exact"/>
        <w:rPr>
          <w:sz w:val="20"/>
          <w:szCs w:val="20"/>
          <w:color w:val="auto"/>
        </w:rPr>
      </w:pPr>
    </w:p>
    <w:p>
      <w:pPr>
        <w:ind w:left="120" w:right="240"/>
        <w:spacing w:after="0" w:line="246" w:lineRule="auto"/>
        <w:rPr>
          <w:sz w:val="20"/>
          <w:szCs w:val="20"/>
          <w:color w:val="auto"/>
        </w:rPr>
      </w:pPr>
      <w:r>
        <w:rPr>
          <w:rFonts w:ascii="Arial" w:cs="Arial" w:eastAsia="Arial" w:hAnsi="Arial"/>
          <w:sz w:val="18"/>
          <w:szCs w:val="18"/>
          <w:color w:val="auto"/>
        </w:rPr>
        <w:t>Once the CMDC determines OC members’ total incentive compensation, it then establishes the appropriate pay mix between an annual cash incentive and long-term equity, including PSUs and RSUs.</w:t>
      </w:r>
    </w:p>
    <w:p>
      <w:pPr>
        <w:spacing w:after="0" w:line="89" w:lineRule="exact"/>
        <w:rPr>
          <w:sz w:val="20"/>
          <w:szCs w:val="20"/>
          <w:color w:val="auto"/>
        </w:rPr>
      </w:pPr>
    </w:p>
    <w:p>
      <w:pPr>
        <w:ind w:left="120" w:right="100"/>
        <w:spacing w:after="0" w:line="238" w:lineRule="auto"/>
        <w:rPr>
          <w:sz w:val="20"/>
          <w:szCs w:val="20"/>
          <w:color w:val="auto"/>
        </w:rPr>
      </w:pPr>
      <w:r>
        <w:rPr>
          <w:rFonts w:ascii="Arial" w:cs="Arial" w:eastAsia="Arial" w:hAnsi="Arial"/>
          <w:sz w:val="18"/>
          <w:szCs w:val="18"/>
          <w:color w:val="auto"/>
        </w:rPr>
        <w:t>For OC members other than the CEO and Mr. Pinto, consistent with prior years, the CMDC continued to apply the Firm’s standard cash/equity incentive mix formula to each of their 2019 incentive compensation awards. For the CEO, also consistent with prior years, the Board continued to override the standard cash/equity formula to maintain a lower cash allocation of $5 million, so that a larger majority of his incentive compensation would be comprised of shareholder-aligned equity, with 100% of it in the form of performance-conditioned PSUs. PSUs are 100% at-risk and will result in no payout unless a threshold performance level is achieved.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240665</wp:posOffset>
            </wp:positionV>
            <wp:extent cx="7029450" cy="19685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029450" cy="19685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56" w:lineRule="exact"/>
        <w:rPr>
          <w:sz w:val="20"/>
          <w:szCs w:val="20"/>
          <w:color w:val="auto"/>
        </w:rPr>
      </w:pPr>
    </w:p>
    <w:p>
      <w:pPr>
        <w:jc w:val="center"/>
        <w:ind w:right="-99"/>
        <w:spacing w:after="0"/>
        <w:rPr>
          <w:sz w:val="20"/>
          <w:szCs w:val="20"/>
          <w:color w:val="auto"/>
        </w:rPr>
      </w:pPr>
      <w:r>
        <w:rPr>
          <w:rFonts w:ascii="Arial" w:cs="Arial" w:eastAsia="Arial" w:hAnsi="Arial"/>
          <w:sz w:val="13"/>
          <w:szCs w:val="13"/>
          <w:b w:val="1"/>
          <w:bCs w:val="1"/>
          <w:color w:val="004876"/>
        </w:rPr>
        <w:t>46</w:t>
      </w:r>
    </w:p>
    <w:p>
      <w:pPr>
        <w:sectPr>
          <w:pgSz w:w="11900" w:h="16838" w:orient="portrait"/>
          <w:cols w:equalWidth="0" w:num="1">
            <w:col w:w="11140"/>
          </w:cols>
          <w:pgMar w:left="320" w:top="459" w:right="439" w:bottom="1440" w:gutter="0" w:footer="0" w:header="0"/>
          <w:type w:val="continuous"/>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04876"/>
        </w:rPr>
        <w:t>EXECUTIVE COMPENSATION | 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160655</wp:posOffset>
            </wp:positionV>
            <wp:extent cx="7029450" cy="26543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029450"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For OC members other than the CEO, the CMDC determined that a 50%/50% mix of time-based RSUs and at-risk PSUs would continue to provide an appropriate balance to their equity exposure. Per the Firm’s standard cash/equity incentive mix formula, the majority of these OC members were awarded 60% of their incentive compensation in long-term equity (30% in PSUs and 30% in RSUs), with the remaining 40% paid in cash.</w:t>
      </w:r>
    </w:p>
    <w:p>
      <w:pPr>
        <w:spacing w:after="0" w:line="97" w:lineRule="exact"/>
        <w:rPr>
          <w:sz w:val="20"/>
          <w:szCs w:val="20"/>
          <w:color w:val="auto"/>
        </w:rPr>
      </w:pPr>
    </w:p>
    <w:p>
      <w:pPr>
        <w:ind w:left="120" w:right="120"/>
        <w:spacing w:after="0" w:line="238" w:lineRule="auto"/>
        <w:rPr>
          <w:sz w:val="20"/>
          <w:szCs w:val="20"/>
          <w:color w:val="auto"/>
        </w:rPr>
      </w:pPr>
      <w:r>
        <w:rPr>
          <w:rFonts w:ascii="Arial" w:cs="Arial" w:eastAsia="Arial" w:hAnsi="Arial"/>
          <w:sz w:val="18"/>
          <w:szCs w:val="18"/>
          <w:color w:val="auto"/>
        </w:rPr>
        <w:t>The CMDC believes that this significant weighting of pay mix to equity encourages OC members to focus on the long-term success of the Firm while mitigating excessive risk-taking, and provides a competitive annual cash incentive opportunity. The CMDC has established a different pay mix for Mr. Pinto (including a fixed allowance) due to local E.U. and U.K. regulations for Identified Staff under the Capital Requirements Directive IV. For further details on Mr. Pinto’s pay mix, see Note 1 below.</w:t>
      </w:r>
    </w:p>
    <w:p>
      <w:pPr>
        <w:spacing w:after="0" w:line="205" w:lineRule="exact"/>
        <w:rPr>
          <w:sz w:val="20"/>
          <w:szCs w:val="20"/>
          <w:color w:val="auto"/>
        </w:rPr>
      </w:pPr>
    </w:p>
    <w:p>
      <w:pPr>
        <w:ind w:left="120"/>
        <w:spacing w:after="0"/>
        <w:rPr>
          <w:sz w:val="20"/>
          <w:szCs w:val="20"/>
          <w:color w:val="auto"/>
        </w:rPr>
      </w:pPr>
      <w:r>
        <w:rPr>
          <w:rFonts w:ascii="Arial" w:cs="Arial" w:eastAsia="Arial" w:hAnsi="Arial"/>
          <w:sz w:val="18"/>
          <w:szCs w:val="18"/>
          <w:color w:val="004876"/>
        </w:rPr>
        <w:t>Summary of pay elements</w:t>
      </w:r>
    </w:p>
    <w:p>
      <w:pPr>
        <w:spacing w:after="0" w:line="104" w:lineRule="exact"/>
        <w:rPr>
          <w:sz w:val="20"/>
          <w:szCs w:val="20"/>
          <w:color w:val="auto"/>
        </w:rPr>
      </w:pPr>
    </w:p>
    <w:p>
      <w:pPr>
        <w:ind w:left="120" w:right="40"/>
        <w:spacing w:after="0" w:line="246" w:lineRule="auto"/>
        <w:rPr>
          <w:sz w:val="20"/>
          <w:szCs w:val="20"/>
          <w:color w:val="auto"/>
        </w:rPr>
      </w:pPr>
      <w:r>
        <w:rPr>
          <w:rFonts w:ascii="Arial" w:cs="Arial" w:eastAsia="Arial" w:hAnsi="Arial"/>
          <w:sz w:val="18"/>
          <w:szCs w:val="18"/>
          <w:color w:val="auto"/>
        </w:rPr>
        <w:t>Our compensation program provides for an appropriate mix between base salary, cash and equity incentives that vest over time. The table below summarizes the elements of compensation for the 2019 performance year.</w:t>
      </w:r>
    </w:p>
    <w:p>
      <w:pPr>
        <w:spacing w:after="0" w:line="226" w:lineRule="exact"/>
        <w:rPr>
          <w:sz w:val="20"/>
          <w:szCs w:val="20"/>
          <w:color w:val="auto"/>
        </w:rPr>
      </w:pPr>
    </w:p>
    <w:tbl>
      <w:tblPr>
        <w:tblLayout w:type="fixed"/>
        <w:tblInd w:w="180" w:type="dxa"/>
        <w:tblCellMar>
          <w:top w:w="0" w:type="dxa"/>
          <w:left w:w="0" w:type="dxa"/>
          <w:bottom w:w="0" w:type="dxa"/>
          <w:right w:w="0" w:type="dxa"/>
        </w:tblCellMar>
      </w:tblPr>
      <w:tr>
        <w:trPr>
          <w:trHeight w:val="208"/>
        </w:trPr>
        <w:tc>
          <w:tcPr>
            <w:tcW w:w="900" w:type="dxa"/>
            <w:vAlign w:val="bottom"/>
          </w:tcPr>
          <w:p>
            <w:pPr>
              <w:spacing w:after="0"/>
              <w:rPr>
                <w:sz w:val="18"/>
                <w:szCs w:val="18"/>
                <w:color w:val="auto"/>
              </w:rPr>
            </w:pPr>
          </w:p>
        </w:tc>
        <w:tc>
          <w:tcPr>
            <w:tcW w:w="1200" w:type="dxa"/>
            <w:vAlign w:val="bottom"/>
            <w:tcBorders>
              <w:bottom w:val="single" w:sz="8" w:color="333333"/>
            </w:tcBorders>
          </w:tcPr>
          <w:p>
            <w:pPr>
              <w:ind w:left="160"/>
              <w:spacing w:after="0"/>
              <w:rPr>
                <w:sz w:val="20"/>
                <w:szCs w:val="20"/>
                <w:color w:val="auto"/>
              </w:rPr>
            </w:pPr>
            <w:r>
              <w:rPr>
                <w:rFonts w:ascii="Arial" w:cs="Arial" w:eastAsia="Arial" w:hAnsi="Arial"/>
                <w:sz w:val="16"/>
                <w:szCs w:val="16"/>
                <w:color w:val="auto"/>
              </w:rPr>
              <w:t>% of Variable</w:t>
            </w:r>
          </w:p>
        </w:tc>
        <w:tc>
          <w:tcPr>
            <w:tcW w:w="49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6"/>
        </w:trPr>
        <w:tc>
          <w:tcPr>
            <w:tcW w:w="900" w:type="dxa"/>
            <w:vAlign w:val="bottom"/>
          </w:tcPr>
          <w:p>
            <w:pPr>
              <w:spacing w:after="0"/>
              <w:rPr>
                <w:sz w:val="19"/>
                <w:szCs w:val="19"/>
                <w:color w:val="auto"/>
              </w:rPr>
            </w:pPr>
          </w:p>
        </w:tc>
        <w:tc>
          <w:tcPr>
            <w:tcW w:w="1200" w:type="dxa"/>
            <w:vAlign w:val="bottom"/>
          </w:tcPr>
          <w:p>
            <w:pPr>
              <w:ind w:left="720"/>
              <w:spacing w:after="0"/>
              <w:rPr>
                <w:sz w:val="20"/>
                <w:szCs w:val="20"/>
                <w:color w:val="auto"/>
              </w:rPr>
            </w:pPr>
            <w:r>
              <w:rPr>
                <w:rFonts w:ascii="Arial" w:cs="Arial" w:eastAsia="Arial" w:hAnsi="Arial"/>
                <w:sz w:val="16"/>
                <w:szCs w:val="16"/>
                <w:color w:val="004876"/>
              </w:rPr>
              <w:t>Other</w:t>
            </w:r>
          </w:p>
        </w:tc>
        <w:tc>
          <w:tcPr>
            <w:tcW w:w="490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1060" w:type="dxa"/>
            <w:vAlign w:val="bottom"/>
          </w:tcPr>
          <w:p>
            <w:pPr>
              <w:jc w:val="center"/>
              <w:ind w:left="219"/>
              <w:spacing w:after="0"/>
              <w:rPr>
                <w:sz w:val="20"/>
                <w:szCs w:val="20"/>
                <w:color w:val="auto"/>
              </w:rPr>
            </w:pPr>
            <w:r>
              <w:rPr>
                <w:rFonts w:ascii="Arial" w:cs="Arial" w:eastAsia="Arial" w:hAnsi="Arial"/>
                <w:sz w:val="16"/>
                <w:szCs w:val="16"/>
                <w:color w:val="004876"/>
              </w:rPr>
              <w:t>Subject to</w:t>
            </w:r>
          </w:p>
        </w:tc>
      </w:tr>
      <w:tr>
        <w:trPr>
          <w:trHeight w:val="286"/>
        </w:trPr>
        <w:tc>
          <w:tcPr>
            <w:tcW w:w="900" w:type="dxa"/>
            <w:vAlign w:val="bottom"/>
          </w:tcPr>
          <w:p>
            <w:pPr>
              <w:spacing w:after="0"/>
              <w:rPr>
                <w:sz w:val="20"/>
                <w:szCs w:val="20"/>
                <w:color w:val="auto"/>
              </w:rPr>
            </w:pPr>
            <w:r>
              <w:rPr>
                <w:rFonts w:ascii="Arial" w:cs="Arial" w:eastAsia="Arial" w:hAnsi="Arial"/>
                <w:sz w:val="16"/>
                <w:szCs w:val="16"/>
                <w:color w:val="004876"/>
              </w:rPr>
              <w:t>Elements</w:t>
            </w:r>
          </w:p>
        </w:tc>
        <w:tc>
          <w:tcPr>
            <w:tcW w:w="1200" w:type="dxa"/>
            <w:vAlign w:val="bottom"/>
          </w:tcPr>
          <w:p>
            <w:pPr>
              <w:ind w:left="160"/>
              <w:spacing w:after="0" w:line="285" w:lineRule="exact"/>
              <w:rPr>
                <w:sz w:val="20"/>
                <w:szCs w:val="20"/>
                <w:color w:val="auto"/>
              </w:rPr>
            </w:pPr>
            <w:r>
              <w:rPr>
                <w:rFonts w:ascii="Arial" w:cs="Arial" w:eastAsia="Arial" w:hAnsi="Arial"/>
                <w:sz w:val="16"/>
                <w:szCs w:val="16"/>
                <w:color w:val="004876"/>
              </w:rPr>
              <w:t>CEO  NEOs</w:t>
            </w:r>
            <w:r>
              <w:rPr>
                <w:rFonts w:ascii="Arial" w:cs="Arial" w:eastAsia="Arial" w:hAnsi="Arial"/>
                <w:sz w:val="27"/>
                <w:szCs w:val="27"/>
                <w:color w:val="004876"/>
                <w:vertAlign w:val="superscript"/>
              </w:rPr>
              <w:t>1</w:t>
            </w:r>
          </w:p>
        </w:tc>
        <w:tc>
          <w:tcPr>
            <w:tcW w:w="4900" w:type="dxa"/>
            <w:vAlign w:val="bottom"/>
          </w:tcPr>
          <w:p>
            <w:pPr>
              <w:ind w:left="2540"/>
              <w:spacing w:after="0"/>
              <w:rPr>
                <w:sz w:val="20"/>
                <w:szCs w:val="20"/>
                <w:color w:val="auto"/>
              </w:rPr>
            </w:pPr>
            <w:r>
              <w:rPr>
                <w:rFonts w:ascii="Arial" w:cs="Arial" w:eastAsia="Arial" w:hAnsi="Arial"/>
                <w:sz w:val="16"/>
                <w:szCs w:val="16"/>
                <w:color w:val="004876"/>
              </w:rPr>
              <w:t>Description</w:t>
            </w:r>
          </w:p>
        </w:tc>
        <w:tc>
          <w:tcPr>
            <w:tcW w:w="2880" w:type="dxa"/>
            <w:vAlign w:val="bottom"/>
          </w:tcPr>
          <w:p>
            <w:pPr>
              <w:ind w:left="1540"/>
              <w:spacing w:after="0"/>
              <w:rPr>
                <w:sz w:val="20"/>
                <w:szCs w:val="20"/>
                <w:color w:val="auto"/>
              </w:rPr>
            </w:pPr>
            <w:r>
              <w:rPr>
                <w:rFonts w:ascii="Arial" w:cs="Arial" w:eastAsia="Arial" w:hAnsi="Arial"/>
                <w:sz w:val="16"/>
                <w:szCs w:val="16"/>
                <w:color w:val="004876"/>
              </w:rPr>
              <w:t>Vesting Period</w:t>
            </w:r>
          </w:p>
        </w:tc>
        <w:tc>
          <w:tcPr>
            <w:tcW w:w="1060" w:type="dxa"/>
            <w:vAlign w:val="bottom"/>
          </w:tcPr>
          <w:p>
            <w:pPr>
              <w:jc w:val="center"/>
              <w:ind w:left="219"/>
              <w:spacing w:after="0" w:line="285" w:lineRule="exact"/>
              <w:rPr>
                <w:sz w:val="20"/>
                <w:szCs w:val="20"/>
                <w:color w:val="auto"/>
              </w:rPr>
            </w:pPr>
            <w:r>
              <w:rPr>
                <w:rFonts w:ascii="Arial" w:cs="Arial" w:eastAsia="Arial" w:hAnsi="Arial"/>
                <w:sz w:val="16"/>
                <w:szCs w:val="16"/>
                <w:color w:val="004876"/>
                <w:w w:val="95"/>
              </w:rPr>
              <w:t>Clawback</w:t>
            </w:r>
            <w:r>
              <w:rPr>
                <w:rFonts w:ascii="Arial" w:cs="Arial" w:eastAsia="Arial" w:hAnsi="Arial"/>
                <w:sz w:val="27"/>
                <w:szCs w:val="27"/>
                <w:color w:val="004876"/>
                <w:w w:val="95"/>
                <w:vertAlign w:val="superscript"/>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-24765</wp:posOffset>
            </wp:positionV>
            <wp:extent cx="6995160" cy="17145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995160" cy="17145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ind w:left="180"/>
        <w:spacing w:after="0"/>
        <w:rPr>
          <w:sz w:val="20"/>
          <w:szCs w:val="20"/>
          <w:color w:val="auto"/>
        </w:rPr>
      </w:pPr>
      <w:r>
        <w:rPr>
          <w:rFonts w:ascii="Arial" w:cs="Arial" w:eastAsia="Arial" w:hAnsi="Arial"/>
          <w:sz w:val="18"/>
          <w:szCs w:val="18"/>
          <w:b w:val="1"/>
          <w:bCs w:val="1"/>
          <w:color w:val="FFFFFF"/>
        </w:rPr>
        <w:t>Fixed</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Salary</w:t>
      </w:r>
    </w:p>
    <w:p>
      <w:pPr>
        <w:spacing w:after="0" w:line="257"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FFFFFF"/>
        </w:rPr>
        <w:t>Variable</w:t>
      </w:r>
    </w:p>
    <w:p>
      <w:pPr>
        <w:spacing w:after="0" w:line="20" w:lineRule="exact"/>
        <w:rPr>
          <w:sz w:val="20"/>
          <w:szCs w:val="20"/>
          <w:color w:val="auto"/>
        </w:rPr>
      </w:pPr>
      <w:r>
        <w:rPr>
          <w:sz w:val="20"/>
          <w:szCs w:val="20"/>
          <w:color w:val="auto"/>
        </w:rPr>
        <w:br w:type="column"/>
      </w:r>
    </w:p>
    <w:p>
      <w:pPr>
        <w:spacing w:after="0" w:line="253" w:lineRule="exact"/>
        <w:rPr>
          <w:sz w:val="20"/>
          <w:szCs w:val="20"/>
          <w:color w:val="auto"/>
        </w:rPr>
      </w:pPr>
    </w:p>
    <w:p>
      <w:pPr>
        <w:spacing w:after="0"/>
        <w:rPr>
          <w:sz w:val="20"/>
          <w:szCs w:val="20"/>
          <w:color w:val="auto"/>
        </w:rPr>
      </w:pPr>
      <w:r>
        <w:rPr>
          <w:rFonts w:ascii="Arial" w:cs="Arial" w:eastAsia="Arial" w:hAnsi="Arial"/>
          <w:sz w:val="15"/>
          <w:szCs w:val="15"/>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-135890</wp:posOffset>
            </wp:positionV>
            <wp:extent cx="8890" cy="28257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8890" cy="282575"/>
                    </a:xfrm>
                    <a:prstGeom prst="rect">
                      <a:avLst/>
                    </a:prstGeom>
                    <a:noFill/>
                  </pic:spPr>
                </pic:pic>
              </a:graphicData>
            </a:graphic>
          </wp:anchor>
        </w:drawing>
        <w:drawing>
          <wp:anchor simplePos="0" relativeHeight="251657728" behindDoc="1" locked="0" layoutInCell="0" allowOverlap="1">
            <wp:simplePos x="0" y="0"/>
            <wp:positionH relativeFrom="column">
              <wp:posOffset>-121285</wp:posOffset>
            </wp:positionH>
            <wp:positionV relativeFrom="paragraph">
              <wp:posOffset>-135890</wp:posOffset>
            </wp:positionV>
            <wp:extent cx="8255" cy="28257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8255" cy="2825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3" w:lineRule="exact"/>
        <w:rPr>
          <w:sz w:val="20"/>
          <w:szCs w:val="20"/>
          <w:color w:val="auto"/>
        </w:rPr>
      </w:pPr>
    </w:p>
    <w:p>
      <w:pPr>
        <w:spacing w:after="0"/>
        <w:rPr>
          <w:sz w:val="20"/>
          <w:szCs w:val="20"/>
          <w:color w:val="auto"/>
        </w:rPr>
      </w:pPr>
      <w:r>
        <w:rPr>
          <w:rFonts w:ascii="Arial" w:cs="Arial" w:eastAsia="Arial" w:hAnsi="Arial"/>
          <w:sz w:val="15"/>
          <w:szCs w:val="15"/>
          <w:color w:val="auto"/>
        </w:rPr>
        <w:t>N/A</w:t>
      </w:r>
    </w:p>
    <w:p>
      <w:pPr>
        <w:spacing w:after="0" w:line="20" w:lineRule="exact"/>
        <w:rPr>
          <w:sz w:val="20"/>
          <w:szCs w:val="20"/>
          <w:color w:val="auto"/>
        </w:rPr>
      </w:pPr>
      <w:r>
        <w:rPr>
          <w:sz w:val="20"/>
          <w:szCs w:val="20"/>
          <w:color w:val="auto"/>
        </w:rPr>
        <w:br w:type="column"/>
      </w:r>
    </w:p>
    <w:p>
      <w:pPr>
        <w:spacing w:after="0" w:line="253" w:lineRule="exact"/>
        <w:rPr>
          <w:sz w:val="20"/>
          <w:szCs w:val="20"/>
          <w:color w:val="auto"/>
        </w:rPr>
      </w:pPr>
    </w:p>
    <w:p>
      <w:pPr>
        <w:ind w:left="137" w:hanging="137"/>
        <w:spacing w:after="0"/>
        <w:tabs>
          <w:tab w:leader="none" w:pos="137" w:val="left"/>
        </w:tabs>
        <w:numPr>
          <w:ilvl w:val="0"/>
          <w:numId w:val="96"/>
        </w:numPr>
        <w:rPr>
          <w:rFonts w:ascii="Arial" w:cs="Arial" w:eastAsia="Arial" w:hAnsi="Arial"/>
          <w:sz w:val="16"/>
          <w:szCs w:val="16"/>
          <w:color w:val="004876"/>
        </w:rPr>
      </w:pPr>
      <w:r>
        <w:rPr>
          <w:rFonts w:ascii="Arial" w:cs="Arial" w:eastAsia="Arial" w:hAnsi="Arial"/>
          <w:sz w:val="16"/>
          <w:szCs w:val="16"/>
          <w:color w:val="auto"/>
        </w:rPr>
        <w:t>Fixed portion of total pay that enables us to attract and retain talent</w:t>
      </w:r>
    </w:p>
    <w:p>
      <w:pPr>
        <w:spacing w:after="0" w:line="5" w:lineRule="exact"/>
        <w:rPr>
          <w:rFonts w:ascii="Arial" w:cs="Arial" w:eastAsia="Arial" w:hAnsi="Arial"/>
          <w:sz w:val="16"/>
          <w:szCs w:val="16"/>
          <w:color w:val="004876"/>
        </w:rPr>
      </w:pPr>
    </w:p>
    <w:p>
      <w:pPr>
        <w:ind w:left="137" w:hanging="137"/>
        <w:spacing w:after="0"/>
        <w:tabs>
          <w:tab w:leader="none" w:pos="137" w:val="left"/>
        </w:tabs>
        <w:numPr>
          <w:ilvl w:val="0"/>
          <w:numId w:val="96"/>
        </w:numPr>
        <w:rPr>
          <w:rFonts w:ascii="Arial" w:cs="Arial" w:eastAsia="Arial" w:hAnsi="Arial"/>
          <w:sz w:val="16"/>
          <w:szCs w:val="16"/>
          <w:color w:val="004876"/>
        </w:rPr>
      </w:pPr>
      <w:r>
        <w:rPr>
          <w:rFonts w:ascii="Arial" w:cs="Arial" w:eastAsia="Arial" w:hAnsi="Arial"/>
          <w:sz w:val="16"/>
          <w:szCs w:val="16"/>
          <w:color w:val="auto"/>
        </w:rPr>
        <w:t>Only fixed source of cash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-1413510</wp:posOffset>
            </wp:positionH>
            <wp:positionV relativeFrom="paragraph">
              <wp:posOffset>-262890</wp:posOffset>
            </wp:positionV>
            <wp:extent cx="6995160" cy="45402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995160" cy="4540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3" w:lineRule="exact"/>
        <w:rPr>
          <w:sz w:val="20"/>
          <w:szCs w:val="20"/>
          <w:color w:val="auto"/>
        </w:rPr>
      </w:pPr>
    </w:p>
    <w:p>
      <w:pPr>
        <w:ind w:left="144" w:hanging="144"/>
        <w:spacing w:after="0"/>
        <w:tabs>
          <w:tab w:leader="none" w:pos="144" w:val="left"/>
        </w:tabs>
        <w:numPr>
          <w:ilvl w:val="0"/>
          <w:numId w:val="97"/>
        </w:numPr>
        <w:rPr>
          <w:rFonts w:ascii="Arial" w:cs="Arial" w:eastAsia="Arial" w:hAnsi="Arial"/>
          <w:sz w:val="15"/>
          <w:szCs w:val="15"/>
          <w:color w:val="004876"/>
        </w:rPr>
      </w:pPr>
      <w:r>
        <w:rPr>
          <w:rFonts w:ascii="Arial" w:cs="Arial" w:eastAsia="Arial" w:hAnsi="Arial"/>
          <w:sz w:val="15"/>
          <w:szCs w:val="15"/>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-135890</wp:posOffset>
            </wp:positionV>
            <wp:extent cx="8255" cy="28257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8255" cy="2825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-142875</wp:posOffset>
            </wp:positionV>
            <wp:extent cx="8255" cy="28257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8255" cy="282575"/>
                    </a:xfrm>
                    <a:prstGeom prst="rect">
                      <a:avLst/>
                    </a:prstGeom>
                    <a:noFill/>
                  </pic:spPr>
                </pic:pic>
              </a:graphicData>
            </a:graphic>
          </wp:anchor>
        </w:drawing>
      </w:r>
    </w:p>
    <w:p>
      <w:pPr>
        <w:spacing w:after="0" w:line="495" w:lineRule="exact"/>
        <w:rPr>
          <w:sz w:val="20"/>
          <w:szCs w:val="20"/>
          <w:color w:val="auto"/>
        </w:rPr>
      </w:pPr>
    </w:p>
    <w:p>
      <w:pPr>
        <w:sectPr>
          <w:pgSz w:w="11900" w:h="16838" w:orient="portrait"/>
          <w:cols w:equalWidth="0" w:num="6">
            <w:col w:w="880" w:space="400"/>
            <w:col w:w="260" w:space="340"/>
            <w:col w:w="260" w:space="203"/>
            <w:col w:w="5153" w:space="720"/>
            <w:col w:w="1664" w:space="720"/>
            <w:col w:w="540"/>
          </w:cols>
          <w:pgMar w:left="320" w:top="459" w:right="439" w:bottom="1440" w:gutter="0" w:footer="0" w:header="0"/>
          <w:type w:val="continuous"/>
        </w:sectPr>
      </w:pPr>
    </w:p>
    <w:tbl>
      <w:tblPr>
        <w:tblLayout w:type="fixed"/>
        <w:tblInd w:w="120" w:type="dxa"/>
        <w:tblCellMar>
          <w:top w:w="0" w:type="dxa"/>
          <w:left w:w="0" w:type="dxa"/>
          <w:bottom w:w="0" w:type="dxa"/>
          <w:right w:w="0" w:type="dxa"/>
        </w:tblCellMar>
      </w:tblPr>
      <w:tr>
        <w:trPr>
          <w:trHeight w:val="205"/>
        </w:trPr>
        <w:tc>
          <w:tcPr>
            <w:tcW w:w="980" w:type="dxa"/>
            <w:vAlign w:val="bottom"/>
            <w:tcBorders>
              <w:right w:val="single" w:sz="8" w:color="333333"/>
            </w:tcBorders>
          </w:tcPr>
          <w:p>
            <w:pPr>
              <w:ind w:left="60"/>
              <w:spacing w:after="0"/>
              <w:rPr>
                <w:sz w:val="20"/>
                <w:szCs w:val="20"/>
                <w:color w:val="auto"/>
              </w:rPr>
            </w:pPr>
            <w:r>
              <w:rPr>
                <w:rFonts w:ascii="Arial" w:cs="Arial" w:eastAsia="Arial" w:hAnsi="Arial"/>
                <w:sz w:val="16"/>
                <w:szCs w:val="16"/>
                <w:b w:val="1"/>
                <w:bCs w:val="1"/>
                <w:color w:val="auto"/>
              </w:rPr>
              <w:t>Cash</w:t>
            </w:r>
          </w:p>
        </w:tc>
        <w:tc>
          <w:tcPr>
            <w:tcW w:w="580" w:type="dxa"/>
            <w:vAlign w:val="bottom"/>
            <w:tcBorders>
              <w:right w:val="single" w:sz="8" w:color="333333"/>
            </w:tcBorders>
          </w:tcPr>
          <w:p>
            <w:pPr>
              <w:jc w:val="center"/>
              <w:spacing w:after="0"/>
              <w:rPr>
                <w:sz w:val="20"/>
                <w:szCs w:val="20"/>
                <w:color w:val="auto"/>
              </w:rPr>
            </w:pPr>
            <w:r>
              <w:rPr>
                <w:rFonts w:ascii="Arial" w:cs="Arial" w:eastAsia="Arial" w:hAnsi="Arial"/>
                <w:sz w:val="16"/>
                <w:szCs w:val="16"/>
                <w:color w:val="auto"/>
              </w:rPr>
              <w:t>~17%</w:t>
            </w:r>
          </w:p>
        </w:tc>
        <w:tc>
          <w:tcPr>
            <w:tcW w:w="620" w:type="dxa"/>
            <w:vAlign w:val="bottom"/>
            <w:tcBorders>
              <w:right w:val="single" w:sz="8" w:color="333333"/>
            </w:tcBorders>
          </w:tcPr>
          <w:p>
            <w:pPr>
              <w:jc w:val="right"/>
              <w:ind w:right="59"/>
              <w:spacing w:after="0"/>
              <w:rPr>
                <w:sz w:val="20"/>
                <w:szCs w:val="20"/>
                <w:color w:val="auto"/>
              </w:rPr>
            </w:pPr>
            <w:r>
              <w:rPr>
                <w:rFonts w:ascii="Arial" w:cs="Arial" w:eastAsia="Arial" w:hAnsi="Arial"/>
                <w:sz w:val="16"/>
                <w:szCs w:val="16"/>
                <w:color w:val="auto"/>
              </w:rPr>
              <w:t>40%</w:t>
            </w:r>
          </w:p>
        </w:tc>
        <w:tc>
          <w:tcPr>
            <w:tcW w:w="5820" w:type="dxa"/>
            <w:vAlign w:val="bottom"/>
            <w:tcBorders>
              <w:right w:val="single" w:sz="8" w:color="333333"/>
            </w:tcBorders>
          </w:tcPr>
          <w:p>
            <w:pPr>
              <w:ind w:left="40"/>
              <w:spacing w:after="0"/>
              <w:rPr>
                <w:sz w:val="20"/>
                <w:szCs w:val="20"/>
                <w:color w:val="auto"/>
              </w:rPr>
            </w:pPr>
            <w:r>
              <w:rPr>
                <w:rFonts w:ascii="Arial" w:cs="Arial" w:eastAsia="Arial" w:hAnsi="Arial"/>
                <w:sz w:val="16"/>
                <w:szCs w:val="16"/>
                <w:color w:val="004876"/>
              </w:rPr>
              <w:t xml:space="preserve">• </w:t>
            </w:r>
            <w:r>
              <w:rPr>
                <w:rFonts w:ascii="Arial" w:cs="Arial" w:eastAsia="Arial" w:hAnsi="Arial"/>
                <w:sz w:val="16"/>
                <w:szCs w:val="16"/>
                <w:color w:val="000000"/>
              </w:rPr>
              <w:t>Provides a competitive annual cash incentive opportunity</w:t>
            </w:r>
          </w:p>
        </w:tc>
        <w:tc>
          <w:tcPr>
            <w:tcW w:w="2180" w:type="dxa"/>
            <w:vAlign w:val="bottom"/>
            <w:tcBorders>
              <w:right w:val="single" w:sz="8" w:color="333333"/>
            </w:tcBorders>
          </w:tcPr>
          <w:p>
            <w:pPr>
              <w:ind w:left="100"/>
              <w:spacing w:after="0"/>
              <w:rPr>
                <w:sz w:val="20"/>
                <w:szCs w:val="20"/>
                <w:color w:val="auto"/>
              </w:rPr>
            </w:pPr>
            <w:r>
              <w:rPr>
                <w:rFonts w:ascii="Arial" w:cs="Arial" w:eastAsia="Arial" w:hAnsi="Arial"/>
                <w:sz w:val="16"/>
                <w:szCs w:val="16"/>
                <w:color w:val="004876"/>
              </w:rPr>
              <w:t xml:space="preserve">• </w:t>
            </w:r>
            <w:r>
              <w:rPr>
                <w:rFonts w:ascii="Arial" w:cs="Arial" w:eastAsia="Arial" w:hAnsi="Arial"/>
                <w:sz w:val="16"/>
                <w:szCs w:val="16"/>
                <w:color w:val="000000"/>
              </w:rPr>
              <w:t>Immediately vested</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980" w:type="dxa"/>
            <w:vAlign w:val="bottom"/>
            <w:tcBorders>
              <w:right w:val="single" w:sz="8" w:color="333333"/>
            </w:tcBorders>
          </w:tcPr>
          <w:p>
            <w:pPr>
              <w:ind w:left="60"/>
              <w:spacing w:after="0"/>
              <w:rPr>
                <w:sz w:val="20"/>
                <w:szCs w:val="20"/>
                <w:color w:val="auto"/>
              </w:rPr>
            </w:pPr>
            <w:r>
              <w:rPr>
                <w:rFonts w:ascii="Arial" w:cs="Arial" w:eastAsia="Arial" w:hAnsi="Arial"/>
                <w:sz w:val="16"/>
                <w:szCs w:val="16"/>
                <w:b w:val="1"/>
                <w:bCs w:val="1"/>
                <w:color w:val="auto"/>
              </w:rPr>
              <w:t>Incentive</w:t>
            </w:r>
          </w:p>
        </w:tc>
        <w:tc>
          <w:tcPr>
            <w:tcW w:w="580" w:type="dxa"/>
            <w:vAlign w:val="bottom"/>
            <w:tcBorders>
              <w:right w:val="single" w:sz="8" w:color="333333"/>
            </w:tcBorders>
          </w:tcPr>
          <w:p>
            <w:pPr>
              <w:spacing w:after="0"/>
              <w:rPr>
                <w:sz w:val="18"/>
                <w:szCs w:val="18"/>
                <w:color w:val="auto"/>
              </w:rPr>
            </w:pPr>
          </w:p>
        </w:tc>
        <w:tc>
          <w:tcPr>
            <w:tcW w:w="620" w:type="dxa"/>
            <w:vAlign w:val="bottom"/>
            <w:tcBorders>
              <w:right w:val="single" w:sz="8" w:color="333333"/>
            </w:tcBorders>
          </w:tcPr>
          <w:p>
            <w:pPr>
              <w:spacing w:after="0"/>
              <w:rPr>
                <w:sz w:val="18"/>
                <w:szCs w:val="18"/>
                <w:color w:val="auto"/>
              </w:rPr>
            </w:pPr>
          </w:p>
        </w:tc>
        <w:tc>
          <w:tcPr>
            <w:tcW w:w="5820" w:type="dxa"/>
            <w:vAlign w:val="bottom"/>
            <w:tcBorders>
              <w:right w:val="single" w:sz="8" w:color="333333"/>
            </w:tcBorders>
          </w:tcPr>
          <w:p>
            <w:pPr>
              <w:ind w:left="40"/>
              <w:spacing w:after="0"/>
              <w:rPr>
                <w:sz w:val="20"/>
                <w:szCs w:val="20"/>
                <w:color w:val="auto"/>
              </w:rPr>
            </w:pPr>
            <w:r>
              <w:rPr>
                <w:rFonts w:ascii="Arial" w:cs="Arial" w:eastAsia="Arial" w:hAnsi="Arial"/>
                <w:sz w:val="16"/>
                <w:szCs w:val="16"/>
                <w:color w:val="004876"/>
              </w:rPr>
              <w:t xml:space="preserve">• </w:t>
            </w:r>
            <w:r>
              <w:rPr>
                <w:rFonts w:ascii="Arial" w:cs="Arial" w:eastAsia="Arial" w:hAnsi="Arial"/>
                <w:sz w:val="16"/>
                <w:szCs w:val="16"/>
                <w:color w:val="000000"/>
              </w:rPr>
              <w:t>Payout determined and awarded in the year following the performance year</w:t>
            </w:r>
          </w:p>
        </w:tc>
        <w:tc>
          <w:tcPr>
            <w:tcW w:w="2180" w:type="dxa"/>
            <w:vAlign w:val="bottom"/>
            <w:tcBorders>
              <w:right w:val="single" w:sz="8" w:color="333333"/>
            </w:tcBorders>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980" w:type="dxa"/>
            <w:vAlign w:val="bottom"/>
            <w:tcBorders>
              <w:bottom w:val="single" w:sz="8" w:color="333333"/>
              <w:right w:val="single" w:sz="8" w:color="333333"/>
            </w:tcBorders>
          </w:tcPr>
          <w:p>
            <w:pPr>
              <w:spacing w:after="0"/>
              <w:rPr>
                <w:sz w:val="18"/>
                <w:szCs w:val="18"/>
                <w:color w:val="auto"/>
              </w:rPr>
            </w:pPr>
          </w:p>
        </w:tc>
        <w:tc>
          <w:tcPr>
            <w:tcW w:w="580" w:type="dxa"/>
            <w:vAlign w:val="bottom"/>
            <w:tcBorders>
              <w:bottom w:val="single" w:sz="8" w:color="333333"/>
              <w:right w:val="single" w:sz="8" w:color="333333"/>
            </w:tcBorders>
          </w:tcPr>
          <w:p>
            <w:pPr>
              <w:spacing w:after="0"/>
              <w:rPr>
                <w:sz w:val="18"/>
                <w:szCs w:val="18"/>
                <w:color w:val="auto"/>
              </w:rPr>
            </w:pPr>
          </w:p>
        </w:tc>
        <w:tc>
          <w:tcPr>
            <w:tcW w:w="620" w:type="dxa"/>
            <w:vAlign w:val="bottom"/>
            <w:tcBorders>
              <w:bottom w:val="single" w:sz="8" w:color="333333"/>
              <w:right w:val="single" w:sz="8" w:color="333333"/>
            </w:tcBorders>
          </w:tcPr>
          <w:p>
            <w:pPr>
              <w:spacing w:after="0"/>
              <w:rPr>
                <w:sz w:val="18"/>
                <w:szCs w:val="18"/>
                <w:color w:val="auto"/>
              </w:rPr>
            </w:pPr>
          </w:p>
        </w:tc>
        <w:tc>
          <w:tcPr>
            <w:tcW w:w="5820" w:type="dxa"/>
            <w:vAlign w:val="bottom"/>
            <w:tcBorders>
              <w:bottom w:val="single" w:sz="8" w:color="333333"/>
              <w:right w:val="single" w:sz="8" w:color="333333"/>
            </w:tcBorders>
          </w:tcPr>
          <w:p>
            <w:pPr>
              <w:ind w:left="40"/>
              <w:spacing w:after="0"/>
              <w:rPr>
                <w:sz w:val="20"/>
                <w:szCs w:val="20"/>
                <w:color w:val="auto"/>
              </w:rPr>
            </w:pPr>
            <w:r>
              <w:rPr>
                <w:rFonts w:ascii="Arial" w:cs="Arial" w:eastAsia="Arial" w:hAnsi="Arial"/>
                <w:sz w:val="16"/>
                <w:szCs w:val="16"/>
                <w:color w:val="004876"/>
              </w:rPr>
              <w:t xml:space="preserve">• </w:t>
            </w:r>
            <w:r>
              <w:rPr>
                <w:rFonts w:ascii="Arial" w:cs="Arial" w:eastAsia="Arial" w:hAnsi="Arial"/>
                <w:sz w:val="16"/>
                <w:szCs w:val="16"/>
                <w:color w:val="000000"/>
              </w:rPr>
              <w:t>Represents less than half of variable compensation</w:t>
            </w:r>
          </w:p>
        </w:tc>
        <w:tc>
          <w:tcPr>
            <w:tcW w:w="2180" w:type="dxa"/>
            <w:vAlign w:val="bottom"/>
            <w:tcBorders>
              <w:bottom w:val="single" w:sz="8" w:color="333333"/>
              <w:right w:val="single" w:sz="8" w:color="333333"/>
            </w:tcBorders>
          </w:tcPr>
          <w:p>
            <w:pPr>
              <w:spacing w:after="0"/>
              <w:rPr>
                <w:sz w:val="18"/>
                <w:szCs w:val="18"/>
                <w:color w:val="auto"/>
              </w:rPr>
            </w:pPr>
          </w:p>
        </w:tc>
        <w:tc>
          <w:tcPr>
            <w:tcW w:w="840" w:type="dxa"/>
            <w:vAlign w:val="bottom"/>
            <w:tcBorders>
              <w:bottom w:val="single" w:sz="8" w:color="333333"/>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980" w:type="dxa"/>
            <w:vAlign w:val="bottom"/>
            <w:tcBorders>
              <w:right w:val="single" w:sz="8" w:color="333333"/>
            </w:tcBorders>
          </w:tcPr>
          <w:p>
            <w:pPr>
              <w:ind w:left="60"/>
              <w:spacing w:after="0"/>
              <w:rPr>
                <w:sz w:val="20"/>
                <w:szCs w:val="20"/>
                <w:color w:val="auto"/>
              </w:rPr>
            </w:pPr>
            <w:r>
              <w:rPr>
                <w:rFonts w:ascii="Arial" w:cs="Arial" w:eastAsia="Arial" w:hAnsi="Arial"/>
                <w:sz w:val="16"/>
                <w:szCs w:val="16"/>
                <w:b w:val="1"/>
                <w:bCs w:val="1"/>
                <w:color w:val="auto"/>
              </w:rPr>
              <w:t>RSUs</w:t>
            </w:r>
          </w:p>
        </w:tc>
        <w:tc>
          <w:tcPr>
            <w:tcW w:w="580" w:type="dxa"/>
            <w:vAlign w:val="bottom"/>
            <w:tcBorders>
              <w:right w:val="single" w:sz="8" w:color="333333"/>
            </w:tcBorders>
          </w:tcPr>
          <w:p>
            <w:pPr>
              <w:jc w:val="center"/>
              <w:spacing w:after="0"/>
              <w:rPr>
                <w:sz w:val="20"/>
                <w:szCs w:val="20"/>
                <w:color w:val="auto"/>
              </w:rPr>
            </w:pPr>
            <w:r>
              <w:rPr>
                <w:rFonts w:ascii="Arial" w:cs="Arial" w:eastAsia="Arial" w:hAnsi="Arial"/>
                <w:sz w:val="16"/>
                <w:szCs w:val="16"/>
                <w:color w:val="auto"/>
                <w:w w:val="94"/>
              </w:rPr>
              <w:t>0%</w:t>
            </w:r>
          </w:p>
        </w:tc>
        <w:tc>
          <w:tcPr>
            <w:tcW w:w="620" w:type="dxa"/>
            <w:vAlign w:val="bottom"/>
            <w:tcBorders>
              <w:right w:val="single" w:sz="8" w:color="333333"/>
            </w:tcBorders>
          </w:tcPr>
          <w:p>
            <w:pPr>
              <w:jc w:val="right"/>
              <w:ind w:right="59"/>
              <w:spacing w:after="0"/>
              <w:rPr>
                <w:sz w:val="20"/>
                <w:szCs w:val="20"/>
                <w:color w:val="auto"/>
              </w:rPr>
            </w:pPr>
            <w:r>
              <w:rPr>
                <w:rFonts w:ascii="Arial" w:cs="Arial" w:eastAsia="Arial" w:hAnsi="Arial"/>
                <w:sz w:val="16"/>
                <w:szCs w:val="16"/>
                <w:color w:val="auto"/>
              </w:rPr>
              <w:t>30%</w:t>
            </w:r>
          </w:p>
        </w:tc>
        <w:tc>
          <w:tcPr>
            <w:tcW w:w="5820" w:type="dxa"/>
            <w:vAlign w:val="bottom"/>
            <w:tcBorders>
              <w:right w:val="single" w:sz="8" w:color="333333"/>
            </w:tcBorders>
          </w:tcPr>
          <w:p>
            <w:pPr>
              <w:ind w:left="40"/>
              <w:spacing w:after="0"/>
              <w:rPr>
                <w:sz w:val="20"/>
                <w:szCs w:val="20"/>
                <w:color w:val="auto"/>
              </w:rPr>
            </w:pPr>
            <w:r>
              <w:rPr>
                <w:rFonts w:ascii="Arial" w:cs="Arial" w:eastAsia="Arial" w:hAnsi="Arial"/>
                <w:sz w:val="16"/>
                <w:szCs w:val="16"/>
                <w:color w:val="004876"/>
              </w:rPr>
              <w:t xml:space="preserve">• </w:t>
            </w:r>
            <w:r>
              <w:rPr>
                <w:rFonts w:ascii="Arial" w:cs="Arial" w:eastAsia="Arial" w:hAnsi="Arial"/>
                <w:sz w:val="16"/>
                <w:szCs w:val="16"/>
                <w:color w:val="000000"/>
              </w:rPr>
              <w:t>RSUs serve as a strong retention tool</w:t>
            </w:r>
          </w:p>
        </w:tc>
        <w:tc>
          <w:tcPr>
            <w:tcW w:w="2180" w:type="dxa"/>
            <w:vAlign w:val="bottom"/>
            <w:tcBorders>
              <w:right w:val="single" w:sz="8" w:color="333333"/>
            </w:tcBorders>
          </w:tcPr>
          <w:p>
            <w:pPr>
              <w:ind w:left="100"/>
              <w:spacing w:after="0"/>
              <w:rPr>
                <w:sz w:val="20"/>
                <w:szCs w:val="20"/>
                <w:color w:val="auto"/>
              </w:rPr>
            </w:pPr>
            <w:r>
              <w:rPr>
                <w:rFonts w:ascii="Arial" w:cs="Arial" w:eastAsia="Arial" w:hAnsi="Arial"/>
                <w:sz w:val="16"/>
                <w:szCs w:val="16"/>
                <w:color w:val="004876"/>
              </w:rPr>
              <w:t xml:space="preserve">• </w:t>
            </w:r>
            <w:r>
              <w:rPr>
                <w:rFonts w:ascii="Arial" w:cs="Arial" w:eastAsia="Arial" w:hAnsi="Arial"/>
                <w:sz w:val="16"/>
                <w:szCs w:val="16"/>
                <w:color w:val="000000"/>
              </w:rPr>
              <w:t>Generally over three</w:t>
            </w: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4"/>
        </w:trPr>
        <w:tc>
          <w:tcPr>
            <w:tcW w:w="980" w:type="dxa"/>
            <w:vAlign w:val="bottom"/>
            <w:tcBorders>
              <w:right w:val="single" w:sz="8" w:color="333333"/>
            </w:tcBorders>
          </w:tcPr>
          <w:p>
            <w:pPr>
              <w:spacing w:after="0"/>
              <w:rPr>
                <w:sz w:val="14"/>
                <w:szCs w:val="14"/>
                <w:color w:val="auto"/>
              </w:rPr>
            </w:pPr>
          </w:p>
        </w:tc>
        <w:tc>
          <w:tcPr>
            <w:tcW w:w="580" w:type="dxa"/>
            <w:vAlign w:val="bottom"/>
            <w:tcBorders>
              <w:right w:val="single" w:sz="8" w:color="333333"/>
            </w:tcBorders>
          </w:tcPr>
          <w:p>
            <w:pPr>
              <w:spacing w:after="0"/>
              <w:rPr>
                <w:sz w:val="14"/>
                <w:szCs w:val="14"/>
                <w:color w:val="auto"/>
              </w:rPr>
            </w:pPr>
          </w:p>
        </w:tc>
        <w:tc>
          <w:tcPr>
            <w:tcW w:w="620" w:type="dxa"/>
            <w:vAlign w:val="bottom"/>
            <w:tcBorders>
              <w:right w:val="single" w:sz="8" w:color="333333"/>
            </w:tcBorders>
          </w:tcPr>
          <w:p>
            <w:pPr>
              <w:spacing w:after="0"/>
              <w:rPr>
                <w:sz w:val="14"/>
                <w:szCs w:val="14"/>
                <w:color w:val="auto"/>
              </w:rPr>
            </w:pPr>
          </w:p>
        </w:tc>
        <w:tc>
          <w:tcPr>
            <w:tcW w:w="5820" w:type="dxa"/>
            <w:vAlign w:val="bottom"/>
            <w:tcBorders>
              <w:right w:val="single" w:sz="8" w:color="333333"/>
            </w:tcBorders>
            <w:vMerge w:val="restart"/>
          </w:tcPr>
          <w:p>
            <w:pPr>
              <w:ind w:left="40"/>
              <w:spacing w:after="0"/>
              <w:rPr>
                <w:sz w:val="20"/>
                <w:szCs w:val="20"/>
                <w:color w:val="auto"/>
              </w:rPr>
            </w:pPr>
            <w:r>
              <w:rPr>
                <w:rFonts w:ascii="Arial" w:cs="Arial" w:eastAsia="Arial" w:hAnsi="Arial"/>
                <w:sz w:val="16"/>
                <w:szCs w:val="16"/>
                <w:color w:val="004876"/>
              </w:rPr>
              <w:t xml:space="preserve">• </w:t>
            </w:r>
            <w:r>
              <w:rPr>
                <w:rFonts w:ascii="Arial" w:cs="Arial" w:eastAsia="Arial" w:hAnsi="Arial"/>
                <w:sz w:val="16"/>
                <w:szCs w:val="16"/>
                <w:color w:val="000000"/>
              </w:rPr>
              <w:t>Dividend equivalents are paid on RSUs at the time actual dividends are paid</w:t>
            </w:r>
          </w:p>
        </w:tc>
        <w:tc>
          <w:tcPr>
            <w:tcW w:w="2180" w:type="dxa"/>
            <w:vAlign w:val="bottom"/>
            <w:tcBorders>
              <w:right w:val="single" w:sz="8" w:color="333333"/>
            </w:tcBorders>
          </w:tcPr>
          <w:p>
            <w:pPr>
              <w:ind w:left="240"/>
              <w:spacing w:after="0" w:line="164" w:lineRule="exact"/>
              <w:rPr>
                <w:sz w:val="20"/>
                <w:szCs w:val="20"/>
                <w:color w:val="auto"/>
              </w:rPr>
            </w:pPr>
            <w:r>
              <w:rPr>
                <w:rFonts w:ascii="Arial" w:cs="Arial" w:eastAsia="Arial" w:hAnsi="Arial"/>
                <w:sz w:val="16"/>
                <w:szCs w:val="16"/>
                <w:color w:val="auto"/>
              </w:rPr>
              <w:t>years:</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980" w:type="dxa"/>
            <w:vAlign w:val="bottom"/>
            <w:tcBorders>
              <w:right w:val="single" w:sz="8" w:color="333333"/>
            </w:tcBorders>
          </w:tcPr>
          <w:p>
            <w:pPr>
              <w:spacing w:after="0"/>
              <w:rPr>
                <w:sz w:val="5"/>
                <w:szCs w:val="5"/>
                <w:color w:val="auto"/>
              </w:rPr>
            </w:pPr>
          </w:p>
        </w:tc>
        <w:tc>
          <w:tcPr>
            <w:tcW w:w="580" w:type="dxa"/>
            <w:vAlign w:val="bottom"/>
            <w:tcBorders>
              <w:right w:val="single" w:sz="8" w:color="333333"/>
            </w:tcBorders>
          </w:tcPr>
          <w:p>
            <w:pPr>
              <w:spacing w:after="0"/>
              <w:rPr>
                <w:sz w:val="5"/>
                <w:szCs w:val="5"/>
                <w:color w:val="auto"/>
              </w:rPr>
            </w:pPr>
          </w:p>
        </w:tc>
        <w:tc>
          <w:tcPr>
            <w:tcW w:w="620" w:type="dxa"/>
            <w:vAlign w:val="bottom"/>
            <w:tcBorders>
              <w:right w:val="single" w:sz="8" w:color="333333"/>
            </w:tcBorders>
          </w:tcPr>
          <w:p>
            <w:pPr>
              <w:spacing w:after="0"/>
              <w:rPr>
                <w:sz w:val="5"/>
                <w:szCs w:val="5"/>
                <w:color w:val="auto"/>
              </w:rPr>
            </w:pPr>
          </w:p>
        </w:tc>
        <w:tc>
          <w:tcPr>
            <w:tcW w:w="5820" w:type="dxa"/>
            <w:vAlign w:val="bottom"/>
            <w:tcBorders>
              <w:right w:val="single" w:sz="8" w:color="333333"/>
            </w:tcBorders>
            <w:vMerge w:val="continue"/>
          </w:tcPr>
          <w:p>
            <w:pPr>
              <w:spacing w:after="0"/>
              <w:rPr>
                <w:sz w:val="5"/>
                <w:szCs w:val="5"/>
                <w:color w:val="auto"/>
              </w:rPr>
            </w:pPr>
          </w:p>
        </w:tc>
        <w:tc>
          <w:tcPr>
            <w:tcW w:w="2180" w:type="dxa"/>
            <w:vAlign w:val="bottom"/>
            <w:tcBorders>
              <w:right w:val="single" w:sz="8" w:color="333333"/>
            </w:tcBorders>
            <w:vMerge w:val="restart"/>
          </w:tcPr>
          <w:p>
            <w:pPr>
              <w:ind w:left="24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6"/>
                <w:szCs w:val="16"/>
                <w:color w:val="auto"/>
              </w:rPr>
              <w:t>50% after two years, with</w:t>
            </w: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980" w:type="dxa"/>
            <w:vAlign w:val="bottom"/>
            <w:tcBorders>
              <w:right w:val="single" w:sz="8" w:color="333333"/>
            </w:tcBorders>
          </w:tcPr>
          <w:p>
            <w:pPr>
              <w:spacing w:after="0"/>
              <w:rPr>
                <w:sz w:val="10"/>
                <w:szCs w:val="10"/>
                <w:color w:val="auto"/>
              </w:rPr>
            </w:pPr>
          </w:p>
        </w:tc>
        <w:tc>
          <w:tcPr>
            <w:tcW w:w="580" w:type="dxa"/>
            <w:vAlign w:val="bottom"/>
            <w:tcBorders>
              <w:right w:val="single" w:sz="8" w:color="333333"/>
            </w:tcBorders>
          </w:tcPr>
          <w:p>
            <w:pPr>
              <w:spacing w:after="0"/>
              <w:rPr>
                <w:sz w:val="10"/>
                <w:szCs w:val="10"/>
                <w:color w:val="auto"/>
              </w:rPr>
            </w:pPr>
          </w:p>
        </w:tc>
        <w:tc>
          <w:tcPr>
            <w:tcW w:w="620" w:type="dxa"/>
            <w:vAlign w:val="bottom"/>
            <w:tcBorders>
              <w:right w:val="single" w:sz="8" w:color="333333"/>
            </w:tcBorders>
          </w:tcPr>
          <w:p>
            <w:pPr>
              <w:spacing w:after="0"/>
              <w:rPr>
                <w:sz w:val="10"/>
                <w:szCs w:val="10"/>
                <w:color w:val="auto"/>
              </w:rPr>
            </w:pPr>
          </w:p>
        </w:tc>
        <w:tc>
          <w:tcPr>
            <w:tcW w:w="5820" w:type="dxa"/>
            <w:vAlign w:val="bottom"/>
            <w:tcBorders>
              <w:right w:val="single" w:sz="8" w:color="333333"/>
            </w:tcBorders>
            <w:vMerge w:val="restart"/>
          </w:tcPr>
          <w:p>
            <w:pPr>
              <w:ind w:left="40"/>
              <w:spacing w:after="0"/>
              <w:rPr>
                <w:sz w:val="20"/>
                <w:szCs w:val="20"/>
                <w:color w:val="auto"/>
              </w:rPr>
            </w:pPr>
            <w:r>
              <w:rPr>
                <w:rFonts w:ascii="Arial" w:cs="Arial" w:eastAsia="Arial" w:hAnsi="Arial"/>
                <w:sz w:val="16"/>
                <w:szCs w:val="16"/>
                <w:color w:val="004876"/>
              </w:rPr>
              <w:t xml:space="preserve">• </w:t>
            </w:r>
            <w:r>
              <w:rPr>
                <w:rFonts w:ascii="Arial" w:cs="Arial" w:eastAsia="Arial" w:hAnsi="Arial"/>
                <w:sz w:val="16"/>
                <w:szCs w:val="16"/>
                <w:color w:val="000000"/>
              </w:rPr>
              <w:t>RSUs and PSUs do not carry voting rights, and are subject to protection-</w:t>
            </w:r>
          </w:p>
        </w:tc>
        <w:tc>
          <w:tcPr>
            <w:tcW w:w="2180" w:type="dxa"/>
            <w:vAlign w:val="bottom"/>
            <w:tcBorders>
              <w:right w:val="single" w:sz="8" w:color="333333"/>
            </w:tcBorders>
            <w:vMerge w:val="continue"/>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980" w:type="dxa"/>
            <w:vAlign w:val="bottom"/>
            <w:tcBorders>
              <w:right w:val="single" w:sz="8" w:color="333333"/>
            </w:tcBorders>
          </w:tcPr>
          <w:p>
            <w:pPr>
              <w:spacing w:after="0"/>
              <w:rPr>
                <w:sz w:val="5"/>
                <w:szCs w:val="5"/>
                <w:color w:val="auto"/>
              </w:rPr>
            </w:pPr>
          </w:p>
        </w:tc>
        <w:tc>
          <w:tcPr>
            <w:tcW w:w="580" w:type="dxa"/>
            <w:vAlign w:val="bottom"/>
            <w:tcBorders>
              <w:right w:val="single" w:sz="8" w:color="333333"/>
            </w:tcBorders>
          </w:tcPr>
          <w:p>
            <w:pPr>
              <w:spacing w:after="0"/>
              <w:rPr>
                <w:sz w:val="5"/>
                <w:szCs w:val="5"/>
                <w:color w:val="auto"/>
              </w:rPr>
            </w:pPr>
          </w:p>
        </w:tc>
        <w:tc>
          <w:tcPr>
            <w:tcW w:w="620" w:type="dxa"/>
            <w:vAlign w:val="bottom"/>
            <w:tcBorders>
              <w:right w:val="single" w:sz="8" w:color="333333"/>
            </w:tcBorders>
          </w:tcPr>
          <w:p>
            <w:pPr>
              <w:spacing w:after="0"/>
              <w:rPr>
                <w:sz w:val="5"/>
                <w:szCs w:val="5"/>
                <w:color w:val="auto"/>
              </w:rPr>
            </w:pPr>
          </w:p>
        </w:tc>
        <w:tc>
          <w:tcPr>
            <w:tcW w:w="5820" w:type="dxa"/>
            <w:vAlign w:val="bottom"/>
            <w:tcBorders>
              <w:right w:val="single" w:sz="8" w:color="333333"/>
            </w:tcBorders>
            <w:vMerge w:val="continue"/>
          </w:tcPr>
          <w:p>
            <w:pPr>
              <w:spacing w:after="0"/>
              <w:rPr>
                <w:sz w:val="5"/>
                <w:szCs w:val="5"/>
                <w:color w:val="auto"/>
              </w:rPr>
            </w:pPr>
          </w:p>
        </w:tc>
        <w:tc>
          <w:tcPr>
            <w:tcW w:w="2180" w:type="dxa"/>
            <w:vAlign w:val="bottom"/>
            <w:tcBorders>
              <w:right w:val="single" w:sz="8" w:color="333333"/>
            </w:tcBorders>
            <w:vMerge w:val="restart"/>
          </w:tcPr>
          <w:p>
            <w:pPr>
              <w:ind w:left="380"/>
              <w:spacing w:after="0"/>
              <w:rPr>
                <w:sz w:val="20"/>
                <w:szCs w:val="20"/>
                <w:color w:val="auto"/>
              </w:rPr>
            </w:pPr>
            <w:r>
              <w:rPr>
                <w:rFonts w:ascii="Arial" w:cs="Arial" w:eastAsia="Arial" w:hAnsi="Arial"/>
                <w:sz w:val="16"/>
                <w:szCs w:val="16"/>
                <w:color w:val="auto"/>
              </w:rPr>
              <w:t>the remaining 50% after</w:t>
            </w: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980" w:type="dxa"/>
            <w:vAlign w:val="bottom"/>
            <w:tcBorders>
              <w:right w:val="single" w:sz="8" w:color="333333"/>
            </w:tcBorders>
          </w:tcPr>
          <w:p>
            <w:pPr>
              <w:spacing w:after="0"/>
              <w:rPr>
                <w:sz w:val="10"/>
                <w:szCs w:val="10"/>
                <w:color w:val="auto"/>
              </w:rPr>
            </w:pPr>
          </w:p>
        </w:tc>
        <w:tc>
          <w:tcPr>
            <w:tcW w:w="580" w:type="dxa"/>
            <w:vAlign w:val="bottom"/>
            <w:tcBorders>
              <w:right w:val="single" w:sz="8" w:color="333333"/>
            </w:tcBorders>
          </w:tcPr>
          <w:p>
            <w:pPr>
              <w:spacing w:after="0"/>
              <w:rPr>
                <w:sz w:val="10"/>
                <w:szCs w:val="10"/>
                <w:color w:val="auto"/>
              </w:rPr>
            </w:pPr>
          </w:p>
        </w:tc>
        <w:tc>
          <w:tcPr>
            <w:tcW w:w="620" w:type="dxa"/>
            <w:vAlign w:val="bottom"/>
            <w:tcBorders>
              <w:right w:val="single" w:sz="8" w:color="333333"/>
            </w:tcBorders>
          </w:tcPr>
          <w:p>
            <w:pPr>
              <w:spacing w:after="0"/>
              <w:rPr>
                <w:sz w:val="10"/>
                <w:szCs w:val="10"/>
                <w:color w:val="auto"/>
              </w:rPr>
            </w:pPr>
          </w:p>
        </w:tc>
        <w:tc>
          <w:tcPr>
            <w:tcW w:w="5820" w:type="dxa"/>
            <w:vAlign w:val="bottom"/>
            <w:tcBorders>
              <w:right w:val="single" w:sz="8" w:color="333333"/>
            </w:tcBorders>
            <w:vMerge w:val="restart"/>
          </w:tcPr>
          <w:p>
            <w:pPr>
              <w:ind w:left="180"/>
              <w:spacing w:after="0"/>
              <w:rPr>
                <w:sz w:val="20"/>
                <w:szCs w:val="20"/>
                <w:color w:val="auto"/>
              </w:rPr>
            </w:pPr>
            <w:r>
              <w:rPr>
                <w:rFonts w:ascii="Arial" w:cs="Arial" w:eastAsia="Arial" w:hAnsi="Arial"/>
                <w:sz w:val="16"/>
                <w:szCs w:val="16"/>
                <w:color w:val="auto"/>
              </w:rPr>
              <w:t>based vesting and the OC stock ownership/retention policy</w:t>
            </w:r>
          </w:p>
        </w:tc>
        <w:tc>
          <w:tcPr>
            <w:tcW w:w="2180" w:type="dxa"/>
            <w:vAlign w:val="bottom"/>
            <w:tcBorders>
              <w:right w:val="single" w:sz="8" w:color="333333"/>
            </w:tcBorders>
            <w:vMerge w:val="continue"/>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980" w:type="dxa"/>
            <w:vAlign w:val="bottom"/>
            <w:tcBorders>
              <w:right w:val="single" w:sz="8" w:color="333333"/>
            </w:tcBorders>
          </w:tcPr>
          <w:p>
            <w:pPr>
              <w:spacing w:after="0"/>
              <w:rPr>
                <w:sz w:val="5"/>
                <w:szCs w:val="5"/>
                <w:color w:val="auto"/>
              </w:rPr>
            </w:pPr>
          </w:p>
        </w:tc>
        <w:tc>
          <w:tcPr>
            <w:tcW w:w="580" w:type="dxa"/>
            <w:vAlign w:val="bottom"/>
            <w:tcBorders>
              <w:right w:val="single" w:sz="8" w:color="333333"/>
            </w:tcBorders>
          </w:tcPr>
          <w:p>
            <w:pPr>
              <w:spacing w:after="0"/>
              <w:rPr>
                <w:sz w:val="5"/>
                <w:szCs w:val="5"/>
                <w:color w:val="auto"/>
              </w:rPr>
            </w:pPr>
          </w:p>
        </w:tc>
        <w:tc>
          <w:tcPr>
            <w:tcW w:w="620" w:type="dxa"/>
            <w:vAlign w:val="bottom"/>
            <w:tcBorders>
              <w:right w:val="single" w:sz="8" w:color="333333"/>
            </w:tcBorders>
          </w:tcPr>
          <w:p>
            <w:pPr>
              <w:spacing w:after="0"/>
              <w:rPr>
                <w:sz w:val="5"/>
                <w:szCs w:val="5"/>
                <w:color w:val="auto"/>
              </w:rPr>
            </w:pPr>
          </w:p>
        </w:tc>
        <w:tc>
          <w:tcPr>
            <w:tcW w:w="5820" w:type="dxa"/>
            <w:vAlign w:val="bottom"/>
            <w:tcBorders>
              <w:right w:val="single" w:sz="8" w:color="333333"/>
            </w:tcBorders>
            <w:vMerge w:val="continue"/>
          </w:tcPr>
          <w:p>
            <w:pPr>
              <w:spacing w:after="0"/>
              <w:rPr>
                <w:sz w:val="5"/>
                <w:szCs w:val="5"/>
                <w:color w:val="auto"/>
              </w:rPr>
            </w:pPr>
          </w:p>
        </w:tc>
        <w:tc>
          <w:tcPr>
            <w:tcW w:w="2180" w:type="dxa"/>
            <w:vAlign w:val="bottom"/>
            <w:tcBorders>
              <w:right w:val="single" w:sz="8" w:color="333333"/>
            </w:tcBorders>
            <w:vMerge w:val="restart"/>
          </w:tcPr>
          <w:p>
            <w:pPr>
              <w:ind w:left="380"/>
              <w:spacing w:after="0"/>
              <w:rPr>
                <w:sz w:val="20"/>
                <w:szCs w:val="20"/>
                <w:color w:val="auto"/>
              </w:rPr>
            </w:pPr>
            <w:r>
              <w:rPr>
                <w:rFonts w:ascii="Arial" w:cs="Arial" w:eastAsia="Arial" w:hAnsi="Arial"/>
                <w:sz w:val="16"/>
                <w:szCs w:val="16"/>
                <w:color w:val="auto"/>
              </w:rPr>
              <w:t>three years</w:t>
            </w: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0"/>
        </w:trPr>
        <w:tc>
          <w:tcPr>
            <w:tcW w:w="980" w:type="dxa"/>
            <w:vAlign w:val="bottom"/>
            <w:tcBorders>
              <w:bottom w:val="single" w:sz="8" w:color="333333"/>
              <w:right w:val="single" w:sz="8" w:color="333333"/>
            </w:tcBorders>
          </w:tcPr>
          <w:p>
            <w:pPr>
              <w:spacing w:after="0"/>
              <w:rPr>
                <w:sz w:val="11"/>
                <w:szCs w:val="11"/>
                <w:color w:val="auto"/>
              </w:rPr>
            </w:pPr>
          </w:p>
        </w:tc>
        <w:tc>
          <w:tcPr>
            <w:tcW w:w="580" w:type="dxa"/>
            <w:vAlign w:val="bottom"/>
            <w:tcBorders>
              <w:bottom w:val="single" w:sz="8" w:color="333333"/>
              <w:right w:val="single" w:sz="8" w:color="333333"/>
            </w:tcBorders>
          </w:tcPr>
          <w:p>
            <w:pPr>
              <w:spacing w:after="0"/>
              <w:rPr>
                <w:sz w:val="11"/>
                <w:szCs w:val="11"/>
                <w:color w:val="auto"/>
              </w:rPr>
            </w:pPr>
          </w:p>
        </w:tc>
        <w:tc>
          <w:tcPr>
            <w:tcW w:w="620" w:type="dxa"/>
            <w:vAlign w:val="bottom"/>
            <w:tcBorders>
              <w:bottom w:val="single" w:sz="8" w:color="333333"/>
              <w:right w:val="single" w:sz="8" w:color="333333"/>
            </w:tcBorders>
          </w:tcPr>
          <w:p>
            <w:pPr>
              <w:spacing w:after="0"/>
              <w:rPr>
                <w:sz w:val="11"/>
                <w:szCs w:val="11"/>
                <w:color w:val="auto"/>
              </w:rPr>
            </w:pPr>
          </w:p>
        </w:tc>
        <w:tc>
          <w:tcPr>
            <w:tcW w:w="5820" w:type="dxa"/>
            <w:vAlign w:val="bottom"/>
            <w:tcBorders>
              <w:right w:val="single" w:sz="8" w:color="333333"/>
            </w:tcBorders>
          </w:tcPr>
          <w:p>
            <w:pPr>
              <w:ind w:left="40"/>
              <w:spacing w:after="0" w:line="127" w:lineRule="exact"/>
              <w:rPr>
                <w:sz w:val="20"/>
                <w:szCs w:val="20"/>
                <w:color w:val="auto"/>
              </w:rPr>
            </w:pPr>
            <w:r>
              <w:rPr>
                <w:rFonts w:ascii="Arial" w:cs="Arial" w:eastAsia="Arial" w:hAnsi="Arial"/>
                <w:sz w:val="14"/>
                <w:szCs w:val="14"/>
                <w:color w:val="004876"/>
              </w:rPr>
              <w:t xml:space="preserve">• </w:t>
            </w:r>
            <w:r>
              <w:rPr>
                <w:rFonts w:ascii="Arial" w:cs="Arial" w:eastAsia="Arial" w:hAnsi="Arial"/>
                <w:sz w:val="14"/>
                <w:szCs w:val="14"/>
                <w:color w:val="000000"/>
              </w:rPr>
              <w:t>RSUs and PSUs provide a competitive mix of time-based and performance-</w:t>
            </w:r>
          </w:p>
        </w:tc>
        <w:tc>
          <w:tcPr>
            <w:tcW w:w="2180" w:type="dxa"/>
            <w:vAlign w:val="bottom"/>
            <w:tcBorders>
              <w:bottom w:val="single" w:sz="8" w:color="333333"/>
              <w:right w:val="single" w:sz="8" w:color="333333"/>
            </w:tcBorders>
            <w:vMerge w:val="continue"/>
          </w:tcPr>
          <w:p>
            <w:pPr>
              <w:spacing w:after="0"/>
              <w:rPr>
                <w:sz w:val="11"/>
                <w:szCs w:val="11"/>
                <w:color w:val="auto"/>
              </w:rPr>
            </w:pPr>
          </w:p>
        </w:tc>
        <w:tc>
          <w:tcPr>
            <w:tcW w:w="840" w:type="dxa"/>
            <w:vAlign w:val="bottom"/>
            <w:tcBorders>
              <w:bottom w:val="single" w:sz="8" w:color="333333"/>
            </w:tcBorders>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980" w:type="dxa"/>
            <w:vAlign w:val="bottom"/>
            <w:tcBorders>
              <w:right w:val="single" w:sz="8" w:color="333333"/>
            </w:tcBorders>
          </w:tcPr>
          <w:p>
            <w:pPr>
              <w:ind w:left="60"/>
              <w:spacing w:after="0"/>
              <w:rPr>
                <w:sz w:val="20"/>
                <w:szCs w:val="20"/>
                <w:color w:val="auto"/>
              </w:rPr>
            </w:pPr>
            <w:r>
              <w:rPr>
                <w:rFonts w:ascii="Arial" w:cs="Arial" w:eastAsia="Arial" w:hAnsi="Arial"/>
                <w:sz w:val="16"/>
                <w:szCs w:val="16"/>
                <w:b w:val="1"/>
                <w:bCs w:val="1"/>
                <w:color w:val="auto"/>
              </w:rPr>
              <w:t>PSUs</w:t>
            </w:r>
          </w:p>
        </w:tc>
        <w:tc>
          <w:tcPr>
            <w:tcW w:w="580" w:type="dxa"/>
            <w:vAlign w:val="bottom"/>
            <w:tcBorders>
              <w:right w:val="single" w:sz="8" w:color="333333"/>
            </w:tcBorders>
          </w:tcPr>
          <w:p>
            <w:pPr>
              <w:jc w:val="center"/>
              <w:spacing w:after="0"/>
              <w:rPr>
                <w:sz w:val="20"/>
                <w:szCs w:val="20"/>
                <w:color w:val="auto"/>
              </w:rPr>
            </w:pPr>
            <w:r>
              <w:rPr>
                <w:rFonts w:ascii="Arial" w:cs="Arial" w:eastAsia="Arial" w:hAnsi="Arial"/>
                <w:sz w:val="16"/>
                <w:szCs w:val="16"/>
                <w:color w:val="auto"/>
              </w:rPr>
              <w:t>~83%</w:t>
            </w:r>
          </w:p>
        </w:tc>
        <w:tc>
          <w:tcPr>
            <w:tcW w:w="620" w:type="dxa"/>
            <w:vAlign w:val="bottom"/>
            <w:tcBorders>
              <w:right w:val="single" w:sz="8" w:color="333333"/>
            </w:tcBorders>
          </w:tcPr>
          <w:p>
            <w:pPr>
              <w:jc w:val="right"/>
              <w:ind w:right="59"/>
              <w:spacing w:after="0"/>
              <w:rPr>
                <w:sz w:val="20"/>
                <w:szCs w:val="20"/>
                <w:color w:val="auto"/>
              </w:rPr>
            </w:pPr>
            <w:r>
              <w:rPr>
                <w:rFonts w:ascii="Arial" w:cs="Arial" w:eastAsia="Arial" w:hAnsi="Arial"/>
                <w:sz w:val="16"/>
                <w:szCs w:val="16"/>
                <w:color w:val="auto"/>
              </w:rPr>
              <w:t>30%</w:t>
            </w:r>
          </w:p>
        </w:tc>
        <w:tc>
          <w:tcPr>
            <w:tcW w:w="5820" w:type="dxa"/>
            <w:vAlign w:val="bottom"/>
            <w:tcBorders>
              <w:right w:val="single" w:sz="8" w:color="333333"/>
            </w:tcBorders>
          </w:tcPr>
          <w:p>
            <w:pPr>
              <w:ind w:left="180"/>
              <w:spacing w:after="0"/>
              <w:rPr>
                <w:sz w:val="20"/>
                <w:szCs w:val="20"/>
                <w:color w:val="auto"/>
              </w:rPr>
            </w:pPr>
            <w:r>
              <w:rPr>
                <w:rFonts w:ascii="Arial" w:cs="Arial" w:eastAsia="Arial" w:hAnsi="Arial"/>
                <w:sz w:val="16"/>
                <w:szCs w:val="16"/>
                <w:color w:val="auto"/>
              </w:rPr>
              <w:t>conditioned equity awards that are aligned with long-term shareholder</w:t>
            </w:r>
          </w:p>
        </w:tc>
        <w:tc>
          <w:tcPr>
            <w:tcW w:w="2180" w:type="dxa"/>
            <w:vAlign w:val="bottom"/>
            <w:tcBorders>
              <w:right w:val="single" w:sz="8" w:color="333333"/>
            </w:tcBorders>
          </w:tcPr>
          <w:p>
            <w:pPr>
              <w:ind w:left="100"/>
              <w:spacing w:after="0"/>
              <w:rPr>
                <w:sz w:val="20"/>
                <w:szCs w:val="20"/>
                <w:color w:val="auto"/>
              </w:rPr>
            </w:pPr>
            <w:r>
              <w:rPr>
                <w:rFonts w:ascii="Arial" w:cs="Arial" w:eastAsia="Arial" w:hAnsi="Arial"/>
                <w:sz w:val="16"/>
                <w:szCs w:val="16"/>
                <w:color w:val="004876"/>
              </w:rPr>
              <w:t xml:space="preserve">• </w:t>
            </w:r>
            <w:r>
              <w:rPr>
                <w:rFonts w:ascii="Arial" w:cs="Arial" w:eastAsia="Arial" w:hAnsi="Arial"/>
                <w:sz w:val="16"/>
                <w:szCs w:val="16"/>
                <w:color w:val="000000"/>
              </w:rPr>
              <w:t>Combined period of</w:t>
            </w: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980" w:type="dxa"/>
            <w:vAlign w:val="bottom"/>
            <w:tcBorders>
              <w:right w:val="single" w:sz="8" w:color="333333"/>
            </w:tcBorders>
          </w:tcPr>
          <w:p>
            <w:pPr>
              <w:spacing w:after="0"/>
              <w:rPr>
                <w:sz w:val="16"/>
                <w:szCs w:val="16"/>
                <w:color w:val="auto"/>
              </w:rPr>
            </w:pPr>
          </w:p>
        </w:tc>
        <w:tc>
          <w:tcPr>
            <w:tcW w:w="580" w:type="dxa"/>
            <w:vAlign w:val="bottom"/>
            <w:tcBorders>
              <w:right w:val="single" w:sz="8" w:color="333333"/>
            </w:tcBorders>
          </w:tcPr>
          <w:p>
            <w:pPr>
              <w:spacing w:after="0"/>
              <w:rPr>
                <w:sz w:val="16"/>
                <w:szCs w:val="16"/>
                <w:color w:val="auto"/>
              </w:rPr>
            </w:pPr>
          </w:p>
        </w:tc>
        <w:tc>
          <w:tcPr>
            <w:tcW w:w="620" w:type="dxa"/>
            <w:vAlign w:val="bottom"/>
            <w:tcBorders>
              <w:right w:val="single" w:sz="8" w:color="333333"/>
            </w:tcBorders>
          </w:tcPr>
          <w:p>
            <w:pPr>
              <w:spacing w:after="0"/>
              <w:rPr>
                <w:sz w:val="16"/>
                <w:szCs w:val="16"/>
                <w:color w:val="auto"/>
              </w:rPr>
            </w:pPr>
          </w:p>
        </w:tc>
        <w:tc>
          <w:tcPr>
            <w:tcW w:w="5820" w:type="dxa"/>
            <w:vAlign w:val="bottom"/>
            <w:tcBorders>
              <w:right w:val="single" w:sz="8" w:color="333333"/>
            </w:tcBorders>
          </w:tcPr>
          <w:p>
            <w:pPr>
              <w:ind w:left="180"/>
              <w:spacing w:after="0"/>
              <w:rPr>
                <w:sz w:val="20"/>
                <w:szCs w:val="20"/>
                <w:color w:val="auto"/>
              </w:rPr>
            </w:pPr>
            <w:r>
              <w:rPr>
                <w:rFonts w:ascii="Arial" w:cs="Arial" w:eastAsia="Arial" w:hAnsi="Arial"/>
                <w:sz w:val="16"/>
                <w:szCs w:val="16"/>
                <w:color w:val="auto"/>
              </w:rPr>
              <w:t>interests as the value of payout fluctuates with stock price performance</w:t>
            </w:r>
          </w:p>
        </w:tc>
        <w:tc>
          <w:tcPr>
            <w:tcW w:w="2180" w:type="dxa"/>
            <w:vAlign w:val="bottom"/>
            <w:tcBorders>
              <w:right w:val="single" w:sz="8" w:color="333333"/>
            </w:tcBorders>
          </w:tcPr>
          <w:p>
            <w:pPr>
              <w:ind w:left="240"/>
              <w:spacing w:after="0"/>
              <w:rPr>
                <w:sz w:val="20"/>
                <w:szCs w:val="20"/>
                <w:color w:val="auto"/>
              </w:rPr>
            </w:pPr>
            <w:r>
              <w:rPr>
                <w:rFonts w:ascii="Arial" w:cs="Arial" w:eastAsia="Arial" w:hAnsi="Arial"/>
                <w:sz w:val="16"/>
                <w:szCs w:val="16"/>
                <w:color w:val="auto"/>
              </w:rPr>
              <w:t>approximately five years</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80" w:type="dxa"/>
            <w:vAlign w:val="bottom"/>
            <w:tcBorders>
              <w:right w:val="single" w:sz="8" w:color="333333"/>
            </w:tcBorders>
          </w:tcPr>
          <w:p>
            <w:pPr>
              <w:spacing w:after="0"/>
              <w:rPr>
                <w:sz w:val="16"/>
                <w:szCs w:val="16"/>
                <w:color w:val="auto"/>
              </w:rPr>
            </w:pPr>
          </w:p>
        </w:tc>
        <w:tc>
          <w:tcPr>
            <w:tcW w:w="580" w:type="dxa"/>
            <w:vAlign w:val="bottom"/>
            <w:tcBorders>
              <w:right w:val="single" w:sz="8" w:color="333333"/>
            </w:tcBorders>
          </w:tcPr>
          <w:p>
            <w:pPr>
              <w:spacing w:after="0"/>
              <w:rPr>
                <w:sz w:val="16"/>
                <w:szCs w:val="16"/>
                <w:color w:val="auto"/>
              </w:rPr>
            </w:pPr>
          </w:p>
        </w:tc>
        <w:tc>
          <w:tcPr>
            <w:tcW w:w="620" w:type="dxa"/>
            <w:vAlign w:val="bottom"/>
            <w:tcBorders>
              <w:right w:val="single" w:sz="8" w:color="333333"/>
            </w:tcBorders>
          </w:tcPr>
          <w:p>
            <w:pPr>
              <w:spacing w:after="0"/>
              <w:rPr>
                <w:sz w:val="16"/>
                <w:szCs w:val="16"/>
                <w:color w:val="auto"/>
              </w:rPr>
            </w:pPr>
          </w:p>
        </w:tc>
        <w:tc>
          <w:tcPr>
            <w:tcW w:w="5820" w:type="dxa"/>
            <w:vAlign w:val="bottom"/>
            <w:tcBorders>
              <w:right w:val="single" w:sz="8" w:color="333333"/>
            </w:tcBorders>
          </w:tcPr>
          <w:p>
            <w:pPr>
              <w:ind w:left="40"/>
              <w:spacing w:after="0"/>
              <w:rPr>
                <w:sz w:val="20"/>
                <w:szCs w:val="20"/>
                <w:color w:val="auto"/>
              </w:rPr>
            </w:pPr>
            <w:r>
              <w:rPr>
                <w:rFonts w:ascii="Arial" w:cs="Arial" w:eastAsia="Arial" w:hAnsi="Arial"/>
                <w:sz w:val="16"/>
                <w:szCs w:val="16"/>
                <w:color w:val="004876"/>
              </w:rPr>
              <w:t xml:space="preserve">• </w:t>
            </w:r>
            <w:r>
              <w:rPr>
                <w:rFonts w:ascii="Arial" w:cs="Arial" w:eastAsia="Arial" w:hAnsi="Arial"/>
                <w:sz w:val="16"/>
                <w:szCs w:val="16"/>
                <w:color w:val="000000"/>
              </w:rPr>
              <w:t>PSUs reinforce accountability by linking objective targets to a formulaically</w:t>
            </w:r>
          </w:p>
        </w:tc>
        <w:tc>
          <w:tcPr>
            <w:tcW w:w="2180" w:type="dxa"/>
            <w:vAlign w:val="bottom"/>
            <w:tcBorders>
              <w:right w:val="single" w:sz="8" w:color="333333"/>
            </w:tcBorders>
          </w:tcPr>
          <w:p>
            <w:pPr>
              <w:ind w:left="240"/>
              <w:spacing w:after="0"/>
              <w:rPr>
                <w:sz w:val="20"/>
                <w:szCs w:val="20"/>
                <w:color w:val="auto"/>
              </w:rPr>
            </w:pPr>
            <w:r>
              <w:rPr>
                <w:rFonts w:ascii="Arial" w:cs="Arial" w:eastAsia="Arial" w:hAnsi="Arial"/>
                <w:sz w:val="16"/>
                <w:szCs w:val="16"/>
                <w:color w:val="auto"/>
              </w:rPr>
              <w:t>prior to availability:</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80" w:type="dxa"/>
            <w:vAlign w:val="bottom"/>
            <w:tcBorders>
              <w:right w:val="single" w:sz="8" w:color="333333"/>
            </w:tcBorders>
          </w:tcPr>
          <w:p>
            <w:pPr>
              <w:spacing w:after="0"/>
              <w:rPr>
                <w:sz w:val="16"/>
                <w:szCs w:val="16"/>
                <w:color w:val="auto"/>
              </w:rPr>
            </w:pPr>
          </w:p>
        </w:tc>
        <w:tc>
          <w:tcPr>
            <w:tcW w:w="580" w:type="dxa"/>
            <w:vAlign w:val="bottom"/>
            <w:tcBorders>
              <w:right w:val="single" w:sz="8" w:color="333333"/>
            </w:tcBorders>
          </w:tcPr>
          <w:p>
            <w:pPr>
              <w:spacing w:after="0"/>
              <w:rPr>
                <w:sz w:val="16"/>
                <w:szCs w:val="16"/>
                <w:color w:val="auto"/>
              </w:rPr>
            </w:pPr>
          </w:p>
        </w:tc>
        <w:tc>
          <w:tcPr>
            <w:tcW w:w="620" w:type="dxa"/>
            <w:vAlign w:val="bottom"/>
            <w:tcBorders>
              <w:right w:val="single" w:sz="8" w:color="333333"/>
            </w:tcBorders>
          </w:tcPr>
          <w:p>
            <w:pPr>
              <w:spacing w:after="0"/>
              <w:rPr>
                <w:sz w:val="16"/>
                <w:szCs w:val="16"/>
                <w:color w:val="auto"/>
              </w:rPr>
            </w:pPr>
          </w:p>
        </w:tc>
        <w:tc>
          <w:tcPr>
            <w:tcW w:w="5820" w:type="dxa"/>
            <w:vAlign w:val="bottom"/>
            <w:tcBorders>
              <w:right w:val="single" w:sz="8" w:color="333333"/>
            </w:tcBorders>
          </w:tcPr>
          <w:p>
            <w:pPr>
              <w:ind w:left="180"/>
              <w:spacing w:after="0"/>
              <w:rPr>
                <w:sz w:val="20"/>
                <w:szCs w:val="20"/>
                <w:color w:val="auto"/>
              </w:rPr>
            </w:pPr>
            <w:r>
              <w:rPr>
                <w:rFonts w:ascii="Arial" w:cs="Arial" w:eastAsia="Arial" w:hAnsi="Arial"/>
                <w:sz w:val="16"/>
                <w:szCs w:val="16"/>
                <w:color w:val="auto"/>
              </w:rPr>
              <w:t>determined payout based on absolute and relative ROTCE</w:t>
            </w:r>
          </w:p>
        </w:tc>
        <w:tc>
          <w:tcPr>
            <w:tcW w:w="2180" w:type="dxa"/>
            <w:vAlign w:val="bottom"/>
            <w:tcBorders>
              <w:right w:val="single" w:sz="8" w:color="333333"/>
            </w:tcBorders>
          </w:tcPr>
          <w:p>
            <w:pPr>
              <w:ind w:left="24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6"/>
                <w:szCs w:val="16"/>
                <w:color w:val="auto"/>
              </w:rPr>
              <w:t>Award cliff-vests at the</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80" w:type="dxa"/>
            <w:vAlign w:val="bottom"/>
            <w:tcBorders>
              <w:right w:val="single" w:sz="8" w:color="333333"/>
            </w:tcBorders>
          </w:tcPr>
          <w:p>
            <w:pPr>
              <w:spacing w:after="0"/>
              <w:rPr>
                <w:sz w:val="16"/>
                <w:szCs w:val="16"/>
                <w:color w:val="auto"/>
              </w:rPr>
            </w:pPr>
          </w:p>
        </w:tc>
        <w:tc>
          <w:tcPr>
            <w:tcW w:w="580" w:type="dxa"/>
            <w:vAlign w:val="bottom"/>
            <w:tcBorders>
              <w:right w:val="single" w:sz="8" w:color="333333"/>
            </w:tcBorders>
          </w:tcPr>
          <w:p>
            <w:pPr>
              <w:spacing w:after="0"/>
              <w:rPr>
                <w:sz w:val="16"/>
                <w:szCs w:val="16"/>
                <w:color w:val="auto"/>
              </w:rPr>
            </w:pPr>
          </w:p>
        </w:tc>
        <w:tc>
          <w:tcPr>
            <w:tcW w:w="620" w:type="dxa"/>
            <w:vAlign w:val="bottom"/>
            <w:tcBorders>
              <w:right w:val="single" w:sz="8" w:color="333333"/>
            </w:tcBorders>
          </w:tcPr>
          <w:p>
            <w:pPr>
              <w:spacing w:after="0"/>
              <w:rPr>
                <w:sz w:val="16"/>
                <w:szCs w:val="16"/>
                <w:color w:val="auto"/>
              </w:rPr>
            </w:pPr>
          </w:p>
        </w:tc>
        <w:tc>
          <w:tcPr>
            <w:tcW w:w="5820" w:type="dxa"/>
            <w:vAlign w:val="bottom"/>
            <w:tcBorders>
              <w:right w:val="single" w:sz="8" w:color="333333"/>
            </w:tcBorders>
          </w:tcPr>
          <w:p>
            <w:pPr>
              <w:ind w:left="40"/>
              <w:spacing w:after="0"/>
              <w:rPr>
                <w:sz w:val="20"/>
                <w:szCs w:val="20"/>
                <w:color w:val="auto"/>
              </w:rPr>
            </w:pPr>
            <w:r>
              <w:rPr>
                <w:rFonts w:ascii="Arial" w:cs="Arial" w:eastAsia="Arial" w:hAnsi="Arial"/>
                <w:sz w:val="16"/>
                <w:szCs w:val="16"/>
                <w:color w:val="004876"/>
              </w:rPr>
              <w:t xml:space="preserve">• </w:t>
            </w:r>
            <w:r>
              <w:rPr>
                <w:rFonts w:ascii="Arial" w:cs="Arial" w:eastAsia="Arial" w:hAnsi="Arial"/>
                <w:sz w:val="16"/>
                <w:szCs w:val="16"/>
                <w:color w:val="000000"/>
              </w:rPr>
              <w:t>PSU performance goals are the same for the entire award term</w:t>
            </w:r>
          </w:p>
        </w:tc>
        <w:tc>
          <w:tcPr>
            <w:tcW w:w="2180" w:type="dxa"/>
            <w:vAlign w:val="bottom"/>
            <w:tcBorders>
              <w:right w:val="single" w:sz="8" w:color="333333"/>
            </w:tcBorders>
          </w:tcPr>
          <w:p>
            <w:pPr>
              <w:ind w:left="380"/>
              <w:spacing w:after="0"/>
              <w:rPr>
                <w:sz w:val="20"/>
                <w:szCs w:val="20"/>
                <w:color w:val="auto"/>
              </w:rPr>
            </w:pPr>
            <w:r>
              <w:rPr>
                <w:rFonts w:ascii="Arial" w:cs="Arial" w:eastAsia="Arial" w:hAnsi="Arial"/>
                <w:sz w:val="16"/>
                <w:szCs w:val="16"/>
                <w:color w:val="auto"/>
              </w:rPr>
              <w:t>end of the three-year</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80" w:type="dxa"/>
            <w:vAlign w:val="bottom"/>
            <w:tcBorders>
              <w:right w:val="single" w:sz="8" w:color="333333"/>
            </w:tcBorders>
          </w:tcPr>
          <w:p>
            <w:pPr>
              <w:spacing w:after="0"/>
              <w:rPr>
                <w:sz w:val="16"/>
                <w:szCs w:val="16"/>
                <w:color w:val="auto"/>
              </w:rPr>
            </w:pPr>
          </w:p>
        </w:tc>
        <w:tc>
          <w:tcPr>
            <w:tcW w:w="580" w:type="dxa"/>
            <w:vAlign w:val="bottom"/>
            <w:tcBorders>
              <w:right w:val="single" w:sz="8" w:color="333333"/>
            </w:tcBorders>
          </w:tcPr>
          <w:p>
            <w:pPr>
              <w:spacing w:after="0"/>
              <w:rPr>
                <w:sz w:val="16"/>
                <w:szCs w:val="16"/>
                <w:color w:val="auto"/>
              </w:rPr>
            </w:pPr>
          </w:p>
        </w:tc>
        <w:tc>
          <w:tcPr>
            <w:tcW w:w="620" w:type="dxa"/>
            <w:vAlign w:val="bottom"/>
            <w:tcBorders>
              <w:right w:val="single" w:sz="8" w:color="333333"/>
            </w:tcBorders>
          </w:tcPr>
          <w:p>
            <w:pPr>
              <w:spacing w:after="0"/>
              <w:rPr>
                <w:sz w:val="16"/>
                <w:szCs w:val="16"/>
                <w:color w:val="auto"/>
              </w:rPr>
            </w:pPr>
          </w:p>
        </w:tc>
        <w:tc>
          <w:tcPr>
            <w:tcW w:w="5820" w:type="dxa"/>
            <w:vAlign w:val="bottom"/>
            <w:tcBorders>
              <w:right w:val="single" w:sz="8" w:color="333333"/>
            </w:tcBorders>
          </w:tcPr>
          <w:p>
            <w:pPr>
              <w:ind w:left="40"/>
              <w:spacing w:after="0"/>
              <w:rPr>
                <w:sz w:val="20"/>
                <w:szCs w:val="20"/>
                <w:color w:val="auto"/>
              </w:rPr>
            </w:pPr>
            <w:r>
              <w:rPr>
                <w:rFonts w:ascii="Arial" w:cs="Arial" w:eastAsia="Arial" w:hAnsi="Arial"/>
                <w:sz w:val="16"/>
                <w:szCs w:val="16"/>
                <w:color w:val="004876"/>
              </w:rPr>
              <w:t xml:space="preserve">• </w:t>
            </w:r>
            <w:r>
              <w:rPr>
                <w:rFonts w:ascii="Arial" w:cs="Arial" w:eastAsia="Arial" w:hAnsi="Arial"/>
                <w:sz w:val="16"/>
                <w:szCs w:val="16"/>
                <w:color w:val="000000"/>
              </w:rPr>
              <w:t>PSU payout ranges from 0–150% and is settled in shares</w:t>
            </w:r>
          </w:p>
        </w:tc>
        <w:tc>
          <w:tcPr>
            <w:tcW w:w="2180" w:type="dxa"/>
            <w:vAlign w:val="bottom"/>
            <w:tcBorders>
              <w:right w:val="single" w:sz="8" w:color="333333"/>
            </w:tcBorders>
          </w:tcPr>
          <w:p>
            <w:pPr>
              <w:ind w:left="380"/>
              <w:spacing w:after="0"/>
              <w:rPr>
                <w:sz w:val="20"/>
                <w:szCs w:val="20"/>
                <w:color w:val="auto"/>
              </w:rPr>
            </w:pPr>
            <w:r>
              <w:rPr>
                <w:rFonts w:ascii="Arial" w:cs="Arial" w:eastAsia="Arial" w:hAnsi="Arial"/>
                <w:sz w:val="16"/>
                <w:szCs w:val="16"/>
                <w:color w:val="auto"/>
              </w:rPr>
              <w:t>performance period</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80" w:type="dxa"/>
            <w:vAlign w:val="bottom"/>
            <w:tcBorders>
              <w:right w:val="single" w:sz="8" w:color="333333"/>
            </w:tcBorders>
          </w:tcPr>
          <w:p>
            <w:pPr>
              <w:spacing w:after="0"/>
              <w:rPr>
                <w:sz w:val="16"/>
                <w:szCs w:val="16"/>
                <w:color w:val="auto"/>
              </w:rPr>
            </w:pPr>
          </w:p>
        </w:tc>
        <w:tc>
          <w:tcPr>
            <w:tcW w:w="580" w:type="dxa"/>
            <w:vAlign w:val="bottom"/>
            <w:tcBorders>
              <w:right w:val="single" w:sz="8" w:color="333333"/>
            </w:tcBorders>
          </w:tcPr>
          <w:p>
            <w:pPr>
              <w:spacing w:after="0"/>
              <w:rPr>
                <w:sz w:val="16"/>
                <w:szCs w:val="16"/>
                <w:color w:val="auto"/>
              </w:rPr>
            </w:pPr>
          </w:p>
        </w:tc>
        <w:tc>
          <w:tcPr>
            <w:tcW w:w="620" w:type="dxa"/>
            <w:vAlign w:val="bottom"/>
            <w:tcBorders>
              <w:right w:val="single" w:sz="8" w:color="333333"/>
            </w:tcBorders>
          </w:tcPr>
          <w:p>
            <w:pPr>
              <w:spacing w:after="0"/>
              <w:rPr>
                <w:sz w:val="16"/>
                <w:szCs w:val="16"/>
                <w:color w:val="auto"/>
              </w:rPr>
            </w:pPr>
          </w:p>
        </w:tc>
        <w:tc>
          <w:tcPr>
            <w:tcW w:w="5820" w:type="dxa"/>
            <w:vAlign w:val="bottom"/>
            <w:tcBorders>
              <w:right w:val="single" w:sz="8" w:color="333333"/>
            </w:tcBorders>
          </w:tcPr>
          <w:p>
            <w:pPr>
              <w:ind w:left="40"/>
              <w:spacing w:after="0"/>
              <w:rPr>
                <w:sz w:val="20"/>
                <w:szCs w:val="20"/>
                <w:color w:val="auto"/>
              </w:rPr>
            </w:pPr>
            <w:r>
              <w:rPr>
                <w:rFonts w:ascii="Arial" w:cs="Arial" w:eastAsia="Arial" w:hAnsi="Arial"/>
                <w:sz w:val="16"/>
                <w:szCs w:val="16"/>
                <w:color w:val="004876"/>
              </w:rPr>
              <w:t xml:space="preserve">• </w:t>
            </w:r>
            <w:r>
              <w:rPr>
                <w:rFonts w:ascii="Arial" w:cs="Arial" w:eastAsia="Arial" w:hAnsi="Arial"/>
                <w:sz w:val="16"/>
                <w:szCs w:val="16"/>
                <w:color w:val="000000"/>
              </w:rPr>
              <w:t>Dividend equivalents accrue on PSUs and are subject to the same vesting,</w:t>
            </w:r>
          </w:p>
        </w:tc>
        <w:tc>
          <w:tcPr>
            <w:tcW w:w="2180" w:type="dxa"/>
            <w:vAlign w:val="bottom"/>
            <w:tcBorders>
              <w:right w:val="single" w:sz="8" w:color="333333"/>
            </w:tcBorders>
          </w:tcPr>
          <w:p>
            <w:pPr>
              <w:ind w:left="24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6"/>
                <w:szCs w:val="16"/>
                <w:color w:val="auto"/>
              </w:rPr>
              <w:t>Subject to a two-year</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980" w:type="dxa"/>
            <w:vAlign w:val="bottom"/>
            <w:tcBorders>
              <w:bottom w:val="single" w:sz="8" w:color="333333"/>
              <w:right w:val="single" w:sz="8" w:color="333333"/>
            </w:tcBorders>
          </w:tcPr>
          <w:p>
            <w:pPr>
              <w:spacing w:after="0"/>
              <w:rPr>
                <w:sz w:val="17"/>
                <w:szCs w:val="17"/>
                <w:color w:val="auto"/>
              </w:rPr>
            </w:pPr>
          </w:p>
        </w:tc>
        <w:tc>
          <w:tcPr>
            <w:tcW w:w="580" w:type="dxa"/>
            <w:vAlign w:val="bottom"/>
            <w:tcBorders>
              <w:bottom w:val="single" w:sz="8" w:color="333333"/>
              <w:right w:val="single" w:sz="8" w:color="333333"/>
            </w:tcBorders>
          </w:tcPr>
          <w:p>
            <w:pPr>
              <w:spacing w:after="0"/>
              <w:rPr>
                <w:sz w:val="17"/>
                <w:szCs w:val="17"/>
                <w:color w:val="auto"/>
              </w:rPr>
            </w:pPr>
          </w:p>
        </w:tc>
        <w:tc>
          <w:tcPr>
            <w:tcW w:w="620" w:type="dxa"/>
            <w:vAlign w:val="bottom"/>
            <w:tcBorders>
              <w:bottom w:val="single" w:sz="8" w:color="333333"/>
              <w:right w:val="single" w:sz="8" w:color="333333"/>
            </w:tcBorders>
          </w:tcPr>
          <w:p>
            <w:pPr>
              <w:spacing w:after="0"/>
              <w:rPr>
                <w:sz w:val="17"/>
                <w:szCs w:val="17"/>
                <w:color w:val="auto"/>
              </w:rPr>
            </w:pPr>
          </w:p>
        </w:tc>
        <w:tc>
          <w:tcPr>
            <w:tcW w:w="5820" w:type="dxa"/>
            <w:vAlign w:val="bottom"/>
            <w:tcBorders>
              <w:bottom w:val="single" w:sz="8" w:color="333333"/>
              <w:right w:val="single" w:sz="8" w:color="333333"/>
            </w:tcBorders>
          </w:tcPr>
          <w:p>
            <w:pPr>
              <w:ind w:left="180"/>
              <w:spacing w:after="0"/>
              <w:rPr>
                <w:sz w:val="20"/>
                <w:szCs w:val="20"/>
                <w:color w:val="auto"/>
              </w:rPr>
            </w:pPr>
            <w:r>
              <w:rPr>
                <w:rFonts w:ascii="Arial" w:cs="Arial" w:eastAsia="Arial" w:hAnsi="Arial"/>
                <w:sz w:val="16"/>
                <w:szCs w:val="16"/>
                <w:color w:val="auto"/>
              </w:rPr>
              <w:t>performance and clawback provisions as the underlying PSUs</w:t>
            </w:r>
          </w:p>
        </w:tc>
        <w:tc>
          <w:tcPr>
            <w:tcW w:w="2180" w:type="dxa"/>
            <w:vAlign w:val="bottom"/>
            <w:tcBorders>
              <w:bottom w:val="single" w:sz="8" w:color="333333"/>
              <w:right w:val="single" w:sz="8" w:color="333333"/>
            </w:tcBorders>
          </w:tcPr>
          <w:p>
            <w:pPr>
              <w:ind w:left="380"/>
              <w:spacing w:after="0"/>
              <w:rPr>
                <w:sz w:val="20"/>
                <w:szCs w:val="20"/>
                <w:color w:val="auto"/>
              </w:rPr>
            </w:pPr>
            <w:r>
              <w:rPr>
                <w:rFonts w:ascii="Arial" w:cs="Arial" w:eastAsia="Arial" w:hAnsi="Arial"/>
                <w:sz w:val="16"/>
                <w:szCs w:val="16"/>
                <w:color w:val="auto"/>
              </w:rPr>
              <w:t>hold after vesting</w:t>
            </w:r>
          </w:p>
        </w:tc>
        <w:tc>
          <w:tcPr>
            <w:tcW w:w="840" w:type="dxa"/>
            <w:vAlign w:val="bottom"/>
            <w:tcBorders>
              <w:bottom w:val="single" w:sz="8" w:color="333333"/>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6751320</wp:posOffset>
            </wp:positionH>
            <wp:positionV relativeFrom="paragraph">
              <wp:posOffset>-1902460</wp:posOffset>
            </wp:positionV>
            <wp:extent cx="137160" cy="14605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37160" cy="146050"/>
                    </a:xfrm>
                    <a:prstGeom prst="rect">
                      <a:avLst/>
                    </a:prstGeom>
                    <a:noFill/>
                  </pic:spPr>
                </pic:pic>
              </a:graphicData>
            </a:graphic>
          </wp:anchor>
        </w:drawing>
        <w:drawing>
          <wp:anchor simplePos="0" relativeHeight="251657728" behindDoc="1" locked="0" layoutInCell="0" allowOverlap="1">
            <wp:simplePos x="0" y="0"/>
            <wp:positionH relativeFrom="column">
              <wp:posOffset>6751320</wp:posOffset>
            </wp:positionH>
            <wp:positionV relativeFrom="paragraph">
              <wp:posOffset>-1490980</wp:posOffset>
            </wp:positionV>
            <wp:extent cx="137160" cy="14605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37160" cy="146050"/>
                    </a:xfrm>
                    <a:prstGeom prst="rect">
                      <a:avLst/>
                    </a:prstGeom>
                    <a:noFill/>
                  </pic:spPr>
                </pic:pic>
              </a:graphicData>
            </a:graphic>
          </wp:anchor>
        </w:drawing>
        <w:drawing>
          <wp:anchor simplePos="0" relativeHeight="251657728" behindDoc="1" locked="0" layoutInCell="0" allowOverlap="1">
            <wp:simplePos x="0" y="0"/>
            <wp:positionH relativeFrom="column">
              <wp:posOffset>6751320</wp:posOffset>
            </wp:positionH>
            <wp:positionV relativeFrom="paragraph">
              <wp:posOffset>-848360</wp:posOffset>
            </wp:positionV>
            <wp:extent cx="137160" cy="14541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37160"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40" w:right="20" w:hanging="175"/>
        <w:spacing w:after="0" w:line="234" w:lineRule="auto"/>
        <w:tabs>
          <w:tab w:leader="none" w:pos="340" w:val="left"/>
        </w:tabs>
        <w:numPr>
          <w:ilvl w:val="0"/>
          <w:numId w:val="98"/>
        </w:numPr>
        <w:rPr>
          <w:rFonts w:ascii="Arial" w:cs="Arial" w:eastAsia="Arial" w:hAnsi="Arial"/>
          <w:sz w:val="10"/>
          <w:szCs w:val="10"/>
          <w:color w:val="auto"/>
        </w:rPr>
      </w:pPr>
      <w:r>
        <w:rPr>
          <w:rFonts w:ascii="Arial" w:cs="Arial" w:eastAsia="Arial" w:hAnsi="Arial"/>
          <w:sz w:val="12"/>
          <w:szCs w:val="12"/>
          <w:color w:val="auto"/>
        </w:rPr>
        <w:t>Excludes Mr. Pinto who is located in the U.K. Due to local regulations, Mr. Pinto receives a fixed allowance (which is not subject to clawback), did not receive a cash incentive, and both his RSUs and PSUs are subject to: (i) extended seven-year vesting period (commencing ratably on the third year anniversary of grant); (ii) additional U.K. clawback/recovery provisions; and (iii) a minimum twelve-month hold after each vesting, and are not eligible for payment/accrual of dividend equivalents. In addition, as it relates to Mr. Pinto’s PSUs, the CMDC may use its discretion, as appropriate, to downward adjust payout based on his performance against qualitative criteria and priorities during the performance period, including performance against his local regulatory responsibilities as a U.K. “Senior Manager” under the Senior Managers &amp; Certification Regime. Local regulators review compensation structures for Identified Staff periodically and may require</w:t>
      </w:r>
    </w:p>
    <w:p>
      <w:pPr>
        <w:ind w:left="340"/>
        <w:spacing w:after="0" w:line="220" w:lineRule="auto"/>
        <w:rPr>
          <w:sz w:val="20"/>
          <w:szCs w:val="20"/>
          <w:color w:val="auto"/>
        </w:rPr>
      </w:pPr>
      <w:r>
        <w:rPr>
          <w:rFonts w:ascii="Arial" w:cs="Arial" w:eastAsia="Arial" w:hAnsi="Arial"/>
          <w:sz w:val="13"/>
          <w:szCs w:val="13"/>
          <w:color w:val="auto"/>
        </w:rPr>
        <w:t>future adjustments. Additional information on the composition of Mr. Pinto’s compensation is on page 65.</w:t>
      </w:r>
    </w:p>
    <w:p>
      <w:pPr>
        <w:ind w:left="340" w:hanging="210"/>
        <w:spacing w:after="0"/>
        <w:tabs>
          <w:tab w:leader="none" w:pos="340" w:val="left"/>
        </w:tabs>
        <w:numPr>
          <w:ilvl w:val="0"/>
          <w:numId w:val="99"/>
        </w:numPr>
        <w:rPr>
          <w:rFonts w:ascii="Arial" w:cs="Arial" w:eastAsia="Arial" w:hAnsi="Arial"/>
          <w:sz w:val="11"/>
          <w:szCs w:val="11"/>
          <w:color w:val="auto"/>
        </w:rPr>
      </w:pPr>
      <w:r>
        <w:rPr>
          <w:rFonts w:ascii="Arial" w:cs="Arial" w:eastAsia="Arial" w:hAnsi="Arial"/>
          <w:sz w:val="13"/>
          <w:szCs w:val="13"/>
          <w:color w:val="auto"/>
        </w:rPr>
        <w:t>Additional information on recovery and clawback provisions is provided on page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260350</wp:posOffset>
            </wp:positionV>
            <wp:extent cx="7029450" cy="19685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029450" cy="19685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jc w:val="center"/>
        <w:ind w:right="-99"/>
        <w:spacing w:after="0"/>
        <w:rPr>
          <w:sz w:val="20"/>
          <w:szCs w:val="20"/>
          <w:color w:val="auto"/>
        </w:rPr>
      </w:pPr>
      <w:r>
        <w:rPr>
          <w:rFonts w:ascii="Arial" w:cs="Arial" w:eastAsia="Arial" w:hAnsi="Arial"/>
          <w:sz w:val="13"/>
          <w:szCs w:val="13"/>
          <w:b w:val="1"/>
          <w:bCs w:val="1"/>
          <w:color w:val="004876"/>
        </w:rPr>
        <w:t>47</w:t>
      </w:r>
    </w:p>
    <w:p>
      <w:pPr>
        <w:sectPr>
          <w:pgSz w:w="11900" w:h="16838" w:orient="portrait"/>
          <w:cols w:equalWidth="0" w:num="1">
            <w:col w:w="11140"/>
          </w:cols>
          <w:pgMar w:left="320" w:top="459" w:right="439" w:bottom="1440" w:gutter="0" w:footer="0" w:header="0"/>
          <w:type w:val="continuous"/>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4876"/>
        </w:rPr>
        <w:t>COMPENSATION DISCUSSION AND ANALYSIS |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160655</wp:posOffset>
            </wp:positionV>
            <wp:extent cx="7029450" cy="26543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029450"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20"/>
        <w:spacing w:after="0"/>
        <w:rPr>
          <w:sz w:val="20"/>
          <w:szCs w:val="20"/>
          <w:color w:val="auto"/>
        </w:rPr>
      </w:pPr>
      <w:r>
        <w:rPr>
          <w:rFonts w:ascii="Arial" w:cs="Arial" w:eastAsia="Arial" w:hAnsi="Arial"/>
          <w:sz w:val="29"/>
          <w:szCs w:val="29"/>
          <w:color w:val="004876"/>
        </w:rPr>
        <w:t>Performance share unit program</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20"/>
          <w:szCs w:val="20"/>
          <w:color w:val="004876"/>
        </w:rPr>
        <w:t>FORMULAIC PROCESS TO DETERMINE PAYOUT</w:t>
      </w:r>
    </w:p>
    <w:p>
      <w:pPr>
        <w:spacing w:after="0" w:line="29"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auto"/>
        </w:rPr>
        <w:t>As part of the design of the PSU award program, the ultimate number of PSUs paid out at vesting is determined by a pre-established formula determined at the time of the award based on the Firm’s absolute and relative ROTCE performance over the subsequent three years, with the value of the payout ranging from 0% to 150%, subject to risk and control features. Similar to RSUs, the value upon vesting of PSUs is also directly tied to the Firm’s performance through its stock price. The CMDC believes that the PSU design continues to appropriately incentivize strong performance by our OC members, does not encourage excessive risk-taking and is aligned with long-term shareholder interests. Since the PSUs were first introduced in 2015, we have received positive shareholder support for this aspect of our executive compensation program. For the 2019 PSU award granted in January 2020, the CMDC maintained the key features of our PSU design, while making several modifications described below that are designed to further strengthen alignment with the long-term interests of shareholders. Additionally, the Committee calibrated the upper and lower absolute ROTCE thresholds to 18% and 6% respectively, based on the current forecast of the Firm’s future performance.</w:t>
      </w:r>
    </w:p>
    <w:p>
      <w:pPr>
        <w:spacing w:after="0" w:line="203" w:lineRule="exact"/>
        <w:rPr>
          <w:sz w:val="20"/>
          <w:szCs w:val="20"/>
          <w:color w:val="auto"/>
        </w:rPr>
      </w:pPr>
    </w:p>
    <w:p>
      <w:pPr>
        <w:ind w:left="120"/>
        <w:spacing w:after="0"/>
        <w:rPr>
          <w:sz w:val="20"/>
          <w:szCs w:val="20"/>
          <w:color w:val="auto"/>
        </w:rPr>
      </w:pPr>
      <w:r>
        <w:rPr>
          <w:rFonts w:ascii="Arial" w:cs="Arial" w:eastAsia="Arial" w:hAnsi="Arial"/>
          <w:sz w:val="20"/>
          <w:szCs w:val="20"/>
          <w:color w:val="004876"/>
        </w:rPr>
        <w:t>ENHANCEMENTS TO 2019 PSU AWARDS</w:t>
      </w:r>
    </w:p>
    <w:p>
      <w:pPr>
        <w:spacing w:after="0" w:line="70" w:lineRule="exact"/>
        <w:rPr>
          <w:sz w:val="20"/>
          <w:szCs w:val="20"/>
          <w:color w:val="auto"/>
        </w:rPr>
      </w:pPr>
    </w:p>
    <w:p>
      <w:pPr>
        <w:ind w:left="120" w:right="540"/>
        <w:spacing w:after="0" w:line="246" w:lineRule="auto"/>
        <w:rPr>
          <w:sz w:val="20"/>
          <w:szCs w:val="20"/>
          <w:color w:val="auto"/>
        </w:rPr>
      </w:pPr>
      <w:r>
        <w:rPr>
          <w:rFonts w:ascii="Arial" w:cs="Arial" w:eastAsia="Arial" w:hAnsi="Arial"/>
          <w:sz w:val="18"/>
          <w:szCs w:val="18"/>
          <w:color w:val="auto"/>
        </w:rPr>
        <w:t>In response to shareholder feedback, the CMDC approved several enhancements to the 2019 PSU awards. Specific enhancements included:</w:t>
      </w:r>
    </w:p>
    <w:p>
      <w:pPr>
        <w:spacing w:after="0" w:line="21" w:lineRule="exact"/>
        <w:rPr>
          <w:sz w:val="20"/>
          <w:szCs w:val="20"/>
          <w:color w:val="auto"/>
        </w:rPr>
      </w:pPr>
    </w:p>
    <w:p>
      <w:pPr>
        <w:ind w:left="340" w:right="140" w:hanging="224"/>
        <w:spacing w:after="0" w:line="246" w:lineRule="auto"/>
        <w:tabs>
          <w:tab w:leader="none" w:pos="340" w:val="left"/>
        </w:tabs>
        <w:numPr>
          <w:ilvl w:val="0"/>
          <w:numId w:val="100"/>
        </w:numPr>
        <w:rPr>
          <w:rFonts w:ascii="Arial" w:cs="Arial" w:eastAsia="Arial" w:hAnsi="Arial"/>
          <w:sz w:val="18"/>
          <w:szCs w:val="18"/>
          <w:color w:val="004876"/>
        </w:rPr>
      </w:pPr>
      <w:r>
        <w:rPr>
          <w:rFonts w:ascii="Arial" w:cs="Arial" w:eastAsia="Arial" w:hAnsi="Arial"/>
          <w:sz w:val="18"/>
          <w:szCs w:val="18"/>
          <w:color w:val="auto"/>
        </w:rPr>
        <w:t>Changing the payout calculation methodology to be based on the Firm’s three-year average ROTCE performance on both an absolute and relative basis. Previously, payout was calculated annually for one-third of the awarded units.</w:t>
      </w:r>
    </w:p>
    <w:p>
      <w:pPr>
        <w:spacing w:after="0" w:line="102" w:lineRule="exact"/>
        <w:rPr>
          <w:rFonts w:ascii="Arial" w:cs="Arial" w:eastAsia="Arial" w:hAnsi="Arial"/>
          <w:sz w:val="18"/>
          <w:szCs w:val="18"/>
          <w:color w:val="004876"/>
        </w:rPr>
      </w:pPr>
    </w:p>
    <w:p>
      <w:pPr>
        <w:ind w:left="340" w:right="1060" w:hanging="224"/>
        <w:spacing w:after="0" w:line="246" w:lineRule="auto"/>
        <w:tabs>
          <w:tab w:leader="none" w:pos="340" w:val="left"/>
        </w:tabs>
        <w:numPr>
          <w:ilvl w:val="0"/>
          <w:numId w:val="100"/>
        </w:numPr>
        <w:rPr>
          <w:rFonts w:ascii="Arial" w:cs="Arial" w:eastAsia="Arial" w:hAnsi="Arial"/>
          <w:sz w:val="18"/>
          <w:szCs w:val="18"/>
          <w:color w:val="004876"/>
        </w:rPr>
      </w:pPr>
      <w:r>
        <w:rPr>
          <w:rFonts w:ascii="Arial" w:cs="Arial" w:eastAsia="Arial" w:hAnsi="Arial"/>
          <w:sz w:val="18"/>
          <w:szCs w:val="18"/>
          <w:color w:val="auto"/>
        </w:rPr>
        <w:t>Increasing the rigor of the relative payout scale to further differentiate payout for outperformance, median performance and underperformance, as summarized below:</w:t>
      </w:r>
    </w:p>
    <w:p>
      <w:pPr>
        <w:spacing w:after="0" w:line="102" w:lineRule="exact"/>
        <w:rPr>
          <w:rFonts w:ascii="Arial" w:cs="Arial" w:eastAsia="Arial" w:hAnsi="Arial"/>
          <w:sz w:val="18"/>
          <w:szCs w:val="18"/>
          <w:color w:val="004876"/>
        </w:rPr>
      </w:pPr>
    </w:p>
    <w:p>
      <w:pPr>
        <w:ind w:left="540" w:hanging="208"/>
        <w:spacing w:after="0"/>
        <w:tabs>
          <w:tab w:leader="none" w:pos="540" w:val="left"/>
        </w:tabs>
        <w:numPr>
          <w:ilvl w:val="1"/>
          <w:numId w:val="100"/>
        </w:numPr>
        <w:rPr>
          <w:rFonts w:ascii="Arial" w:cs="Arial" w:eastAsia="Arial" w:hAnsi="Arial"/>
          <w:sz w:val="15"/>
          <w:szCs w:val="15"/>
          <w:color w:val="auto"/>
        </w:rPr>
      </w:pPr>
      <w:r>
        <w:rPr>
          <w:rFonts w:ascii="Arial" w:cs="Arial" w:eastAsia="Arial" w:hAnsi="Arial"/>
          <w:sz w:val="18"/>
          <w:szCs w:val="18"/>
          <w:color w:val="auto"/>
        </w:rPr>
        <w:t>Top quartile relative performance no longer pays out at 150% for all three ranks;</w:t>
      </w:r>
    </w:p>
    <w:p>
      <w:pPr>
        <w:spacing w:after="0" w:line="63" w:lineRule="exact"/>
        <w:rPr>
          <w:rFonts w:ascii="Arial" w:cs="Arial" w:eastAsia="Arial" w:hAnsi="Arial"/>
          <w:sz w:val="15"/>
          <w:szCs w:val="15"/>
          <w:color w:val="auto"/>
        </w:rPr>
      </w:pPr>
    </w:p>
    <w:p>
      <w:pPr>
        <w:ind w:left="540" w:hanging="208"/>
        <w:spacing w:after="0"/>
        <w:tabs>
          <w:tab w:leader="none" w:pos="540" w:val="left"/>
        </w:tabs>
        <w:numPr>
          <w:ilvl w:val="1"/>
          <w:numId w:val="100"/>
        </w:numPr>
        <w:rPr>
          <w:rFonts w:ascii="Arial" w:cs="Arial" w:eastAsia="Arial" w:hAnsi="Arial"/>
          <w:sz w:val="15"/>
          <w:szCs w:val="15"/>
          <w:color w:val="auto"/>
        </w:rPr>
      </w:pPr>
      <w:r>
        <w:rPr>
          <w:rFonts w:ascii="Arial" w:cs="Arial" w:eastAsia="Arial" w:hAnsi="Arial"/>
          <w:sz w:val="18"/>
          <w:szCs w:val="18"/>
          <w:color w:val="auto"/>
        </w:rPr>
        <w:t>Target (100%) payout now requires above median performance;</w:t>
      </w:r>
    </w:p>
    <w:p>
      <w:pPr>
        <w:spacing w:after="0" w:line="63" w:lineRule="exact"/>
        <w:rPr>
          <w:rFonts w:ascii="Arial" w:cs="Arial" w:eastAsia="Arial" w:hAnsi="Arial"/>
          <w:sz w:val="15"/>
          <w:szCs w:val="15"/>
          <w:color w:val="auto"/>
        </w:rPr>
      </w:pPr>
    </w:p>
    <w:p>
      <w:pPr>
        <w:ind w:left="540" w:hanging="208"/>
        <w:spacing w:after="0"/>
        <w:tabs>
          <w:tab w:leader="none" w:pos="540" w:val="left"/>
        </w:tabs>
        <w:numPr>
          <w:ilvl w:val="1"/>
          <w:numId w:val="100"/>
        </w:numPr>
        <w:rPr>
          <w:rFonts w:ascii="Arial" w:cs="Arial" w:eastAsia="Arial" w:hAnsi="Arial"/>
          <w:sz w:val="15"/>
          <w:szCs w:val="15"/>
          <w:color w:val="auto"/>
        </w:rPr>
      </w:pPr>
      <w:r>
        <w:rPr>
          <w:rFonts w:ascii="Arial" w:cs="Arial" w:eastAsia="Arial" w:hAnsi="Arial"/>
          <w:sz w:val="18"/>
          <w:szCs w:val="18"/>
          <w:color w:val="auto"/>
        </w:rPr>
        <w:t>Below median performance now pays out at a maximum of 80%; and</w:t>
      </w:r>
    </w:p>
    <w:p>
      <w:pPr>
        <w:spacing w:after="0" w:line="63" w:lineRule="exact"/>
        <w:rPr>
          <w:rFonts w:ascii="Arial" w:cs="Arial" w:eastAsia="Arial" w:hAnsi="Arial"/>
          <w:sz w:val="15"/>
          <w:szCs w:val="15"/>
          <w:color w:val="auto"/>
        </w:rPr>
      </w:pPr>
    </w:p>
    <w:p>
      <w:pPr>
        <w:ind w:left="540" w:hanging="208"/>
        <w:spacing w:after="0"/>
        <w:tabs>
          <w:tab w:leader="none" w:pos="540" w:val="left"/>
        </w:tabs>
        <w:numPr>
          <w:ilvl w:val="1"/>
          <w:numId w:val="100"/>
        </w:numPr>
        <w:rPr>
          <w:rFonts w:ascii="Arial" w:cs="Arial" w:eastAsia="Arial" w:hAnsi="Arial"/>
          <w:sz w:val="15"/>
          <w:szCs w:val="15"/>
          <w:color w:val="auto"/>
        </w:rPr>
      </w:pPr>
      <w:r>
        <w:rPr>
          <w:rFonts w:ascii="Arial" w:cs="Arial" w:eastAsia="Arial" w:hAnsi="Arial"/>
          <w:sz w:val="18"/>
          <w:szCs w:val="18"/>
          <w:color w:val="auto"/>
        </w:rPr>
        <w:t>Bottom relative performance now pays out at 0%.</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chart below provides a detailed comparison of the relative performance payout levels for 2019 PSUs vs. PSUs awarded in prior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151765</wp:posOffset>
            </wp:positionV>
            <wp:extent cx="5469255" cy="77978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5469255" cy="77978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1180465</wp:posOffset>
            </wp:positionV>
            <wp:extent cx="7029450" cy="19685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029450" cy="196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19"/>
        <w:spacing w:after="0"/>
        <w:rPr>
          <w:sz w:val="20"/>
          <w:szCs w:val="20"/>
          <w:color w:val="auto"/>
        </w:rPr>
      </w:pPr>
      <w:r>
        <w:rPr>
          <w:rFonts w:ascii="Arial" w:cs="Arial" w:eastAsia="Arial" w:hAnsi="Arial"/>
          <w:sz w:val="13"/>
          <w:szCs w:val="13"/>
          <w:b w:val="1"/>
          <w:bCs w:val="1"/>
          <w:color w:val="004876"/>
        </w:rPr>
        <w:t>48</w:t>
      </w:r>
    </w:p>
    <w:p>
      <w:pPr>
        <w:sectPr>
          <w:pgSz w:w="11900" w:h="16838" w:orient="portrait"/>
          <w:cols w:equalWidth="0" w:num="1">
            <w:col w:w="11140"/>
          </w:cols>
          <w:pgMar w:left="32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04876"/>
        </w:rPr>
        <w:t>EXECUTIVE COMPENSATION | 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160655</wp:posOffset>
            </wp:positionV>
            <wp:extent cx="7029450" cy="26543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029450"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20"/>
        <w:spacing w:after="0"/>
        <w:rPr>
          <w:sz w:val="20"/>
          <w:szCs w:val="20"/>
          <w:color w:val="auto"/>
        </w:rPr>
      </w:pPr>
      <w:r>
        <w:rPr>
          <w:rFonts w:ascii="Arial" w:cs="Arial" w:eastAsia="Arial" w:hAnsi="Arial"/>
          <w:sz w:val="20"/>
          <w:szCs w:val="20"/>
          <w:color w:val="004876"/>
        </w:rPr>
        <w:t>KEY FEATURES OF OUR 2019 PSU PROGRAM</w:t>
      </w:r>
    </w:p>
    <w:p>
      <w:pPr>
        <w:spacing w:after="0" w:line="97" w:lineRule="exact"/>
        <w:rPr>
          <w:sz w:val="20"/>
          <w:szCs w:val="20"/>
          <w:color w:val="auto"/>
        </w:rPr>
      </w:pPr>
    </w:p>
    <w:p>
      <w:pPr>
        <w:ind w:left="120" w:right="300"/>
        <w:spacing w:after="0" w:line="246" w:lineRule="auto"/>
        <w:rPr>
          <w:sz w:val="20"/>
          <w:szCs w:val="20"/>
          <w:color w:val="auto"/>
        </w:rPr>
      </w:pPr>
      <w:r>
        <w:rPr>
          <w:rFonts w:ascii="Arial" w:cs="Arial" w:eastAsia="Arial" w:hAnsi="Arial"/>
          <w:sz w:val="18"/>
          <w:szCs w:val="18"/>
          <w:color w:val="auto"/>
        </w:rPr>
        <w:t>Apart from the shareholder responsive enhancements described on the prior page, the key features of our 2019 PSUs are substantially unchanged and are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142875</wp:posOffset>
            </wp:positionV>
            <wp:extent cx="6995160" cy="41490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995160" cy="4149090"/>
                    </a:xfrm>
                    <a:prstGeom prst="rect">
                      <a:avLst/>
                    </a:prstGeom>
                    <a:noFill/>
                  </pic:spPr>
                </pic:pic>
              </a:graphicData>
            </a:graphic>
          </wp:anchor>
        </w:drawing>
      </w:r>
    </w:p>
    <w:p>
      <w:pPr>
        <w:spacing w:after="0" w:line="206"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1340" w:type="dxa"/>
            <w:vAlign w:val="bottom"/>
          </w:tcPr>
          <w:p>
            <w:pPr>
              <w:ind w:left="60"/>
              <w:spacing w:after="0"/>
              <w:rPr>
                <w:sz w:val="20"/>
                <w:szCs w:val="20"/>
                <w:color w:val="auto"/>
              </w:rPr>
            </w:pPr>
            <w:r>
              <w:rPr>
                <w:rFonts w:ascii="Arial" w:cs="Arial" w:eastAsia="Arial" w:hAnsi="Arial"/>
                <w:sz w:val="16"/>
                <w:szCs w:val="16"/>
                <w:color w:val="004876"/>
              </w:rPr>
              <w:t>Plan Feature</w:t>
            </w:r>
          </w:p>
        </w:tc>
        <w:tc>
          <w:tcPr>
            <w:tcW w:w="9680" w:type="dxa"/>
            <w:vAlign w:val="bottom"/>
          </w:tcPr>
          <w:p>
            <w:pPr>
              <w:ind w:left="3160"/>
              <w:spacing w:after="0"/>
              <w:rPr>
                <w:sz w:val="20"/>
                <w:szCs w:val="20"/>
                <w:color w:val="auto"/>
              </w:rPr>
            </w:pPr>
            <w:r>
              <w:rPr>
                <w:rFonts w:ascii="Arial" w:cs="Arial" w:eastAsia="Arial" w:hAnsi="Arial"/>
                <w:sz w:val="16"/>
                <w:szCs w:val="16"/>
                <w:color w:val="004876"/>
              </w:rPr>
              <w:t>Performance Year 2019 PSU Award Description</w:t>
            </w:r>
          </w:p>
        </w:tc>
      </w:tr>
      <w:tr>
        <w:trPr>
          <w:trHeight w:val="47"/>
        </w:trPr>
        <w:tc>
          <w:tcPr>
            <w:tcW w:w="1340" w:type="dxa"/>
            <w:vAlign w:val="bottom"/>
            <w:tcBorders>
              <w:bottom w:val="single" w:sz="8" w:color="333333"/>
            </w:tcBorders>
          </w:tcPr>
          <w:p>
            <w:pPr>
              <w:spacing w:after="0"/>
              <w:rPr>
                <w:sz w:val="4"/>
                <w:szCs w:val="4"/>
                <w:color w:val="auto"/>
              </w:rPr>
            </w:pPr>
          </w:p>
        </w:tc>
        <w:tc>
          <w:tcPr>
            <w:tcW w:w="9680" w:type="dxa"/>
            <w:vAlign w:val="bottom"/>
            <w:tcBorders>
              <w:bottom w:val="single" w:sz="8" w:color="333333"/>
            </w:tcBorders>
          </w:tcPr>
          <w:p>
            <w:pPr>
              <w:spacing w:after="0"/>
              <w:rPr>
                <w:sz w:val="4"/>
                <w:szCs w:val="4"/>
                <w:color w:val="auto"/>
              </w:rPr>
            </w:pPr>
          </w:p>
        </w:tc>
      </w:tr>
      <w:tr>
        <w:trPr>
          <w:trHeight w:val="231"/>
        </w:trPr>
        <w:tc>
          <w:tcPr>
            <w:tcW w:w="1340" w:type="dxa"/>
            <w:vAlign w:val="bottom"/>
          </w:tcPr>
          <w:p>
            <w:pPr>
              <w:ind w:left="60"/>
              <w:spacing w:after="0"/>
              <w:rPr>
                <w:sz w:val="20"/>
                <w:szCs w:val="20"/>
                <w:color w:val="auto"/>
              </w:rPr>
            </w:pPr>
            <w:r>
              <w:rPr>
                <w:rFonts w:ascii="Arial" w:cs="Arial" w:eastAsia="Arial" w:hAnsi="Arial"/>
                <w:sz w:val="16"/>
                <w:szCs w:val="16"/>
                <w:b w:val="1"/>
                <w:bCs w:val="1"/>
                <w:color w:val="auto"/>
              </w:rPr>
              <w:t>Vehicle</w:t>
            </w:r>
          </w:p>
        </w:tc>
        <w:tc>
          <w:tcPr>
            <w:tcW w:w="9680" w:type="dxa"/>
            <w:vAlign w:val="bottom"/>
          </w:tcPr>
          <w:p>
            <w:pPr>
              <w:ind w:left="240"/>
              <w:spacing w:after="0"/>
              <w:rPr>
                <w:sz w:val="20"/>
                <w:szCs w:val="20"/>
                <w:color w:val="auto"/>
              </w:rPr>
            </w:pPr>
            <w:r>
              <w:rPr>
                <w:rFonts w:ascii="Arial" w:cs="Arial" w:eastAsia="Arial" w:hAnsi="Arial"/>
                <w:sz w:val="16"/>
                <w:szCs w:val="16"/>
                <w:color w:val="004876"/>
              </w:rPr>
              <w:t xml:space="preserve">• </w:t>
            </w:r>
            <w:r>
              <w:rPr>
                <w:rFonts w:ascii="Arial" w:cs="Arial" w:eastAsia="Arial" w:hAnsi="Arial"/>
                <w:sz w:val="16"/>
                <w:szCs w:val="16"/>
                <w:color w:val="000000"/>
              </w:rPr>
              <w:t>Value of units moves with stock price during performance period; units are settled in shares at vesting.</w:t>
            </w:r>
          </w:p>
        </w:tc>
      </w:tr>
      <w:tr>
        <w:trPr>
          <w:trHeight w:val="46"/>
        </w:trPr>
        <w:tc>
          <w:tcPr>
            <w:tcW w:w="1340" w:type="dxa"/>
            <w:vAlign w:val="bottom"/>
            <w:tcBorders>
              <w:bottom w:val="single" w:sz="8" w:color="333333"/>
            </w:tcBorders>
          </w:tcPr>
          <w:p>
            <w:pPr>
              <w:spacing w:after="0"/>
              <w:rPr>
                <w:sz w:val="4"/>
                <w:szCs w:val="4"/>
                <w:color w:val="auto"/>
              </w:rPr>
            </w:pPr>
          </w:p>
        </w:tc>
        <w:tc>
          <w:tcPr>
            <w:tcW w:w="9680" w:type="dxa"/>
            <w:vAlign w:val="bottom"/>
            <w:tcBorders>
              <w:bottom w:val="single" w:sz="8" w:color="333333"/>
            </w:tcBorders>
          </w:tcPr>
          <w:p>
            <w:pPr>
              <w:spacing w:after="0"/>
              <w:rPr>
                <w:sz w:val="4"/>
                <w:szCs w:val="4"/>
                <w:color w:val="auto"/>
              </w:rPr>
            </w:pPr>
          </w:p>
        </w:tc>
      </w:tr>
      <w:tr>
        <w:trPr>
          <w:trHeight w:val="231"/>
        </w:trPr>
        <w:tc>
          <w:tcPr>
            <w:tcW w:w="1340" w:type="dxa"/>
            <w:vAlign w:val="bottom"/>
          </w:tcPr>
          <w:p>
            <w:pPr>
              <w:ind w:left="60"/>
              <w:spacing w:after="0"/>
              <w:rPr>
                <w:sz w:val="20"/>
                <w:szCs w:val="20"/>
                <w:color w:val="auto"/>
              </w:rPr>
            </w:pPr>
            <w:r>
              <w:rPr>
                <w:rFonts w:ascii="Arial" w:cs="Arial" w:eastAsia="Arial" w:hAnsi="Arial"/>
                <w:sz w:val="16"/>
                <w:szCs w:val="16"/>
                <w:b w:val="1"/>
                <w:bCs w:val="1"/>
                <w:color w:val="auto"/>
              </w:rPr>
              <w:t>Time Horizon</w:t>
            </w:r>
          </w:p>
        </w:tc>
        <w:tc>
          <w:tcPr>
            <w:tcW w:w="9680" w:type="dxa"/>
            <w:vAlign w:val="bottom"/>
          </w:tcPr>
          <w:p>
            <w:pPr>
              <w:ind w:left="240"/>
              <w:spacing w:after="0"/>
              <w:rPr>
                <w:sz w:val="20"/>
                <w:szCs w:val="20"/>
                <w:color w:val="auto"/>
              </w:rPr>
            </w:pPr>
            <w:r>
              <w:rPr>
                <w:rFonts w:ascii="Arial" w:cs="Arial" w:eastAsia="Arial" w:hAnsi="Arial"/>
                <w:sz w:val="16"/>
                <w:szCs w:val="16"/>
                <w:color w:val="004876"/>
              </w:rPr>
              <w:t xml:space="preserve">• </w:t>
            </w:r>
            <w:r>
              <w:rPr>
                <w:rFonts w:ascii="Arial" w:cs="Arial" w:eastAsia="Arial" w:hAnsi="Arial"/>
                <w:sz w:val="16"/>
                <w:szCs w:val="16"/>
                <w:color w:val="000000"/>
              </w:rPr>
              <w:t>Three-year cliff-vesting, plus an additional two-year holding period (for a combined five-year holding period).</w:t>
            </w:r>
          </w:p>
        </w:tc>
      </w:tr>
      <w:tr>
        <w:trPr>
          <w:trHeight w:val="46"/>
        </w:trPr>
        <w:tc>
          <w:tcPr>
            <w:tcW w:w="1340" w:type="dxa"/>
            <w:vAlign w:val="bottom"/>
            <w:tcBorders>
              <w:bottom w:val="single" w:sz="8" w:color="333333"/>
            </w:tcBorders>
          </w:tcPr>
          <w:p>
            <w:pPr>
              <w:spacing w:after="0"/>
              <w:rPr>
                <w:sz w:val="4"/>
                <w:szCs w:val="4"/>
                <w:color w:val="auto"/>
              </w:rPr>
            </w:pPr>
          </w:p>
        </w:tc>
        <w:tc>
          <w:tcPr>
            <w:tcW w:w="9680" w:type="dxa"/>
            <w:vAlign w:val="bottom"/>
            <w:tcBorders>
              <w:bottom w:val="single" w:sz="8" w:color="333333"/>
            </w:tcBorders>
          </w:tcPr>
          <w:p>
            <w:pPr>
              <w:spacing w:after="0"/>
              <w:rPr>
                <w:sz w:val="4"/>
                <w:szCs w:val="4"/>
                <w:color w:val="auto"/>
              </w:rPr>
            </w:pPr>
          </w:p>
        </w:tc>
      </w:tr>
      <w:tr>
        <w:trPr>
          <w:trHeight w:val="205"/>
        </w:trPr>
        <w:tc>
          <w:tcPr>
            <w:tcW w:w="1340" w:type="dxa"/>
            <w:vAlign w:val="bottom"/>
          </w:tcPr>
          <w:p>
            <w:pPr>
              <w:ind w:left="60"/>
              <w:spacing w:after="0"/>
              <w:rPr>
                <w:sz w:val="20"/>
                <w:szCs w:val="20"/>
                <w:color w:val="auto"/>
              </w:rPr>
            </w:pPr>
            <w:r>
              <w:rPr>
                <w:rFonts w:ascii="Arial" w:cs="Arial" w:eastAsia="Arial" w:hAnsi="Arial"/>
                <w:sz w:val="16"/>
                <w:szCs w:val="16"/>
                <w:b w:val="1"/>
                <w:bCs w:val="1"/>
                <w:color w:val="auto"/>
              </w:rPr>
              <w:t>Performance</w:t>
            </w:r>
          </w:p>
        </w:tc>
        <w:tc>
          <w:tcPr>
            <w:tcW w:w="9680" w:type="dxa"/>
            <w:vAlign w:val="bottom"/>
          </w:tcPr>
          <w:p>
            <w:pPr>
              <w:ind w:left="240"/>
              <w:spacing w:after="0"/>
              <w:rPr>
                <w:sz w:val="20"/>
                <w:szCs w:val="20"/>
                <w:color w:val="auto"/>
              </w:rPr>
            </w:pPr>
            <w:r>
              <w:rPr>
                <w:rFonts w:ascii="Arial" w:cs="Arial" w:eastAsia="Arial" w:hAnsi="Arial"/>
                <w:sz w:val="16"/>
                <w:szCs w:val="16"/>
                <w:color w:val="004876"/>
              </w:rPr>
              <w:t xml:space="preserve">• </w:t>
            </w:r>
            <w:r>
              <w:rPr>
                <w:rFonts w:ascii="Arial" w:cs="Arial" w:eastAsia="Arial" w:hAnsi="Arial"/>
                <w:sz w:val="16"/>
                <w:szCs w:val="16"/>
                <w:color w:val="000000"/>
              </w:rPr>
              <w:t>The CMDC selected ROTCE, a comprehensive performance metric that measures the Firm’s net income applicable to common</w:t>
            </w:r>
          </w:p>
        </w:tc>
      </w:tr>
      <w:tr>
        <w:trPr>
          <w:trHeight w:val="209"/>
        </w:trPr>
        <w:tc>
          <w:tcPr>
            <w:tcW w:w="1340" w:type="dxa"/>
            <w:vAlign w:val="bottom"/>
          </w:tcPr>
          <w:p>
            <w:pPr>
              <w:ind w:left="60"/>
              <w:spacing w:after="0"/>
              <w:rPr>
                <w:sz w:val="20"/>
                <w:szCs w:val="20"/>
                <w:color w:val="auto"/>
              </w:rPr>
            </w:pPr>
            <w:r>
              <w:rPr>
                <w:rFonts w:ascii="Arial" w:cs="Arial" w:eastAsia="Arial" w:hAnsi="Arial"/>
                <w:sz w:val="16"/>
                <w:szCs w:val="16"/>
                <w:b w:val="1"/>
                <w:bCs w:val="1"/>
                <w:color w:val="auto"/>
              </w:rPr>
              <w:t>Measure</w:t>
            </w:r>
          </w:p>
        </w:tc>
        <w:tc>
          <w:tcPr>
            <w:tcW w:w="9680" w:type="dxa"/>
            <w:vAlign w:val="bottom"/>
          </w:tcPr>
          <w:p>
            <w:pPr>
              <w:ind w:left="380"/>
              <w:spacing w:after="0"/>
              <w:rPr>
                <w:sz w:val="20"/>
                <w:szCs w:val="20"/>
                <w:color w:val="auto"/>
              </w:rPr>
            </w:pPr>
            <w:r>
              <w:rPr>
                <w:rFonts w:ascii="Arial" w:cs="Arial" w:eastAsia="Arial" w:hAnsi="Arial"/>
                <w:sz w:val="16"/>
                <w:szCs w:val="16"/>
                <w:color w:val="auto"/>
              </w:rPr>
              <w:t>equity as a percentage of average tangible common equity. ROTCE is used by the Firm, as well as investors and analysts, in</w:t>
            </w:r>
          </w:p>
        </w:tc>
      </w:tr>
      <w:tr>
        <w:trPr>
          <w:trHeight w:val="189"/>
        </w:trPr>
        <w:tc>
          <w:tcPr>
            <w:tcW w:w="1340" w:type="dxa"/>
            <w:vAlign w:val="bottom"/>
          </w:tcPr>
          <w:p>
            <w:pPr>
              <w:spacing w:after="0"/>
              <w:rPr>
                <w:sz w:val="16"/>
                <w:szCs w:val="16"/>
                <w:color w:val="auto"/>
              </w:rPr>
            </w:pPr>
          </w:p>
        </w:tc>
        <w:tc>
          <w:tcPr>
            <w:tcW w:w="9680" w:type="dxa"/>
            <w:vAlign w:val="bottom"/>
          </w:tcPr>
          <w:p>
            <w:pPr>
              <w:ind w:left="380"/>
              <w:spacing w:after="0"/>
              <w:rPr>
                <w:sz w:val="20"/>
                <w:szCs w:val="20"/>
                <w:color w:val="auto"/>
              </w:rPr>
            </w:pPr>
            <w:r>
              <w:rPr>
                <w:rFonts w:ascii="Arial" w:cs="Arial" w:eastAsia="Arial" w:hAnsi="Arial"/>
                <w:sz w:val="16"/>
                <w:szCs w:val="16"/>
                <w:color w:val="auto"/>
              </w:rPr>
              <w:t>assessing the earnings power of common shareholders’ equity capital and is a useful metric for comparing the profitability of the</w:t>
            </w:r>
          </w:p>
        </w:tc>
      </w:tr>
      <w:tr>
        <w:trPr>
          <w:trHeight w:val="195"/>
        </w:trPr>
        <w:tc>
          <w:tcPr>
            <w:tcW w:w="1340" w:type="dxa"/>
            <w:vAlign w:val="bottom"/>
          </w:tcPr>
          <w:p>
            <w:pPr>
              <w:spacing w:after="0"/>
              <w:rPr>
                <w:sz w:val="16"/>
                <w:szCs w:val="16"/>
                <w:color w:val="auto"/>
              </w:rPr>
            </w:pPr>
          </w:p>
        </w:tc>
        <w:tc>
          <w:tcPr>
            <w:tcW w:w="9680" w:type="dxa"/>
            <w:vAlign w:val="bottom"/>
          </w:tcPr>
          <w:p>
            <w:pPr>
              <w:ind w:left="380"/>
              <w:spacing w:after="0"/>
              <w:rPr>
                <w:sz w:val="20"/>
                <w:szCs w:val="20"/>
                <w:color w:val="auto"/>
              </w:rPr>
            </w:pPr>
            <w:r>
              <w:rPr>
                <w:rFonts w:ascii="Arial" w:cs="Arial" w:eastAsia="Arial" w:hAnsi="Arial"/>
                <w:sz w:val="16"/>
                <w:szCs w:val="16"/>
                <w:color w:val="auto"/>
              </w:rPr>
              <w:t>Firm with that of competitors.</w:t>
            </w:r>
          </w:p>
        </w:tc>
      </w:tr>
      <w:tr>
        <w:trPr>
          <w:trHeight w:val="46"/>
        </w:trPr>
        <w:tc>
          <w:tcPr>
            <w:tcW w:w="1340" w:type="dxa"/>
            <w:vAlign w:val="bottom"/>
            <w:tcBorders>
              <w:bottom w:val="single" w:sz="8" w:color="333333"/>
            </w:tcBorders>
          </w:tcPr>
          <w:p>
            <w:pPr>
              <w:spacing w:after="0"/>
              <w:rPr>
                <w:sz w:val="4"/>
                <w:szCs w:val="4"/>
                <w:color w:val="auto"/>
              </w:rPr>
            </w:pPr>
          </w:p>
        </w:tc>
        <w:tc>
          <w:tcPr>
            <w:tcW w:w="9680" w:type="dxa"/>
            <w:vAlign w:val="bottom"/>
            <w:tcBorders>
              <w:bottom w:val="single" w:sz="8" w:color="333333"/>
            </w:tcBorders>
          </w:tcPr>
          <w:p>
            <w:pPr>
              <w:spacing w:after="0"/>
              <w:rPr>
                <w:sz w:val="4"/>
                <w:szCs w:val="4"/>
                <w:color w:val="auto"/>
              </w:rPr>
            </w:pPr>
          </w:p>
        </w:tc>
      </w:tr>
      <w:tr>
        <w:trPr>
          <w:trHeight w:val="220"/>
        </w:trPr>
        <w:tc>
          <w:tcPr>
            <w:tcW w:w="1340" w:type="dxa"/>
            <w:vAlign w:val="bottom"/>
          </w:tcPr>
          <w:p>
            <w:pPr>
              <w:ind w:left="60"/>
              <w:spacing w:after="0"/>
              <w:rPr>
                <w:sz w:val="20"/>
                <w:szCs w:val="20"/>
                <w:color w:val="auto"/>
              </w:rPr>
            </w:pPr>
            <w:r>
              <w:rPr>
                <w:rFonts w:ascii="Arial" w:cs="Arial" w:eastAsia="Arial" w:hAnsi="Arial"/>
                <w:sz w:val="16"/>
                <w:szCs w:val="16"/>
                <w:b w:val="1"/>
                <w:bCs w:val="1"/>
                <w:color w:val="auto"/>
              </w:rPr>
              <w:t>Payout Scale</w:t>
            </w:r>
          </w:p>
        </w:tc>
        <w:tc>
          <w:tcPr>
            <w:tcW w:w="9680" w:type="dxa"/>
            <w:vAlign w:val="bottom"/>
          </w:tcPr>
          <w:p>
            <w:pPr>
              <w:ind w:left="240"/>
              <w:spacing w:after="0"/>
              <w:rPr>
                <w:sz w:val="20"/>
                <w:szCs w:val="20"/>
                <w:color w:val="auto"/>
              </w:rPr>
            </w:pPr>
            <w:r>
              <w:rPr>
                <w:rFonts w:ascii="Arial" w:cs="Arial" w:eastAsia="Arial" w:hAnsi="Arial"/>
                <w:sz w:val="16"/>
                <w:szCs w:val="16"/>
                <w:color w:val="004876"/>
              </w:rPr>
              <w:t xml:space="preserve">• </w:t>
            </w:r>
            <w:r>
              <w:rPr>
                <w:rFonts w:ascii="Arial" w:cs="Arial" w:eastAsia="Arial" w:hAnsi="Arial"/>
                <w:sz w:val="16"/>
                <w:szCs w:val="16"/>
                <w:color w:val="000000"/>
              </w:rPr>
              <w:t>Payout under the PSU plan is calculated at the end of the three-year performance period based on absolute and relative average</w:t>
            </w:r>
          </w:p>
        </w:tc>
      </w:tr>
      <w:tr>
        <w:trPr>
          <w:trHeight w:val="194"/>
        </w:trPr>
        <w:tc>
          <w:tcPr>
            <w:tcW w:w="1340" w:type="dxa"/>
            <w:vAlign w:val="bottom"/>
          </w:tcPr>
          <w:p>
            <w:pPr>
              <w:spacing w:after="0"/>
              <w:rPr>
                <w:sz w:val="16"/>
                <w:szCs w:val="16"/>
                <w:color w:val="auto"/>
              </w:rPr>
            </w:pPr>
          </w:p>
        </w:tc>
        <w:tc>
          <w:tcPr>
            <w:tcW w:w="9680" w:type="dxa"/>
            <w:vAlign w:val="bottom"/>
          </w:tcPr>
          <w:p>
            <w:pPr>
              <w:ind w:left="380"/>
              <w:spacing w:after="0" w:line="194" w:lineRule="exact"/>
              <w:rPr>
                <w:sz w:val="20"/>
                <w:szCs w:val="20"/>
                <w:color w:val="auto"/>
              </w:rPr>
            </w:pPr>
            <w:r>
              <w:rPr>
                <w:rFonts w:ascii="Arial" w:cs="Arial" w:eastAsia="Arial" w:hAnsi="Arial"/>
                <w:sz w:val="14"/>
                <w:szCs w:val="14"/>
                <w:color w:val="auto"/>
              </w:rPr>
              <w:t>ROTCE</w:t>
            </w:r>
            <w:r>
              <w:rPr>
                <w:rFonts w:ascii="Arial" w:cs="Arial" w:eastAsia="Arial" w:hAnsi="Arial"/>
                <w:sz w:val="22"/>
                <w:szCs w:val="22"/>
                <w:color w:val="auto"/>
                <w:vertAlign w:val="superscript"/>
              </w:rPr>
              <w:t>1</w:t>
            </w:r>
            <w:r>
              <w:rPr>
                <w:rFonts w:ascii="Arial" w:cs="Arial" w:eastAsia="Arial" w:hAnsi="Arial"/>
                <w:sz w:val="14"/>
                <w:szCs w:val="14"/>
                <w:color w:val="auto"/>
              </w:rPr>
              <w:t>, per the payout scale below. The use of both absolute and relative ROTCE helps promote a reasonable outcome for</w:t>
            </w:r>
          </w:p>
        </w:tc>
      </w:tr>
      <w:tr>
        <w:trPr>
          <w:trHeight w:val="189"/>
        </w:trPr>
        <w:tc>
          <w:tcPr>
            <w:tcW w:w="1340" w:type="dxa"/>
            <w:vAlign w:val="bottom"/>
          </w:tcPr>
          <w:p>
            <w:pPr>
              <w:spacing w:after="0"/>
              <w:rPr>
                <w:sz w:val="16"/>
                <w:szCs w:val="16"/>
                <w:color w:val="auto"/>
              </w:rPr>
            </w:pPr>
          </w:p>
        </w:tc>
        <w:tc>
          <w:tcPr>
            <w:tcW w:w="9680" w:type="dxa"/>
            <w:vAlign w:val="bottom"/>
          </w:tcPr>
          <w:p>
            <w:pPr>
              <w:ind w:left="380"/>
              <w:spacing w:after="0"/>
              <w:rPr>
                <w:sz w:val="20"/>
                <w:szCs w:val="20"/>
                <w:color w:val="auto"/>
              </w:rPr>
            </w:pPr>
            <w:r>
              <w:rPr>
                <w:rFonts w:ascii="Arial" w:cs="Arial" w:eastAsia="Arial" w:hAnsi="Arial"/>
                <w:sz w:val="16"/>
                <w:szCs w:val="16"/>
                <w:color w:val="auto"/>
              </w:rPr>
              <w:t>both shareholders and participants. In addition to making the aforementioned changes to the relative scale, the CMDC set the</w:t>
            </w:r>
          </w:p>
        </w:tc>
      </w:tr>
      <w:tr>
        <w:trPr>
          <w:trHeight w:val="189"/>
        </w:trPr>
        <w:tc>
          <w:tcPr>
            <w:tcW w:w="1340" w:type="dxa"/>
            <w:vAlign w:val="bottom"/>
          </w:tcPr>
          <w:p>
            <w:pPr>
              <w:spacing w:after="0"/>
              <w:rPr>
                <w:sz w:val="16"/>
                <w:szCs w:val="16"/>
                <w:color w:val="auto"/>
              </w:rPr>
            </w:pPr>
          </w:p>
        </w:tc>
        <w:tc>
          <w:tcPr>
            <w:tcW w:w="9680" w:type="dxa"/>
            <w:vAlign w:val="bottom"/>
          </w:tcPr>
          <w:p>
            <w:pPr>
              <w:ind w:left="380"/>
              <w:spacing w:after="0"/>
              <w:rPr>
                <w:sz w:val="20"/>
                <w:szCs w:val="20"/>
                <w:color w:val="auto"/>
              </w:rPr>
            </w:pPr>
            <w:r>
              <w:rPr>
                <w:rFonts w:ascii="Arial" w:cs="Arial" w:eastAsia="Arial" w:hAnsi="Arial"/>
                <w:sz w:val="16"/>
                <w:szCs w:val="16"/>
                <w:color w:val="auto"/>
              </w:rPr>
              <w:t>absolute ROTCE thresholds for the 2019 PSU award as follows: (1) maximum payout at 18% or greater, (vs. 14% in 2015 and</w:t>
            </w:r>
          </w:p>
        </w:tc>
      </w:tr>
      <w:tr>
        <w:trPr>
          <w:trHeight w:val="195"/>
        </w:trPr>
        <w:tc>
          <w:tcPr>
            <w:tcW w:w="1340" w:type="dxa"/>
            <w:vAlign w:val="bottom"/>
          </w:tcPr>
          <w:p>
            <w:pPr>
              <w:spacing w:after="0"/>
              <w:rPr>
                <w:sz w:val="16"/>
                <w:szCs w:val="16"/>
                <w:color w:val="auto"/>
              </w:rPr>
            </w:pPr>
          </w:p>
        </w:tc>
        <w:tc>
          <w:tcPr>
            <w:tcW w:w="9680" w:type="dxa"/>
            <w:vAlign w:val="bottom"/>
          </w:tcPr>
          <w:p>
            <w:pPr>
              <w:ind w:left="380"/>
              <w:spacing w:after="0"/>
              <w:rPr>
                <w:sz w:val="20"/>
                <w:szCs w:val="20"/>
                <w:color w:val="auto"/>
              </w:rPr>
            </w:pPr>
            <w:r>
              <w:rPr>
                <w:rFonts w:ascii="Arial" w:cs="Arial" w:eastAsia="Arial" w:hAnsi="Arial"/>
                <w:sz w:val="16"/>
                <w:szCs w:val="16"/>
                <w:color w:val="auto"/>
              </w:rPr>
              <w:t>2016, 17% in 2017, and 18% in 2018); and (2) zero payout at less than 6%, no change from prior years.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1400" w:type="dxa"/>
            <w:vAlign w:val="bottom"/>
          </w:tcPr>
          <w:p>
            <w:pPr>
              <w:ind w:left="60"/>
              <w:spacing w:after="0"/>
              <w:rPr>
                <w:sz w:val="20"/>
                <w:szCs w:val="20"/>
                <w:color w:val="auto"/>
              </w:rPr>
            </w:pPr>
            <w:r>
              <w:rPr>
                <w:rFonts w:ascii="Arial" w:cs="Arial" w:eastAsia="Arial" w:hAnsi="Arial"/>
                <w:sz w:val="16"/>
                <w:szCs w:val="16"/>
                <w:b w:val="1"/>
                <w:bCs w:val="1"/>
                <w:color w:val="auto"/>
              </w:rPr>
              <w:t>PSU</w:t>
            </w:r>
          </w:p>
        </w:tc>
        <w:tc>
          <w:tcPr>
            <w:tcW w:w="9620" w:type="dxa"/>
            <w:vAlign w:val="bottom"/>
          </w:tcPr>
          <w:p>
            <w:pPr>
              <w:ind w:left="180"/>
              <w:spacing w:after="0"/>
              <w:rPr>
                <w:sz w:val="20"/>
                <w:szCs w:val="20"/>
                <w:color w:val="auto"/>
              </w:rPr>
            </w:pPr>
            <w:r>
              <w:rPr>
                <w:rFonts w:ascii="Arial" w:cs="Arial" w:eastAsia="Arial" w:hAnsi="Arial"/>
                <w:sz w:val="16"/>
                <w:szCs w:val="16"/>
                <w:color w:val="004876"/>
              </w:rPr>
              <w:t xml:space="preserve">• </w:t>
            </w:r>
            <w:r>
              <w:rPr>
                <w:rFonts w:ascii="Arial" w:cs="Arial" w:eastAsia="Arial" w:hAnsi="Arial"/>
                <w:sz w:val="16"/>
                <w:szCs w:val="16"/>
                <w:color w:val="000000"/>
              </w:rPr>
              <w:t>In determining companies to include in the relative ROTCE scale, the CMDC selected competitors with business activities that</w:t>
            </w:r>
          </w:p>
        </w:tc>
      </w:tr>
      <w:tr>
        <w:trPr>
          <w:trHeight w:val="189"/>
        </w:trPr>
        <w:tc>
          <w:tcPr>
            <w:tcW w:w="1400" w:type="dxa"/>
            <w:vAlign w:val="bottom"/>
          </w:tcPr>
          <w:p>
            <w:pPr>
              <w:ind w:left="60"/>
              <w:spacing w:after="0"/>
              <w:rPr>
                <w:sz w:val="20"/>
                <w:szCs w:val="20"/>
                <w:color w:val="auto"/>
              </w:rPr>
            </w:pPr>
            <w:r>
              <w:rPr>
                <w:rFonts w:ascii="Arial" w:cs="Arial" w:eastAsia="Arial" w:hAnsi="Arial"/>
                <w:sz w:val="16"/>
                <w:szCs w:val="16"/>
                <w:b w:val="1"/>
                <w:bCs w:val="1"/>
                <w:color w:val="auto"/>
              </w:rPr>
              <w:t>Performance</w:t>
            </w:r>
          </w:p>
        </w:tc>
        <w:tc>
          <w:tcPr>
            <w:tcW w:w="9620" w:type="dxa"/>
            <w:vAlign w:val="bottom"/>
          </w:tcPr>
          <w:p>
            <w:pPr>
              <w:ind w:left="320"/>
              <w:spacing w:after="0"/>
              <w:rPr>
                <w:sz w:val="20"/>
                <w:szCs w:val="20"/>
                <w:color w:val="auto"/>
              </w:rPr>
            </w:pPr>
            <w:r>
              <w:rPr>
                <w:rFonts w:ascii="Arial" w:cs="Arial" w:eastAsia="Arial" w:hAnsi="Arial"/>
                <w:sz w:val="16"/>
                <w:szCs w:val="16"/>
                <w:color w:val="auto"/>
              </w:rPr>
              <w:t>overlap with at least 30% of the Firm’s revenue mix. These are unchanged from prior years and include Bank of America,</w:t>
            </w:r>
          </w:p>
        </w:tc>
      </w:tr>
      <w:tr>
        <w:trPr>
          <w:trHeight w:val="209"/>
        </w:trPr>
        <w:tc>
          <w:tcPr>
            <w:tcW w:w="1400" w:type="dxa"/>
            <w:vAlign w:val="bottom"/>
          </w:tcPr>
          <w:p>
            <w:pPr>
              <w:ind w:left="60"/>
              <w:spacing w:after="0"/>
              <w:rPr>
                <w:sz w:val="20"/>
                <w:szCs w:val="20"/>
                <w:color w:val="auto"/>
              </w:rPr>
            </w:pPr>
            <w:r>
              <w:rPr>
                <w:rFonts w:ascii="Arial" w:cs="Arial" w:eastAsia="Arial" w:hAnsi="Arial"/>
                <w:sz w:val="16"/>
                <w:szCs w:val="16"/>
                <w:b w:val="1"/>
                <w:bCs w:val="1"/>
                <w:color w:val="auto"/>
              </w:rPr>
              <w:t>Companies</w:t>
            </w:r>
          </w:p>
        </w:tc>
        <w:tc>
          <w:tcPr>
            <w:tcW w:w="9620" w:type="dxa"/>
            <w:vAlign w:val="bottom"/>
          </w:tcPr>
          <w:p>
            <w:pPr>
              <w:ind w:left="320"/>
              <w:spacing w:after="0"/>
              <w:rPr>
                <w:sz w:val="20"/>
                <w:szCs w:val="20"/>
                <w:color w:val="auto"/>
              </w:rPr>
            </w:pPr>
            <w:r>
              <w:rPr>
                <w:rFonts w:ascii="Arial" w:cs="Arial" w:eastAsia="Arial" w:hAnsi="Arial"/>
                <w:sz w:val="16"/>
                <w:szCs w:val="16"/>
                <w:color w:val="auto"/>
              </w:rPr>
              <w:t>Barclays, Capital One Financial, Citigroup, Credit Suisse, Deutsche Bank, Goldman Sachs, HSBC, Morgan Stanley, UBS and</w:t>
            </w:r>
          </w:p>
        </w:tc>
      </w:tr>
      <w:tr>
        <w:trPr>
          <w:trHeight w:val="195"/>
        </w:trPr>
        <w:tc>
          <w:tcPr>
            <w:tcW w:w="1400" w:type="dxa"/>
            <w:vAlign w:val="bottom"/>
          </w:tcPr>
          <w:p>
            <w:pPr>
              <w:spacing w:after="0"/>
              <w:rPr>
                <w:sz w:val="16"/>
                <w:szCs w:val="16"/>
                <w:color w:val="auto"/>
              </w:rPr>
            </w:pPr>
          </w:p>
        </w:tc>
        <w:tc>
          <w:tcPr>
            <w:tcW w:w="9620" w:type="dxa"/>
            <w:vAlign w:val="bottom"/>
          </w:tcPr>
          <w:p>
            <w:pPr>
              <w:ind w:left="320"/>
              <w:spacing w:after="0"/>
              <w:rPr>
                <w:sz w:val="20"/>
                <w:szCs w:val="20"/>
                <w:color w:val="auto"/>
              </w:rPr>
            </w:pPr>
            <w:r>
              <w:rPr>
                <w:rFonts w:ascii="Arial" w:cs="Arial" w:eastAsia="Arial" w:hAnsi="Arial"/>
                <w:sz w:val="16"/>
                <w:szCs w:val="16"/>
                <w:color w:val="auto"/>
              </w:rPr>
              <w:t>Wells Fargo.</w:t>
            </w:r>
          </w:p>
        </w:tc>
      </w:tr>
      <w:tr>
        <w:trPr>
          <w:trHeight w:val="47"/>
        </w:trPr>
        <w:tc>
          <w:tcPr>
            <w:tcW w:w="1400" w:type="dxa"/>
            <w:vAlign w:val="bottom"/>
            <w:tcBorders>
              <w:bottom w:val="single" w:sz="8" w:color="7F7F7F"/>
            </w:tcBorders>
          </w:tcPr>
          <w:p>
            <w:pPr>
              <w:spacing w:after="0"/>
              <w:rPr>
                <w:sz w:val="4"/>
                <w:szCs w:val="4"/>
                <w:color w:val="auto"/>
              </w:rPr>
            </w:pPr>
          </w:p>
        </w:tc>
        <w:tc>
          <w:tcPr>
            <w:tcW w:w="9620" w:type="dxa"/>
            <w:vAlign w:val="bottom"/>
            <w:tcBorders>
              <w:bottom w:val="single" w:sz="8" w:color="7F7F7F"/>
            </w:tcBorders>
          </w:tcPr>
          <w:p>
            <w:pPr>
              <w:spacing w:after="0"/>
              <w:rPr>
                <w:sz w:val="4"/>
                <w:szCs w:val="4"/>
                <w:color w:val="auto"/>
              </w:rPr>
            </w:pPr>
          </w:p>
        </w:tc>
      </w:tr>
      <w:tr>
        <w:trPr>
          <w:trHeight w:val="205"/>
        </w:trPr>
        <w:tc>
          <w:tcPr>
            <w:tcW w:w="1400" w:type="dxa"/>
            <w:vAlign w:val="bottom"/>
          </w:tcPr>
          <w:p>
            <w:pPr>
              <w:ind w:left="60"/>
              <w:spacing w:after="0"/>
              <w:rPr>
                <w:sz w:val="20"/>
                <w:szCs w:val="20"/>
                <w:color w:val="auto"/>
              </w:rPr>
            </w:pPr>
            <w:r>
              <w:rPr>
                <w:rFonts w:ascii="Arial" w:cs="Arial" w:eastAsia="Arial" w:hAnsi="Arial"/>
                <w:sz w:val="16"/>
                <w:szCs w:val="16"/>
                <w:b w:val="1"/>
                <w:bCs w:val="1"/>
                <w:color w:val="auto"/>
              </w:rPr>
              <w:t>Minimum Risk-</w:t>
            </w:r>
          </w:p>
        </w:tc>
        <w:tc>
          <w:tcPr>
            <w:tcW w:w="9620" w:type="dxa"/>
            <w:vAlign w:val="bottom"/>
          </w:tcPr>
          <w:p>
            <w:pPr>
              <w:ind w:left="180"/>
              <w:spacing w:after="0" w:line="204" w:lineRule="exact"/>
              <w:rPr>
                <w:sz w:val="20"/>
                <w:szCs w:val="20"/>
                <w:color w:val="auto"/>
              </w:rPr>
            </w:pPr>
            <w:r>
              <w:rPr>
                <w:rFonts w:ascii="Arial" w:cs="Arial" w:eastAsia="Arial" w:hAnsi="Arial"/>
                <w:sz w:val="14"/>
                <w:szCs w:val="14"/>
                <w:color w:val="004876"/>
              </w:rPr>
              <w:t xml:space="preserve">• </w:t>
            </w:r>
            <w:r>
              <w:rPr>
                <w:rFonts w:ascii="Arial" w:cs="Arial" w:eastAsia="Arial" w:hAnsi="Arial"/>
                <w:sz w:val="14"/>
                <w:szCs w:val="14"/>
                <w:color w:val="000000"/>
              </w:rPr>
              <w:t>If the Firm’s common equity Tier 1 (“CET1”) capital ratio</w:t>
            </w:r>
            <w:r>
              <w:rPr>
                <w:rFonts w:ascii="Arial" w:cs="Arial" w:eastAsia="Arial" w:hAnsi="Arial"/>
                <w:sz w:val="23"/>
                <w:szCs w:val="23"/>
                <w:color w:val="000000"/>
                <w:vertAlign w:val="superscript"/>
              </w:rPr>
              <w:t>2</w:t>
            </w:r>
            <w:r>
              <w:rPr>
                <w:rFonts w:ascii="Arial" w:cs="Arial" w:eastAsia="Arial" w:hAnsi="Arial"/>
                <w:sz w:val="14"/>
                <w:szCs w:val="14"/>
                <w:color w:val="004876"/>
              </w:rPr>
              <w:t xml:space="preserve"> </w:t>
            </w:r>
            <w:r>
              <w:rPr>
                <w:rFonts w:ascii="Arial" w:cs="Arial" w:eastAsia="Arial" w:hAnsi="Arial"/>
                <w:sz w:val="14"/>
                <w:szCs w:val="14"/>
                <w:color w:val="000000"/>
              </w:rPr>
              <w:t>is less than 7.5% at any year-end, then up to one-third of unvested</w:t>
            </w:r>
          </w:p>
        </w:tc>
      </w:tr>
      <w:tr>
        <w:trPr>
          <w:trHeight w:val="209"/>
        </w:trPr>
        <w:tc>
          <w:tcPr>
            <w:tcW w:w="1400" w:type="dxa"/>
            <w:vAlign w:val="bottom"/>
          </w:tcPr>
          <w:p>
            <w:pPr>
              <w:ind w:left="60"/>
              <w:spacing w:after="0"/>
              <w:rPr>
                <w:sz w:val="20"/>
                <w:szCs w:val="20"/>
                <w:color w:val="auto"/>
              </w:rPr>
            </w:pPr>
            <w:r>
              <w:rPr>
                <w:rFonts w:ascii="Arial" w:cs="Arial" w:eastAsia="Arial" w:hAnsi="Arial"/>
                <w:sz w:val="16"/>
                <w:szCs w:val="16"/>
                <w:b w:val="1"/>
                <w:bCs w:val="1"/>
                <w:color w:val="auto"/>
              </w:rPr>
              <w:t>based Hurdle</w:t>
            </w:r>
          </w:p>
        </w:tc>
        <w:tc>
          <w:tcPr>
            <w:tcW w:w="9620" w:type="dxa"/>
            <w:vAlign w:val="bottom"/>
          </w:tcPr>
          <w:p>
            <w:pPr>
              <w:ind w:left="320"/>
              <w:spacing w:after="0"/>
              <w:rPr>
                <w:sz w:val="20"/>
                <w:szCs w:val="20"/>
                <w:color w:val="auto"/>
              </w:rPr>
            </w:pPr>
            <w:r>
              <w:rPr>
                <w:rFonts w:ascii="Arial" w:cs="Arial" w:eastAsia="Arial" w:hAnsi="Arial"/>
                <w:sz w:val="16"/>
                <w:szCs w:val="16"/>
                <w:color w:val="auto"/>
              </w:rPr>
              <w:t>PSUs will be subject to downward adjustment by the CMDC for each such year. The CET1 feature was first introduced with the</w:t>
            </w:r>
          </w:p>
        </w:tc>
      </w:tr>
      <w:tr>
        <w:trPr>
          <w:trHeight w:val="195"/>
        </w:trPr>
        <w:tc>
          <w:tcPr>
            <w:tcW w:w="1400" w:type="dxa"/>
            <w:vAlign w:val="bottom"/>
          </w:tcPr>
          <w:p>
            <w:pPr>
              <w:spacing w:after="0"/>
              <w:rPr>
                <w:sz w:val="16"/>
                <w:szCs w:val="16"/>
                <w:color w:val="auto"/>
              </w:rPr>
            </w:pPr>
          </w:p>
        </w:tc>
        <w:tc>
          <w:tcPr>
            <w:tcW w:w="9620" w:type="dxa"/>
            <w:vAlign w:val="bottom"/>
          </w:tcPr>
          <w:p>
            <w:pPr>
              <w:ind w:left="320"/>
              <w:spacing w:after="0"/>
              <w:rPr>
                <w:sz w:val="20"/>
                <w:szCs w:val="20"/>
                <w:color w:val="auto"/>
              </w:rPr>
            </w:pPr>
            <w:r>
              <w:rPr>
                <w:rFonts w:ascii="Arial" w:cs="Arial" w:eastAsia="Arial" w:hAnsi="Arial"/>
                <w:sz w:val="16"/>
                <w:szCs w:val="16"/>
                <w:color w:val="auto"/>
              </w:rPr>
              <w:t>2017 PSU award.</w:t>
            </w:r>
          </w:p>
        </w:tc>
      </w:tr>
      <w:tr>
        <w:trPr>
          <w:trHeight w:val="47"/>
        </w:trPr>
        <w:tc>
          <w:tcPr>
            <w:tcW w:w="1400" w:type="dxa"/>
            <w:vAlign w:val="bottom"/>
            <w:tcBorders>
              <w:bottom w:val="single" w:sz="8" w:color="7F7F7F"/>
            </w:tcBorders>
          </w:tcPr>
          <w:p>
            <w:pPr>
              <w:spacing w:after="0"/>
              <w:rPr>
                <w:sz w:val="4"/>
                <w:szCs w:val="4"/>
                <w:color w:val="auto"/>
              </w:rPr>
            </w:pPr>
          </w:p>
        </w:tc>
        <w:tc>
          <w:tcPr>
            <w:tcW w:w="9620" w:type="dxa"/>
            <w:vAlign w:val="bottom"/>
            <w:tcBorders>
              <w:bottom w:val="single" w:sz="8" w:color="7F7F7F"/>
            </w:tcBorders>
          </w:tcPr>
          <w:p>
            <w:pPr>
              <w:spacing w:after="0"/>
              <w:rPr>
                <w:sz w:val="4"/>
                <w:szCs w:val="4"/>
                <w:color w:val="auto"/>
              </w:rPr>
            </w:pPr>
          </w:p>
        </w:tc>
      </w:tr>
      <w:tr>
        <w:trPr>
          <w:trHeight w:val="205"/>
        </w:trPr>
        <w:tc>
          <w:tcPr>
            <w:tcW w:w="1400" w:type="dxa"/>
            <w:vAlign w:val="bottom"/>
          </w:tcPr>
          <w:p>
            <w:pPr>
              <w:ind w:left="60"/>
              <w:spacing w:after="0"/>
              <w:rPr>
                <w:sz w:val="20"/>
                <w:szCs w:val="20"/>
                <w:color w:val="auto"/>
              </w:rPr>
            </w:pPr>
            <w:r>
              <w:rPr>
                <w:rFonts w:ascii="Arial" w:cs="Arial" w:eastAsia="Arial" w:hAnsi="Arial"/>
                <w:sz w:val="16"/>
                <w:szCs w:val="16"/>
                <w:b w:val="1"/>
                <w:bCs w:val="1"/>
                <w:color w:val="auto"/>
              </w:rPr>
              <w:t>Narrow</w:t>
            </w:r>
          </w:p>
        </w:tc>
        <w:tc>
          <w:tcPr>
            <w:tcW w:w="9620" w:type="dxa"/>
            <w:vAlign w:val="bottom"/>
          </w:tcPr>
          <w:p>
            <w:pPr>
              <w:ind w:left="180"/>
              <w:spacing w:after="0"/>
              <w:rPr>
                <w:sz w:val="20"/>
                <w:szCs w:val="20"/>
                <w:color w:val="auto"/>
              </w:rPr>
            </w:pPr>
            <w:r>
              <w:rPr>
                <w:rFonts w:ascii="Arial" w:cs="Arial" w:eastAsia="Arial" w:hAnsi="Arial"/>
                <w:sz w:val="16"/>
                <w:szCs w:val="16"/>
                <w:color w:val="004876"/>
              </w:rPr>
              <w:t xml:space="preserve">• </w:t>
            </w:r>
            <w:r>
              <w:rPr>
                <w:rFonts w:ascii="Arial" w:cs="Arial" w:eastAsia="Arial" w:hAnsi="Arial"/>
                <w:sz w:val="16"/>
                <w:szCs w:val="16"/>
                <w:color w:val="000000"/>
              </w:rPr>
              <w:t>The CMDC may make adjustments (up or down) to maintain the intended economics of the award in light of changed</w:t>
            </w:r>
          </w:p>
        </w:tc>
      </w:tr>
      <w:tr>
        <w:trPr>
          <w:trHeight w:val="189"/>
        </w:trPr>
        <w:tc>
          <w:tcPr>
            <w:tcW w:w="1400" w:type="dxa"/>
            <w:vAlign w:val="bottom"/>
          </w:tcPr>
          <w:p>
            <w:pPr>
              <w:ind w:left="60"/>
              <w:spacing w:after="0"/>
              <w:rPr>
                <w:sz w:val="20"/>
                <w:szCs w:val="20"/>
                <w:color w:val="auto"/>
              </w:rPr>
            </w:pPr>
            <w:r>
              <w:rPr>
                <w:rFonts w:ascii="Arial" w:cs="Arial" w:eastAsia="Arial" w:hAnsi="Arial"/>
                <w:sz w:val="16"/>
                <w:szCs w:val="16"/>
                <w:b w:val="1"/>
                <w:bCs w:val="1"/>
                <w:color w:val="auto"/>
              </w:rPr>
              <w:t>Adjustment</w:t>
            </w:r>
          </w:p>
        </w:tc>
        <w:tc>
          <w:tcPr>
            <w:tcW w:w="9620" w:type="dxa"/>
            <w:vAlign w:val="bottom"/>
          </w:tcPr>
          <w:p>
            <w:pPr>
              <w:ind w:left="320"/>
              <w:spacing w:after="0"/>
              <w:rPr>
                <w:sz w:val="20"/>
                <w:szCs w:val="20"/>
                <w:color w:val="auto"/>
              </w:rPr>
            </w:pPr>
            <w:r>
              <w:rPr>
                <w:rFonts w:ascii="Arial" w:cs="Arial" w:eastAsia="Arial" w:hAnsi="Arial"/>
                <w:sz w:val="16"/>
                <w:szCs w:val="16"/>
                <w:color w:val="auto"/>
              </w:rPr>
              <w:t>circumstances (e.g., change in accounting rules/policies or changes in capital structure). The CMDC may also make additional</w:t>
            </w:r>
          </w:p>
        </w:tc>
      </w:tr>
      <w:tr>
        <w:trPr>
          <w:trHeight w:val="215"/>
        </w:trPr>
        <w:tc>
          <w:tcPr>
            <w:tcW w:w="1400" w:type="dxa"/>
            <w:vAlign w:val="bottom"/>
          </w:tcPr>
          <w:p>
            <w:pPr>
              <w:ind w:left="60"/>
              <w:spacing w:after="0"/>
              <w:rPr>
                <w:sz w:val="20"/>
                <w:szCs w:val="20"/>
                <w:color w:val="auto"/>
              </w:rPr>
            </w:pPr>
            <w:r>
              <w:rPr>
                <w:rFonts w:ascii="Arial" w:cs="Arial" w:eastAsia="Arial" w:hAnsi="Arial"/>
                <w:sz w:val="16"/>
                <w:szCs w:val="16"/>
                <w:b w:val="1"/>
                <w:bCs w:val="1"/>
                <w:color w:val="auto"/>
              </w:rPr>
              <w:t>Provision</w:t>
            </w:r>
          </w:p>
        </w:tc>
        <w:tc>
          <w:tcPr>
            <w:tcW w:w="9620" w:type="dxa"/>
            <w:vAlign w:val="bottom"/>
          </w:tcPr>
          <w:p>
            <w:pPr>
              <w:ind w:left="320"/>
              <w:spacing w:after="0"/>
              <w:rPr>
                <w:sz w:val="20"/>
                <w:szCs w:val="20"/>
                <w:color w:val="auto"/>
              </w:rPr>
            </w:pPr>
            <w:r>
              <w:rPr>
                <w:rFonts w:ascii="Arial" w:cs="Arial" w:eastAsia="Arial" w:hAnsi="Arial"/>
                <w:sz w:val="16"/>
                <w:szCs w:val="16"/>
                <w:color w:val="auto"/>
              </w:rPr>
              <w:t>downward adjustments in relation to Mr. Pinto’s PSUs (refer to Note 1 on page 47).</w:t>
            </w:r>
          </w:p>
        </w:tc>
      </w:tr>
    </w:tbl>
    <w:p>
      <w:pPr>
        <w:spacing w:after="0" w:line="272" w:lineRule="exact"/>
        <w:rPr>
          <w:sz w:val="20"/>
          <w:szCs w:val="20"/>
          <w:color w:val="auto"/>
        </w:rPr>
      </w:pPr>
    </w:p>
    <w:p>
      <w:pPr>
        <w:ind w:left="120"/>
        <w:spacing w:after="0"/>
        <w:rPr>
          <w:sz w:val="20"/>
          <w:szCs w:val="20"/>
          <w:color w:val="auto"/>
        </w:rPr>
      </w:pPr>
      <w:r>
        <w:rPr>
          <w:rFonts w:ascii="Arial" w:cs="Arial" w:eastAsia="Arial" w:hAnsi="Arial"/>
          <w:sz w:val="20"/>
          <w:szCs w:val="20"/>
          <w:color w:val="004876"/>
        </w:rPr>
        <w:t>PERFORMANCE SHARE UNITS — 5-YEAR TIME HORIZON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19050</wp:posOffset>
            </wp:positionV>
            <wp:extent cx="5657850" cy="120840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5657850" cy="120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40" w:hanging="175"/>
        <w:spacing w:after="0"/>
        <w:tabs>
          <w:tab w:leader="none" w:pos="340" w:val="left"/>
        </w:tabs>
        <w:numPr>
          <w:ilvl w:val="0"/>
          <w:numId w:val="101"/>
        </w:numPr>
        <w:rPr>
          <w:rFonts w:ascii="Arial" w:cs="Arial" w:eastAsia="Arial" w:hAnsi="Arial"/>
          <w:sz w:val="11"/>
          <w:szCs w:val="11"/>
          <w:color w:val="auto"/>
        </w:rPr>
      </w:pPr>
      <w:r>
        <w:rPr>
          <w:rFonts w:ascii="Arial" w:cs="Arial" w:eastAsia="Arial" w:hAnsi="Arial"/>
          <w:sz w:val="13"/>
          <w:szCs w:val="13"/>
          <w:color w:val="auto"/>
        </w:rPr>
        <w:t>Average ROTCE is calculated over the three-year performance period using unadjusted reported data as set forth in public financial disclosures.</w:t>
      </w:r>
    </w:p>
    <w:p>
      <w:pPr>
        <w:spacing w:after="0" w:line="12" w:lineRule="exact"/>
        <w:rPr>
          <w:rFonts w:ascii="Arial" w:cs="Arial" w:eastAsia="Arial" w:hAnsi="Arial"/>
          <w:sz w:val="11"/>
          <w:szCs w:val="11"/>
          <w:color w:val="auto"/>
        </w:rPr>
      </w:pPr>
    </w:p>
    <w:p>
      <w:pPr>
        <w:ind w:left="160"/>
        <w:spacing w:after="0"/>
        <w:rPr>
          <w:rFonts w:ascii="Arial" w:cs="Arial" w:eastAsia="Arial" w:hAnsi="Arial"/>
          <w:sz w:val="11"/>
          <w:szCs w:val="11"/>
          <w:color w:val="auto"/>
        </w:rPr>
      </w:pPr>
      <w:r>
        <w:rPr>
          <w:rFonts w:ascii="Arial" w:cs="Arial" w:eastAsia="Arial" w:hAnsi="Arial"/>
          <w:sz w:val="11"/>
          <w:szCs w:val="11"/>
          <w:color w:val="auto"/>
        </w:rPr>
        <w:t xml:space="preserve">2  </w:t>
      </w:r>
      <w:r>
        <w:rPr>
          <w:rFonts w:ascii="Arial" w:cs="Arial" w:eastAsia="Arial" w:hAnsi="Arial"/>
          <w:sz w:val="12"/>
          <w:szCs w:val="12"/>
          <w:color w:val="auto"/>
        </w:rPr>
        <w:t>The CET1 ratio is a key regulatory capital measure; refer to Additional notes, Note 2, on page 115, for additional information on this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267335</wp:posOffset>
            </wp:positionV>
            <wp:extent cx="7029450" cy="19748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029450" cy="19748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99"/>
        <w:spacing w:after="0"/>
        <w:rPr>
          <w:sz w:val="20"/>
          <w:szCs w:val="20"/>
          <w:color w:val="auto"/>
        </w:rPr>
      </w:pPr>
      <w:r>
        <w:rPr>
          <w:rFonts w:ascii="Arial" w:cs="Arial" w:eastAsia="Arial" w:hAnsi="Arial"/>
          <w:sz w:val="13"/>
          <w:szCs w:val="13"/>
          <w:b w:val="1"/>
          <w:bCs w:val="1"/>
          <w:color w:val="004876"/>
        </w:rPr>
        <w:t>49</w:t>
      </w:r>
    </w:p>
    <w:p>
      <w:pPr>
        <w:sectPr>
          <w:pgSz w:w="11900" w:h="16838" w:orient="portrait"/>
          <w:cols w:equalWidth="0" w:num="1">
            <w:col w:w="11140"/>
          </w:cols>
          <w:pgMar w:left="320" w:top="459" w:right="439" w:bottom="1440" w:gutter="0" w:footer="0" w:header="0"/>
          <w:type w:val="continuous"/>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4876"/>
        </w:rPr>
        <w:t>COMPENSATION DISCUSSION AND ANALYSIS |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160655</wp:posOffset>
            </wp:positionV>
            <wp:extent cx="7029450" cy="26543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029450"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20"/>
        <w:spacing w:after="0"/>
        <w:rPr>
          <w:sz w:val="20"/>
          <w:szCs w:val="20"/>
          <w:color w:val="auto"/>
        </w:rPr>
      </w:pPr>
      <w:r>
        <w:rPr>
          <w:rFonts w:ascii="Arial" w:cs="Arial" w:eastAsia="Arial" w:hAnsi="Arial"/>
          <w:sz w:val="20"/>
          <w:szCs w:val="20"/>
          <w:color w:val="004876"/>
        </w:rPr>
        <w:t>DETERMINING ABSOLUTE AND RELATIVE PSU PERFORMANCE GOALS</w:t>
      </w:r>
    </w:p>
    <w:p>
      <w:pPr>
        <w:spacing w:after="0" w:line="29" w:lineRule="exact"/>
        <w:rPr>
          <w:sz w:val="20"/>
          <w:szCs w:val="20"/>
          <w:color w:val="auto"/>
        </w:rPr>
      </w:pPr>
    </w:p>
    <w:p>
      <w:pPr>
        <w:ind w:left="340" w:right="140" w:hanging="224"/>
        <w:spacing w:after="0" w:line="238" w:lineRule="auto"/>
        <w:tabs>
          <w:tab w:leader="none" w:pos="340" w:val="left"/>
        </w:tabs>
        <w:numPr>
          <w:ilvl w:val="0"/>
          <w:numId w:val="102"/>
        </w:numPr>
        <w:rPr>
          <w:rFonts w:ascii="Arial" w:cs="Arial" w:eastAsia="Arial" w:hAnsi="Arial"/>
          <w:sz w:val="18"/>
          <w:szCs w:val="18"/>
          <w:color w:val="004876"/>
        </w:rPr>
      </w:pPr>
      <w:r>
        <w:rPr>
          <w:rFonts w:ascii="Arial" w:cs="Arial" w:eastAsia="Arial" w:hAnsi="Arial"/>
          <w:sz w:val="18"/>
          <w:szCs w:val="18"/>
          <w:color w:val="auto"/>
        </w:rPr>
        <w:t>Each year the CMDC sets the absolute ROTCE goal and minimum threshold for that year’s PSU award by reviewing the Firm’s historical performance and a reasonable range of possible net income and capital outcomes over the next three years. For the 2019 PSU award granted in January 2020, these outcomes were considered in the context of (among other things) the expected impacts of: regulatory capital requirements; annual stress tests; interest rates; and the U.S. and global economic environment, all of which affect the range of ROTCE outcomes in the medium-term.</w:t>
      </w:r>
    </w:p>
    <w:p>
      <w:pPr>
        <w:spacing w:after="0" w:line="107" w:lineRule="exact"/>
        <w:rPr>
          <w:rFonts w:ascii="Arial" w:cs="Arial" w:eastAsia="Arial" w:hAnsi="Arial"/>
          <w:sz w:val="18"/>
          <w:szCs w:val="18"/>
          <w:color w:val="004876"/>
        </w:rPr>
      </w:pPr>
    </w:p>
    <w:p>
      <w:pPr>
        <w:ind w:left="340" w:right="40" w:hanging="224"/>
        <w:spacing w:after="0" w:line="238" w:lineRule="auto"/>
        <w:tabs>
          <w:tab w:leader="none" w:pos="340" w:val="left"/>
        </w:tabs>
        <w:numPr>
          <w:ilvl w:val="0"/>
          <w:numId w:val="102"/>
        </w:numPr>
        <w:rPr>
          <w:rFonts w:ascii="Arial" w:cs="Arial" w:eastAsia="Arial" w:hAnsi="Arial"/>
          <w:sz w:val="18"/>
          <w:szCs w:val="18"/>
          <w:color w:val="004876"/>
        </w:rPr>
      </w:pPr>
      <w:r>
        <w:rPr>
          <w:rFonts w:ascii="Arial" w:cs="Arial" w:eastAsia="Arial" w:hAnsi="Arial"/>
          <w:sz w:val="18"/>
          <w:szCs w:val="18"/>
          <w:color w:val="auto"/>
        </w:rPr>
        <w:t>Consistent with the Firm’s pay-for-performance philosophy, in setting the relative ROTCE performance goals for the 2019 PSU award, the CMDC determined that payout above target should be limited to instances in which the Firm outperforms the majority of its competitors on a relative basis, with below target payout occurring in instances of underperformance. Achievement of median relative performance results in below-target payout. Outstanding relative performance, which results in a payout of 150%, is limited to achieving a top ranking.</w:t>
      </w:r>
    </w:p>
    <w:p>
      <w:pPr>
        <w:spacing w:after="0" w:line="199" w:lineRule="exact"/>
        <w:rPr>
          <w:sz w:val="20"/>
          <w:szCs w:val="20"/>
          <w:color w:val="auto"/>
        </w:rPr>
      </w:pPr>
    </w:p>
    <w:p>
      <w:pPr>
        <w:ind w:left="120"/>
        <w:spacing w:after="0"/>
        <w:rPr>
          <w:sz w:val="20"/>
          <w:szCs w:val="20"/>
          <w:color w:val="auto"/>
        </w:rPr>
      </w:pPr>
      <w:r>
        <w:rPr>
          <w:rFonts w:ascii="Arial" w:cs="Arial" w:eastAsia="Arial" w:hAnsi="Arial"/>
          <w:sz w:val="20"/>
          <w:szCs w:val="20"/>
          <w:color w:val="004876"/>
        </w:rPr>
        <w:t>PSUS AWARDED FOR PERFORMANCE YEARS 2016, 2017 AND 2018</w:t>
      </w:r>
    </w:p>
    <w:p>
      <w:pPr>
        <w:spacing w:after="0" w:line="29" w:lineRule="exact"/>
        <w:rPr>
          <w:sz w:val="20"/>
          <w:szCs w:val="20"/>
          <w:color w:val="auto"/>
        </w:rPr>
      </w:pPr>
    </w:p>
    <w:p>
      <w:pPr>
        <w:ind w:left="340" w:right="140" w:hanging="224"/>
        <w:spacing w:after="0" w:line="237" w:lineRule="auto"/>
        <w:tabs>
          <w:tab w:leader="none" w:pos="340" w:val="left"/>
        </w:tabs>
        <w:numPr>
          <w:ilvl w:val="0"/>
          <w:numId w:val="103"/>
        </w:numPr>
        <w:rPr>
          <w:rFonts w:ascii="Arial" w:cs="Arial" w:eastAsia="Arial" w:hAnsi="Arial"/>
          <w:sz w:val="18"/>
          <w:szCs w:val="18"/>
          <w:color w:val="004876"/>
        </w:rPr>
      </w:pPr>
      <w:r>
        <w:rPr>
          <w:rFonts w:ascii="Arial" w:cs="Arial" w:eastAsia="Arial" w:hAnsi="Arial"/>
          <w:sz w:val="18"/>
          <w:szCs w:val="18"/>
          <w:color w:val="auto"/>
        </w:rPr>
        <w:t>The Firm reported ROTCE of 12%, 17%, and 19% in 2017, 2018, and 2019 respectively, resulting in first quartile relative performance and an expected payout of 150% for each tranche of the 2016, 2017, and 2018 PSU awards referencing those years. In assessing the Firm’s 2017 and 2018 ROTCE performance against the absolute goal established in the 2016 PSU award, the CMDC reviewed information related to the estimated impact of the enactment of the Tax Cuts and Jobs Act on the Firm’s performance and determined that no adjustment was required to the ultimate payout of that award in order to maintain its intended economics. On March 25, 2020, the 2016 PSU award vested at 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241935</wp:posOffset>
            </wp:positionV>
            <wp:extent cx="7029450" cy="19685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029450" cy="19685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center"/>
        <w:ind w:right="-119"/>
        <w:spacing w:after="0"/>
        <w:rPr>
          <w:sz w:val="20"/>
          <w:szCs w:val="20"/>
          <w:color w:val="auto"/>
        </w:rPr>
      </w:pPr>
      <w:r>
        <w:rPr>
          <w:rFonts w:ascii="Arial" w:cs="Arial" w:eastAsia="Arial" w:hAnsi="Arial"/>
          <w:sz w:val="13"/>
          <w:szCs w:val="13"/>
          <w:b w:val="1"/>
          <w:bCs w:val="1"/>
          <w:color w:val="004876"/>
        </w:rPr>
        <w:t>50</w:t>
      </w:r>
    </w:p>
    <w:p>
      <w:pPr>
        <w:sectPr>
          <w:pgSz w:w="11900" w:h="16838" w:orient="portrait"/>
          <w:cols w:equalWidth="0" w:num="1">
            <w:col w:w="11140"/>
          </w:cols>
          <w:pgMar w:left="32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04876"/>
        </w:rPr>
        <w:t>EXECUTIVE COMPENSATION | 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160655</wp:posOffset>
            </wp:positionV>
            <wp:extent cx="7029450" cy="26543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029450"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20"/>
        <w:spacing w:after="0"/>
        <w:rPr>
          <w:sz w:val="20"/>
          <w:szCs w:val="20"/>
          <w:color w:val="auto"/>
        </w:rPr>
      </w:pPr>
      <w:r>
        <w:rPr>
          <w:rFonts w:ascii="Arial" w:cs="Arial" w:eastAsia="Arial" w:hAnsi="Arial"/>
          <w:sz w:val="28"/>
          <w:szCs w:val="28"/>
          <w:color w:val="004876"/>
        </w:rPr>
        <w:t>Rigorous ownership &amp; accountability support our compensation philosophy</w:t>
      </w:r>
    </w:p>
    <w:p>
      <w:pPr>
        <w:sectPr>
          <w:pgSz w:w="11900" w:h="16838" w:orient="portrait"/>
          <w:cols w:equalWidth="0" w:num="1">
            <w:col w:w="11120"/>
          </w:cols>
          <w:pgMar w:left="320" w:top="459" w:right="459" w:bottom="1440" w:gutter="0" w:footer="0" w:header="0"/>
        </w:sectPr>
      </w:pPr>
    </w:p>
    <w:p>
      <w:pPr>
        <w:spacing w:after="0" w:line="192" w:lineRule="exact"/>
        <w:rPr>
          <w:sz w:val="20"/>
          <w:szCs w:val="20"/>
          <w:color w:val="auto"/>
        </w:rPr>
      </w:pPr>
    </w:p>
    <w:p>
      <w:pPr>
        <w:ind w:left="120" w:right="540"/>
        <w:spacing w:after="0" w:line="236" w:lineRule="auto"/>
        <w:rPr>
          <w:sz w:val="20"/>
          <w:szCs w:val="20"/>
          <w:color w:val="auto"/>
        </w:rPr>
      </w:pPr>
      <w:r>
        <w:rPr>
          <w:rFonts w:ascii="Arial" w:cs="Arial" w:eastAsia="Arial" w:hAnsi="Arial"/>
          <w:sz w:val="20"/>
          <w:szCs w:val="20"/>
          <w:color w:val="004876"/>
        </w:rPr>
        <w:t>STOCK OWNERSHIP GUIDELINE AND RETENTION REQUIREMENTS</w:t>
      </w:r>
    </w:p>
    <w:p>
      <w:pPr>
        <w:spacing w:after="0" w:line="90"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auto"/>
        </w:rPr>
        <w:t>The CMDC believes it is important to align the interests of the OC members with those of our shareholders. To meet this objective, OC members are subject to a stock ownership guideline and retention policy.</w:t>
      </w:r>
    </w:p>
    <w:p>
      <w:pPr>
        <w:spacing w:after="0" w:line="97" w:lineRule="exact"/>
        <w:rPr>
          <w:sz w:val="20"/>
          <w:szCs w:val="20"/>
          <w:color w:val="auto"/>
        </w:rPr>
      </w:pPr>
    </w:p>
    <w:p>
      <w:pPr>
        <w:ind w:left="120" w:right="240"/>
        <w:spacing w:after="0" w:line="246" w:lineRule="auto"/>
        <w:rPr>
          <w:sz w:val="20"/>
          <w:szCs w:val="20"/>
          <w:color w:val="auto"/>
        </w:rPr>
      </w:pPr>
      <w:r>
        <w:rPr>
          <w:rFonts w:ascii="Arial" w:cs="Arial" w:eastAsia="Arial" w:hAnsi="Arial"/>
          <w:sz w:val="18"/>
          <w:szCs w:val="18"/>
          <w:color w:val="auto"/>
        </w:rPr>
        <w:t>While on the Operating Committee, each member is required to accumulate either:</w:t>
      </w:r>
    </w:p>
    <w:p>
      <w:pPr>
        <w:spacing w:after="0" w:line="102" w:lineRule="exact"/>
        <w:rPr>
          <w:sz w:val="20"/>
          <w:szCs w:val="20"/>
          <w:color w:val="auto"/>
        </w:rPr>
      </w:pPr>
    </w:p>
    <w:p>
      <w:pPr>
        <w:ind w:left="300" w:right="160" w:hanging="184"/>
        <w:spacing w:after="0" w:line="246" w:lineRule="auto"/>
        <w:tabs>
          <w:tab w:leader="none" w:pos="300" w:val="left"/>
        </w:tabs>
        <w:numPr>
          <w:ilvl w:val="0"/>
          <w:numId w:val="104"/>
        </w:numPr>
        <w:rPr>
          <w:rFonts w:ascii="Arial" w:cs="Arial" w:eastAsia="Arial" w:hAnsi="Arial"/>
          <w:sz w:val="18"/>
          <w:szCs w:val="18"/>
          <w:color w:val="004876"/>
        </w:rPr>
      </w:pPr>
      <w:r>
        <w:rPr>
          <w:rFonts w:ascii="Arial" w:cs="Arial" w:eastAsia="Arial" w:hAnsi="Arial"/>
          <w:sz w:val="18"/>
          <w:szCs w:val="18"/>
          <w:color w:val="auto"/>
        </w:rPr>
        <w:t>A minimum of between 200,000 and 400,000 shares (1 million shares for the CEO); or</w:t>
      </w:r>
    </w:p>
    <w:p>
      <w:pPr>
        <w:spacing w:after="0" w:line="102" w:lineRule="exact"/>
        <w:rPr>
          <w:rFonts w:ascii="Arial" w:cs="Arial" w:eastAsia="Arial" w:hAnsi="Arial"/>
          <w:sz w:val="18"/>
          <w:szCs w:val="18"/>
          <w:color w:val="004876"/>
        </w:rPr>
      </w:pPr>
    </w:p>
    <w:p>
      <w:pPr>
        <w:ind w:left="300" w:right="180" w:hanging="184"/>
        <w:spacing w:after="0" w:line="246" w:lineRule="auto"/>
        <w:tabs>
          <w:tab w:leader="none" w:pos="300" w:val="left"/>
        </w:tabs>
        <w:numPr>
          <w:ilvl w:val="0"/>
          <w:numId w:val="104"/>
        </w:numPr>
        <w:rPr>
          <w:rFonts w:ascii="Arial" w:cs="Arial" w:eastAsia="Arial" w:hAnsi="Arial"/>
          <w:sz w:val="18"/>
          <w:szCs w:val="18"/>
          <w:color w:val="004876"/>
        </w:rPr>
      </w:pPr>
      <w:r>
        <w:rPr>
          <w:rFonts w:ascii="Arial" w:cs="Arial" w:eastAsia="Arial" w:hAnsi="Arial"/>
          <w:sz w:val="18"/>
          <w:szCs w:val="18"/>
          <w:color w:val="auto"/>
        </w:rPr>
        <w:t>A minimum fixed dollar value of shares of between $10 million and $30 million ($75 million for the CEO).</w:t>
      </w:r>
    </w:p>
    <w:p>
      <w:pPr>
        <w:spacing w:after="0" w:line="89" w:lineRule="exact"/>
        <w:rPr>
          <w:sz w:val="20"/>
          <w:szCs w:val="20"/>
          <w:color w:val="auto"/>
        </w:rPr>
      </w:pPr>
    </w:p>
    <w:p>
      <w:pPr>
        <w:ind w:left="120" w:right="100"/>
        <w:spacing w:after="0" w:line="238" w:lineRule="auto"/>
        <w:rPr>
          <w:sz w:val="20"/>
          <w:szCs w:val="20"/>
          <w:color w:val="auto"/>
        </w:rPr>
      </w:pPr>
      <w:r>
        <w:rPr>
          <w:rFonts w:ascii="Arial" w:cs="Arial" w:eastAsia="Arial" w:hAnsi="Arial"/>
          <w:sz w:val="18"/>
          <w:szCs w:val="18"/>
          <w:color w:val="auto"/>
        </w:rPr>
        <w:t>Shares credited for purposes of satisfying the above ownership levels include shares owned outright, as well as 50% of unvested RSUs and PSUs, but do not include stock appreciation rights or stock options.</w:t>
      </w:r>
    </w:p>
    <w:p>
      <w:pPr>
        <w:spacing w:after="0" w:line="97"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The stock ownership guideline must be met within six years of the later of the effective date of the policy or appointment to the Operating Committee. If the stock ownership guidelines are subsequently increased, the higher ownership guideline must be satisfied within six years of such revision, unless otherwise determined by the CEO and CMDC.</w:t>
      </w:r>
    </w:p>
    <w:p>
      <w:pPr>
        <w:spacing w:after="0" w:line="97"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Prior to reaching their designated share ownership guideline, OC members are required to retain 75% of all net shares received from equity awards. Once they have met their ownership guideline, the policy requires OC members to continue retaining 50% of all net shares received from awards (75% for the CEO) as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70485</wp:posOffset>
            </wp:positionV>
            <wp:extent cx="3360420" cy="81470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3360420" cy="814705"/>
                    </a:xfrm>
                    <a:prstGeom prst="rect">
                      <a:avLst/>
                    </a:prstGeom>
                    <a:noFill/>
                  </pic:spPr>
                </pic:pic>
              </a:graphicData>
            </a:graphic>
          </wp:anchor>
        </w:drawing>
      </w:r>
    </w:p>
    <w:p>
      <w:pPr>
        <w:spacing w:after="0" w:line="91" w:lineRule="exact"/>
        <w:rPr>
          <w:sz w:val="20"/>
          <w:szCs w:val="20"/>
          <w:color w:val="auto"/>
        </w:rPr>
      </w:pPr>
    </w:p>
    <w:p>
      <w:pPr>
        <w:jc w:val="center"/>
        <w:ind w:left="240"/>
        <w:spacing w:after="0"/>
        <w:rPr>
          <w:sz w:val="20"/>
          <w:szCs w:val="20"/>
          <w:color w:val="auto"/>
        </w:rPr>
      </w:pPr>
      <w:r>
        <w:rPr>
          <w:rFonts w:ascii="Arial" w:cs="Arial" w:eastAsia="Arial" w:hAnsi="Arial"/>
          <w:sz w:val="14"/>
          <w:szCs w:val="14"/>
          <w:b w:val="1"/>
          <w:bCs w:val="1"/>
          <w:color w:val="FFFFFF"/>
        </w:rPr>
        <w:t>Retention Requirement</w:t>
      </w:r>
    </w:p>
    <w:p>
      <w:pPr>
        <w:spacing w:after="0" w:line="68" w:lineRule="exact"/>
        <w:rPr>
          <w:sz w:val="20"/>
          <w:szCs w:val="20"/>
          <w:color w:val="auto"/>
        </w:rPr>
      </w:pPr>
    </w:p>
    <w:tbl>
      <w:tblPr>
        <w:tblLayout w:type="fixed"/>
        <w:tblInd w:w="120" w:type="dxa"/>
        <w:tblCellMar>
          <w:top w:w="0" w:type="dxa"/>
          <w:left w:w="0" w:type="dxa"/>
          <w:bottom w:w="0" w:type="dxa"/>
          <w:right w:w="0" w:type="dxa"/>
        </w:tblCellMar>
      </w:tblPr>
      <w:tr>
        <w:trPr>
          <w:trHeight w:val="236"/>
        </w:trPr>
        <w:tc>
          <w:tcPr>
            <w:tcW w:w="2740" w:type="dxa"/>
            <w:vAlign w:val="bottom"/>
            <w:tcBorders>
              <w:bottom w:val="single" w:sz="8" w:color="D8D8D8"/>
            </w:tcBorders>
            <w:shd w:val="clear" w:color="auto" w:fill="D8D8D8"/>
          </w:tcPr>
          <w:p>
            <w:pPr>
              <w:ind w:left="680"/>
              <w:spacing w:after="0"/>
              <w:rPr>
                <w:sz w:val="20"/>
                <w:szCs w:val="20"/>
                <w:color w:val="auto"/>
              </w:rPr>
            </w:pPr>
            <w:r>
              <w:rPr>
                <w:rFonts w:ascii="Arial" w:cs="Arial" w:eastAsia="Arial" w:hAnsi="Arial"/>
                <w:sz w:val="14"/>
                <w:szCs w:val="14"/>
                <w:b w:val="1"/>
                <w:bCs w:val="1"/>
                <w:color w:val="auto"/>
              </w:rPr>
              <w:t>Before Guideline Met</w:t>
            </w:r>
          </w:p>
        </w:tc>
        <w:tc>
          <w:tcPr>
            <w:tcW w:w="2540" w:type="dxa"/>
            <w:vAlign w:val="bottom"/>
            <w:tcBorders>
              <w:bottom w:val="single" w:sz="8" w:color="D8D8D8"/>
            </w:tcBorders>
            <w:shd w:val="clear" w:color="auto" w:fill="D8D8D8"/>
          </w:tcPr>
          <w:p>
            <w:pPr>
              <w:jc w:val="center"/>
              <w:spacing w:after="0"/>
              <w:rPr>
                <w:sz w:val="20"/>
                <w:szCs w:val="20"/>
                <w:color w:val="auto"/>
              </w:rPr>
            </w:pPr>
            <w:r>
              <w:rPr>
                <w:rFonts w:ascii="Arial" w:cs="Arial" w:eastAsia="Arial" w:hAnsi="Arial"/>
                <w:sz w:val="14"/>
                <w:szCs w:val="14"/>
                <w:b w:val="1"/>
                <w:bCs w:val="1"/>
                <w:color w:val="auto"/>
              </w:rPr>
              <w:t>After Guideline Met</w:t>
            </w:r>
          </w:p>
        </w:tc>
      </w:tr>
      <w:tr>
        <w:trPr>
          <w:trHeight w:val="207"/>
        </w:trPr>
        <w:tc>
          <w:tcPr>
            <w:tcW w:w="2740" w:type="dxa"/>
            <w:vAlign w:val="bottom"/>
          </w:tcPr>
          <w:p>
            <w:pPr>
              <w:jc w:val="center"/>
              <w:ind w:left="48"/>
              <w:spacing w:after="0"/>
              <w:rPr>
                <w:sz w:val="20"/>
                <w:szCs w:val="20"/>
                <w:color w:val="auto"/>
              </w:rPr>
            </w:pPr>
            <w:r>
              <w:rPr>
                <w:rFonts w:ascii="Arial" w:cs="Arial" w:eastAsia="Arial" w:hAnsi="Arial"/>
                <w:sz w:val="14"/>
                <w:szCs w:val="14"/>
                <w:color w:val="auto"/>
              </w:rPr>
              <w:t>75% of net shares until</w:t>
            </w:r>
          </w:p>
        </w:tc>
        <w:tc>
          <w:tcPr>
            <w:tcW w:w="2540" w:type="dxa"/>
            <w:vAlign w:val="bottom"/>
          </w:tcPr>
          <w:p>
            <w:pPr>
              <w:jc w:val="center"/>
              <w:ind w:right="8"/>
              <w:spacing w:after="0"/>
              <w:rPr>
                <w:sz w:val="20"/>
                <w:szCs w:val="20"/>
                <w:color w:val="auto"/>
              </w:rPr>
            </w:pPr>
            <w:r>
              <w:rPr>
                <w:rFonts w:ascii="Arial" w:cs="Arial" w:eastAsia="Arial" w:hAnsi="Arial"/>
                <w:sz w:val="14"/>
                <w:szCs w:val="14"/>
                <w:color w:val="auto"/>
              </w:rPr>
              <w:t>50% of net shares for the</w:t>
            </w:r>
          </w:p>
        </w:tc>
      </w:tr>
      <w:tr>
        <w:trPr>
          <w:trHeight w:val="162"/>
        </w:trPr>
        <w:tc>
          <w:tcPr>
            <w:tcW w:w="2740" w:type="dxa"/>
            <w:vAlign w:val="bottom"/>
          </w:tcPr>
          <w:p>
            <w:pPr>
              <w:jc w:val="center"/>
              <w:ind w:left="68"/>
              <w:spacing w:after="0"/>
              <w:rPr>
                <w:sz w:val="20"/>
                <w:szCs w:val="20"/>
                <w:color w:val="auto"/>
              </w:rPr>
            </w:pPr>
            <w:r>
              <w:rPr>
                <w:rFonts w:ascii="Arial" w:cs="Arial" w:eastAsia="Arial" w:hAnsi="Arial"/>
                <w:sz w:val="14"/>
                <w:szCs w:val="14"/>
                <w:color w:val="auto"/>
              </w:rPr>
              <w:t>stock ownership guideline is met</w:t>
            </w:r>
          </w:p>
        </w:tc>
        <w:tc>
          <w:tcPr>
            <w:tcW w:w="2540" w:type="dxa"/>
            <w:vAlign w:val="bottom"/>
          </w:tcPr>
          <w:p>
            <w:pPr>
              <w:jc w:val="center"/>
              <w:ind w:right="8"/>
              <w:spacing w:after="0"/>
              <w:rPr>
                <w:sz w:val="20"/>
                <w:szCs w:val="20"/>
                <w:color w:val="auto"/>
              </w:rPr>
            </w:pPr>
            <w:r>
              <w:rPr>
                <w:rFonts w:ascii="Arial" w:cs="Arial" w:eastAsia="Arial" w:hAnsi="Arial"/>
                <w:sz w:val="14"/>
                <w:szCs w:val="14"/>
                <w:color w:val="auto"/>
              </w:rPr>
              <w:t>duration of their service on the</w:t>
            </w:r>
          </w:p>
        </w:tc>
      </w:tr>
      <w:tr>
        <w:trPr>
          <w:trHeight w:val="148"/>
        </w:trPr>
        <w:tc>
          <w:tcPr>
            <w:tcW w:w="2740" w:type="dxa"/>
            <w:vAlign w:val="bottom"/>
          </w:tcPr>
          <w:p>
            <w:pPr>
              <w:spacing w:after="0"/>
              <w:rPr>
                <w:sz w:val="12"/>
                <w:szCs w:val="12"/>
                <w:color w:val="auto"/>
              </w:rPr>
            </w:pPr>
          </w:p>
        </w:tc>
        <w:tc>
          <w:tcPr>
            <w:tcW w:w="2540" w:type="dxa"/>
            <w:vAlign w:val="bottom"/>
          </w:tcPr>
          <w:p>
            <w:pPr>
              <w:jc w:val="center"/>
              <w:ind w:right="8"/>
              <w:spacing w:after="0" w:line="148" w:lineRule="exact"/>
              <w:rPr>
                <w:sz w:val="20"/>
                <w:szCs w:val="20"/>
                <w:color w:val="auto"/>
              </w:rPr>
            </w:pPr>
            <w:r>
              <w:rPr>
                <w:rFonts w:ascii="Arial" w:cs="Arial" w:eastAsia="Arial" w:hAnsi="Arial"/>
                <w:sz w:val="14"/>
                <w:szCs w:val="14"/>
                <w:color w:val="auto"/>
              </w:rPr>
              <w:t>Operating Committee</w:t>
            </w:r>
          </w:p>
        </w:tc>
      </w:tr>
      <w:tr>
        <w:trPr>
          <w:trHeight w:val="186"/>
        </w:trPr>
        <w:tc>
          <w:tcPr>
            <w:tcW w:w="2740" w:type="dxa"/>
            <w:vAlign w:val="bottom"/>
          </w:tcPr>
          <w:p>
            <w:pPr>
              <w:spacing w:after="0"/>
              <w:rPr>
                <w:sz w:val="16"/>
                <w:szCs w:val="16"/>
                <w:color w:val="auto"/>
              </w:rPr>
            </w:pPr>
          </w:p>
        </w:tc>
        <w:tc>
          <w:tcPr>
            <w:tcW w:w="2540" w:type="dxa"/>
            <w:vAlign w:val="bottom"/>
          </w:tcPr>
          <w:p>
            <w:pPr>
              <w:jc w:val="center"/>
              <w:ind w:right="8"/>
              <w:spacing w:after="0"/>
              <w:rPr>
                <w:sz w:val="20"/>
                <w:szCs w:val="20"/>
                <w:color w:val="auto"/>
              </w:rPr>
            </w:pPr>
            <w:r>
              <w:rPr>
                <w:rFonts w:ascii="Arial" w:cs="Arial" w:eastAsia="Arial" w:hAnsi="Arial"/>
                <w:sz w:val="14"/>
                <w:szCs w:val="14"/>
                <w:i w:val="1"/>
                <w:iCs w:val="1"/>
                <w:color w:val="auto"/>
              </w:rPr>
              <w:t>(75% for the CEO)</w:t>
            </w:r>
          </w:p>
        </w:tc>
      </w:tr>
    </w:tbl>
    <w:p>
      <w:pPr>
        <w:spacing w:after="0" w:line="200"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auto"/>
        </w:rPr>
        <w:t>Because OC members are required to continue accumulating shares even after having met their share ownership guideline, the resulting increase of share ownership over time further strengthens their interests with those of our shareholders.</w:t>
      </w:r>
    </w:p>
    <w:p>
      <w:pPr>
        <w:spacing w:after="0" w:line="202" w:lineRule="exact"/>
        <w:rPr>
          <w:sz w:val="20"/>
          <w:szCs w:val="20"/>
          <w:color w:val="auto"/>
        </w:rPr>
      </w:pPr>
    </w:p>
    <w:p>
      <w:pPr>
        <w:ind w:left="120"/>
        <w:spacing w:after="0"/>
        <w:rPr>
          <w:sz w:val="20"/>
          <w:szCs w:val="20"/>
          <w:color w:val="auto"/>
        </w:rPr>
      </w:pPr>
      <w:r>
        <w:rPr>
          <w:rFonts w:ascii="Arial" w:cs="Arial" w:eastAsia="Arial" w:hAnsi="Arial"/>
          <w:sz w:val="20"/>
          <w:szCs w:val="20"/>
          <w:color w:val="004876"/>
        </w:rPr>
        <w:t>ANTI-HEDGING/ANTI-PLEDGING PROVISIONS</w:t>
      </w:r>
    </w:p>
    <w:p>
      <w:pPr>
        <w:spacing w:after="0" w:line="97" w:lineRule="exact"/>
        <w:rPr>
          <w:sz w:val="20"/>
          <w:szCs w:val="20"/>
          <w:color w:val="auto"/>
        </w:rPr>
      </w:pPr>
    </w:p>
    <w:p>
      <w:pPr>
        <w:ind w:left="120" w:right="200"/>
        <w:spacing w:after="0"/>
        <w:rPr>
          <w:sz w:val="20"/>
          <w:szCs w:val="20"/>
          <w:color w:val="auto"/>
        </w:rPr>
      </w:pPr>
      <w:r>
        <w:rPr>
          <w:rFonts w:ascii="Arial" w:cs="Arial" w:eastAsia="Arial" w:hAnsi="Arial"/>
          <w:sz w:val="18"/>
          <w:szCs w:val="18"/>
          <w:color w:val="auto"/>
        </w:rPr>
        <w:t>All employees are prohibited from hedging or pledging unvested RSUs and PSUs, and unexercised stock appreciation rights or stock options. In addition:</w:t>
      </w:r>
    </w:p>
    <w:p>
      <w:pPr>
        <w:spacing w:after="0" w:line="108" w:lineRule="exact"/>
        <w:rPr>
          <w:sz w:val="20"/>
          <w:szCs w:val="20"/>
          <w:color w:val="auto"/>
        </w:rPr>
      </w:pPr>
    </w:p>
    <w:p>
      <w:pPr>
        <w:ind w:left="300" w:right="680" w:hanging="184"/>
        <w:spacing w:after="0" w:line="246" w:lineRule="auto"/>
        <w:tabs>
          <w:tab w:leader="none" w:pos="300" w:val="left"/>
        </w:tabs>
        <w:numPr>
          <w:ilvl w:val="0"/>
          <w:numId w:val="105"/>
        </w:numPr>
        <w:rPr>
          <w:rFonts w:ascii="Arial" w:cs="Arial" w:eastAsia="Arial" w:hAnsi="Arial"/>
          <w:sz w:val="18"/>
          <w:szCs w:val="18"/>
          <w:color w:val="004876"/>
        </w:rPr>
      </w:pPr>
      <w:r>
        <w:rPr>
          <w:rFonts w:ascii="Arial" w:cs="Arial" w:eastAsia="Arial" w:hAnsi="Arial"/>
          <w:sz w:val="18"/>
          <w:szCs w:val="18"/>
          <w:color w:val="auto"/>
        </w:rPr>
        <w:t>Hedging any shares owned outright or through deferred compensation by an OC member is prohibited</w:t>
      </w:r>
    </w:p>
    <w:p>
      <w:pPr>
        <w:spacing w:after="0" w:line="102" w:lineRule="exact"/>
        <w:rPr>
          <w:rFonts w:ascii="Arial" w:cs="Arial" w:eastAsia="Arial" w:hAnsi="Arial"/>
          <w:sz w:val="18"/>
          <w:szCs w:val="18"/>
          <w:color w:val="004876"/>
        </w:rPr>
      </w:pPr>
    </w:p>
    <w:p>
      <w:pPr>
        <w:ind w:left="300" w:right="320" w:hanging="184"/>
        <w:spacing w:after="0" w:line="246" w:lineRule="auto"/>
        <w:tabs>
          <w:tab w:leader="none" w:pos="300" w:val="left"/>
        </w:tabs>
        <w:numPr>
          <w:ilvl w:val="0"/>
          <w:numId w:val="105"/>
        </w:numPr>
        <w:rPr>
          <w:rFonts w:ascii="Arial" w:cs="Arial" w:eastAsia="Arial" w:hAnsi="Arial"/>
          <w:sz w:val="18"/>
          <w:szCs w:val="18"/>
          <w:color w:val="004876"/>
        </w:rPr>
      </w:pPr>
      <w:r>
        <w:rPr>
          <w:rFonts w:ascii="Arial" w:cs="Arial" w:eastAsia="Arial" w:hAnsi="Arial"/>
          <w:sz w:val="18"/>
          <w:szCs w:val="18"/>
          <w:color w:val="auto"/>
        </w:rPr>
        <w:t>Shares held directly by an OC or Board member may not be held in margin accounts or otherwise pledged</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ind w:left="6" w:right="60"/>
        <w:spacing w:after="0"/>
        <w:rPr>
          <w:sz w:val="20"/>
          <w:szCs w:val="20"/>
          <w:color w:val="auto"/>
        </w:rPr>
      </w:pPr>
      <w:r>
        <w:rPr>
          <w:rFonts w:ascii="Arial" w:cs="Arial" w:eastAsia="Arial" w:hAnsi="Arial"/>
          <w:sz w:val="18"/>
          <w:szCs w:val="18"/>
          <w:color w:val="auto"/>
        </w:rPr>
        <w:t>For information on the hedging/pledging restrictions applicable to our directors, please see “Director compensation” on pages 32 and 33.</w:t>
      </w:r>
    </w:p>
    <w:p>
      <w:pPr>
        <w:spacing w:after="0" w:line="200" w:lineRule="exact"/>
        <w:rPr>
          <w:sz w:val="20"/>
          <w:szCs w:val="20"/>
          <w:color w:val="auto"/>
        </w:rPr>
      </w:pPr>
    </w:p>
    <w:p>
      <w:pPr>
        <w:ind w:left="6"/>
        <w:spacing w:after="0"/>
        <w:rPr>
          <w:sz w:val="20"/>
          <w:szCs w:val="20"/>
          <w:color w:val="auto"/>
        </w:rPr>
      </w:pPr>
      <w:r>
        <w:rPr>
          <w:rFonts w:ascii="Arial" w:cs="Arial" w:eastAsia="Arial" w:hAnsi="Arial"/>
          <w:sz w:val="20"/>
          <w:szCs w:val="20"/>
          <w:color w:val="004876"/>
        </w:rPr>
        <w:t>INTEGRATING RISK WITH COMPENSATION</w:t>
      </w:r>
    </w:p>
    <w:p>
      <w:pPr>
        <w:spacing w:after="0" w:line="97" w:lineRule="exact"/>
        <w:rPr>
          <w:sz w:val="20"/>
          <w:szCs w:val="20"/>
          <w:color w:val="auto"/>
        </w:rPr>
      </w:pPr>
    </w:p>
    <w:p>
      <w:pPr>
        <w:ind w:left="6" w:right="140"/>
        <w:spacing w:after="0" w:line="274" w:lineRule="auto"/>
        <w:rPr>
          <w:sz w:val="20"/>
          <w:szCs w:val="20"/>
          <w:color w:val="auto"/>
        </w:rPr>
      </w:pPr>
      <w:r>
        <w:rPr>
          <w:rFonts w:ascii="Arial" w:cs="Arial" w:eastAsia="Arial" w:hAnsi="Arial"/>
          <w:sz w:val="17"/>
          <w:szCs w:val="17"/>
          <w:color w:val="auto"/>
        </w:rPr>
        <w:t>The CMDC holds an annual joint session with the Risk Committee to review Firmwide HR and compensation practices, including:</w:t>
      </w:r>
    </w:p>
    <w:p>
      <w:pPr>
        <w:spacing w:after="0" w:line="80" w:lineRule="exact"/>
        <w:rPr>
          <w:sz w:val="20"/>
          <w:szCs w:val="20"/>
          <w:color w:val="auto"/>
        </w:rPr>
      </w:pPr>
    </w:p>
    <w:p>
      <w:pPr>
        <w:ind w:left="166" w:right="180" w:hanging="166"/>
        <w:spacing w:after="0"/>
        <w:tabs>
          <w:tab w:leader="none" w:pos="166" w:val="left"/>
        </w:tabs>
        <w:numPr>
          <w:ilvl w:val="0"/>
          <w:numId w:val="106"/>
        </w:numPr>
        <w:rPr>
          <w:rFonts w:ascii="Arial" w:cs="Arial" w:eastAsia="Arial" w:hAnsi="Arial"/>
          <w:sz w:val="18"/>
          <w:szCs w:val="18"/>
          <w:color w:val="004876"/>
        </w:rPr>
      </w:pPr>
      <w:r>
        <w:rPr>
          <w:rFonts w:ascii="Arial" w:cs="Arial" w:eastAsia="Arial" w:hAnsi="Arial"/>
          <w:sz w:val="18"/>
          <w:szCs w:val="18"/>
          <w:color w:val="auto"/>
        </w:rPr>
        <w:t>How we integrate risk, controls and conduct considerations into key HR practices including performance development, compensation, promotion and succession planning</w:t>
      </w:r>
    </w:p>
    <w:p>
      <w:pPr>
        <w:spacing w:after="0" w:line="108" w:lineRule="exact"/>
        <w:rPr>
          <w:rFonts w:ascii="Arial" w:cs="Arial" w:eastAsia="Arial" w:hAnsi="Arial"/>
          <w:sz w:val="18"/>
          <w:szCs w:val="18"/>
          <w:color w:val="004876"/>
        </w:rPr>
      </w:pPr>
    </w:p>
    <w:p>
      <w:pPr>
        <w:ind w:left="166" w:right="300" w:hanging="166"/>
        <w:spacing w:after="0"/>
        <w:tabs>
          <w:tab w:leader="none" w:pos="166" w:val="left"/>
        </w:tabs>
        <w:numPr>
          <w:ilvl w:val="0"/>
          <w:numId w:val="106"/>
        </w:numPr>
        <w:rPr>
          <w:rFonts w:ascii="Arial" w:cs="Arial" w:eastAsia="Arial" w:hAnsi="Arial"/>
          <w:sz w:val="18"/>
          <w:szCs w:val="18"/>
          <w:color w:val="004876"/>
        </w:rPr>
      </w:pPr>
      <w:r>
        <w:rPr>
          <w:rFonts w:ascii="Arial" w:cs="Arial" w:eastAsia="Arial" w:hAnsi="Arial"/>
          <w:sz w:val="18"/>
          <w:szCs w:val="18"/>
          <w:color w:val="auto"/>
        </w:rPr>
        <w:t>Compensation features and elements designed to discourage imprudent risk-taking (e.g., multi-year vesting, clawbacks, prohibition on hedging, etc.)</w:t>
      </w:r>
    </w:p>
    <w:p>
      <w:pPr>
        <w:spacing w:after="0" w:line="108" w:lineRule="exact"/>
        <w:rPr>
          <w:rFonts w:ascii="Arial" w:cs="Arial" w:eastAsia="Arial" w:hAnsi="Arial"/>
          <w:sz w:val="18"/>
          <w:szCs w:val="18"/>
          <w:color w:val="004876"/>
        </w:rPr>
      </w:pPr>
    </w:p>
    <w:p>
      <w:pPr>
        <w:ind w:left="166" w:hanging="166"/>
        <w:spacing w:after="0"/>
        <w:tabs>
          <w:tab w:leader="none" w:pos="166" w:val="left"/>
        </w:tabs>
        <w:numPr>
          <w:ilvl w:val="0"/>
          <w:numId w:val="106"/>
        </w:numPr>
        <w:rPr>
          <w:rFonts w:ascii="Arial" w:cs="Arial" w:eastAsia="Arial" w:hAnsi="Arial"/>
          <w:sz w:val="18"/>
          <w:szCs w:val="18"/>
          <w:color w:val="004876"/>
        </w:rPr>
      </w:pPr>
      <w:r>
        <w:rPr>
          <w:rFonts w:ascii="Arial" w:cs="Arial" w:eastAsia="Arial" w:hAnsi="Arial"/>
          <w:sz w:val="18"/>
          <w:szCs w:val="18"/>
          <w:color w:val="auto"/>
        </w:rPr>
        <w:t>Annual incentive pool processes for LOBs and functions</w:t>
      </w:r>
    </w:p>
    <w:p>
      <w:pPr>
        <w:spacing w:after="0" w:line="117" w:lineRule="exact"/>
        <w:rPr>
          <w:rFonts w:ascii="Arial" w:cs="Arial" w:eastAsia="Arial" w:hAnsi="Arial"/>
          <w:sz w:val="18"/>
          <w:szCs w:val="18"/>
          <w:color w:val="004876"/>
        </w:rPr>
      </w:pPr>
    </w:p>
    <w:p>
      <w:pPr>
        <w:ind w:left="166" w:right="440" w:hanging="166"/>
        <w:spacing w:after="0" w:line="246" w:lineRule="auto"/>
        <w:tabs>
          <w:tab w:leader="none" w:pos="166" w:val="left"/>
        </w:tabs>
        <w:numPr>
          <w:ilvl w:val="0"/>
          <w:numId w:val="106"/>
        </w:numPr>
        <w:rPr>
          <w:rFonts w:ascii="Arial" w:cs="Arial" w:eastAsia="Arial" w:hAnsi="Arial"/>
          <w:sz w:val="18"/>
          <w:szCs w:val="18"/>
          <w:color w:val="004876"/>
        </w:rPr>
      </w:pPr>
      <w:r>
        <w:rPr>
          <w:rFonts w:ascii="Arial" w:cs="Arial" w:eastAsia="Arial" w:hAnsi="Arial"/>
          <w:sz w:val="18"/>
          <w:szCs w:val="18"/>
          <w:color w:val="auto"/>
        </w:rPr>
        <w:t>Regulatory updates which have impacted or may impact HR practices in the future</w:t>
      </w:r>
    </w:p>
    <w:p>
      <w:pPr>
        <w:spacing w:after="0" w:line="89" w:lineRule="exact"/>
        <w:rPr>
          <w:sz w:val="20"/>
          <w:szCs w:val="20"/>
          <w:color w:val="auto"/>
        </w:rPr>
      </w:pPr>
    </w:p>
    <w:p>
      <w:pPr>
        <w:ind w:left="6" w:right="20"/>
        <w:spacing w:after="0" w:line="238" w:lineRule="auto"/>
        <w:rPr>
          <w:sz w:val="20"/>
          <w:szCs w:val="20"/>
          <w:color w:val="auto"/>
        </w:rPr>
      </w:pPr>
      <w:r>
        <w:rPr>
          <w:rFonts w:ascii="Arial" w:cs="Arial" w:eastAsia="Arial" w:hAnsi="Arial"/>
          <w:sz w:val="18"/>
          <w:szCs w:val="18"/>
          <w:color w:val="auto"/>
        </w:rPr>
        <w:t>The committees are also provided with information on our performance development process, a summary of risk, controls and conduct feedback, and updates regarding HR Control Forum issues.</w:t>
      </w:r>
    </w:p>
    <w:p>
      <w:pPr>
        <w:spacing w:after="0" w:line="202" w:lineRule="exact"/>
        <w:rPr>
          <w:sz w:val="20"/>
          <w:szCs w:val="20"/>
          <w:color w:val="auto"/>
        </w:rPr>
      </w:pPr>
    </w:p>
    <w:p>
      <w:pPr>
        <w:ind w:left="6" w:right="1140"/>
        <w:spacing w:after="0" w:line="236" w:lineRule="auto"/>
        <w:rPr>
          <w:sz w:val="20"/>
          <w:szCs w:val="20"/>
          <w:color w:val="auto"/>
        </w:rPr>
      </w:pPr>
      <w:r>
        <w:rPr>
          <w:rFonts w:ascii="Arial" w:cs="Arial" w:eastAsia="Arial" w:hAnsi="Arial"/>
          <w:sz w:val="20"/>
          <w:szCs w:val="20"/>
          <w:color w:val="004876"/>
        </w:rPr>
        <w:t>STRONG ACCOUNTABILITY AND RECOVERY PROVISIONS</w:t>
      </w:r>
    </w:p>
    <w:p>
      <w:pPr>
        <w:spacing w:after="0" w:line="90" w:lineRule="exact"/>
        <w:rPr>
          <w:sz w:val="20"/>
          <w:szCs w:val="20"/>
          <w:color w:val="auto"/>
        </w:rPr>
      </w:pPr>
    </w:p>
    <w:p>
      <w:pPr>
        <w:ind w:left="6"/>
        <w:spacing w:after="0" w:line="238" w:lineRule="auto"/>
        <w:rPr>
          <w:sz w:val="20"/>
          <w:szCs w:val="20"/>
          <w:color w:val="auto"/>
        </w:rPr>
      </w:pPr>
      <w:r>
        <w:rPr>
          <w:rFonts w:ascii="Arial" w:cs="Arial" w:eastAsia="Arial" w:hAnsi="Arial"/>
          <w:sz w:val="18"/>
          <w:szCs w:val="18"/>
          <w:color w:val="auto"/>
        </w:rPr>
        <w:t>Our executive compensation program is designed to hold executives accountable, when appropriate, for meaningful actions or issues that negatively impact business performance or the Firm’s reputation in current or future years.</w:t>
      </w:r>
    </w:p>
    <w:p>
      <w:pPr>
        <w:spacing w:after="0" w:line="97" w:lineRule="exact"/>
        <w:rPr>
          <w:sz w:val="20"/>
          <w:szCs w:val="20"/>
          <w:color w:val="auto"/>
        </w:rPr>
      </w:pPr>
    </w:p>
    <w:p>
      <w:pPr>
        <w:ind w:left="6" w:right="180"/>
        <w:spacing w:after="0" w:line="237" w:lineRule="auto"/>
        <w:rPr>
          <w:sz w:val="20"/>
          <w:szCs w:val="20"/>
          <w:color w:val="auto"/>
        </w:rPr>
      </w:pPr>
      <w:r>
        <w:rPr>
          <w:rFonts w:ascii="Arial" w:cs="Arial" w:eastAsia="Arial" w:hAnsi="Arial"/>
          <w:sz w:val="18"/>
          <w:szCs w:val="18"/>
          <w:color w:val="auto"/>
        </w:rPr>
        <w:t>Issues that may warrant recovery determinations can be raised at any time, including in meetings of the Firm’s risk committees, HR Control Forums, annual assessments of employee performance and when Designated Employees resign or their employment is terminated by the Firm. Under the Firm’s process to govern these determinations:</w:t>
      </w:r>
    </w:p>
    <w:p>
      <w:pPr>
        <w:spacing w:after="0" w:line="110" w:lineRule="exact"/>
        <w:rPr>
          <w:sz w:val="20"/>
          <w:szCs w:val="20"/>
          <w:color w:val="auto"/>
        </w:rPr>
      </w:pPr>
    </w:p>
    <w:p>
      <w:pPr>
        <w:ind w:left="166" w:right="120" w:hanging="166"/>
        <w:spacing w:after="0" w:line="238" w:lineRule="auto"/>
        <w:tabs>
          <w:tab w:leader="none" w:pos="166" w:val="left"/>
        </w:tabs>
        <w:numPr>
          <w:ilvl w:val="0"/>
          <w:numId w:val="107"/>
        </w:numPr>
        <w:rPr>
          <w:rFonts w:ascii="Arial" w:cs="Arial" w:eastAsia="Arial" w:hAnsi="Arial"/>
          <w:sz w:val="18"/>
          <w:szCs w:val="18"/>
          <w:color w:val="004876"/>
        </w:rPr>
      </w:pPr>
      <w:r>
        <w:rPr>
          <w:rFonts w:ascii="Arial" w:cs="Arial" w:eastAsia="Arial" w:hAnsi="Arial"/>
          <w:sz w:val="18"/>
          <w:szCs w:val="18"/>
          <w:color w:val="auto"/>
        </w:rPr>
        <w:t>We have established a process for reviewing compensation or other employee actions following a determination that the cause and materiality of a risk-related loss, issue or other set of facts and circumstances warrants such a review of accountability</w:t>
      </w:r>
    </w:p>
    <w:p>
      <w:pPr>
        <w:spacing w:after="0" w:line="110" w:lineRule="exact"/>
        <w:rPr>
          <w:rFonts w:ascii="Arial" w:cs="Arial" w:eastAsia="Arial" w:hAnsi="Arial"/>
          <w:sz w:val="18"/>
          <w:szCs w:val="18"/>
          <w:color w:val="004876"/>
        </w:rPr>
      </w:pPr>
    </w:p>
    <w:p>
      <w:pPr>
        <w:ind w:left="166" w:right="220" w:hanging="166"/>
        <w:spacing w:after="0" w:line="237" w:lineRule="auto"/>
        <w:tabs>
          <w:tab w:leader="none" w:pos="166" w:val="left"/>
        </w:tabs>
        <w:numPr>
          <w:ilvl w:val="0"/>
          <w:numId w:val="107"/>
        </w:numPr>
        <w:rPr>
          <w:rFonts w:ascii="Arial" w:cs="Arial" w:eastAsia="Arial" w:hAnsi="Arial"/>
          <w:sz w:val="18"/>
          <w:szCs w:val="18"/>
          <w:color w:val="004876"/>
        </w:rPr>
      </w:pPr>
      <w:r>
        <w:rPr>
          <w:rFonts w:ascii="Arial" w:cs="Arial" w:eastAsia="Arial" w:hAnsi="Arial"/>
          <w:sz w:val="18"/>
          <w:szCs w:val="18"/>
          <w:color w:val="auto"/>
        </w:rPr>
        <w:t>The CMDC is responsible for determinations involving OC members (determinations involving the CEO are subject to ratification by independent members of the Board). The CMDC has delegated authority for determinations involving other employees to the Head of Human Resources or his or her designee, usually through the HR Control Forum process described on page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-3566795</wp:posOffset>
            </wp:positionH>
            <wp:positionV relativeFrom="paragraph">
              <wp:posOffset>883920</wp:posOffset>
            </wp:positionV>
            <wp:extent cx="7029450" cy="19685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029450" cy="196850"/>
                    </a:xfrm>
                    <a:prstGeom prst="rect">
                      <a:avLst/>
                    </a:prstGeom>
                    <a:noFill/>
                  </pic:spPr>
                </pic:pic>
              </a:graphicData>
            </a:graphic>
          </wp:anchor>
        </w:drawing>
      </w:r>
    </w:p>
    <w:p>
      <w:pPr>
        <w:spacing w:after="0" w:line="1070" w:lineRule="exact"/>
        <w:rPr>
          <w:sz w:val="20"/>
          <w:szCs w:val="20"/>
          <w:color w:val="auto"/>
        </w:rPr>
      </w:pPr>
    </w:p>
    <w:p>
      <w:pPr>
        <w:sectPr>
          <w:pgSz w:w="11900" w:h="16838" w:orient="portrait"/>
          <w:cols w:equalWidth="0" w:num="2">
            <w:col w:w="5400" w:space="334"/>
            <w:col w:w="5386"/>
          </w:cols>
          <w:pgMar w:left="320" w:top="459" w:right="459" w:bottom="1440" w:gutter="0" w:footer="0" w:header="0"/>
          <w:type w:val="continuous"/>
        </w:sectPr>
      </w:pPr>
    </w:p>
    <w:p>
      <w:pPr>
        <w:spacing w:after="0" w:line="399" w:lineRule="exact"/>
        <w:rPr>
          <w:sz w:val="20"/>
          <w:szCs w:val="20"/>
          <w:color w:val="auto"/>
        </w:rPr>
      </w:pPr>
    </w:p>
    <w:p>
      <w:pPr>
        <w:jc w:val="center"/>
        <w:ind w:right="-119"/>
        <w:spacing w:after="0"/>
        <w:rPr>
          <w:sz w:val="20"/>
          <w:szCs w:val="20"/>
          <w:color w:val="auto"/>
        </w:rPr>
      </w:pPr>
      <w:r>
        <w:rPr>
          <w:rFonts w:ascii="Arial" w:cs="Arial" w:eastAsia="Arial" w:hAnsi="Arial"/>
          <w:sz w:val="13"/>
          <w:szCs w:val="13"/>
          <w:b w:val="1"/>
          <w:bCs w:val="1"/>
          <w:color w:val="004876"/>
        </w:rPr>
        <w:t>51</w:t>
      </w:r>
    </w:p>
    <w:p>
      <w:pPr>
        <w:sectPr>
          <w:pgSz w:w="11900" w:h="16838" w:orient="portrait"/>
          <w:cols w:equalWidth="0" w:num="1">
            <w:col w:w="11120"/>
          </w:cols>
          <w:pgMar w:left="320" w:top="459" w:right="459" w:bottom="1440" w:gutter="0" w:footer="0" w:header="0"/>
          <w:type w:val="continuous"/>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4876"/>
        </w:rPr>
        <w:t>COMPENSATION DISCUSSION AND ANALYSIS |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160655</wp:posOffset>
            </wp:positionV>
            <wp:extent cx="7029450" cy="26543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029450"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20" w:right="360"/>
        <w:spacing w:after="0" w:line="246" w:lineRule="auto"/>
        <w:rPr>
          <w:sz w:val="20"/>
          <w:szCs w:val="20"/>
          <w:color w:val="auto"/>
        </w:rPr>
      </w:pPr>
      <w:r>
        <w:rPr>
          <w:rFonts w:ascii="Arial" w:cs="Arial" w:eastAsia="Arial" w:hAnsi="Arial"/>
          <w:sz w:val="18"/>
          <w:szCs w:val="18"/>
          <w:color w:val="auto"/>
        </w:rPr>
        <w:t>We maintain review processes to evaluate risk, controls and conduct issues and to identify individuals who may be subject to remedial actions such as impacts to compensation and/or termination.</w:t>
      </w:r>
    </w:p>
    <w:p>
      <w:pPr>
        <w:spacing w:after="0" w:line="275" w:lineRule="exact"/>
        <w:rPr>
          <w:sz w:val="20"/>
          <w:szCs w:val="20"/>
          <w:color w:val="auto"/>
        </w:rPr>
      </w:pPr>
    </w:p>
    <w:p>
      <w:pPr>
        <w:ind w:left="120"/>
        <w:spacing w:after="0"/>
        <w:tabs>
          <w:tab w:leader="none" w:pos="5720" w:val="left"/>
        </w:tabs>
        <w:rPr>
          <w:sz w:val="20"/>
          <w:szCs w:val="20"/>
          <w:color w:val="auto"/>
        </w:rPr>
      </w:pPr>
      <w:r>
        <w:rPr>
          <w:rFonts w:ascii="Arial" w:cs="Arial" w:eastAsia="Arial" w:hAnsi="Arial"/>
          <w:sz w:val="20"/>
          <w:szCs w:val="20"/>
          <w:color w:val="004876"/>
        </w:rPr>
        <w:t>RISK, CONTROLS &amp; CONDUCT REVIEW PROCESS</w:t>
      </w:r>
      <w:r>
        <w:rPr>
          <w:sz w:val="20"/>
          <w:szCs w:val="20"/>
          <w:color w:val="auto"/>
        </w:rPr>
        <w:tab/>
      </w:r>
      <w:r>
        <w:rPr>
          <w:rFonts w:ascii="Arial" w:cs="Arial" w:eastAsia="Arial" w:hAnsi="Arial"/>
          <w:sz w:val="19"/>
          <w:szCs w:val="19"/>
          <w:color w:val="004876"/>
        </w:rPr>
        <w:t>HOLDING INDIVIDUALS ACCOUNTABLE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68580</wp:posOffset>
            </wp:positionV>
            <wp:extent cx="6998970" cy="686181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998970" cy="6861810"/>
                    </a:xfrm>
                    <a:prstGeom prst="rect">
                      <a:avLst/>
                    </a:prstGeom>
                    <a:noFill/>
                  </pic:spPr>
                </pic:pic>
              </a:graphicData>
            </a:graphic>
          </wp:anchor>
        </w:drawing>
      </w:r>
    </w:p>
    <w:p>
      <w:pPr>
        <w:spacing w:after="0" w:line="363" w:lineRule="exact"/>
        <w:rPr>
          <w:sz w:val="20"/>
          <w:szCs w:val="20"/>
          <w:color w:val="auto"/>
        </w:rPr>
      </w:pPr>
    </w:p>
    <w:p>
      <w:pPr>
        <w:ind w:left="5920" w:right="320"/>
        <w:spacing w:after="0" w:line="250" w:lineRule="auto"/>
        <w:rPr>
          <w:sz w:val="20"/>
          <w:szCs w:val="20"/>
          <w:color w:val="auto"/>
        </w:rPr>
      </w:pPr>
      <w:r>
        <w:rPr>
          <w:rFonts w:ascii="Arial" w:cs="Arial" w:eastAsia="Arial" w:hAnsi="Arial"/>
          <w:sz w:val="16"/>
          <w:szCs w:val="16"/>
          <w:color w:val="auto"/>
        </w:rPr>
        <w:t>To hold individuals responsible for taking risks inconsistent with the Firm’s risk appetite and to discourage future imprudent behavior, the Firm has policies and procedures that enable it to take prompt and proportionate actions with respect to accountable individuals, including:</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920" w:right="400"/>
        <w:spacing w:after="0" w:line="405" w:lineRule="auto"/>
        <w:rPr>
          <w:sz w:val="20"/>
          <w:szCs w:val="20"/>
          <w:color w:val="auto"/>
        </w:rPr>
      </w:pPr>
      <w:r>
        <w:rPr>
          <w:rFonts w:ascii="Arial" w:cs="Arial" w:eastAsia="Arial" w:hAnsi="Arial"/>
          <w:sz w:val="16"/>
          <w:szCs w:val="16"/>
          <w:b w:val="1"/>
          <w:bCs w:val="1"/>
          <w:color w:val="auto"/>
        </w:rPr>
        <w:t xml:space="preserve">I. </w:t>
      </w:r>
      <w:r>
        <w:rPr>
          <w:rFonts w:ascii="Arial" w:cs="Arial" w:eastAsia="Arial" w:hAnsi="Arial"/>
          <w:sz w:val="16"/>
          <w:szCs w:val="16"/>
          <w:color w:val="auto"/>
        </w:rPr>
        <w:t>Reduce or altogether eliminate annual incentive compensation;</w:t>
      </w:r>
      <w:r>
        <w:rPr>
          <w:rFonts w:ascii="Arial" w:cs="Arial" w:eastAsia="Arial" w:hAnsi="Arial"/>
          <w:sz w:val="16"/>
          <w:szCs w:val="16"/>
          <w:b w:val="1"/>
          <w:bCs w:val="1"/>
          <w:color w:val="auto"/>
        </w:rPr>
        <w:t xml:space="preserve"> II. </w:t>
      </w:r>
      <w:r>
        <w:rPr>
          <w:rFonts w:ascii="Arial" w:cs="Arial" w:eastAsia="Arial" w:hAnsi="Arial"/>
          <w:sz w:val="16"/>
          <w:szCs w:val="16"/>
          <w:color w:val="auto"/>
        </w:rPr>
        <w:t>Cancel unvested awards (in full or in part);</w:t>
      </w:r>
    </w:p>
    <w:p>
      <w:pPr>
        <w:ind w:left="6220" w:right="440" w:hanging="299"/>
        <w:spacing w:after="0" w:line="260" w:lineRule="auto"/>
        <w:tabs>
          <w:tab w:leader="none" w:pos="6200" w:val="left"/>
        </w:tabs>
        <w:rPr>
          <w:sz w:val="20"/>
          <w:szCs w:val="20"/>
          <w:color w:val="auto"/>
        </w:rPr>
      </w:pPr>
      <w:r>
        <w:rPr>
          <w:rFonts w:ascii="Arial" w:cs="Arial" w:eastAsia="Arial" w:hAnsi="Arial"/>
          <w:sz w:val="16"/>
          <w:szCs w:val="16"/>
          <w:b w:val="1"/>
          <w:bCs w:val="1"/>
          <w:color w:val="auto"/>
        </w:rPr>
        <w:t>III.</w:t>
      </w:r>
      <w:r>
        <w:rPr>
          <w:sz w:val="20"/>
          <w:szCs w:val="20"/>
          <w:color w:val="auto"/>
        </w:rPr>
        <w:tab/>
      </w:r>
      <w:r>
        <w:rPr>
          <w:rFonts w:ascii="Arial" w:cs="Arial" w:eastAsia="Arial" w:hAnsi="Arial"/>
          <w:sz w:val="16"/>
          <w:szCs w:val="16"/>
          <w:color w:val="auto"/>
        </w:rPr>
        <w:t>Clawback/Recover previously paid compensation (cash and/or equity)</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100"/>
        <w:spacing w:after="0"/>
        <w:rPr>
          <w:sz w:val="20"/>
          <w:szCs w:val="20"/>
          <w:color w:val="auto"/>
        </w:rPr>
      </w:pPr>
      <w:r>
        <w:rPr>
          <w:rFonts w:ascii="Arial" w:cs="Arial" w:eastAsia="Arial" w:hAnsi="Arial"/>
          <w:sz w:val="18"/>
          <w:szCs w:val="18"/>
          <w:color w:val="004876"/>
        </w:rPr>
        <w:t>Summary of Cancellation &amp; Clawbacks</w:t>
      </w:r>
    </w:p>
    <w:p>
      <w:pPr>
        <w:spacing w:after="0" w:line="120" w:lineRule="exact"/>
        <w:rPr>
          <w:sz w:val="20"/>
          <w:szCs w:val="20"/>
          <w:color w:val="auto"/>
        </w:rPr>
      </w:pPr>
    </w:p>
    <w:tbl>
      <w:tblPr>
        <w:tblLayout w:type="fixed"/>
        <w:tblInd w:w="6280" w:type="dxa"/>
        <w:tblCellMar>
          <w:top w:w="0" w:type="dxa"/>
          <w:left w:w="0" w:type="dxa"/>
          <w:bottom w:w="0" w:type="dxa"/>
          <w:right w:w="0" w:type="dxa"/>
        </w:tblCellMar>
      </w:tblPr>
      <w:tr>
        <w:trPr>
          <w:trHeight w:val="187"/>
        </w:trPr>
        <w:tc>
          <w:tcPr>
            <w:tcW w:w="2060" w:type="dxa"/>
            <w:vAlign w:val="bottom"/>
            <w:tcBorders>
              <w:bottom w:val="single" w:sz="8" w:color="004876"/>
            </w:tcBorders>
          </w:tcPr>
          <w:p>
            <w:pPr>
              <w:ind w:left="80"/>
              <w:spacing w:after="0"/>
              <w:rPr>
                <w:sz w:val="20"/>
                <w:szCs w:val="20"/>
                <w:color w:val="auto"/>
              </w:rPr>
            </w:pPr>
            <w:r>
              <w:rPr>
                <w:rFonts w:ascii="Arial" w:cs="Arial" w:eastAsia="Arial" w:hAnsi="Arial"/>
                <w:sz w:val="16"/>
                <w:szCs w:val="16"/>
                <w:color w:val="004876"/>
              </w:rPr>
              <w:t>Trigger</w:t>
            </w:r>
          </w:p>
        </w:tc>
        <w:tc>
          <w:tcPr>
            <w:tcW w:w="1400" w:type="dxa"/>
            <w:vAlign w:val="bottom"/>
            <w:tcBorders>
              <w:bottom w:val="single" w:sz="8" w:color="004876"/>
            </w:tcBorders>
          </w:tcPr>
          <w:p>
            <w:pPr>
              <w:jc w:val="center"/>
              <w:ind w:left="539"/>
              <w:spacing w:after="0"/>
              <w:rPr>
                <w:sz w:val="20"/>
                <w:szCs w:val="20"/>
                <w:color w:val="auto"/>
              </w:rPr>
            </w:pPr>
            <w:r>
              <w:rPr>
                <w:rFonts w:ascii="Arial" w:cs="Arial" w:eastAsia="Arial" w:hAnsi="Arial"/>
                <w:sz w:val="16"/>
                <w:szCs w:val="16"/>
                <w:color w:val="004876"/>
              </w:rPr>
              <w:t>Vested</w:t>
            </w:r>
          </w:p>
        </w:tc>
        <w:tc>
          <w:tcPr>
            <w:tcW w:w="840" w:type="dxa"/>
            <w:vAlign w:val="bottom"/>
            <w:tcBorders>
              <w:bottom w:val="single" w:sz="8" w:color="004876"/>
            </w:tcBorders>
          </w:tcPr>
          <w:p>
            <w:pPr>
              <w:jc w:val="center"/>
              <w:ind w:left="79"/>
              <w:spacing w:after="0"/>
              <w:rPr>
                <w:sz w:val="20"/>
                <w:szCs w:val="20"/>
                <w:color w:val="auto"/>
              </w:rPr>
            </w:pPr>
            <w:r>
              <w:rPr>
                <w:rFonts w:ascii="Arial" w:cs="Arial" w:eastAsia="Arial" w:hAnsi="Arial"/>
                <w:sz w:val="16"/>
                <w:szCs w:val="16"/>
                <w:color w:val="004876"/>
              </w:rPr>
              <w:t>Unvested</w:t>
            </w:r>
          </w:p>
        </w:tc>
      </w:tr>
      <w:tr>
        <w:trPr>
          <w:trHeight w:val="270"/>
        </w:trPr>
        <w:tc>
          <w:tcPr>
            <w:tcW w:w="2060" w:type="dxa"/>
            <w:vAlign w:val="bottom"/>
            <w:tcBorders>
              <w:bottom w:val="single" w:sz="8" w:color="EDEDED"/>
            </w:tcBorders>
            <w:shd w:val="clear" w:color="auto" w:fill="EDEDED"/>
          </w:tcPr>
          <w:p>
            <w:pPr>
              <w:ind w:left="80"/>
              <w:spacing w:after="0"/>
              <w:rPr>
                <w:sz w:val="20"/>
                <w:szCs w:val="20"/>
                <w:color w:val="auto"/>
              </w:rPr>
            </w:pPr>
            <w:r>
              <w:rPr>
                <w:rFonts w:ascii="Arial" w:cs="Arial" w:eastAsia="Arial" w:hAnsi="Arial"/>
                <w:sz w:val="16"/>
                <w:szCs w:val="16"/>
                <w:color w:val="auto"/>
              </w:rPr>
              <w:t>Restatement</w:t>
            </w:r>
          </w:p>
        </w:tc>
        <w:tc>
          <w:tcPr>
            <w:tcW w:w="1400" w:type="dxa"/>
            <w:vAlign w:val="bottom"/>
            <w:tcBorders>
              <w:bottom w:val="single" w:sz="8" w:color="EDEDED"/>
            </w:tcBorders>
            <w:shd w:val="clear" w:color="auto" w:fill="EDEDED"/>
          </w:tcPr>
          <w:p>
            <w:pPr>
              <w:jc w:val="center"/>
              <w:ind w:left="539"/>
              <w:spacing w:after="0" w:line="161" w:lineRule="exact"/>
              <w:rPr>
                <w:sz w:val="20"/>
                <w:szCs w:val="20"/>
                <w:color w:val="auto"/>
              </w:rPr>
            </w:pPr>
            <w:r>
              <w:rPr>
                <w:rFonts w:ascii="MS PGothic" w:cs="MS PGothic" w:eastAsia="MS PGothic" w:hAnsi="MS PGothic"/>
                <w:sz w:val="16"/>
                <w:szCs w:val="16"/>
                <w:color w:val="42683C"/>
                <w:w w:val="87"/>
              </w:rPr>
              <w:t>✓</w:t>
            </w:r>
          </w:p>
        </w:tc>
        <w:tc>
          <w:tcPr>
            <w:tcW w:w="840" w:type="dxa"/>
            <w:vAlign w:val="bottom"/>
            <w:tcBorders>
              <w:bottom w:val="single" w:sz="8" w:color="EDEDED"/>
            </w:tcBorders>
            <w:shd w:val="clear" w:color="auto" w:fill="EDEDED"/>
          </w:tcPr>
          <w:p>
            <w:pPr>
              <w:jc w:val="center"/>
              <w:ind w:left="59"/>
              <w:spacing w:after="0" w:line="161" w:lineRule="exact"/>
              <w:rPr>
                <w:sz w:val="20"/>
                <w:szCs w:val="20"/>
                <w:color w:val="auto"/>
              </w:rPr>
            </w:pPr>
            <w:r>
              <w:rPr>
                <w:rFonts w:ascii="MS PGothic" w:cs="MS PGothic" w:eastAsia="MS PGothic" w:hAnsi="MS PGothic"/>
                <w:sz w:val="16"/>
                <w:szCs w:val="16"/>
                <w:color w:val="42683C"/>
                <w:w w:val="87"/>
              </w:rPr>
              <w:t>✓</w:t>
            </w:r>
          </w:p>
        </w:tc>
      </w:tr>
      <w:tr>
        <w:trPr>
          <w:trHeight w:val="268"/>
        </w:trPr>
        <w:tc>
          <w:tcPr>
            <w:tcW w:w="2060" w:type="dxa"/>
            <w:vAlign w:val="bottom"/>
          </w:tcPr>
          <w:p>
            <w:pPr>
              <w:ind w:left="80"/>
              <w:spacing w:after="0"/>
              <w:rPr>
                <w:sz w:val="20"/>
                <w:szCs w:val="20"/>
                <w:color w:val="auto"/>
              </w:rPr>
            </w:pPr>
            <w:r>
              <w:rPr>
                <w:rFonts w:ascii="Arial" w:cs="Arial" w:eastAsia="Arial" w:hAnsi="Arial"/>
                <w:sz w:val="16"/>
                <w:szCs w:val="16"/>
                <w:color w:val="auto"/>
              </w:rPr>
              <w:t>Misconduct</w:t>
            </w:r>
          </w:p>
        </w:tc>
        <w:tc>
          <w:tcPr>
            <w:tcW w:w="1400" w:type="dxa"/>
            <w:vAlign w:val="bottom"/>
          </w:tcPr>
          <w:p>
            <w:pPr>
              <w:jc w:val="center"/>
              <w:ind w:left="539"/>
              <w:spacing w:after="0" w:line="161" w:lineRule="exact"/>
              <w:rPr>
                <w:sz w:val="20"/>
                <w:szCs w:val="20"/>
                <w:color w:val="auto"/>
              </w:rPr>
            </w:pPr>
            <w:r>
              <w:rPr>
                <w:rFonts w:ascii="MS PGothic" w:cs="MS PGothic" w:eastAsia="MS PGothic" w:hAnsi="MS PGothic"/>
                <w:sz w:val="16"/>
                <w:szCs w:val="16"/>
                <w:color w:val="42683C"/>
                <w:w w:val="87"/>
              </w:rPr>
              <w:t>✓</w:t>
            </w:r>
          </w:p>
        </w:tc>
        <w:tc>
          <w:tcPr>
            <w:tcW w:w="840" w:type="dxa"/>
            <w:vAlign w:val="bottom"/>
          </w:tcPr>
          <w:p>
            <w:pPr>
              <w:jc w:val="center"/>
              <w:ind w:left="59"/>
              <w:spacing w:after="0" w:line="161" w:lineRule="exact"/>
              <w:rPr>
                <w:sz w:val="20"/>
                <w:szCs w:val="20"/>
                <w:color w:val="auto"/>
              </w:rPr>
            </w:pPr>
            <w:r>
              <w:rPr>
                <w:rFonts w:ascii="MS PGothic" w:cs="MS PGothic" w:eastAsia="MS PGothic" w:hAnsi="MS PGothic"/>
                <w:sz w:val="16"/>
                <w:szCs w:val="16"/>
                <w:color w:val="42683C"/>
                <w:w w:val="87"/>
              </w:rPr>
              <w:t>✓</w:t>
            </w:r>
          </w:p>
        </w:tc>
      </w:tr>
      <w:tr>
        <w:trPr>
          <w:trHeight w:val="29"/>
        </w:trPr>
        <w:tc>
          <w:tcPr>
            <w:tcW w:w="20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7"/>
        </w:trPr>
        <w:tc>
          <w:tcPr>
            <w:tcW w:w="2060" w:type="dxa"/>
            <w:vAlign w:val="bottom"/>
            <w:tcBorders>
              <w:bottom w:val="single" w:sz="8" w:color="EDEDED"/>
            </w:tcBorders>
            <w:shd w:val="clear" w:color="auto" w:fill="EDEDED"/>
          </w:tcPr>
          <w:p>
            <w:pPr>
              <w:ind w:left="80"/>
              <w:spacing w:after="0"/>
              <w:rPr>
                <w:sz w:val="20"/>
                <w:szCs w:val="20"/>
                <w:color w:val="auto"/>
              </w:rPr>
            </w:pPr>
            <w:r>
              <w:rPr>
                <w:rFonts w:ascii="Arial" w:cs="Arial" w:eastAsia="Arial" w:hAnsi="Arial"/>
                <w:sz w:val="16"/>
                <w:szCs w:val="16"/>
                <w:color w:val="auto"/>
              </w:rPr>
              <w:t>Risk-related</w:t>
            </w:r>
          </w:p>
        </w:tc>
        <w:tc>
          <w:tcPr>
            <w:tcW w:w="1400" w:type="dxa"/>
            <w:vAlign w:val="bottom"/>
            <w:tcBorders>
              <w:bottom w:val="single" w:sz="8" w:color="EDEDED"/>
            </w:tcBorders>
            <w:shd w:val="clear" w:color="auto" w:fill="EDEDED"/>
          </w:tcPr>
          <w:p>
            <w:pPr>
              <w:jc w:val="center"/>
              <w:ind w:left="539"/>
              <w:spacing w:after="0" w:line="161" w:lineRule="exact"/>
              <w:rPr>
                <w:sz w:val="20"/>
                <w:szCs w:val="20"/>
                <w:color w:val="auto"/>
              </w:rPr>
            </w:pPr>
            <w:r>
              <w:rPr>
                <w:rFonts w:ascii="MS PGothic" w:cs="MS PGothic" w:eastAsia="MS PGothic" w:hAnsi="MS PGothic"/>
                <w:sz w:val="16"/>
                <w:szCs w:val="16"/>
                <w:color w:val="42683C"/>
                <w:w w:val="87"/>
              </w:rPr>
              <w:t>✓</w:t>
            </w:r>
          </w:p>
        </w:tc>
        <w:tc>
          <w:tcPr>
            <w:tcW w:w="840" w:type="dxa"/>
            <w:vAlign w:val="bottom"/>
            <w:tcBorders>
              <w:bottom w:val="single" w:sz="8" w:color="EDEDED"/>
            </w:tcBorders>
            <w:shd w:val="clear" w:color="auto" w:fill="EDEDED"/>
          </w:tcPr>
          <w:p>
            <w:pPr>
              <w:jc w:val="center"/>
              <w:ind w:left="59"/>
              <w:spacing w:after="0" w:line="161" w:lineRule="exact"/>
              <w:rPr>
                <w:sz w:val="20"/>
                <w:szCs w:val="20"/>
                <w:color w:val="auto"/>
              </w:rPr>
            </w:pPr>
            <w:r>
              <w:rPr>
                <w:rFonts w:ascii="MS PGothic" w:cs="MS PGothic" w:eastAsia="MS PGothic" w:hAnsi="MS PGothic"/>
                <w:sz w:val="16"/>
                <w:szCs w:val="16"/>
                <w:color w:val="42683C"/>
                <w:w w:val="87"/>
              </w:rPr>
              <w:t>✓</w:t>
            </w:r>
          </w:p>
        </w:tc>
      </w:tr>
      <w:tr>
        <w:trPr>
          <w:trHeight w:val="268"/>
        </w:trPr>
        <w:tc>
          <w:tcPr>
            <w:tcW w:w="2060" w:type="dxa"/>
            <w:vAlign w:val="bottom"/>
          </w:tcPr>
          <w:p>
            <w:pPr>
              <w:ind w:left="80"/>
              <w:spacing w:after="0"/>
              <w:rPr>
                <w:sz w:val="20"/>
                <w:szCs w:val="20"/>
                <w:color w:val="auto"/>
              </w:rPr>
            </w:pPr>
            <w:r>
              <w:rPr>
                <w:rFonts w:ascii="Arial" w:cs="Arial" w:eastAsia="Arial" w:hAnsi="Arial"/>
                <w:sz w:val="16"/>
                <w:szCs w:val="16"/>
                <w:color w:val="auto"/>
              </w:rPr>
              <w:t>Protection-based</w:t>
            </w:r>
          </w:p>
        </w:tc>
        <w:tc>
          <w:tcPr>
            <w:tcW w:w="1400" w:type="dxa"/>
            <w:vAlign w:val="bottom"/>
          </w:tcPr>
          <w:p>
            <w:pPr>
              <w:spacing w:after="0"/>
              <w:rPr>
                <w:sz w:val="23"/>
                <w:szCs w:val="23"/>
                <w:color w:val="auto"/>
              </w:rPr>
            </w:pPr>
          </w:p>
        </w:tc>
        <w:tc>
          <w:tcPr>
            <w:tcW w:w="840" w:type="dxa"/>
            <w:vAlign w:val="bottom"/>
          </w:tcPr>
          <w:p>
            <w:pPr>
              <w:jc w:val="center"/>
              <w:ind w:left="59"/>
              <w:spacing w:after="0" w:line="161" w:lineRule="exact"/>
              <w:rPr>
                <w:sz w:val="20"/>
                <w:szCs w:val="20"/>
                <w:color w:val="auto"/>
              </w:rPr>
            </w:pPr>
            <w:r>
              <w:rPr>
                <w:rFonts w:ascii="MS PGothic" w:cs="MS PGothic" w:eastAsia="MS PGothic" w:hAnsi="MS PGothic"/>
                <w:sz w:val="16"/>
                <w:szCs w:val="16"/>
                <w:color w:val="42683C"/>
                <w:w w:val="87"/>
              </w:rPr>
              <w:t>✓</w:t>
            </w:r>
          </w:p>
        </w:tc>
      </w:tr>
    </w:tbl>
    <w:p>
      <w:pPr>
        <w:spacing w:after="0" w:line="294" w:lineRule="exact"/>
        <w:rPr>
          <w:sz w:val="20"/>
          <w:szCs w:val="20"/>
          <w:color w:val="auto"/>
        </w:rPr>
      </w:pPr>
    </w:p>
    <w:p>
      <w:pPr>
        <w:ind w:left="6220" w:right="660" w:hanging="299"/>
        <w:spacing w:after="0" w:line="260" w:lineRule="auto"/>
        <w:tabs>
          <w:tab w:leader="none" w:pos="6200" w:val="left"/>
        </w:tabs>
        <w:rPr>
          <w:sz w:val="20"/>
          <w:szCs w:val="20"/>
          <w:color w:val="auto"/>
        </w:rPr>
      </w:pPr>
      <w:r>
        <w:rPr>
          <w:rFonts w:ascii="Arial" w:cs="Arial" w:eastAsia="Arial" w:hAnsi="Arial"/>
          <w:sz w:val="16"/>
          <w:szCs w:val="16"/>
          <w:b w:val="1"/>
          <w:bCs w:val="1"/>
          <w:color w:val="auto"/>
        </w:rPr>
        <w:t>IV.</w:t>
      </w:r>
      <w:r>
        <w:rPr>
          <w:sz w:val="20"/>
          <w:szCs w:val="20"/>
          <w:color w:val="auto"/>
        </w:rPr>
        <w:tab/>
      </w:r>
      <w:r>
        <w:rPr>
          <w:rFonts w:ascii="Arial" w:cs="Arial" w:eastAsia="Arial" w:hAnsi="Arial"/>
          <w:sz w:val="16"/>
          <w:szCs w:val="16"/>
          <w:color w:val="auto"/>
        </w:rPr>
        <w:t>Demotion, negative performance rating or other appropriate employment actions;</w:t>
      </w:r>
    </w:p>
    <w:p>
      <w:pPr>
        <w:spacing w:after="0" w:line="101" w:lineRule="exact"/>
        <w:rPr>
          <w:sz w:val="20"/>
          <w:szCs w:val="20"/>
          <w:color w:val="auto"/>
        </w:rPr>
      </w:pPr>
    </w:p>
    <w:p>
      <w:pPr>
        <w:ind w:left="5920"/>
        <w:spacing w:after="0"/>
        <w:tabs>
          <w:tab w:leader="none" w:pos="6200" w:val="left"/>
        </w:tabs>
        <w:rPr>
          <w:sz w:val="20"/>
          <w:szCs w:val="20"/>
          <w:color w:val="auto"/>
        </w:rPr>
      </w:pPr>
      <w:r>
        <w:rPr>
          <w:rFonts w:ascii="Arial" w:cs="Arial" w:eastAsia="Arial" w:hAnsi="Arial"/>
          <w:sz w:val="16"/>
          <w:szCs w:val="16"/>
          <w:b w:val="1"/>
          <w:bCs w:val="1"/>
          <w:color w:val="auto"/>
        </w:rPr>
        <w:t>V.</w:t>
      </w:r>
      <w:r>
        <w:rPr>
          <w:sz w:val="20"/>
          <w:szCs w:val="20"/>
          <w:color w:val="auto"/>
        </w:rPr>
        <w:tab/>
      </w:r>
      <w:r>
        <w:rPr>
          <w:rFonts w:ascii="Arial" w:cs="Arial" w:eastAsia="Arial" w:hAnsi="Arial"/>
          <w:sz w:val="16"/>
          <w:szCs w:val="16"/>
          <w:color w:val="auto"/>
        </w:rPr>
        <w:t>Termination of employment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920" w:right="260"/>
        <w:spacing w:after="0" w:line="253" w:lineRule="auto"/>
        <w:rPr>
          <w:sz w:val="20"/>
          <w:szCs w:val="20"/>
          <w:color w:val="auto"/>
        </w:rPr>
      </w:pPr>
      <w:r>
        <w:rPr>
          <w:rFonts w:ascii="Arial" w:cs="Arial" w:eastAsia="Arial" w:hAnsi="Arial"/>
          <w:sz w:val="16"/>
          <w:szCs w:val="16"/>
          <w:color w:val="auto"/>
        </w:rPr>
        <w:t>The precise actions we take with respect to accountable individuals are based on the relevant circumstances, including the nature of their involvement, the magnitude of the event and the impact on the Firm</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920"/>
        <w:spacing w:after="0"/>
        <w:rPr>
          <w:sz w:val="20"/>
          <w:szCs w:val="20"/>
          <w:color w:val="auto"/>
        </w:rPr>
      </w:pPr>
      <w:r>
        <w:rPr>
          <w:rFonts w:ascii="Arial" w:cs="Arial" w:eastAsia="Arial" w:hAnsi="Arial"/>
          <w:sz w:val="18"/>
          <w:szCs w:val="18"/>
          <w:color w:val="004876"/>
        </w:rPr>
        <w:t>Clawback Disclosure Policy</w:t>
      </w:r>
    </w:p>
    <w:p>
      <w:pPr>
        <w:spacing w:after="0" w:line="39" w:lineRule="exact"/>
        <w:rPr>
          <w:sz w:val="20"/>
          <w:szCs w:val="20"/>
          <w:color w:val="auto"/>
        </w:rPr>
      </w:pPr>
    </w:p>
    <w:p>
      <w:pPr>
        <w:ind w:left="5920" w:right="320"/>
        <w:spacing w:after="0" w:line="253" w:lineRule="auto"/>
        <w:rPr>
          <w:sz w:val="20"/>
          <w:szCs w:val="20"/>
          <w:color w:val="auto"/>
        </w:rPr>
      </w:pPr>
      <w:r>
        <w:rPr>
          <w:rFonts w:ascii="Arial" w:cs="Arial" w:eastAsia="Arial" w:hAnsi="Arial"/>
          <w:sz w:val="16"/>
          <w:szCs w:val="16"/>
          <w:color w:val="auto"/>
        </w:rPr>
        <w:t>During 2019, we did not take any actions to recover or clawback any incentive compensation from the OC members or the Firmwide Controller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1609725</wp:posOffset>
            </wp:positionV>
            <wp:extent cx="7029450" cy="19685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029450" cy="19685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99"/>
        <w:spacing w:after="0"/>
        <w:rPr>
          <w:sz w:val="20"/>
          <w:szCs w:val="20"/>
          <w:color w:val="auto"/>
        </w:rPr>
      </w:pPr>
      <w:r>
        <w:rPr>
          <w:rFonts w:ascii="Arial" w:cs="Arial" w:eastAsia="Arial" w:hAnsi="Arial"/>
          <w:sz w:val="13"/>
          <w:szCs w:val="13"/>
          <w:b w:val="1"/>
          <w:bCs w:val="1"/>
          <w:color w:val="004876"/>
        </w:rPr>
        <w:t>52</w:t>
      </w:r>
    </w:p>
    <w:p>
      <w:pPr>
        <w:sectPr>
          <w:pgSz w:w="11900" w:h="16838" w:orient="portrait"/>
          <w:cols w:equalWidth="0" w:num="1">
            <w:col w:w="11140"/>
          </w:cols>
          <w:pgMar w:left="320" w:top="459" w:right="439" w:bottom="1440" w:gutter="0" w:footer="0" w:header="0"/>
          <w:type w:val="continuous"/>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04876"/>
        </w:rPr>
        <w:t>EXECUTIVE COMPENSATION | 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160655</wp:posOffset>
            </wp:positionV>
            <wp:extent cx="7029450" cy="26543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029450"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20"/>
        <w:spacing w:after="0"/>
        <w:rPr>
          <w:sz w:val="20"/>
          <w:szCs w:val="20"/>
          <w:color w:val="auto"/>
        </w:rPr>
      </w:pPr>
      <w:r>
        <w:rPr>
          <w:rFonts w:ascii="Arial" w:cs="Arial" w:eastAsia="Arial" w:hAnsi="Arial"/>
          <w:sz w:val="20"/>
          <w:szCs w:val="20"/>
          <w:color w:val="004876"/>
        </w:rPr>
        <w:t>CLAWBACK/RECOVERY PROVISIONS</w:t>
      </w:r>
    </w:p>
    <w:p>
      <w:pPr>
        <w:spacing w:after="0" w:line="97" w:lineRule="exact"/>
        <w:rPr>
          <w:sz w:val="20"/>
          <w:szCs w:val="20"/>
          <w:color w:val="auto"/>
        </w:rPr>
      </w:pPr>
    </w:p>
    <w:p>
      <w:pPr>
        <w:ind w:left="120" w:right="500"/>
        <w:spacing w:after="0" w:line="238" w:lineRule="auto"/>
        <w:rPr>
          <w:sz w:val="20"/>
          <w:szCs w:val="20"/>
          <w:color w:val="auto"/>
        </w:rPr>
      </w:pPr>
      <w:r>
        <w:rPr>
          <w:rFonts w:ascii="Arial" w:cs="Arial" w:eastAsia="Arial" w:hAnsi="Arial"/>
          <w:sz w:val="18"/>
          <w:szCs w:val="18"/>
          <w:color w:val="auto"/>
        </w:rPr>
        <w:t>We maintain clawback/recovery provisions on both cash incentives and equity awards which enable us to reduce or cancel unvested awards and recover previously paid compensation in certain situations. While incentive awards are intended and expected to vest according to their terms, the Firm’s strong recovery provisions permit recovery of incentive compensation awards in appropriate circumstances.</w:t>
      </w:r>
    </w:p>
    <w:p>
      <w:pPr>
        <w:spacing w:after="0" w:line="9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provides details on the clawback provisions that apply to our OC members and the Firmwide Controller.</w:t>
      </w:r>
    </w:p>
    <w:p>
      <w:pPr>
        <w:spacing w:after="0" w:line="209" w:lineRule="exact"/>
        <w:rPr>
          <w:sz w:val="20"/>
          <w:szCs w:val="20"/>
          <w:color w:val="auto"/>
        </w:rPr>
      </w:pPr>
    </w:p>
    <w:p>
      <w:pPr>
        <w:ind w:left="120"/>
        <w:spacing w:after="0"/>
        <w:rPr>
          <w:sz w:val="20"/>
          <w:szCs w:val="20"/>
          <w:color w:val="auto"/>
        </w:rPr>
      </w:pPr>
      <w:r>
        <w:rPr>
          <w:rFonts w:ascii="Arial" w:cs="Arial" w:eastAsia="Arial" w:hAnsi="Arial"/>
          <w:sz w:val="20"/>
          <w:szCs w:val="20"/>
          <w:color w:val="004876"/>
        </w:rPr>
        <w:t xml:space="preserve">EQUITY CLAWBACK REVIEW PROVISIONS </w:t>
      </w:r>
      <w:r>
        <w:rPr>
          <w:rFonts w:ascii="Arial" w:cs="Arial" w:eastAsia="Arial" w:hAnsi="Arial"/>
          <w:sz w:val="16"/>
          <w:szCs w:val="16"/>
          <w:color w:val="004876"/>
        </w:rPr>
        <w:t>1</w:t>
      </w:r>
    </w:p>
    <w:p>
      <w:pPr>
        <w:spacing w:after="0" w:line="113"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1640" w:type="dxa"/>
            <w:vAlign w:val="bottom"/>
          </w:tcPr>
          <w:p>
            <w:pPr>
              <w:spacing w:after="0"/>
              <w:rPr>
                <w:sz w:val="16"/>
                <w:szCs w:val="16"/>
                <w:color w:val="auto"/>
              </w:rPr>
            </w:pPr>
          </w:p>
        </w:tc>
        <w:tc>
          <w:tcPr>
            <w:tcW w:w="7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Borders>
              <w:bottom w:val="single" w:sz="8" w:color="333333"/>
            </w:tcBorders>
          </w:tcPr>
          <w:p>
            <w:pPr>
              <w:spacing w:after="0"/>
              <w:rPr>
                <w:sz w:val="16"/>
                <w:szCs w:val="16"/>
                <w:color w:val="auto"/>
              </w:rPr>
            </w:pPr>
          </w:p>
        </w:tc>
        <w:tc>
          <w:tcPr>
            <w:tcW w:w="1060" w:type="dxa"/>
            <w:vAlign w:val="bottom"/>
            <w:tcBorders>
              <w:bottom w:val="single" w:sz="8" w:color="333333"/>
            </w:tcBorders>
          </w:tcPr>
          <w:p>
            <w:pPr>
              <w:ind w:left="100"/>
              <w:spacing w:after="0"/>
              <w:rPr>
                <w:sz w:val="20"/>
                <w:szCs w:val="20"/>
                <w:color w:val="auto"/>
              </w:rPr>
            </w:pPr>
            <w:r>
              <w:rPr>
                <w:rFonts w:ascii="Arial" w:cs="Arial" w:eastAsia="Arial" w:hAnsi="Arial"/>
                <w:sz w:val="16"/>
                <w:szCs w:val="16"/>
                <w:color w:val="auto"/>
              </w:rPr>
              <w:t>Award Type</w:t>
            </w:r>
          </w:p>
        </w:tc>
        <w:tc>
          <w:tcPr>
            <w:tcW w:w="0" w:type="dxa"/>
            <w:vAlign w:val="bottom"/>
          </w:tcPr>
          <w:p>
            <w:pPr>
              <w:spacing w:after="0"/>
              <w:rPr>
                <w:sz w:val="1"/>
                <w:szCs w:val="1"/>
                <w:color w:val="auto"/>
              </w:rPr>
            </w:pPr>
          </w:p>
        </w:tc>
      </w:tr>
      <w:tr>
        <w:trPr>
          <w:trHeight w:val="237"/>
        </w:trPr>
        <w:tc>
          <w:tcPr>
            <w:tcW w:w="1640" w:type="dxa"/>
            <w:vAlign w:val="bottom"/>
            <w:tcBorders>
              <w:bottom w:val="single" w:sz="8" w:color="333333"/>
            </w:tcBorders>
          </w:tcPr>
          <w:p>
            <w:pPr>
              <w:ind w:left="60"/>
              <w:spacing w:after="0"/>
              <w:rPr>
                <w:sz w:val="20"/>
                <w:szCs w:val="20"/>
                <w:color w:val="auto"/>
              </w:rPr>
            </w:pPr>
            <w:r>
              <w:rPr>
                <w:rFonts w:ascii="Arial" w:cs="Arial" w:eastAsia="Arial" w:hAnsi="Arial"/>
                <w:sz w:val="16"/>
                <w:szCs w:val="16"/>
                <w:color w:val="004876"/>
              </w:rPr>
              <w:t>Category</w:t>
            </w:r>
          </w:p>
        </w:tc>
        <w:tc>
          <w:tcPr>
            <w:tcW w:w="7160" w:type="dxa"/>
            <w:vAlign w:val="bottom"/>
            <w:tcBorders>
              <w:bottom w:val="single" w:sz="8" w:color="333333"/>
            </w:tcBorders>
          </w:tcPr>
          <w:p>
            <w:pPr>
              <w:ind w:left="360"/>
              <w:spacing w:after="0"/>
              <w:rPr>
                <w:sz w:val="20"/>
                <w:szCs w:val="20"/>
                <w:color w:val="auto"/>
              </w:rPr>
            </w:pPr>
            <w:r>
              <w:rPr>
                <w:rFonts w:ascii="Arial" w:cs="Arial" w:eastAsia="Arial" w:hAnsi="Arial"/>
                <w:sz w:val="16"/>
                <w:szCs w:val="16"/>
                <w:color w:val="004876"/>
              </w:rPr>
              <w:t>Trigger</w:t>
            </w:r>
          </w:p>
        </w:tc>
        <w:tc>
          <w:tcPr>
            <w:tcW w:w="280" w:type="dxa"/>
            <w:vAlign w:val="bottom"/>
            <w:tcBorders>
              <w:bottom w:val="single" w:sz="8" w:color="333333"/>
            </w:tcBorders>
          </w:tcPr>
          <w:p>
            <w:pPr>
              <w:spacing w:after="0"/>
              <w:rPr>
                <w:sz w:val="20"/>
                <w:szCs w:val="20"/>
                <w:color w:val="auto"/>
              </w:rPr>
            </w:pPr>
          </w:p>
        </w:tc>
        <w:tc>
          <w:tcPr>
            <w:tcW w:w="880" w:type="dxa"/>
            <w:vAlign w:val="bottom"/>
            <w:tcBorders>
              <w:bottom w:val="single" w:sz="8" w:color="333333"/>
            </w:tcBorders>
          </w:tcPr>
          <w:p>
            <w:pPr>
              <w:ind w:left="220"/>
              <w:spacing w:after="0"/>
              <w:rPr>
                <w:sz w:val="20"/>
                <w:szCs w:val="20"/>
                <w:color w:val="auto"/>
              </w:rPr>
            </w:pPr>
            <w:r>
              <w:rPr>
                <w:rFonts w:ascii="Arial" w:cs="Arial" w:eastAsia="Arial" w:hAnsi="Arial"/>
                <w:sz w:val="16"/>
                <w:szCs w:val="16"/>
                <w:color w:val="004876"/>
              </w:rPr>
              <w:t>Vested</w:t>
            </w:r>
          </w:p>
        </w:tc>
        <w:tc>
          <w:tcPr>
            <w:tcW w:w="1060" w:type="dxa"/>
            <w:vAlign w:val="bottom"/>
            <w:tcBorders>
              <w:bottom w:val="single" w:sz="8" w:color="333333"/>
            </w:tcBorders>
          </w:tcPr>
          <w:p>
            <w:pPr>
              <w:ind w:left="360"/>
              <w:spacing w:after="0"/>
              <w:rPr>
                <w:sz w:val="20"/>
                <w:szCs w:val="20"/>
                <w:color w:val="auto"/>
              </w:rPr>
            </w:pPr>
            <w:r>
              <w:rPr>
                <w:rFonts w:ascii="Arial" w:cs="Arial" w:eastAsia="Arial" w:hAnsi="Arial"/>
                <w:sz w:val="16"/>
                <w:szCs w:val="16"/>
                <w:color w:val="004876"/>
              </w:rPr>
              <w:t>Unvested</w:t>
            </w:r>
          </w:p>
        </w:tc>
        <w:tc>
          <w:tcPr>
            <w:tcW w:w="0" w:type="dxa"/>
            <w:vAlign w:val="bottom"/>
          </w:tcPr>
          <w:p>
            <w:pPr>
              <w:spacing w:after="0"/>
              <w:rPr>
                <w:sz w:val="1"/>
                <w:szCs w:val="1"/>
                <w:color w:val="auto"/>
              </w:rPr>
            </w:pPr>
          </w:p>
        </w:tc>
      </w:tr>
      <w:tr>
        <w:trPr>
          <w:trHeight w:val="183"/>
        </w:trPr>
        <w:tc>
          <w:tcPr>
            <w:tcW w:w="1640" w:type="dxa"/>
            <w:vAlign w:val="bottom"/>
            <w:tcBorders>
              <w:right w:val="single" w:sz="8" w:color="333333"/>
            </w:tcBorders>
          </w:tcPr>
          <w:p>
            <w:pPr>
              <w:ind w:left="60"/>
              <w:spacing w:after="0" w:line="183" w:lineRule="exact"/>
              <w:rPr>
                <w:sz w:val="20"/>
                <w:szCs w:val="20"/>
                <w:color w:val="auto"/>
              </w:rPr>
            </w:pPr>
            <w:r>
              <w:rPr>
                <w:rFonts w:ascii="Arial" w:cs="Arial" w:eastAsia="Arial" w:hAnsi="Arial"/>
                <w:sz w:val="17"/>
                <w:szCs w:val="17"/>
                <w:b w:val="1"/>
                <w:bCs w:val="1"/>
                <w:color w:val="auto"/>
              </w:rPr>
              <w:t>Restatement</w:t>
            </w:r>
          </w:p>
        </w:tc>
        <w:tc>
          <w:tcPr>
            <w:tcW w:w="7160" w:type="dxa"/>
            <w:vAlign w:val="bottom"/>
            <w:tcBorders>
              <w:right w:val="single" w:sz="8" w:color="333333"/>
            </w:tcBorders>
          </w:tcPr>
          <w:p>
            <w:pPr>
              <w:ind w:left="280"/>
              <w:spacing w:after="0" w:line="183" w:lineRule="exact"/>
              <w:rPr>
                <w:sz w:val="20"/>
                <w:szCs w:val="20"/>
                <w:color w:val="auto"/>
              </w:rPr>
            </w:pPr>
            <w:r>
              <w:rPr>
                <w:rFonts w:ascii="Arial" w:cs="Arial" w:eastAsia="Arial" w:hAnsi="Arial"/>
                <w:sz w:val="17"/>
                <w:szCs w:val="17"/>
                <w:color w:val="004876"/>
              </w:rPr>
              <w:t xml:space="preserve">• </w:t>
            </w:r>
            <w:r>
              <w:rPr>
                <w:rFonts w:ascii="Arial" w:cs="Arial" w:eastAsia="Arial" w:hAnsi="Arial"/>
                <w:sz w:val="17"/>
                <w:szCs w:val="17"/>
                <w:color w:val="000000"/>
              </w:rPr>
              <w:t>In the event of a</w:t>
            </w:r>
            <w:r>
              <w:rPr>
                <w:rFonts w:ascii="Arial" w:cs="Arial" w:eastAsia="Arial" w:hAnsi="Arial"/>
                <w:sz w:val="17"/>
                <w:szCs w:val="17"/>
                <w:color w:val="004876"/>
              </w:rPr>
              <w:t xml:space="preserve"> </w:t>
            </w:r>
            <w:r>
              <w:rPr>
                <w:rFonts w:ascii="Arial" w:cs="Arial" w:eastAsia="Arial" w:hAnsi="Arial"/>
                <w:sz w:val="17"/>
                <w:szCs w:val="17"/>
                <w:b w:val="1"/>
                <w:bCs w:val="1"/>
                <w:color w:val="000000"/>
              </w:rPr>
              <w:t>material restatement of the Firm’s financial results</w:t>
            </w:r>
            <w:r>
              <w:rPr>
                <w:rFonts w:ascii="Arial" w:cs="Arial" w:eastAsia="Arial" w:hAnsi="Arial"/>
                <w:sz w:val="17"/>
                <w:szCs w:val="17"/>
                <w:color w:val="004876"/>
              </w:rPr>
              <w:t xml:space="preserve"> </w:t>
            </w:r>
            <w:r>
              <w:rPr>
                <w:rFonts w:ascii="Arial" w:cs="Arial" w:eastAsia="Arial" w:hAnsi="Arial"/>
                <w:sz w:val="17"/>
                <w:szCs w:val="17"/>
                <w:color w:val="000000"/>
              </w:rPr>
              <w:t>for the</w:t>
            </w:r>
          </w:p>
        </w:tc>
        <w:tc>
          <w:tcPr>
            <w:tcW w:w="280" w:type="dxa"/>
            <w:vAlign w:val="bottom"/>
          </w:tcPr>
          <w:p>
            <w:pPr>
              <w:spacing w:after="0"/>
              <w:rPr>
                <w:sz w:val="15"/>
                <w:szCs w:val="15"/>
                <w:color w:val="auto"/>
              </w:rPr>
            </w:pPr>
          </w:p>
        </w:tc>
        <w:tc>
          <w:tcPr>
            <w:tcW w:w="880" w:type="dxa"/>
            <w:vAlign w:val="bottom"/>
            <w:tcBorders>
              <w:right w:val="single" w:sz="8" w:color="333333"/>
            </w:tcBorders>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640" w:type="dxa"/>
            <w:vAlign w:val="bottom"/>
            <w:tcBorders>
              <w:right w:val="single" w:sz="8" w:color="333333"/>
            </w:tcBorders>
          </w:tcPr>
          <w:p>
            <w:pPr>
              <w:spacing w:after="0"/>
              <w:rPr>
                <w:sz w:val="16"/>
                <w:szCs w:val="16"/>
                <w:color w:val="auto"/>
              </w:rPr>
            </w:pPr>
          </w:p>
        </w:tc>
        <w:tc>
          <w:tcPr>
            <w:tcW w:w="7160" w:type="dxa"/>
            <w:vAlign w:val="bottom"/>
            <w:tcBorders>
              <w:bottom w:val="single" w:sz="8" w:color="333333"/>
              <w:right w:val="single" w:sz="8" w:color="333333"/>
            </w:tcBorders>
          </w:tcPr>
          <w:p>
            <w:pPr>
              <w:ind w:left="440"/>
              <w:spacing w:after="0" w:line="189" w:lineRule="exact"/>
              <w:rPr>
                <w:sz w:val="20"/>
                <w:szCs w:val="20"/>
                <w:color w:val="auto"/>
              </w:rPr>
            </w:pPr>
            <w:r>
              <w:rPr>
                <w:rFonts w:ascii="Arial" w:cs="Arial" w:eastAsia="Arial" w:hAnsi="Arial"/>
                <w:sz w:val="17"/>
                <w:szCs w:val="17"/>
                <w:color w:val="auto"/>
              </w:rPr>
              <w:t>relevant period</w:t>
            </w:r>
          </w:p>
        </w:tc>
        <w:tc>
          <w:tcPr>
            <w:tcW w:w="280" w:type="dxa"/>
            <w:vAlign w:val="bottom"/>
          </w:tcPr>
          <w:p>
            <w:pPr>
              <w:spacing w:after="0"/>
              <w:rPr>
                <w:sz w:val="16"/>
                <w:szCs w:val="16"/>
                <w:color w:val="auto"/>
              </w:rPr>
            </w:pPr>
          </w:p>
        </w:tc>
        <w:tc>
          <w:tcPr>
            <w:tcW w:w="880" w:type="dxa"/>
            <w:vAlign w:val="bottom"/>
            <w:tcBorders>
              <w:right w:val="single" w:sz="8" w:color="333333"/>
            </w:tcBorders>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640" w:type="dxa"/>
            <w:vAlign w:val="bottom"/>
            <w:tcBorders>
              <w:bottom w:val="single" w:sz="8" w:color="333333"/>
              <w:right w:val="single" w:sz="8" w:color="333333"/>
            </w:tcBorders>
          </w:tcPr>
          <w:p>
            <w:pPr>
              <w:spacing w:after="0"/>
              <w:rPr>
                <w:sz w:val="17"/>
                <w:szCs w:val="17"/>
                <w:color w:val="auto"/>
              </w:rPr>
            </w:pPr>
          </w:p>
        </w:tc>
        <w:tc>
          <w:tcPr>
            <w:tcW w:w="7160" w:type="dxa"/>
            <w:vAlign w:val="bottom"/>
            <w:tcBorders>
              <w:bottom w:val="single" w:sz="8" w:color="333333"/>
              <w:right w:val="single" w:sz="8" w:color="333333"/>
            </w:tcBorders>
          </w:tcPr>
          <w:p>
            <w:pPr>
              <w:ind w:left="280"/>
              <w:spacing w:after="0"/>
              <w:rPr>
                <w:sz w:val="20"/>
                <w:szCs w:val="20"/>
                <w:color w:val="auto"/>
              </w:rPr>
            </w:pPr>
            <w:r>
              <w:rPr>
                <w:rFonts w:ascii="Arial" w:cs="Arial" w:eastAsia="Arial" w:hAnsi="Arial"/>
                <w:sz w:val="17"/>
                <w:szCs w:val="17"/>
                <w:color w:val="004876"/>
              </w:rPr>
              <w:t xml:space="preserve">• </w:t>
            </w:r>
            <w:r>
              <w:rPr>
                <w:rFonts w:ascii="Arial" w:cs="Arial" w:eastAsia="Arial" w:hAnsi="Arial"/>
                <w:sz w:val="17"/>
                <w:szCs w:val="17"/>
                <w:color w:val="000000"/>
              </w:rPr>
              <w:t>This provision also</w:t>
            </w:r>
            <w:r>
              <w:rPr>
                <w:rFonts w:ascii="Arial" w:cs="Arial" w:eastAsia="Arial" w:hAnsi="Arial"/>
                <w:sz w:val="17"/>
                <w:szCs w:val="17"/>
                <w:color w:val="004876"/>
              </w:rPr>
              <w:t xml:space="preserve"> </w:t>
            </w:r>
            <w:r>
              <w:rPr>
                <w:rFonts w:ascii="Arial" w:cs="Arial" w:eastAsia="Arial" w:hAnsi="Arial"/>
                <w:sz w:val="17"/>
                <w:szCs w:val="17"/>
                <w:b w:val="1"/>
                <w:bCs w:val="1"/>
                <w:color w:val="000000"/>
              </w:rPr>
              <w:t>applies to cash incentives</w:t>
            </w:r>
          </w:p>
        </w:tc>
        <w:tc>
          <w:tcPr>
            <w:tcW w:w="280" w:type="dxa"/>
            <w:vAlign w:val="bottom"/>
            <w:tcBorders>
              <w:bottom w:val="single" w:sz="8" w:color="333333"/>
            </w:tcBorders>
          </w:tcPr>
          <w:p>
            <w:pPr>
              <w:spacing w:after="0"/>
              <w:rPr>
                <w:sz w:val="17"/>
                <w:szCs w:val="17"/>
                <w:color w:val="auto"/>
              </w:rPr>
            </w:pPr>
          </w:p>
        </w:tc>
        <w:tc>
          <w:tcPr>
            <w:tcW w:w="880" w:type="dxa"/>
            <w:vAlign w:val="bottom"/>
            <w:tcBorders>
              <w:bottom w:val="single" w:sz="8" w:color="333333"/>
              <w:right w:val="single" w:sz="8" w:color="333333"/>
            </w:tcBorders>
          </w:tcPr>
          <w:p>
            <w:pPr>
              <w:spacing w:after="0"/>
              <w:rPr>
                <w:sz w:val="17"/>
                <w:szCs w:val="17"/>
                <w:color w:val="auto"/>
              </w:rPr>
            </w:pPr>
          </w:p>
        </w:tc>
        <w:tc>
          <w:tcPr>
            <w:tcW w:w="1060" w:type="dxa"/>
            <w:vAlign w:val="bottom"/>
            <w:tcBorders>
              <w:bottom w:val="single" w:sz="8" w:color="333333"/>
            </w:tcBorders>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640" w:type="dxa"/>
            <w:vAlign w:val="bottom"/>
            <w:tcBorders>
              <w:right w:val="single" w:sz="8" w:color="333333"/>
            </w:tcBorders>
          </w:tcPr>
          <w:p>
            <w:pPr>
              <w:ind w:left="60"/>
              <w:spacing w:after="0" w:line="176" w:lineRule="exact"/>
              <w:rPr>
                <w:sz w:val="20"/>
                <w:szCs w:val="20"/>
                <w:color w:val="auto"/>
              </w:rPr>
            </w:pPr>
            <w:r>
              <w:rPr>
                <w:rFonts w:ascii="Arial" w:cs="Arial" w:eastAsia="Arial" w:hAnsi="Arial"/>
                <w:sz w:val="17"/>
                <w:szCs w:val="17"/>
                <w:b w:val="1"/>
                <w:bCs w:val="1"/>
                <w:color w:val="auto"/>
              </w:rPr>
              <w:t>Misconduct</w:t>
            </w:r>
          </w:p>
        </w:tc>
        <w:tc>
          <w:tcPr>
            <w:tcW w:w="7160" w:type="dxa"/>
            <w:vAlign w:val="bottom"/>
            <w:tcBorders>
              <w:right w:val="single" w:sz="8" w:color="333333"/>
            </w:tcBorders>
          </w:tcPr>
          <w:p>
            <w:pPr>
              <w:ind w:left="280"/>
              <w:spacing w:after="0" w:line="176" w:lineRule="exact"/>
              <w:rPr>
                <w:sz w:val="20"/>
                <w:szCs w:val="20"/>
                <w:color w:val="auto"/>
              </w:rPr>
            </w:pPr>
            <w:r>
              <w:rPr>
                <w:rFonts w:ascii="Arial" w:cs="Arial" w:eastAsia="Arial" w:hAnsi="Arial"/>
                <w:sz w:val="17"/>
                <w:szCs w:val="17"/>
                <w:color w:val="004876"/>
              </w:rPr>
              <w:t xml:space="preserve">• </w:t>
            </w:r>
            <w:r>
              <w:rPr>
                <w:rFonts w:ascii="Arial" w:cs="Arial" w:eastAsia="Arial" w:hAnsi="Arial"/>
                <w:sz w:val="17"/>
                <w:szCs w:val="17"/>
                <w:color w:val="000000"/>
              </w:rPr>
              <w:t>If the employee engaged in</w:t>
            </w:r>
            <w:r>
              <w:rPr>
                <w:rFonts w:ascii="Arial" w:cs="Arial" w:eastAsia="Arial" w:hAnsi="Arial"/>
                <w:sz w:val="17"/>
                <w:szCs w:val="17"/>
                <w:color w:val="004876"/>
              </w:rPr>
              <w:t xml:space="preserve"> </w:t>
            </w:r>
            <w:r>
              <w:rPr>
                <w:rFonts w:ascii="Arial" w:cs="Arial" w:eastAsia="Arial" w:hAnsi="Arial"/>
                <w:sz w:val="17"/>
                <w:szCs w:val="17"/>
                <w:b w:val="1"/>
                <w:bCs w:val="1"/>
                <w:color w:val="000000"/>
              </w:rPr>
              <w:t>conduct detrimental</w:t>
            </w:r>
            <w:r>
              <w:rPr>
                <w:rFonts w:ascii="Arial" w:cs="Arial" w:eastAsia="Arial" w:hAnsi="Arial"/>
                <w:sz w:val="17"/>
                <w:szCs w:val="17"/>
                <w:color w:val="004876"/>
              </w:rPr>
              <w:t xml:space="preserve"> </w:t>
            </w:r>
            <w:r>
              <w:rPr>
                <w:rFonts w:ascii="Arial" w:cs="Arial" w:eastAsia="Arial" w:hAnsi="Arial"/>
                <w:sz w:val="17"/>
                <w:szCs w:val="17"/>
                <w:color w:val="000000"/>
              </w:rPr>
              <w:t>to the Firm that causes material</w:t>
            </w:r>
          </w:p>
        </w:tc>
        <w:tc>
          <w:tcPr>
            <w:tcW w:w="280" w:type="dxa"/>
            <w:vAlign w:val="bottom"/>
          </w:tcPr>
          <w:p>
            <w:pPr>
              <w:spacing w:after="0"/>
              <w:rPr>
                <w:sz w:val="15"/>
                <w:szCs w:val="15"/>
                <w:color w:val="auto"/>
              </w:rPr>
            </w:pPr>
          </w:p>
        </w:tc>
        <w:tc>
          <w:tcPr>
            <w:tcW w:w="880" w:type="dxa"/>
            <w:vAlign w:val="bottom"/>
            <w:tcBorders>
              <w:right w:val="single" w:sz="8" w:color="333333"/>
            </w:tcBorders>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640" w:type="dxa"/>
            <w:vAlign w:val="bottom"/>
            <w:tcBorders>
              <w:right w:val="single" w:sz="8" w:color="333333"/>
            </w:tcBorders>
          </w:tcPr>
          <w:p>
            <w:pPr>
              <w:spacing w:after="0"/>
              <w:rPr>
                <w:sz w:val="16"/>
                <w:szCs w:val="16"/>
                <w:color w:val="auto"/>
              </w:rPr>
            </w:pPr>
          </w:p>
        </w:tc>
        <w:tc>
          <w:tcPr>
            <w:tcW w:w="7160" w:type="dxa"/>
            <w:vAlign w:val="bottom"/>
            <w:tcBorders>
              <w:right w:val="single" w:sz="8" w:color="333333"/>
            </w:tcBorders>
          </w:tcPr>
          <w:p>
            <w:pPr>
              <w:ind w:left="440"/>
              <w:spacing w:after="0" w:line="189" w:lineRule="exact"/>
              <w:rPr>
                <w:sz w:val="20"/>
                <w:szCs w:val="20"/>
                <w:color w:val="auto"/>
              </w:rPr>
            </w:pPr>
            <w:r>
              <w:rPr>
                <w:rFonts w:ascii="Arial" w:cs="Arial" w:eastAsia="Arial" w:hAnsi="Arial"/>
                <w:sz w:val="17"/>
                <w:szCs w:val="17"/>
                <w:color w:val="auto"/>
              </w:rPr>
              <w:t>financial or reputational harm to the Firm, or engaged in knowing and willful misconduct</w:t>
            </w:r>
          </w:p>
        </w:tc>
        <w:tc>
          <w:tcPr>
            <w:tcW w:w="280" w:type="dxa"/>
            <w:vAlign w:val="bottom"/>
          </w:tcPr>
          <w:p>
            <w:pPr>
              <w:spacing w:after="0"/>
              <w:rPr>
                <w:sz w:val="16"/>
                <w:szCs w:val="16"/>
                <w:color w:val="auto"/>
              </w:rPr>
            </w:pPr>
          </w:p>
        </w:tc>
        <w:tc>
          <w:tcPr>
            <w:tcW w:w="880" w:type="dxa"/>
            <w:vAlign w:val="bottom"/>
            <w:tcBorders>
              <w:right w:val="single" w:sz="8" w:color="333333"/>
            </w:tcBorders>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640" w:type="dxa"/>
            <w:vAlign w:val="bottom"/>
            <w:tcBorders>
              <w:right w:val="single" w:sz="8" w:color="333333"/>
            </w:tcBorders>
          </w:tcPr>
          <w:p>
            <w:pPr>
              <w:spacing w:after="0"/>
              <w:rPr>
                <w:sz w:val="16"/>
                <w:szCs w:val="16"/>
                <w:color w:val="auto"/>
              </w:rPr>
            </w:pPr>
          </w:p>
        </w:tc>
        <w:tc>
          <w:tcPr>
            <w:tcW w:w="7160" w:type="dxa"/>
            <w:vAlign w:val="bottom"/>
            <w:tcBorders>
              <w:bottom w:val="single" w:sz="8" w:color="333333"/>
              <w:right w:val="single" w:sz="8" w:color="333333"/>
            </w:tcBorders>
          </w:tcPr>
          <w:p>
            <w:pPr>
              <w:ind w:left="440"/>
              <w:spacing w:after="0"/>
              <w:rPr>
                <w:sz w:val="20"/>
                <w:szCs w:val="20"/>
                <w:color w:val="auto"/>
              </w:rPr>
            </w:pPr>
            <w:r>
              <w:rPr>
                <w:rFonts w:ascii="Arial" w:cs="Arial" w:eastAsia="Arial" w:hAnsi="Arial"/>
                <w:sz w:val="17"/>
                <w:szCs w:val="17"/>
                <w:color w:val="auto"/>
              </w:rPr>
              <w:t>related to employment</w:t>
            </w:r>
          </w:p>
        </w:tc>
        <w:tc>
          <w:tcPr>
            <w:tcW w:w="280" w:type="dxa"/>
            <w:vAlign w:val="bottom"/>
            <w:tcBorders>
              <w:bottom w:val="single" w:sz="8" w:color="333333"/>
            </w:tcBorders>
          </w:tcPr>
          <w:p>
            <w:pPr>
              <w:spacing w:after="0"/>
              <w:rPr>
                <w:sz w:val="16"/>
                <w:szCs w:val="16"/>
                <w:color w:val="auto"/>
              </w:rPr>
            </w:pPr>
          </w:p>
        </w:tc>
        <w:tc>
          <w:tcPr>
            <w:tcW w:w="880" w:type="dxa"/>
            <w:vAlign w:val="bottom"/>
            <w:tcBorders>
              <w:bottom w:val="single" w:sz="8" w:color="333333"/>
              <w:right w:val="single" w:sz="8" w:color="333333"/>
            </w:tcBorders>
          </w:tcPr>
          <w:p>
            <w:pPr>
              <w:spacing w:after="0"/>
              <w:rPr>
                <w:sz w:val="16"/>
                <w:szCs w:val="16"/>
                <w:color w:val="auto"/>
              </w:rPr>
            </w:pPr>
          </w:p>
        </w:tc>
        <w:tc>
          <w:tcPr>
            <w:tcW w:w="1060" w:type="dxa"/>
            <w:vAlign w:val="bottom"/>
            <w:tcBorders>
              <w:bottom w:val="single" w:sz="8" w:color="333333"/>
            </w:tcBorders>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1640" w:type="dxa"/>
            <w:vAlign w:val="bottom"/>
            <w:tcBorders>
              <w:right w:val="single" w:sz="8" w:color="333333"/>
            </w:tcBorders>
          </w:tcPr>
          <w:p>
            <w:pPr>
              <w:spacing w:after="0"/>
              <w:rPr>
                <w:sz w:val="20"/>
                <w:szCs w:val="20"/>
                <w:color w:val="auto"/>
              </w:rPr>
            </w:pPr>
          </w:p>
        </w:tc>
        <w:tc>
          <w:tcPr>
            <w:tcW w:w="7160" w:type="dxa"/>
            <w:vAlign w:val="bottom"/>
            <w:tcBorders>
              <w:right w:val="single" w:sz="8" w:color="333333"/>
            </w:tcBorders>
          </w:tcPr>
          <w:p>
            <w:pPr>
              <w:ind w:left="280"/>
              <w:spacing w:after="0"/>
              <w:rPr>
                <w:sz w:val="20"/>
                <w:szCs w:val="20"/>
                <w:color w:val="auto"/>
              </w:rPr>
            </w:pPr>
            <w:r>
              <w:rPr>
                <w:rFonts w:ascii="Arial" w:cs="Arial" w:eastAsia="Arial" w:hAnsi="Arial"/>
                <w:sz w:val="17"/>
                <w:szCs w:val="17"/>
                <w:color w:val="004876"/>
              </w:rPr>
              <w:t xml:space="preserve">• </w:t>
            </w:r>
            <w:r>
              <w:rPr>
                <w:rFonts w:ascii="Arial" w:cs="Arial" w:eastAsia="Arial" w:hAnsi="Arial"/>
                <w:sz w:val="17"/>
                <w:szCs w:val="17"/>
                <w:color w:val="000000"/>
              </w:rPr>
              <w:t>If the award was based on</w:t>
            </w:r>
            <w:r>
              <w:rPr>
                <w:rFonts w:ascii="Arial" w:cs="Arial" w:eastAsia="Arial" w:hAnsi="Arial"/>
                <w:sz w:val="17"/>
                <w:szCs w:val="17"/>
                <w:color w:val="004876"/>
              </w:rPr>
              <w:t xml:space="preserve"> </w:t>
            </w:r>
            <w:r>
              <w:rPr>
                <w:rFonts w:ascii="Arial" w:cs="Arial" w:eastAsia="Arial" w:hAnsi="Arial"/>
                <w:sz w:val="17"/>
                <w:szCs w:val="17"/>
                <w:b w:val="1"/>
                <w:bCs w:val="1"/>
                <w:color w:val="000000"/>
              </w:rPr>
              <w:t>material misrepresentation</w:t>
            </w:r>
            <w:r>
              <w:rPr>
                <w:rFonts w:ascii="Arial" w:cs="Arial" w:eastAsia="Arial" w:hAnsi="Arial"/>
                <w:sz w:val="17"/>
                <w:szCs w:val="17"/>
                <w:color w:val="004876"/>
              </w:rPr>
              <w:t xml:space="preserve"> </w:t>
            </w:r>
            <w:r>
              <w:rPr>
                <w:rFonts w:ascii="Arial" w:cs="Arial" w:eastAsia="Arial" w:hAnsi="Arial"/>
                <w:sz w:val="17"/>
                <w:szCs w:val="17"/>
                <w:color w:val="000000"/>
              </w:rPr>
              <w:t>by the employee</w:t>
            </w:r>
          </w:p>
        </w:tc>
        <w:tc>
          <w:tcPr>
            <w:tcW w:w="280" w:type="dxa"/>
            <w:vAlign w:val="bottom"/>
          </w:tcPr>
          <w:p>
            <w:pPr>
              <w:spacing w:after="0"/>
              <w:rPr>
                <w:sz w:val="20"/>
                <w:szCs w:val="20"/>
                <w:color w:val="auto"/>
              </w:rPr>
            </w:pPr>
          </w:p>
        </w:tc>
        <w:tc>
          <w:tcPr>
            <w:tcW w:w="880" w:type="dxa"/>
            <w:vAlign w:val="bottom"/>
            <w:tcBorders>
              <w:right w:val="single" w:sz="8" w:color="333333"/>
            </w:tcBorders>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5"/>
        </w:trPr>
        <w:tc>
          <w:tcPr>
            <w:tcW w:w="1640" w:type="dxa"/>
            <w:vAlign w:val="bottom"/>
            <w:tcBorders>
              <w:right w:val="single" w:sz="8" w:color="333333"/>
            </w:tcBorders>
          </w:tcPr>
          <w:p>
            <w:pPr>
              <w:spacing w:after="0"/>
              <w:rPr>
                <w:sz w:val="7"/>
                <w:szCs w:val="7"/>
                <w:color w:val="auto"/>
              </w:rPr>
            </w:pPr>
          </w:p>
        </w:tc>
        <w:tc>
          <w:tcPr>
            <w:tcW w:w="7160" w:type="dxa"/>
            <w:vAlign w:val="bottom"/>
            <w:tcBorders>
              <w:bottom w:val="single" w:sz="8" w:color="333333"/>
              <w:right w:val="single" w:sz="8" w:color="333333"/>
            </w:tcBorders>
          </w:tcPr>
          <w:p>
            <w:pPr>
              <w:spacing w:after="0"/>
              <w:rPr>
                <w:sz w:val="7"/>
                <w:szCs w:val="7"/>
                <w:color w:val="auto"/>
              </w:rPr>
            </w:pPr>
          </w:p>
        </w:tc>
        <w:tc>
          <w:tcPr>
            <w:tcW w:w="280" w:type="dxa"/>
            <w:vAlign w:val="bottom"/>
            <w:tcBorders>
              <w:bottom w:val="single" w:sz="8" w:color="333333"/>
            </w:tcBorders>
          </w:tcPr>
          <w:p>
            <w:pPr>
              <w:spacing w:after="0"/>
              <w:rPr>
                <w:sz w:val="7"/>
                <w:szCs w:val="7"/>
                <w:color w:val="auto"/>
              </w:rPr>
            </w:pPr>
          </w:p>
        </w:tc>
        <w:tc>
          <w:tcPr>
            <w:tcW w:w="880" w:type="dxa"/>
            <w:vAlign w:val="bottom"/>
            <w:tcBorders>
              <w:bottom w:val="single" w:sz="8" w:color="333333"/>
              <w:right w:val="single" w:sz="8" w:color="333333"/>
            </w:tcBorders>
          </w:tcPr>
          <w:p>
            <w:pPr>
              <w:spacing w:after="0"/>
              <w:rPr>
                <w:sz w:val="7"/>
                <w:szCs w:val="7"/>
                <w:color w:val="auto"/>
              </w:rPr>
            </w:pPr>
          </w:p>
        </w:tc>
        <w:tc>
          <w:tcPr>
            <w:tcW w:w="1060" w:type="dxa"/>
            <w:vAlign w:val="bottom"/>
            <w:tcBorders>
              <w:bottom w:val="single" w:sz="8" w:color="333333"/>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640" w:type="dxa"/>
            <w:vAlign w:val="bottom"/>
            <w:tcBorders>
              <w:right w:val="single" w:sz="8" w:color="333333"/>
            </w:tcBorders>
          </w:tcPr>
          <w:p>
            <w:pPr>
              <w:spacing w:after="0"/>
              <w:rPr>
                <w:sz w:val="20"/>
                <w:szCs w:val="20"/>
                <w:color w:val="auto"/>
              </w:rPr>
            </w:pPr>
          </w:p>
        </w:tc>
        <w:tc>
          <w:tcPr>
            <w:tcW w:w="7160" w:type="dxa"/>
            <w:vAlign w:val="bottom"/>
            <w:tcBorders>
              <w:right w:val="single" w:sz="8" w:color="333333"/>
            </w:tcBorders>
          </w:tcPr>
          <w:p>
            <w:pPr>
              <w:ind w:left="280"/>
              <w:spacing w:after="0"/>
              <w:rPr>
                <w:sz w:val="20"/>
                <w:szCs w:val="20"/>
                <w:color w:val="auto"/>
              </w:rPr>
            </w:pPr>
            <w:r>
              <w:rPr>
                <w:rFonts w:ascii="Arial" w:cs="Arial" w:eastAsia="Arial" w:hAnsi="Arial"/>
                <w:sz w:val="17"/>
                <w:szCs w:val="17"/>
                <w:color w:val="004876"/>
              </w:rPr>
              <w:t xml:space="preserve">• </w:t>
            </w:r>
            <w:r>
              <w:rPr>
                <w:rFonts w:ascii="Arial" w:cs="Arial" w:eastAsia="Arial" w:hAnsi="Arial"/>
                <w:sz w:val="17"/>
                <w:szCs w:val="17"/>
                <w:color w:val="000000"/>
              </w:rPr>
              <w:t>If the employee is</w:t>
            </w:r>
            <w:r>
              <w:rPr>
                <w:rFonts w:ascii="Arial" w:cs="Arial" w:eastAsia="Arial" w:hAnsi="Arial"/>
                <w:sz w:val="17"/>
                <w:szCs w:val="17"/>
                <w:color w:val="004876"/>
              </w:rPr>
              <w:t xml:space="preserve"> </w:t>
            </w:r>
            <w:r>
              <w:rPr>
                <w:rFonts w:ascii="Arial" w:cs="Arial" w:eastAsia="Arial" w:hAnsi="Arial"/>
                <w:sz w:val="17"/>
                <w:szCs w:val="17"/>
                <w:b w:val="1"/>
                <w:bCs w:val="1"/>
                <w:color w:val="000000"/>
              </w:rPr>
              <w:t>terminated for cause</w:t>
            </w:r>
          </w:p>
        </w:tc>
        <w:tc>
          <w:tcPr>
            <w:tcW w:w="280" w:type="dxa"/>
            <w:vAlign w:val="bottom"/>
          </w:tcPr>
          <w:p>
            <w:pPr>
              <w:spacing w:after="0"/>
              <w:rPr>
                <w:sz w:val="20"/>
                <w:szCs w:val="20"/>
                <w:color w:val="auto"/>
              </w:rPr>
            </w:pPr>
          </w:p>
        </w:tc>
        <w:tc>
          <w:tcPr>
            <w:tcW w:w="880" w:type="dxa"/>
            <w:vAlign w:val="bottom"/>
            <w:tcBorders>
              <w:right w:val="single" w:sz="8" w:color="333333"/>
            </w:tcBorders>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5"/>
        </w:trPr>
        <w:tc>
          <w:tcPr>
            <w:tcW w:w="1640" w:type="dxa"/>
            <w:vAlign w:val="bottom"/>
            <w:tcBorders>
              <w:bottom w:val="single" w:sz="8" w:color="333333"/>
              <w:right w:val="single" w:sz="8" w:color="333333"/>
            </w:tcBorders>
          </w:tcPr>
          <w:p>
            <w:pPr>
              <w:spacing w:after="0"/>
              <w:rPr>
                <w:sz w:val="7"/>
                <w:szCs w:val="7"/>
                <w:color w:val="auto"/>
              </w:rPr>
            </w:pPr>
          </w:p>
        </w:tc>
        <w:tc>
          <w:tcPr>
            <w:tcW w:w="7160" w:type="dxa"/>
            <w:vAlign w:val="bottom"/>
            <w:tcBorders>
              <w:bottom w:val="single" w:sz="8" w:color="333333"/>
              <w:right w:val="single" w:sz="8" w:color="333333"/>
            </w:tcBorders>
          </w:tcPr>
          <w:p>
            <w:pPr>
              <w:spacing w:after="0"/>
              <w:rPr>
                <w:sz w:val="7"/>
                <w:szCs w:val="7"/>
                <w:color w:val="auto"/>
              </w:rPr>
            </w:pPr>
          </w:p>
        </w:tc>
        <w:tc>
          <w:tcPr>
            <w:tcW w:w="280" w:type="dxa"/>
            <w:vAlign w:val="bottom"/>
            <w:tcBorders>
              <w:bottom w:val="single" w:sz="8" w:color="333333"/>
            </w:tcBorders>
          </w:tcPr>
          <w:p>
            <w:pPr>
              <w:spacing w:after="0"/>
              <w:rPr>
                <w:sz w:val="7"/>
                <w:szCs w:val="7"/>
                <w:color w:val="auto"/>
              </w:rPr>
            </w:pPr>
          </w:p>
        </w:tc>
        <w:tc>
          <w:tcPr>
            <w:tcW w:w="880" w:type="dxa"/>
            <w:vAlign w:val="bottom"/>
            <w:tcBorders>
              <w:bottom w:val="single" w:sz="8" w:color="333333"/>
              <w:right w:val="single" w:sz="8" w:color="333333"/>
            </w:tcBorders>
          </w:tcPr>
          <w:p>
            <w:pPr>
              <w:spacing w:after="0"/>
              <w:rPr>
                <w:sz w:val="7"/>
                <w:szCs w:val="7"/>
                <w:color w:val="auto"/>
              </w:rPr>
            </w:pPr>
          </w:p>
        </w:tc>
        <w:tc>
          <w:tcPr>
            <w:tcW w:w="1060" w:type="dxa"/>
            <w:vAlign w:val="bottom"/>
            <w:tcBorders>
              <w:bottom w:val="single" w:sz="8" w:color="333333"/>
            </w:tcBorders>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1640" w:type="dxa"/>
            <w:vAlign w:val="bottom"/>
            <w:tcBorders>
              <w:right w:val="single" w:sz="8" w:color="333333"/>
            </w:tcBorders>
          </w:tcPr>
          <w:p>
            <w:pPr>
              <w:ind w:left="60"/>
              <w:spacing w:after="0" w:line="183" w:lineRule="exact"/>
              <w:rPr>
                <w:sz w:val="20"/>
                <w:szCs w:val="20"/>
                <w:color w:val="auto"/>
              </w:rPr>
            </w:pPr>
            <w:r>
              <w:rPr>
                <w:rFonts w:ascii="Arial" w:cs="Arial" w:eastAsia="Arial" w:hAnsi="Arial"/>
                <w:sz w:val="17"/>
                <w:szCs w:val="17"/>
                <w:b w:val="1"/>
                <w:bCs w:val="1"/>
                <w:color w:val="auto"/>
              </w:rPr>
              <w:t>Risk-related</w:t>
            </w:r>
          </w:p>
        </w:tc>
        <w:tc>
          <w:tcPr>
            <w:tcW w:w="7160" w:type="dxa"/>
            <w:vAlign w:val="bottom"/>
            <w:tcBorders>
              <w:right w:val="single" w:sz="8" w:color="333333"/>
            </w:tcBorders>
          </w:tcPr>
          <w:p>
            <w:pPr>
              <w:ind w:left="280"/>
              <w:spacing w:after="0" w:line="183" w:lineRule="exact"/>
              <w:rPr>
                <w:sz w:val="20"/>
                <w:szCs w:val="20"/>
                <w:color w:val="auto"/>
              </w:rPr>
            </w:pPr>
            <w:r>
              <w:rPr>
                <w:rFonts w:ascii="Arial" w:cs="Arial" w:eastAsia="Arial" w:hAnsi="Arial"/>
                <w:sz w:val="17"/>
                <w:szCs w:val="17"/>
                <w:color w:val="004876"/>
              </w:rPr>
              <w:t xml:space="preserve">• </w:t>
            </w:r>
            <w:r>
              <w:rPr>
                <w:rFonts w:ascii="Arial" w:cs="Arial" w:eastAsia="Arial" w:hAnsi="Arial"/>
                <w:sz w:val="17"/>
                <w:szCs w:val="17"/>
                <w:color w:val="000000"/>
              </w:rPr>
              <w:t>If the employee improperly or with gross negligence</w:t>
            </w:r>
            <w:r>
              <w:rPr>
                <w:rFonts w:ascii="Arial" w:cs="Arial" w:eastAsia="Arial" w:hAnsi="Arial"/>
                <w:sz w:val="17"/>
                <w:szCs w:val="17"/>
                <w:color w:val="004876"/>
              </w:rPr>
              <w:t xml:space="preserve"> </w:t>
            </w:r>
            <w:r>
              <w:rPr>
                <w:rFonts w:ascii="Arial" w:cs="Arial" w:eastAsia="Arial" w:hAnsi="Arial"/>
                <w:sz w:val="17"/>
                <w:szCs w:val="17"/>
                <w:b w:val="1"/>
                <w:bCs w:val="1"/>
                <w:color w:val="000000"/>
              </w:rPr>
              <w:t>failed to identify, raise or assess,</w:t>
            </w:r>
          </w:p>
        </w:tc>
        <w:tc>
          <w:tcPr>
            <w:tcW w:w="280" w:type="dxa"/>
            <w:vAlign w:val="bottom"/>
          </w:tcPr>
          <w:p>
            <w:pPr>
              <w:spacing w:after="0"/>
              <w:rPr>
                <w:sz w:val="15"/>
                <w:szCs w:val="15"/>
                <w:color w:val="auto"/>
              </w:rPr>
            </w:pPr>
          </w:p>
        </w:tc>
        <w:tc>
          <w:tcPr>
            <w:tcW w:w="880" w:type="dxa"/>
            <w:vAlign w:val="bottom"/>
            <w:tcBorders>
              <w:right w:val="single" w:sz="8" w:color="333333"/>
            </w:tcBorders>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640" w:type="dxa"/>
            <w:vAlign w:val="bottom"/>
            <w:tcBorders>
              <w:right w:val="single" w:sz="8" w:color="333333"/>
            </w:tcBorders>
          </w:tcPr>
          <w:p>
            <w:pPr>
              <w:ind w:left="60"/>
              <w:spacing w:after="0" w:line="183" w:lineRule="exact"/>
              <w:rPr>
                <w:sz w:val="20"/>
                <w:szCs w:val="20"/>
                <w:color w:val="auto"/>
              </w:rPr>
            </w:pPr>
            <w:r>
              <w:rPr>
                <w:rFonts w:ascii="Arial" w:cs="Arial" w:eastAsia="Arial" w:hAnsi="Arial"/>
                <w:sz w:val="17"/>
                <w:szCs w:val="17"/>
                <w:b w:val="1"/>
                <w:bCs w:val="1"/>
                <w:color w:val="auto"/>
              </w:rPr>
              <w:t>and Other</w:t>
            </w:r>
          </w:p>
        </w:tc>
        <w:tc>
          <w:tcPr>
            <w:tcW w:w="7160" w:type="dxa"/>
            <w:vAlign w:val="bottom"/>
            <w:tcBorders>
              <w:right w:val="single" w:sz="8" w:color="333333"/>
            </w:tcBorders>
          </w:tcPr>
          <w:p>
            <w:pPr>
              <w:ind w:left="440"/>
              <w:spacing w:after="0" w:line="183" w:lineRule="exact"/>
              <w:rPr>
                <w:sz w:val="20"/>
                <w:szCs w:val="20"/>
                <w:color w:val="auto"/>
              </w:rPr>
            </w:pPr>
            <w:r>
              <w:rPr>
                <w:rFonts w:ascii="Arial" w:cs="Arial" w:eastAsia="Arial" w:hAnsi="Arial"/>
                <w:sz w:val="17"/>
                <w:szCs w:val="17"/>
                <w:color w:val="auto"/>
              </w:rPr>
              <w:t>in a timely manner and as reasonably expected, issues and/or concerns with respect to</w:t>
            </w:r>
          </w:p>
        </w:tc>
        <w:tc>
          <w:tcPr>
            <w:tcW w:w="280" w:type="dxa"/>
            <w:vAlign w:val="bottom"/>
          </w:tcPr>
          <w:p>
            <w:pPr>
              <w:spacing w:after="0"/>
              <w:rPr>
                <w:sz w:val="15"/>
                <w:szCs w:val="15"/>
                <w:color w:val="auto"/>
              </w:rPr>
            </w:pPr>
          </w:p>
        </w:tc>
        <w:tc>
          <w:tcPr>
            <w:tcW w:w="880" w:type="dxa"/>
            <w:vAlign w:val="bottom"/>
            <w:tcBorders>
              <w:right w:val="single" w:sz="8" w:color="333333"/>
            </w:tcBorders>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640" w:type="dxa"/>
            <w:vAlign w:val="bottom"/>
            <w:tcBorders>
              <w:right w:val="single" w:sz="8" w:color="333333"/>
            </w:tcBorders>
          </w:tcPr>
          <w:p>
            <w:pPr>
              <w:spacing w:after="0"/>
              <w:rPr>
                <w:sz w:val="16"/>
                <w:szCs w:val="16"/>
                <w:color w:val="auto"/>
              </w:rPr>
            </w:pPr>
          </w:p>
        </w:tc>
        <w:tc>
          <w:tcPr>
            <w:tcW w:w="7160" w:type="dxa"/>
            <w:vAlign w:val="bottom"/>
            <w:tcBorders>
              <w:bottom w:val="single" w:sz="8" w:color="333333"/>
              <w:right w:val="single" w:sz="8" w:color="333333"/>
            </w:tcBorders>
          </w:tcPr>
          <w:p>
            <w:pPr>
              <w:ind w:left="440"/>
              <w:spacing w:after="0"/>
              <w:rPr>
                <w:sz w:val="20"/>
                <w:szCs w:val="20"/>
                <w:color w:val="auto"/>
              </w:rPr>
            </w:pPr>
            <w:r>
              <w:rPr>
                <w:rFonts w:ascii="Arial" w:cs="Arial" w:eastAsia="Arial" w:hAnsi="Arial"/>
                <w:sz w:val="17"/>
                <w:szCs w:val="17"/>
                <w:b w:val="1"/>
                <w:bCs w:val="1"/>
                <w:color w:val="auto"/>
              </w:rPr>
              <w:t>risks material to the Firm</w:t>
            </w:r>
          </w:p>
        </w:tc>
        <w:tc>
          <w:tcPr>
            <w:tcW w:w="280" w:type="dxa"/>
            <w:vAlign w:val="bottom"/>
            <w:tcBorders>
              <w:bottom w:val="single" w:sz="8" w:color="333333"/>
            </w:tcBorders>
          </w:tcPr>
          <w:p>
            <w:pPr>
              <w:spacing w:after="0"/>
              <w:rPr>
                <w:sz w:val="16"/>
                <w:szCs w:val="16"/>
                <w:color w:val="auto"/>
              </w:rPr>
            </w:pPr>
          </w:p>
        </w:tc>
        <w:tc>
          <w:tcPr>
            <w:tcW w:w="880" w:type="dxa"/>
            <w:vAlign w:val="bottom"/>
            <w:tcBorders>
              <w:bottom w:val="single" w:sz="8" w:color="333333"/>
              <w:right w:val="single" w:sz="8" w:color="333333"/>
            </w:tcBorders>
          </w:tcPr>
          <w:p>
            <w:pPr>
              <w:spacing w:after="0"/>
              <w:rPr>
                <w:sz w:val="16"/>
                <w:szCs w:val="16"/>
                <w:color w:val="auto"/>
              </w:rPr>
            </w:pPr>
          </w:p>
        </w:tc>
        <w:tc>
          <w:tcPr>
            <w:tcW w:w="1060" w:type="dxa"/>
            <w:vAlign w:val="bottom"/>
            <w:tcBorders>
              <w:bottom w:val="single" w:sz="8" w:color="333333"/>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640" w:type="dxa"/>
            <w:vAlign w:val="bottom"/>
            <w:tcBorders>
              <w:right w:val="single" w:sz="8" w:color="333333"/>
            </w:tcBorders>
          </w:tcPr>
          <w:p>
            <w:pPr>
              <w:spacing w:after="0"/>
              <w:rPr>
                <w:sz w:val="15"/>
                <w:szCs w:val="15"/>
                <w:color w:val="auto"/>
              </w:rPr>
            </w:pPr>
          </w:p>
        </w:tc>
        <w:tc>
          <w:tcPr>
            <w:tcW w:w="7160" w:type="dxa"/>
            <w:vAlign w:val="bottom"/>
            <w:tcBorders>
              <w:right w:val="single" w:sz="8" w:color="333333"/>
            </w:tcBorders>
          </w:tcPr>
          <w:p>
            <w:pPr>
              <w:ind w:left="280"/>
              <w:spacing w:after="0" w:line="176" w:lineRule="exact"/>
              <w:rPr>
                <w:sz w:val="20"/>
                <w:szCs w:val="20"/>
                <w:color w:val="auto"/>
              </w:rPr>
            </w:pPr>
            <w:r>
              <w:rPr>
                <w:rFonts w:ascii="Arial" w:cs="Arial" w:eastAsia="Arial" w:hAnsi="Arial"/>
                <w:sz w:val="17"/>
                <w:szCs w:val="17"/>
                <w:color w:val="004876"/>
              </w:rPr>
              <w:t xml:space="preserve">• </w:t>
            </w:r>
            <w:r>
              <w:rPr>
                <w:rFonts w:ascii="Arial" w:cs="Arial" w:eastAsia="Arial" w:hAnsi="Arial"/>
                <w:sz w:val="17"/>
                <w:szCs w:val="17"/>
                <w:color w:val="000000"/>
              </w:rPr>
              <w:t>If the award was based on</w:t>
            </w:r>
            <w:r>
              <w:rPr>
                <w:rFonts w:ascii="Arial" w:cs="Arial" w:eastAsia="Arial" w:hAnsi="Arial"/>
                <w:sz w:val="17"/>
                <w:szCs w:val="17"/>
                <w:color w:val="004876"/>
              </w:rPr>
              <w:t xml:space="preserve"> </w:t>
            </w:r>
            <w:r>
              <w:rPr>
                <w:rFonts w:ascii="Arial" w:cs="Arial" w:eastAsia="Arial" w:hAnsi="Arial"/>
                <w:sz w:val="17"/>
                <w:szCs w:val="17"/>
                <w:b w:val="1"/>
                <w:bCs w:val="1"/>
                <w:color w:val="000000"/>
              </w:rPr>
              <w:t>materially inaccurate performance metrics</w:t>
            </w:r>
            <w:r>
              <w:rPr>
                <w:rFonts w:ascii="Arial" w:cs="Arial" w:eastAsia="Arial" w:hAnsi="Arial"/>
                <w:sz w:val="17"/>
                <w:szCs w:val="17"/>
                <w:color w:val="000000"/>
              </w:rPr>
              <w:t>, whether or not</w:t>
            </w:r>
          </w:p>
        </w:tc>
        <w:tc>
          <w:tcPr>
            <w:tcW w:w="280" w:type="dxa"/>
            <w:vAlign w:val="bottom"/>
          </w:tcPr>
          <w:p>
            <w:pPr>
              <w:spacing w:after="0"/>
              <w:rPr>
                <w:sz w:val="15"/>
                <w:szCs w:val="15"/>
                <w:color w:val="auto"/>
              </w:rPr>
            </w:pPr>
          </w:p>
        </w:tc>
        <w:tc>
          <w:tcPr>
            <w:tcW w:w="880" w:type="dxa"/>
            <w:vAlign w:val="bottom"/>
            <w:tcBorders>
              <w:right w:val="single" w:sz="8" w:color="333333"/>
            </w:tcBorders>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640" w:type="dxa"/>
            <w:vAlign w:val="bottom"/>
            <w:tcBorders>
              <w:bottom w:val="single" w:sz="8" w:color="333333"/>
              <w:right w:val="single" w:sz="8" w:color="333333"/>
            </w:tcBorders>
          </w:tcPr>
          <w:p>
            <w:pPr>
              <w:spacing w:after="0"/>
              <w:rPr>
                <w:sz w:val="16"/>
                <w:szCs w:val="16"/>
                <w:color w:val="auto"/>
              </w:rPr>
            </w:pPr>
          </w:p>
        </w:tc>
        <w:tc>
          <w:tcPr>
            <w:tcW w:w="7160" w:type="dxa"/>
            <w:vAlign w:val="bottom"/>
            <w:tcBorders>
              <w:bottom w:val="single" w:sz="8" w:color="333333"/>
              <w:right w:val="single" w:sz="8" w:color="333333"/>
            </w:tcBorders>
          </w:tcPr>
          <w:p>
            <w:pPr>
              <w:ind w:left="440"/>
              <w:spacing w:after="0"/>
              <w:rPr>
                <w:sz w:val="20"/>
                <w:szCs w:val="20"/>
                <w:color w:val="auto"/>
              </w:rPr>
            </w:pPr>
            <w:r>
              <w:rPr>
                <w:rFonts w:ascii="Arial" w:cs="Arial" w:eastAsia="Arial" w:hAnsi="Arial"/>
                <w:sz w:val="17"/>
                <w:szCs w:val="17"/>
                <w:color w:val="auto"/>
              </w:rPr>
              <w:t>the employee was responsible for the inaccuracy</w:t>
            </w:r>
          </w:p>
        </w:tc>
        <w:tc>
          <w:tcPr>
            <w:tcW w:w="280" w:type="dxa"/>
            <w:vAlign w:val="bottom"/>
            <w:tcBorders>
              <w:bottom w:val="single" w:sz="8" w:color="333333"/>
            </w:tcBorders>
          </w:tcPr>
          <w:p>
            <w:pPr>
              <w:spacing w:after="0"/>
              <w:rPr>
                <w:sz w:val="16"/>
                <w:szCs w:val="16"/>
                <w:color w:val="auto"/>
              </w:rPr>
            </w:pPr>
          </w:p>
        </w:tc>
        <w:tc>
          <w:tcPr>
            <w:tcW w:w="880" w:type="dxa"/>
            <w:vAlign w:val="bottom"/>
            <w:tcBorders>
              <w:bottom w:val="single" w:sz="8" w:color="333333"/>
              <w:right w:val="single" w:sz="8" w:color="333333"/>
            </w:tcBorders>
          </w:tcPr>
          <w:p>
            <w:pPr>
              <w:spacing w:after="0"/>
              <w:rPr>
                <w:sz w:val="16"/>
                <w:szCs w:val="16"/>
                <w:color w:val="auto"/>
              </w:rPr>
            </w:pPr>
          </w:p>
        </w:tc>
        <w:tc>
          <w:tcPr>
            <w:tcW w:w="1060" w:type="dxa"/>
            <w:vAlign w:val="bottom"/>
            <w:tcBorders>
              <w:bottom w:val="single" w:sz="8" w:color="333333"/>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640" w:type="dxa"/>
            <w:vAlign w:val="bottom"/>
            <w:tcBorders>
              <w:right w:val="single" w:sz="8" w:color="333333"/>
            </w:tcBorders>
          </w:tcPr>
          <w:p>
            <w:pPr>
              <w:ind w:left="60"/>
              <w:spacing w:after="0" w:line="183" w:lineRule="exact"/>
              <w:rPr>
                <w:sz w:val="20"/>
                <w:szCs w:val="20"/>
                <w:color w:val="auto"/>
              </w:rPr>
            </w:pPr>
            <w:r>
              <w:rPr>
                <w:rFonts w:ascii="Arial" w:cs="Arial" w:eastAsia="Arial" w:hAnsi="Arial"/>
                <w:sz w:val="17"/>
                <w:szCs w:val="17"/>
                <w:b w:val="1"/>
                <w:bCs w:val="1"/>
                <w:color w:val="auto"/>
              </w:rPr>
              <w:t>Protection-Based</w:t>
            </w:r>
          </w:p>
        </w:tc>
        <w:tc>
          <w:tcPr>
            <w:tcW w:w="7160" w:type="dxa"/>
            <w:vAlign w:val="bottom"/>
            <w:tcBorders>
              <w:right w:val="single" w:sz="8" w:color="333333"/>
            </w:tcBorders>
          </w:tcPr>
          <w:p>
            <w:pPr>
              <w:ind w:left="280"/>
              <w:spacing w:after="0" w:line="183" w:lineRule="exact"/>
              <w:rPr>
                <w:sz w:val="20"/>
                <w:szCs w:val="20"/>
                <w:color w:val="auto"/>
              </w:rPr>
            </w:pPr>
            <w:r>
              <w:rPr>
                <w:rFonts w:ascii="Arial" w:cs="Arial" w:eastAsia="Arial" w:hAnsi="Arial"/>
                <w:sz w:val="17"/>
                <w:szCs w:val="17"/>
                <w:color w:val="004876"/>
              </w:rPr>
              <w:t xml:space="preserve">• </w:t>
            </w:r>
            <w:r>
              <w:rPr>
                <w:rFonts w:ascii="Arial" w:cs="Arial" w:eastAsia="Arial" w:hAnsi="Arial"/>
                <w:sz w:val="17"/>
                <w:szCs w:val="17"/>
                <w:color w:val="000000"/>
              </w:rPr>
              <w:t>If</w:t>
            </w:r>
            <w:r>
              <w:rPr>
                <w:rFonts w:ascii="Arial" w:cs="Arial" w:eastAsia="Arial" w:hAnsi="Arial"/>
                <w:sz w:val="17"/>
                <w:szCs w:val="17"/>
                <w:color w:val="004876"/>
              </w:rPr>
              <w:t xml:space="preserve"> </w:t>
            </w:r>
            <w:r>
              <w:rPr>
                <w:rFonts w:ascii="Arial" w:cs="Arial" w:eastAsia="Arial" w:hAnsi="Arial"/>
                <w:sz w:val="17"/>
                <w:szCs w:val="17"/>
                <w:b w:val="1"/>
                <w:bCs w:val="1"/>
                <w:color w:val="000000"/>
              </w:rPr>
              <w:t>performance in relation to the priorities</w:t>
            </w:r>
            <w:r>
              <w:rPr>
                <w:rFonts w:ascii="Arial" w:cs="Arial" w:eastAsia="Arial" w:hAnsi="Arial"/>
                <w:sz w:val="17"/>
                <w:szCs w:val="17"/>
                <w:color w:val="004876"/>
              </w:rPr>
              <w:t xml:space="preserve"> </w:t>
            </w:r>
            <w:r>
              <w:rPr>
                <w:rFonts w:ascii="Arial" w:cs="Arial" w:eastAsia="Arial" w:hAnsi="Arial"/>
                <w:sz w:val="17"/>
                <w:szCs w:val="17"/>
                <w:color w:val="000000"/>
              </w:rPr>
              <w:t>for their position, or the Firm’s performance</w:t>
            </w:r>
          </w:p>
        </w:tc>
        <w:tc>
          <w:tcPr>
            <w:tcW w:w="280" w:type="dxa"/>
            <w:vAlign w:val="bottom"/>
          </w:tcPr>
          <w:p>
            <w:pPr>
              <w:spacing w:after="0"/>
              <w:rPr>
                <w:sz w:val="15"/>
                <w:szCs w:val="15"/>
                <w:color w:val="auto"/>
              </w:rPr>
            </w:pPr>
          </w:p>
        </w:tc>
        <w:tc>
          <w:tcPr>
            <w:tcW w:w="880" w:type="dxa"/>
            <w:vAlign w:val="bottom"/>
            <w:tcBorders>
              <w:right w:val="single" w:sz="8" w:color="333333"/>
            </w:tcBorders>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640" w:type="dxa"/>
            <w:vAlign w:val="bottom"/>
            <w:tcBorders>
              <w:right w:val="single" w:sz="8" w:color="333333"/>
            </w:tcBorders>
          </w:tcPr>
          <w:p>
            <w:pPr>
              <w:ind w:left="680"/>
              <w:spacing w:after="0" w:line="149" w:lineRule="exact"/>
              <w:rPr>
                <w:sz w:val="20"/>
                <w:szCs w:val="20"/>
                <w:color w:val="auto"/>
              </w:rPr>
            </w:pPr>
            <w:r>
              <w:rPr>
                <w:rFonts w:ascii="Arial" w:cs="Arial" w:eastAsia="Arial" w:hAnsi="Arial"/>
                <w:sz w:val="15"/>
                <w:szCs w:val="15"/>
                <w:b w:val="1"/>
                <w:bCs w:val="1"/>
                <w:color w:val="auto"/>
              </w:rPr>
              <w:t>2</w:t>
            </w:r>
          </w:p>
        </w:tc>
        <w:tc>
          <w:tcPr>
            <w:tcW w:w="7160" w:type="dxa"/>
            <w:vAlign w:val="bottom"/>
            <w:tcBorders>
              <w:right w:val="single" w:sz="8" w:color="333333"/>
            </w:tcBorders>
          </w:tcPr>
          <w:p>
            <w:pPr>
              <w:ind w:left="440"/>
              <w:spacing w:after="0" w:line="149" w:lineRule="exact"/>
              <w:rPr>
                <w:sz w:val="20"/>
                <w:szCs w:val="20"/>
                <w:color w:val="auto"/>
              </w:rPr>
            </w:pPr>
            <w:r>
              <w:rPr>
                <w:rFonts w:ascii="Arial" w:cs="Arial" w:eastAsia="Arial" w:hAnsi="Arial"/>
                <w:sz w:val="17"/>
                <w:szCs w:val="17"/>
                <w:color w:val="auto"/>
              </w:rPr>
              <w:t>in relation to the priorities for which they share responsibility as a member of the</w:t>
            </w:r>
          </w:p>
        </w:tc>
        <w:tc>
          <w:tcPr>
            <w:tcW w:w="280" w:type="dxa"/>
            <w:vAlign w:val="bottom"/>
          </w:tcPr>
          <w:p>
            <w:pPr>
              <w:spacing w:after="0"/>
              <w:rPr>
                <w:sz w:val="12"/>
                <w:szCs w:val="12"/>
                <w:color w:val="auto"/>
              </w:rPr>
            </w:pPr>
          </w:p>
        </w:tc>
        <w:tc>
          <w:tcPr>
            <w:tcW w:w="880" w:type="dxa"/>
            <w:vAlign w:val="bottom"/>
            <w:tcBorders>
              <w:right w:val="single" w:sz="8" w:color="333333"/>
            </w:tcBorders>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640" w:type="dxa"/>
            <w:vAlign w:val="bottom"/>
            <w:tcBorders>
              <w:right w:val="single" w:sz="8" w:color="333333"/>
            </w:tcBorders>
          </w:tcPr>
          <w:p>
            <w:pPr>
              <w:ind w:left="60"/>
              <w:spacing w:after="0" w:line="189" w:lineRule="exact"/>
              <w:rPr>
                <w:sz w:val="20"/>
                <w:szCs w:val="20"/>
                <w:color w:val="auto"/>
              </w:rPr>
            </w:pPr>
            <w:r>
              <w:rPr>
                <w:rFonts w:ascii="Arial" w:cs="Arial" w:eastAsia="Arial" w:hAnsi="Arial"/>
                <w:sz w:val="17"/>
                <w:szCs w:val="17"/>
                <w:b w:val="1"/>
                <w:bCs w:val="1"/>
                <w:color w:val="auto"/>
              </w:rPr>
              <w:t>Vesting</w:t>
            </w:r>
          </w:p>
        </w:tc>
        <w:tc>
          <w:tcPr>
            <w:tcW w:w="7160" w:type="dxa"/>
            <w:vAlign w:val="bottom"/>
            <w:tcBorders>
              <w:right w:val="single" w:sz="8" w:color="333333"/>
            </w:tcBorders>
            <w:vMerge w:val="restart"/>
          </w:tcPr>
          <w:p>
            <w:pPr>
              <w:ind w:left="440"/>
              <w:spacing w:after="0"/>
              <w:rPr>
                <w:sz w:val="20"/>
                <w:szCs w:val="20"/>
                <w:color w:val="auto"/>
              </w:rPr>
            </w:pPr>
            <w:r>
              <w:rPr>
                <w:rFonts w:ascii="Arial" w:cs="Arial" w:eastAsia="Arial" w:hAnsi="Arial"/>
                <w:sz w:val="17"/>
                <w:szCs w:val="17"/>
                <w:color w:val="auto"/>
              </w:rPr>
              <w:t xml:space="preserve">Operating Committee, </w:t>
            </w:r>
            <w:r>
              <w:rPr>
                <w:rFonts w:ascii="Arial" w:cs="Arial" w:eastAsia="Arial" w:hAnsi="Arial"/>
                <w:sz w:val="17"/>
                <w:szCs w:val="17"/>
                <w:b w:val="1"/>
                <w:bCs w:val="1"/>
                <w:color w:val="auto"/>
              </w:rPr>
              <w:t>has been unsatisfactory for a sustained period of time</w:t>
            </w:r>
          </w:p>
        </w:tc>
        <w:tc>
          <w:tcPr>
            <w:tcW w:w="280" w:type="dxa"/>
            <w:vAlign w:val="bottom"/>
          </w:tcPr>
          <w:p>
            <w:pPr>
              <w:spacing w:after="0"/>
              <w:rPr>
                <w:sz w:val="16"/>
                <w:szCs w:val="16"/>
                <w:color w:val="auto"/>
              </w:rPr>
            </w:pPr>
          </w:p>
        </w:tc>
        <w:tc>
          <w:tcPr>
            <w:tcW w:w="880" w:type="dxa"/>
            <w:vAlign w:val="bottom"/>
            <w:tcBorders>
              <w:right w:val="single" w:sz="8" w:color="333333"/>
            </w:tcBorders>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1640" w:type="dxa"/>
            <w:vAlign w:val="bottom"/>
            <w:tcBorders>
              <w:right w:val="single" w:sz="8" w:color="333333"/>
            </w:tcBorders>
          </w:tcPr>
          <w:p>
            <w:pPr>
              <w:spacing w:after="0"/>
              <w:rPr>
                <w:sz w:val="3"/>
                <w:szCs w:val="3"/>
                <w:color w:val="auto"/>
              </w:rPr>
            </w:pPr>
          </w:p>
        </w:tc>
        <w:tc>
          <w:tcPr>
            <w:tcW w:w="7160" w:type="dxa"/>
            <w:vAlign w:val="bottom"/>
            <w:tcBorders>
              <w:bottom w:val="single" w:sz="8" w:color="333333"/>
              <w:right w:val="single" w:sz="8" w:color="333333"/>
            </w:tcBorders>
            <w:vMerge w:val="continue"/>
          </w:tcPr>
          <w:p>
            <w:pPr>
              <w:spacing w:after="0"/>
              <w:rPr>
                <w:sz w:val="3"/>
                <w:szCs w:val="3"/>
                <w:color w:val="auto"/>
              </w:rPr>
            </w:pPr>
          </w:p>
        </w:tc>
        <w:tc>
          <w:tcPr>
            <w:tcW w:w="280" w:type="dxa"/>
            <w:vAlign w:val="bottom"/>
            <w:tcBorders>
              <w:bottom w:val="single" w:sz="8" w:color="333333"/>
            </w:tcBorders>
          </w:tcPr>
          <w:p>
            <w:pPr>
              <w:spacing w:after="0"/>
              <w:rPr>
                <w:sz w:val="3"/>
                <w:szCs w:val="3"/>
                <w:color w:val="auto"/>
              </w:rPr>
            </w:pPr>
          </w:p>
        </w:tc>
        <w:tc>
          <w:tcPr>
            <w:tcW w:w="880" w:type="dxa"/>
            <w:vAlign w:val="bottom"/>
            <w:tcBorders>
              <w:bottom w:val="single" w:sz="8" w:color="333333"/>
              <w:right w:val="single" w:sz="8" w:color="333333"/>
            </w:tcBorders>
          </w:tcPr>
          <w:p>
            <w:pPr>
              <w:spacing w:after="0"/>
              <w:rPr>
                <w:sz w:val="3"/>
                <w:szCs w:val="3"/>
                <w:color w:val="auto"/>
              </w:rPr>
            </w:pPr>
          </w:p>
        </w:tc>
        <w:tc>
          <w:tcPr>
            <w:tcW w:w="1060" w:type="dxa"/>
            <w:vAlign w:val="bottom"/>
            <w:tcBorders>
              <w:bottom w:val="single" w:sz="8" w:color="333333"/>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1640" w:type="dxa"/>
            <w:vAlign w:val="bottom"/>
            <w:tcBorders>
              <w:right w:val="single" w:sz="8" w:color="333333"/>
            </w:tcBorders>
          </w:tcPr>
          <w:p>
            <w:pPr>
              <w:spacing w:after="0"/>
              <w:rPr>
                <w:sz w:val="13"/>
                <w:szCs w:val="13"/>
                <w:color w:val="auto"/>
              </w:rPr>
            </w:pPr>
          </w:p>
        </w:tc>
        <w:tc>
          <w:tcPr>
            <w:tcW w:w="7160" w:type="dxa"/>
            <w:vAlign w:val="bottom"/>
            <w:tcBorders>
              <w:right w:val="single" w:sz="8" w:color="333333"/>
            </w:tcBorders>
          </w:tcPr>
          <w:p>
            <w:pPr>
              <w:ind w:left="280"/>
              <w:spacing w:after="0" w:line="156" w:lineRule="exact"/>
              <w:rPr>
                <w:sz w:val="20"/>
                <w:szCs w:val="20"/>
                <w:color w:val="auto"/>
              </w:rPr>
            </w:pPr>
            <w:r>
              <w:rPr>
                <w:rFonts w:ascii="Arial" w:cs="Arial" w:eastAsia="Arial" w:hAnsi="Arial"/>
                <w:sz w:val="17"/>
                <w:szCs w:val="17"/>
                <w:color w:val="004876"/>
              </w:rPr>
              <w:t xml:space="preserve">• </w:t>
            </w:r>
            <w:r>
              <w:rPr>
                <w:rFonts w:ascii="Arial" w:cs="Arial" w:eastAsia="Arial" w:hAnsi="Arial"/>
                <w:sz w:val="17"/>
                <w:szCs w:val="17"/>
                <w:color w:val="000000"/>
              </w:rPr>
              <w:t>If awards granted to participants in a LOB for which the Operating Committee member</w:t>
            </w:r>
          </w:p>
        </w:tc>
        <w:tc>
          <w:tcPr>
            <w:tcW w:w="280" w:type="dxa"/>
            <w:vAlign w:val="bottom"/>
          </w:tcPr>
          <w:p>
            <w:pPr>
              <w:spacing w:after="0"/>
              <w:rPr>
                <w:sz w:val="13"/>
                <w:szCs w:val="13"/>
                <w:color w:val="auto"/>
              </w:rPr>
            </w:pPr>
          </w:p>
        </w:tc>
        <w:tc>
          <w:tcPr>
            <w:tcW w:w="880" w:type="dxa"/>
            <w:vAlign w:val="bottom"/>
            <w:tcBorders>
              <w:right w:val="single" w:sz="8" w:color="333333"/>
            </w:tcBorders>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640" w:type="dxa"/>
            <w:vAlign w:val="bottom"/>
            <w:tcBorders>
              <w:right w:val="single" w:sz="8" w:color="333333"/>
            </w:tcBorders>
          </w:tcPr>
          <w:p>
            <w:pPr>
              <w:spacing w:after="0"/>
              <w:rPr>
                <w:sz w:val="16"/>
                <w:szCs w:val="16"/>
                <w:color w:val="auto"/>
              </w:rPr>
            </w:pPr>
          </w:p>
        </w:tc>
        <w:tc>
          <w:tcPr>
            <w:tcW w:w="7160" w:type="dxa"/>
            <w:vAlign w:val="bottom"/>
            <w:tcBorders>
              <w:right w:val="single" w:sz="8" w:color="333333"/>
            </w:tcBorders>
          </w:tcPr>
          <w:p>
            <w:pPr>
              <w:ind w:left="440"/>
              <w:spacing w:after="0" w:line="189" w:lineRule="exact"/>
              <w:rPr>
                <w:sz w:val="20"/>
                <w:szCs w:val="20"/>
                <w:color w:val="auto"/>
              </w:rPr>
            </w:pPr>
            <w:r>
              <w:rPr>
                <w:rFonts w:ascii="Arial" w:cs="Arial" w:eastAsia="Arial" w:hAnsi="Arial"/>
                <w:sz w:val="17"/>
                <w:szCs w:val="17"/>
                <w:color w:val="auto"/>
              </w:rPr>
              <w:t xml:space="preserve">exercised responsibility were in whole or in part cancelled because the LOB </w:t>
            </w:r>
            <w:r>
              <w:rPr>
                <w:rFonts w:ascii="Arial" w:cs="Arial" w:eastAsia="Arial" w:hAnsi="Arial"/>
                <w:sz w:val="17"/>
                <w:szCs w:val="17"/>
                <w:b w:val="1"/>
                <w:bCs w:val="1"/>
                <w:color w:val="auto"/>
              </w:rPr>
              <w:t>did not</w:t>
            </w:r>
          </w:p>
        </w:tc>
        <w:tc>
          <w:tcPr>
            <w:tcW w:w="280" w:type="dxa"/>
            <w:vAlign w:val="bottom"/>
          </w:tcPr>
          <w:p>
            <w:pPr>
              <w:spacing w:after="0"/>
              <w:rPr>
                <w:sz w:val="16"/>
                <w:szCs w:val="16"/>
                <w:color w:val="auto"/>
              </w:rPr>
            </w:pPr>
          </w:p>
        </w:tc>
        <w:tc>
          <w:tcPr>
            <w:tcW w:w="880" w:type="dxa"/>
            <w:vAlign w:val="bottom"/>
            <w:tcBorders>
              <w:right w:val="single" w:sz="8" w:color="333333"/>
            </w:tcBorders>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640" w:type="dxa"/>
            <w:vAlign w:val="bottom"/>
            <w:tcBorders>
              <w:right w:val="single" w:sz="8" w:color="333333"/>
            </w:tcBorders>
          </w:tcPr>
          <w:p>
            <w:pPr>
              <w:spacing w:after="0"/>
              <w:rPr>
                <w:sz w:val="18"/>
                <w:szCs w:val="18"/>
                <w:color w:val="auto"/>
              </w:rPr>
            </w:pPr>
          </w:p>
        </w:tc>
        <w:tc>
          <w:tcPr>
            <w:tcW w:w="7160" w:type="dxa"/>
            <w:vAlign w:val="bottom"/>
            <w:tcBorders>
              <w:bottom w:val="single" w:sz="8" w:color="333333"/>
              <w:right w:val="single" w:sz="8" w:color="333333"/>
            </w:tcBorders>
          </w:tcPr>
          <w:p>
            <w:pPr>
              <w:ind w:left="440"/>
              <w:spacing w:after="0"/>
              <w:rPr>
                <w:sz w:val="20"/>
                <w:szCs w:val="20"/>
                <w:color w:val="auto"/>
              </w:rPr>
            </w:pPr>
            <w:r>
              <w:rPr>
                <w:rFonts w:ascii="Arial" w:cs="Arial" w:eastAsia="Arial" w:hAnsi="Arial"/>
                <w:sz w:val="17"/>
                <w:szCs w:val="17"/>
                <w:b w:val="1"/>
                <w:bCs w:val="1"/>
                <w:color w:val="auto"/>
              </w:rPr>
              <w:t>meet its annual LOB financial threshold</w:t>
            </w:r>
          </w:p>
        </w:tc>
        <w:tc>
          <w:tcPr>
            <w:tcW w:w="280" w:type="dxa"/>
            <w:vAlign w:val="bottom"/>
            <w:tcBorders>
              <w:bottom w:val="single" w:sz="8" w:color="333333"/>
            </w:tcBorders>
          </w:tcPr>
          <w:p>
            <w:pPr>
              <w:spacing w:after="0"/>
              <w:rPr>
                <w:sz w:val="18"/>
                <w:szCs w:val="18"/>
                <w:color w:val="auto"/>
              </w:rPr>
            </w:pPr>
          </w:p>
        </w:tc>
        <w:tc>
          <w:tcPr>
            <w:tcW w:w="880" w:type="dxa"/>
            <w:vAlign w:val="bottom"/>
            <w:tcBorders>
              <w:bottom w:val="single" w:sz="8" w:color="333333"/>
              <w:right w:val="single" w:sz="8" w:color="333333"/>
            </w:tcBorders>
          </w:tcPr>
          <w:p>
            <w:pPr>
              <w:spacing w:after="0"/>
              <w:rPr>
                <w:sz w:val="18"/>
                <w:szCs w:val="18"/>
                <w:color w:val="auto"/>
              </w:rPr>
            </w:pPr>
          </w:p>
        </w:tc>
        <w:tc>
          <w:tcPr>
            <w:tcW w:w="1060" w:type="dxa"/>
            <w:vAlign w:val="bottom"/>
            <w:tcBorders>
              <w:bottom w:val="single" w:sz="8" w:color="333333"/>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640" w:type="dxa"/>
            <w:vAlign w:val="bottom"/>
            <w:tcBorders>
              <w:right w:val="single" w:sz="8" w:color="333333"/>
            </w:tcBorders>
          </w:tcPr>
          <w:p>
            <w:pPr>
              <w:spacing w:after="0"/>
              <w:rPr>
                <w:sz w:val="13"/>
                <w:szCs w:val="13"/>
                <w:color w:val="auto"/>
              </w:rPr>
            </w:pPr>
          </w:p>
        </w:tc>
        <w:tc>
          <w:tcPr>
            <w:tcW w:w="7160" w:type="dxa"/>
            <w:vAlign w:val="bottom"/>
            <w:tcBorders>
              <w:right w:val="single" w:sz="8" w:color="333333"/>
            </w:tcBorders>
          </w:tcPr>
          <w:p>
            <w:pPr>
              <w:ind w:left="280"/>
              <w:spacing w:after="0" w:line="156" w:lineRule="exact"/>
              <w:rPr>
                <w:sz w:val="20"/>
                <w:szCs w:val="20"/>
                <w:color w:val="auto"/>
              </w:rPr>
            </w:pPr>
            <w:r>
              <w:rPr>
                <w:rFonts w:ascii="Arial" w:cs="Arial" w:eastAsia="Arial" w:hAnsi="Arial"/>
                <w:sz w:val="17"/>
                <w:szCs w:val="17"/>
                <w:color w:val="004876"/>
              </w:rPr>
              <w:t xml:space="preserve">• </w:t>
            </w:r>
            <w:r>
              <w:rPr>
                <w:rFonts w:ascii="Arial" w:cs="Arial" w:eastAsia="Arial" w:hAnsi="Arial"/>
                <w:sz w:val="17"/>
                <w:szCs w:val="17"/>
                <w:color w:val="000000"/>
              </w:rPr>
              <w:t>If, for any one calendar year during the vesting period,</w:t>
            </w:r>
            <w:r>
              <w:rPr>
                <w:rFonts w:ascii="Arial" w:cs="Arial" w:eastAsia="Arial" w:hAnsi="Arial"/>
                <w:sz w:val="17"/>
                <w:szCs w:val="17"/>
                <w:color w:val="004876"/>
              </w:rPr>
              <w:t xml:space="preserve"> </w:t>
            </w:r>
            <w:r>
              <w:rPr>
                <w:rFonts w:ascii="Arial" w:cs="Arial" w:eastAsia="Arial" w:hAnsi="Arial"/>
                <w:sz w:val="17"/>
                <w:szCs w:val="17"/>
                <w:b w:val="1"/>
                <w:bCs w:val="1"/>
                <w:color w:val="000000"/>
              </w:rPr>
              <w:t>pre-tax pre-provision income is</w:t>
            </w:r>
          </w:p>
        </w:tc>
        <w:tc>
          <w:tcPr>
            <w:tcW w:w="280" w:type="dxa"/>
            <w:vAlign w:val="bottom"/>
          </w:tcPr>
          <w:p>
            <w:pPr>
              <w:spacing w:after="0"/>
              <w:rPr>
                <w:sz w:val="13"/>
                <w:szCs w:val="13"/>
                <w:color w:val="auto"/>
              </w:rPr>
            </w:pPr>
          </w:p>
        </w:tc>
        <w:tc>
          <w:tcPr>
            <w:tcW w:w="880" w:type="dxa"/>
            <w:vAlign w:val="bottom"/>
            <w:tcBorders>
              <w:right w:val="single" w:sz="8" w:color="333333"/>
            </w:tcBorders>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1640" w:type="dxa"/>
            <w:vAlign w:val="bottom"/>
            <w:tcBorders>
              <w:right w:val="single" w:sz="8" w:color="333333"/>
            </w:tcBorders>
          </w:tcPr>
          <w:p>
            <w:pPr>
              <w:spacing w:after="0"/>
              <w:rPr>
                <w:sz w:val="18"/>
                <w:szCs w:val="18"/>
                <w:color w:val="auto"/>
              </w:rPr>
            </w:pPr>
          </w:p>
        </w:tc>
        <w:tc>
          <w:tcPr>
            <w:tcW w:w="7160" w:type="dxa"/>
            <w:vAlign w:val="bottom"/>
            <w:tcBorders>
              <w:bottom w:val="single" w:sz="8" w:color="333333"/>
              <w:right w:val="single" w:sz="8" w:color="333333"/>
            </w:tcBorders>
          </w:tcPr>
          <w:p>
            <w:pPr>
              <w:ind w:left="440"/>
              <w:spacing w:after="0"/>
              <w:rPr>
                <w:sz w:val="20"/>
                <w:szCs w:val="20"/>
                <w:color w:val="auto"/>
              </w:rPr>
            </w:pPr>
            <w:r>
              <w:rPr>
                <w:rFonts w:ascii="Arial" w:cs="Arial" w:eastAsia="Arial" w:hAnsi="Arial"/>
                <w:sz w:val="17"/>
                <w:szCs w:val="17"/>
                <w:b w:val="1"/>
                <w:bCs w:val="1"/>
                <w:color w:val="auto"/>
              </w:rPr>
              <w:t>negative</w:t>
            </w:r>
            <w:r>
              <w:rPr>
                <w:rFonts w:ascii="Arial" w:cs="Arial" w:eastAsia="Arial" w:hAnsi="Arial"/>
                <w:sz w:val="17"/>
                <w:szCs w:val="17"/>
                <w:color w:val="auto"/>
              </w:rPr>
              <w:t>, as reported by the Firm</w:t>
            </w:r>
          </w:p>
        </w:tc>
        <w:tc>
          <w:tcPr>
            <w:tcW w:w="280" w:type="dxa"/>
            <w:vAlign w:val="bottom"/>
            <w:tcBorders>
              <w:bottom w:val="single" w:sz="8" w:color="333333"/>
            </w:tcBorders>
          </w:tcPr>
          <w:p>
            <w:pPr>
              <w:spacing w:after="0"/>
              <w:rPr>
                <w:sz w:val="18"/>
                <w:szCs w:val="18"/>
                <w:color w:val="auto"/>
              </w:rPr>
            </w:pPr>
          </w:p>
        </w:tc>
        <w:tc>
          <w:tcPr>
            <w:tcW w:w="880" w:type="dxa"/>
            <w:vAlign w:val="bottom"/>
            <w:tcBorders>
              <w:bottom w:val="single" w:sz="8" w:color="333333"/>
              <w:right w:val="single" w:sz="8" w:color="333333"/>
            </w:tcBorders>
          </w:tcPr>
          <w:p>
            <w:pPr>
              <w:spacing w:after="0"/>
              <w:rPr>
                <w:sz w:val="18"/>
                <w:szCs w:val="18"/>
                <w:color w:val="auto"/>
              </w:rPr>
            </w:pPr>
          </w:p>
        </w:tc>
        <w:tc>
          <w:tcPr>
            <w:tcW w:w="1060" w:type="dxa"/>
            <w:vAlign w:val="bottom"/>
            <w:tcBorders>
              <w:bottom w:val="single" w:sz="8" w:color="333333"/>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640" w:type="dxa"/>
            <w:vAlign w:val="bottom"/>
            <w:tcBorders>
              <w:right w:val="single" w:sz="8" w:color="333333"/>
            </w:tcBorders>
          </w:tcPr>
          <w:p>
            <w:pPr>
              <w:spacing w:after="0"/>
              <w:rPr>
                <w:sz w:val="13"/>
                <w:szCs w:val="13"/>
                <w:color w:val="auto"/>
              </w:rPr>
            </w:pPr>
          </w:p>
        </w:tc>
        <w:tc>
          <w:tcPr>
            <w:tcW w:w="7160" w:type="dxa"/>
            <w:vAlign w:val="bottom"/>
            <w:tcBorders>
              <w:right w:val="single" w:sz="8" w:color="333333"/>
            </w:tcBorders>
          </w:tcPr>
          <w:p>
            <w:pPr>
              <w:ind w:left="280"/>
              <w:spacing w:after="0" w:line="156" w:lineRule="exact"/>
              <w:rPr>
                <w:sz w:val="20"/>
                <w:szCs w:val="20"/>
                <w:color w:val="auto"/>
              </w:rPr>
            </w:pPr>
            <w:r>
              <w:rPr>
                <w:rFonts w:ascii="Arial" w:cs="Arial" w:eastAsia="Arial" w:hAnsi="Arial"/>
                <w:sz w:val="17"/>
                <w:szCs w:val="17"/>
                <w:color w:val="004876"/>
              </w:rPr>
              <w:t xml:space="preserve">• </w:t>
            </w:r>
            <w:r>
              <w:rPr>
                <w:rFonts w:ascii="Arial" w:cs="Arial" w:eastAsia="Arial" w:hAnsi="Arial"/>
                <w:sz w:val="17"/>
                <w:szCs w:val="17"/>
                <w:color w:val="000000"/>
              </w:rPr>
              <w:t>If, for the three calendar years preceding the</w:t>
            </w:r>
            <w:r>
              <w:rPr>
                <w:rFonts w:ascii="Arial" w:cs="Arial" w:eastAsia="Arial" w:hAnsi="Arial"/>
                <w:sz w:val="17"/>
                <w:szCs w:val="17"/>
                <w:color w:val="004876"/>
              </w:rPr>
              <w:t xml:space="preserve"> </w:t>
            </w:r>
            <w:r>
              <w:rPr>
                <w:rFonts w:ascii="Arial" w:cs="Arial" w:eastAsia="Arial" w:hAnsi="Arial"/>
                <w:sz w:val="17"/>
                <w:szCs w:val="17"/>
                <w:b w:val="1"/>
                <w:bCs w:val="1"/>
                <w:color w:val="000000"/>
              </w:rPr>
              <w:t>third year</w:t>
            </w:r>
            <w:r>
              <w:rPr>
                <w:rFonts w:ascii="Arial" w:cs="Arial" w:eastAsia="Arial" w:hAnsi="Arial"/>
                <w:sz w:val="17"/>
                <w:szCs w:val="17"/>
                <w:color w:val="004876"/>
              </w:rPr>
              <w:t xml:space="preserve"> </w:t>
            </w:r>
            <w:r>
              <w:rPr>
                <w:rFonts w:ascii="Arial" w:cs="Arial" w:eastAsia="Arial" w:hAnsi="Arial"/>
                <w:sz w:val="17"/>
                <w:szCs w:val="17"/>
                <w:color w:val="000000"/>
              </w:rPr>
              <w:t>vesting date, the Firm</w:t>
            </w:r>
            <w:r>
              <w:rPr>
                <w:rFonts w:ascii="Arial" w:cs="Arial" w:eastAsia="Arial" w:hAnsi="Arial"/>
                <w:sz w:val="17"/>
                <w:szCs w:val="17"/>
                <w:color w:val="004876"/>
              </w:rPr>
              <w:t xml:space="preserve"> </w:t>
            </w:r>
            <w:r>
              <w:rPr>
                <w:rFonts w:ascii="Arial" w:cs="Arial" w:eastAsia="Arial" w:hAnsi="Arial"/>
                <w:sz w:val="17"/>
                <w:szCs w:val="17"/>
                <w:b w:val="1"/>
                <w:bCs w:val="1"/>
                <w:color w:val="000000"/>
              </w:rPr>
              <w:t>does not</w:t>
            </w:r>
          </w:p>
        </w:tc>
        <w:tc>
          <w:tcPr>
            <w:tcW w:w="280" w:type="dxa"/>
            <w:vAlign w:val="bottom"/>
          </w:tcPr>
          <w:p>
            <w:pPr>
              <w:spacing w:after="0"/>
              <w:rPr>
                <w:sz w:val="13"/>
                <w:szCs w:val="13"/>
                <w:color w:val="auto"/>
              </w:rPr>
            </w:pPr>
          </w:p>
        </w:tc>
        <w:tc>
          <w:tcPr>
            <w:tcW w:w="880" w:type="dxa"/>
            <w:vAlign w:val="bottom"/>
            <w:tcBorders>
              <w:right w:val="single" w:sz="8" w:color="333333"/>
            </w:tcBorders>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1640" w:type="dxa"/>
            <w:vAlign w:val="bottom"/>
            <w:tcBorders>
              <w:bottom w:val="single" w:sz="8" w:color="333333"/>
              <w:right w:val="single" w:sz="8" w:color="333333"/>
            </w:tcBorders>
          </w:tcPr>
          <w:p>
            <w:pPr>
              <w:spacing w:after="0"/>
              <w:rPr>
                <w:sz w:val="18"/>
                <w:szCs w:val="18"/>
                <w:color w:val="auto"/>
              </w:rPr>
            </w:pPr>
          </w:p>
        </w:tc>
        <w:tc>
          <w:tcPr>
            <w:tcW w:w="7160" w:type="dxa"/>
            <w:vAlign w:val="bottom"/>
            <w:tcBorders>
              <w:bottom w:val="single" w:sz="8" w:color="333333"/>
              <w:right w:val="single" w:sz="8" w:color="333333"/>
            </w:tcBorders>
          </w:tcPr>
          <w:p>
            <w:pPr>
              <w:ind w:left="440"/>
              <w:spacing w:after="0"/>
              <w:rPr>
                <w:sz w:val="20"/>
                <w:szCs w:val="20"/>
                <w:color w:val="auto"/>
              </w:rPr>
            </w:pPr>
            <w:r>
              <w:rPr>
                <w:rFonts w:ascii="Arial" w:cs="Arial" w:eastAsia="Arial" w:hAnsi="Arial"/>
                <w:sz w:val="17"/>
                <w:szCs w:val="17"/>
                <w:b w:val="1"/>
                <w:bCs w:val="1"/>
                <w:color w:val="auto"/>
              </w:rPr>
              <w:t>meet a 15% cumulative ROTCE</w:t>
            </w:r>
          </w:p>
        </w:tc>
        <w:tc>
          <w:tcPr>
            <w:tcW w:w="280" w:type="dxa"/>
            <w:vAlign w:val="bottom"/>
            <w:tcBorders>
              <w:bottom w:val="single" w:sz="8" w:color="333333"/>
            </w:tcBorders>
          </w:tcPr>
          <w:p>
            <w:pPr>
              <w:spacing w:after="0"/>
              <w:rPr>
                <w:sz w:val="18"/>
                <w:szCs w:val="18"/>
                <w:color w:val="auto"/>
              </w:rPr>
            </w:pPr>
          </w:p>
        </w:tc>
        <w:tc>
          <w:tcPr>
            <w:tcW w:w="880" w:type="dxa"/>
            <w:vAlign w:val="bottom"/>
            <w:tcBorders>
              <w:bottom w:val="single" w:sz="8" w:color="333333"/>
              <w:right w:val="single" w:sz="8" w:color="333333"/>
            </w:tcBorders>
          </w:tcPr>
          <w:p>
            <w:pPr>
              <w:spacing w:after="0"/>
              <w:rPr>
                <w:sz w:val="18"/>
                <w:szCs w:val="18"/>
                <w:color w:val="auto"/>
              </w:rPr>
            </w:pPr>
          </w:p>
        </w:tc>
        <w:tc>
          <w:tcPr>
            <w:tcW w:w="1060" w:type="dxa"/>
            <w:vAlign w:val="bottom"/>
            <w:tcBorders>
              <w:bottom w:val="single" w:sz="8" w:color="333333"/>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6048375</wp:posOffset>
            </wp:positionH>
            <wp:positionV relativeFrom="paragraph">
              <wp:posOffset>-2888615</wp:posOffset>
            </wp:positionV>
            <wp:extent cx="137160" cy="14605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37160" cy="146050"/>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-2888615</wp:posOffset>
            </wp:positionV>
            <wp:extent cx="137160" cy="14605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37160" cy="14605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-2519680</wp:posOffset>
            </wp:positionV>
            <wp:extent cx="137160" cy="14541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37160" cy="14541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-2519680</wp:posOffset>
            </wp:positionV>
            <wp:extent cx="137160" cy="14541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37160" cy="14541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-2228215</wp:posOffset>
            </wp:positionV>
            <wp:extent cx="137160" cy="14541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37160" cy="14541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-2228215</wp:posOffset>
            </wp:positionV>
            <wp:extent cx="137160" cy="14541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37160" cy="14541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-2014220</wp:posOffset>
            </wp:positionV>
            <wp:extent cx="137160" cy="14541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37160" cy="14541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-2014220</wp:posOffset>
            </wp:positionV>
            <wp:extent cx="137160" cy="14541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37160" cy="14541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-1722755</wp:posOffset>
            </wp:positionV>
            <wp:extent cx="137160" cy="14541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37160" cy="14541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-1722755</wp:posOffset>
            </wp:positionV>
            <wp:extent cx="137160" cy="14541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37160" cy="14541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-1414145</wp:posOffset>
            </wp:positionV>
            <wp:extent cx="137160" cy="14605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37160" cy="146050"/>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-1414145</wp:posOffset>
            </wp:positionV>
            <wp:extent cx="137160" cy="14605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37160" cy="146050"/>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-1130935</wp:posOffset>
            </wp:positionV>
            <wp:extent cx="137160" cy="14541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37160" cy="14541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-762635</wp:posOffset>
            </wp:positionV>
            <wp:extent cx="137160" cy="14605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37160" cy="146050"/>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-427990</wp:posOffset>
            </wp:positionV>
            <wp:extent cx="137160" cy="14541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37160" cy="14541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-179705</wp:posOffset>
            </wp:positionV>
            <wp:extent cx="137160" cy="14605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3716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40" w:right="160" w:hanging="175"/>
        <w:spacing w:after="0" w:line="216" w:lineRule="auto"/>
        <w:tabs>
          <w:tab w:leader="none" w:pos="340" w:val="left"/>
        </w:tabs>
        <w:numPr>
          <w:ilvl w:val="0"/>
          <w:numId w:val="108"/>
        </w:numPr>
        <w:rPr>
          <w:rFonts w:ascii="Arial" w:cs="Arial" w:eastAsia="Arial" w:hAnsi="Arial"/>
          <w:sz w:val="11"/>
          <w:szCs w:val="11"/>
          <w:color w:val="auto"/>
        </w:rPr>
      </w:pPr>
      <w:r>
        <w:rPr>
          <w:rFonts w:ascii="Arial" w:cs="Arial" w:eastAsia="Arial" w:hAnsi="Arial"/>
          <w:sz w:val="13"/>
          <w:szCs w:val="13"/>
          <w:color w:val="auto"/>
        </w:rPr>
        <w:t>In accordance with U.K. regulations, the Firm has a local Malus and Clawback Policy which, for relevant Identified Staff, enables the Firm to cancel and/or recover incentive compensation for a minimum period of seven years following the date of the award in certain circumstances. The policy was updated for the 2017 performance year to reflect new guidelines from the European Banking Authority. Incentive compensation awards made to relevant Identified Staff on or after January 1, 2015, including Mr. Pinto’s incentive compensation awards, are subject to this Malus and Clawback Policy in addition to the recovery provisions in the table above.</w:t>
      </w:r>
    </w:p>
    <w:p>
      <w:pPr>
        <w:spacing w:after="0" w:line="2" w:lineRule="exact"/>
        <w:rPr>
          <w:sz w:val="20"/>
          <w:szCs w:val="20"/>
          <w:color w:val="auto"/>
        </w:rPr>
      </w:pPr>
    </w:p>
    <w:p>
      <w:pPr>
        <w:ind w:left="340" w:hanging="175"/>
        <w:spacing w:after="0"/>
        <w:tabs>
          <w:tab w:leader="none" w:pos="340" w:val="left"/>
        </w:tabs>
        <w:numPr>
          <w:ilvl w:val="0"/>
          <w:numId w:val="109"/>
        </w:numPr>
        <w:rPr>
          <w:rFonts w:ascii="Arial" w:cs="Arial" w:eastAsia="Arial" w:hAnsi="Arial"/>
          <w:sz w:val="11"/>
          <w:szCs w:val="11"/>
          <w:color w:val="auto"/>
        </w:rPr>
      </w:pPr>
      <w:r>
        <w:rPr>
          <w:rFonts w:ascii="Arial" w:cs="Arial" w:eastAsia="Arial" w:hAnsi="Arial"/>
          <w:sz w:val="13"/>
          <w:szCs w:val="13"/>
          <w:color w:val="auto"/>
        </w:rPr>
        <w:t>Provisions apply to PSUs and to RSUs granted after 2011 to the Operating Committee and may result in cancellation of up to a total of 50% of the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260350</wp:posOffset>
            </wp:positionV>
            <wp:extent cx="7029450" cy="19685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029450" cy="19685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ind w:right="-99"/>
        <w:spacing w:after="0"/>
        <w:rPr>
          <w:sz w:val="20"/>
          <w:szCs w:val="20"/>
          <w:color w:val="auto"/>
        </w:rPr>
      </w:pPr>
      <w:r>
        <w:rPr>
          <w:rFonts w:ascii="Arial" w:cs="Arial" w:eastAsia="Arial" w:hAnsi="Arial"/>
          <w:sz w:val="13"/>
          <w:szCs w:val="13"/>
          <w:b w:val="1"/>
          <w:bCs w:val="1"/>
          <w:color w:val="004876"/>
        </w:rPr>
        <w:t>53</w:t>
      </w:r>
    </w:p>
    <w:p>
      <w:pPr>
        <w:sectPr>
          <w:pgSz w:w="11900" w:h="16838" w:orient="portrait"/>
          <w:cols w:equalWidth="0" w:num="1">
            <w:col w:w="11140"/>
          </w:cols>
          <w:pgMar w:left="320" w:top="459" w:right="439" w:bottom="1440" w:gutter="0" w:footer="0" w:header="0"/>
          <w:type w:val="continuous"/>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120"/>
        <w:spacing w:after="0"/>
        <w:rPr>
          <w:sz w:val="20"/>
          <w:szCs w:val="20"/>
          <w:color w:val="auto"/>
        </w:rPr>
      </w:pPr>
      <w:r>
        <w:rPr>
          <w:rFonts w:ascii="Arial" w:cs="Arial" w:eastAsia="Arial" w:hAnsi="Arial"/>
          <w:sz w:val="16"/>
          <w:szCs w:val="16"/>
          <w:b w:val="1"/>
          <w:bCs w:val="1"/>
          <w:color w:val="004876"/>
        </w:rPr>
        <w:t>EXECUTIVE COMPENSATION | 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94297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995160" cy="942975"/>
                    </a:xfrm>
                    <a:prstGeom prst="rect">
                      <a:avLst/>
                    </a:prstGeom>
                    <a:noFill/>
                  </pic:spPr>
                </pic:pic>
              </a:graphicData>
            </a:graphic>
          </wp:anchor>
        </w:drawing>
      </w:r>
    </w:p>
    <w:p>
      <w:pPr>
        <w:spacing w:after="0" w:line="239" w:lineRule="exact"/>
        <w:rPr>
          <w:sz w:val="20"/>
          <w:szCs w:val="20"/>
          <w:color w:val="auto"/>
        </w:rPr>
      </w:pPr>
    </w:p>
    <w:p>
      <w:pPr>
        <w:ind w:left="2340"/>
        <w:spacing w:after="0"/>
        <w:rPr>
          <w:sz w:val="20"/>
          <w:szCs w:val="20"/>
          <w:color w:val="auto"/>
        </w:rPr>
      </w:pPr>
      <w:r>
        <w:rPr>
          <w:rFonts w:ascii="Arial" w:cs="Arial" w:eastAsia="Arial" w:hAnsi="Arial"/>
          <w:sz w:val="40"/>
          <w:szCs w:val="40"/>
          <w:color w:val="004876"/>
        </w:rPr>
        <w:t>How we performed against our business strategy</w:t>
      </w:r>
    </w:p>
    <w:p>
      <w:pPr>
        <w:spacing w:after="0" w:line="96" w:lineRule="exact"/>
        <w:rPr>
          <w:sz w:val="20"/>
          <w:szCs w:val="20"/>
          <w:color w:val="auto"/>
        </w:rPr>
      </w:pPr>
    </w:p>
    <w:p>
      <w:pPr>
        <w:ind w:left="2340" w:right="260"/>
        <w:spacing w:after="0" w:line="245" w:lineRule="auto"/>
        <w:rPr>
          <w:sz w:val="20"/>
          <w:szCs w:val="20"/>
          <w:color w:val="auto"/>
        </w:rPr>
      </w:pPr>
      <w:r>
        <w:rPr>
          <w:rFonts w:ascii="Arial" w:cs="Arial" w:eastAsia="Arial" w:hAnsi="Arial"/>
          <w:sz w:val="18"/>
          <w:szCs w:val="18"/>
          <w:i w:val="1"/>
          <w:iCs w:val="1"/>
          <w:color w:val="004876"/>
        </w:rPr>
        <w:t>We continued to deliver strong multi-year financial performance, invest in our future, strengthen our risk and control environment, and reinforce our culture and values, including our long-standing commitment to serve our customers, employees and communities, and conduct business in a responsible way to drive inclusive growth.</w:t>
      </w:r>
    </w:p>
    <w:p>
      <w:pPr>
        <w:spacing w:after="0" w:line="212" w:lineRule="exact"/>
        <w:rPr>
          <w:sz w:val="20"/>
          <w:szCs w:val="20"/>
          <w:color w:val="auto"/>
        </w:rPr>
      </w:pPr>
    </w:p>
    <w:p>
      <w:pPr>
        <w:ind w:left="120" w:right="200"/>
        <w:spacing w:after="0" w:line="246" w:lineRule="auto"/>
        <w:rPr>
          <w:sz w:val="20"/>
          <w:szCs w:val="20"/>
          <w:color w:val="auto"/>
        </w:rPr>
      </w:pPr>
      <w:r>
        <w:rPr>
          <w:rFonts w:ascii="Arial" w:cs="Arial" w:eastAsia="Arial" w:hAnsi="Arial"/>
          <w:sz w:val="18"/>
          <w:szCs w:val="18"/>
          <w:color w:val="auto"/>
        </w:rPr>
        <w:t>In assessing the Firm’s performance in 2019, the CMDC considered the following factors in the context of the Firm’s Business Principles and strategic framework:</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380" w:type="dxa"/>
            <w:vAlign w:val="bottom"/>
            <w:vMerge w:val="restart"/>
            <w:shd w:val="clear" w:color="auto" w:fill="004876"/>
          </w:tcPr>
          <w:p>
            <w:pPr>
              <w:ind w:left="440"/>
              <w:spacing w:after="0"/>
              <w:rPr>
                <w:sz w:val="20"/>
                <w:szCs w:val="20"/>
                <w:color w:val="auto"/>
              </w:rPr>
            </w:pPr>
            <w:r>
              <w:rPr>
                <w:rFonts w:ascii="Arial" w:cs="Arial" w:eastAsia="Arial" w:hAnsi="Arial"/>
                <w:sz w:val="18"/>
                <w:szCs w:val="18"/>
                <w:b w:val="1"/>
                <w:bCs w:val="1"/>
                <w:color w:val="FFFFFF"/>
              </w:rPr>
              <w:t>Business Results</w:t>
            </w:r>
          </w:p>
        </w:tc>
        <w:tc>
          <w:tcPr>
            <w:tcW w:w="120" w:type="dxa"/>
            <w:vAlign w:val="bottom"/>
          </w:tcPr>
          <w:p>
            <w:pPr>
              <w:spacing w:after="0"/>
              <w:rPr>
                <w:sz w:val="20"/>
                <w:szCs w:val="20"/>
                <w:color w:val="auto"/>
              </w:rPr>
            </w:pPr>
          </w:p>
        </w:tc>
        <w:tc>
          <w:tcPr>
            <w:tcW w:w="2460" w:type="dxa"/>
            <w:vAlign w:val="bottom"/>
            <w:shd w:val="clear" w:color="auto" w:fill="5988A5"/>
          </w:tcPr>
          <w:p>
            <w:pPr>
              <w:jc w:val="center"/>
              <w:spacing w:after="0"/>
              <w:rPr>
                <w:sz w:val="20"/>
                <w:szCs w:val="20"/>
                <w:color w:val="auto"/>
              </w:rPr>
            </w:pPr>
            <w:r>
              <w:rPr>
                <w:rFonts w:ascii="Arial" w:cs="Arial" w:eastAsia="Arial" w:hAnsi="Arial"/>
                <w:sz w:val="18"/>
                <w:szCs w:val="18"/>
                <w:b w:val="1"/>
                <w:bCs w:val="1"/>
                <w:color w:val="FFFFFF"/>
                <w:w w:val="99"/>
              </w:rPr>
              <w:t>Risk, Controls &amp;</w:t>
            </w:r>
          </w:p>
        </w:tc>
        <w:tc>
          <w:tcPr>
            <w:tcW w:w="120" w:type="dxa"/>
            <w:vAlign w:val="bottom"/>
          </w:tcPr>
          <w:p>
            <w:pPr>
              <w:spacing w:after="0"/>
              <w:rPr>
                <w:sz w:val="20"/>
                <w:szCs w:val="20"/>
                <w:color w:val="auto"/>
              </w:rPr>
            </w:pPr>
          </w:p>
        </w:tc>
        <w:tc>
          <w:tcPr>
            <w:tcW w:w="2360" w:type="dxa"/>
            <w:vAlign w:val="bottom"/>
            <w:shd w:val="clear" w:color="auto" w:fill="7F7F7F"/>
          </w:tcPr>
          <w:p>
            <w:pPr>
              <w:jc w:val="center"/>
              <w:spacing w:after="0"/>
              <w:rPr>
                <w:sz w:val="20"/>
                <w:szCs w:val="20"/>
                <w:color w:val="auto"/>
              </w:rPr>
            </w:pPr>
            <w:r>
              <w:rPr>
                <w:rFonts w:ascii="Arial" w:cs="Arial" w:eastAsia="Arial" w:hAnsi="Arial"/>
                <w:sz w:val="18"/>
                <w:szCs w:val="18"/>
                <w:b w:val="1"/>
                <w:bCs w:val="1"/>
                <w:color w:val="FFFFFF"/>
              </w:rPr>
              <w:t>Client / Customer /</w:t>
            </w:r>
          </w:p>
        </w:tc>
        <w:tc>
          <w:tcPr>
            <w:tcW w:w="120" w:type="dxa"/>
            <w:vAlign w:val="bottom"/>
          </w:tcPr>
          <w:p>
            <w:pPr>
              <w:spacing w:after="0"/>
              <w:rPr>
                <w:sz w:val="20"/>
                <w:szCs w:val="20"/>
                <w:color w:val="auto"/>
              </w:rPr>
            </w:pPr>
          </w:p>
        </w:tc>
        <w:tc>
          <w:tcPr>
            <w:tcW w:w="2360" w:type="dxa"/>
            <w:vAlign w:val="bottom"/>
            <w:shd w:val="clear" w:color="auto" w:fill="4C4C4C"/>
          </w:tcPr>
          <w:p>
            <w:pPr>
              <w:jc w:val="center"/>
              <w:ind w:left="10"/>
              <w:spacing w:after="0"/>
              <w:rPr>
                <w:sz w:val="20"/>
                <w:szCs w:val="20"/>
                <w:color w:val="auto"/>
              </w:rPr>
            </w:pPr>
            <w:r>
              <w:rPr>
                <w:rFonts w:ascii="Arial" w:cs="Arial" w:eastAsia="Arial" w:hAnsi="Arial"/>
                <w:sz w:val="18"/>
                <w:szCs w:val="18"/>
                <w:b w:val="1"/>
                <w:bCs w:val="1"/>
                <w:color w:val="FFFFFF"/>
                <w:w w:val="98"/>
              </w:rPr>
              <w:t>Teamwork &amp;</w:t>
            </w:r>
          </w:p>
        </w:tc>
        <w:tc>
          <w:tcPr>
            <w:tcW w:w="0" w:type="dxa"/>
            <w:vAlign w:val="bottom"/>
          </w:tcPr>
          <w:p>
            <w:pPr>
              <w:spacing w:after="0"/>
              <w:rPr>
                <w:sz w:val="1"/>
                <w:szCs w:val="1"/>
                <w:color w:val="auto"/>
              </w:rPr>
            </w:pPr>
          </w:p>
        </w:tc>
      </w:tr>
      <w:tr>
        <w:trPr>
          <w:trHeight w:val="239"/>
        </w:trPr>
        <w:tc>
          <w:tcPr>
            <w:tcW w:w="2380" w:type="dxa"/>
            <w:vAlign w:val="bottom"/>
            <w:vMerge w:val="continue"/>
            <w:shd w:val="clear" w:color="auto" w:fill="004876"/>
          </w:tcPr>
          <w:p>
            <w:pPr>
              <w:spacing w:after="0"/>
              <w:rPr>
                <w:sz w:val="20"/>
                <w:szCs w:val="20"/>
                <w:color w:val="auto"/>
              </w:rPr>
            </w:pPr>
          </w:p>
        </w:tc>
        <w:tc>
          <w:tcPr>
            <w:tcW w:w="120" w:type="dxa"/>
            <w:vAlign w:val="bottom"/>
          </w:tcPr>
          <w:p>
            <w:pPr>
              <w:spacing w:after="0"/>
              <w:rPr>
                <w:sz w:val="20"/>
                <w:szCs w:val="20"/>
                <w:color w:val="auto"/>
              </w:rPr>
            </w:pPr>
          </w:p>
        </w:tc>
        <w:tc>
          <w:tcPr>
            <w:tcW w:w="2460" w:type="dxa"/>
            <w:vAlign w:val="bottom"/>
            <w:shd w:val="clear" w:color="auto" w:fill="5988A5"/>
          </w:tcPr>
          <w:p>
            <w:pPr>
              <w:jc w:val="center"/>
              <w:spacing w:after="0"/>
              <w:rPr>
                <w:sz w:val="20"/>
                <w:szCs w:val="20"/>
                <w:color w:val="auto"/>
              </w:rPr>
            </w:pPr>
            <w:r>
              <w:rPr>
                <w:rFonts w:ascii="Arial" w:cs="Arial" w:eastAsia="Arial" w:hAnsi="Arial"/>
                <w:sz w:val="18"/>
                <w:szCs w:val="18"/>
                <w:b w:val="1"/>
                <w:bCs w:val="1"/>
                <w:color w:val="FFFFFF"/>
              </w:rPr>
              <w:t>Conduct</w:t>
            </w:r>
          </w:p>
        </w:tc>
        <w:tc>
          <w:tcPr>
            <w:tcW w:w="120" w:type="dxa"/>
            <w:vAlign w:val="bottom"/>
          </w:tcPr>
          <w:p>
            <w:pPr>
              <w:spacing w:after="0"/>
              <w:rPr>
                <w:sz w:val="20"/>
                <w:szCs w:val="20"/>
                <w:color w:val="auto"/>
              </w:rPr>
            </w:pPr>
          </w:p>
        </w:tc>
        <w:tc>
          <w:tcPr>
            <w:tcW w:w="2360" w:type="dxa"/>
            <w:vAlign w:val="bottom"/>
            <w:shd w:val="clear" w:color="auto" w:fill="7F7F7F"/>
          </w:tcPr>
          <w:p>
            <w:pPr>
              <w:jc w:val="center"/>
              <w:spacing w:after="0"/>
              <w:rPr>
                <w:sz w:val="20"/>
                <w:szCs w:val="20"/>
                <w:color w:val="auto"/>
              </w:rPr>
            </w:pPr>
            <w:r>
              <w:rPr>
                <w:rFonts w:ascii="Arial" w:cs="Arial" w:eastAsia="Arial" w:hAnsi="Arial"/>
                <w:sz w:val="18"/>
                <w:szCs w:val="18"/>
                <w:b w:val="1"/>
                <w:bCs w:val="1"/>
                <w:color w:val="FFFFFF"/>
              </w:rPr>
              <w:t>Stakeholder</w:t>
            </w:r>
          </w:p>
        </w:tc>
        <w:tc>
          <w:tcPr>
            <w:tcW w:w="120" w:type="dxa"/>
            <w:vAlign w:val="bottom"/>
          </w:tcPr>
          <w:p>
            <w:pPr>
              <w:spacing w:after="0"/>
              <w:rPr>
                <w:sz w:val="20"/>
                <w:szCs w:val="20"/>
                <w:color w:val="auto"/>
              </w:rPr>
            </w:pPr>
          </w:p>
        </w:tc>
        <w:tc>
          <w:tcPr>
            <w:tcW w:w="2360" w:type="dxa"/>
            <w:vAlign w:val="bottom"/>
            <w:shd w:val="clear" w:color="auto" w:fill="4C4C4C"/>
          </w:tcPr>
          <w:p>
            <w:pPr>
              <w:jc w:val="center"/>
              <w:spacing w:after="0"/>
              <w:rPr>
                <w:sz w:val="20"/>
                <w:szCs w:val="20"/>
                <w:color w:val="auto"/>
              </w:rPr>
            </w:pPr>
            <w:r>
              <w:rPr>
                <w:rFonts w:ascii="Arial" w:cs="Arial" w:eastAsia="Arial" w:hAnsi="Arial"/>
                <w:sz w:val="18"/>
                <w:szCs w:val="18"/>
                <w:b w:val="1"/>
                <w:bCs w:val="1"/>
                <w:color w:val="FFFFFF"/>
                <w:w w:val="99"/>
              </w:rPr>
              <w:t>Leadership</w:t>
            </w:r>
          </w:p>
        </w:tc>
        <w:tc>
          <w:tcPr>
            <w:tcW w:w="0" w:type="dxa"/>
            <w:vAlign w:val="bottom"/>
          </w:tcPr>
          <w:p>
            <w:pPr>
              <w:spacing w:after="0"/>
              <w:rPr>
                <w:sz w:val="1"/>
                <w:szCs w:val="1"/>
                <w:color w:val="auto"/>
              </w:rPr>
            </w:pPr>
          </w:p>
        </w:tc>
      </w:tr>
      <w:tr>
        <w:trPr>
          <w:trHeight w:val="108"/>
        </w:trPr>
        <w:tc>
          <w:tcPr>
            <w:tcW w:w="2380" w:type="dxa"/>
            <w:vAlign w:val="bottom"/>
            <w:shd w:val="clear" w:color="auto" w:fill="004876"/>
          </w:tcPr>
          <w:p>
            <w:pPr>
              <w:spacing w:after="0"/>
              <w:rPr>
                <w:sz w:val="9"/>
                <w:szCs w:val="9"/>
                <w:color w:val="auto"/>
              </w:rPr>
            </w:pPr>
          </w:p>
        </w:tc>
        <w:tc>
          <w:tcPr>
            <w:tcW w:w="120" w:type="dxa"/>
            <w:vAlign w:val="bottom"/>
          </w:tcPr>
          <w:p>
            <w:pPr>
              <w:spacing w:after="0"/>
              <w:rPr>
                <w:sz w:val="9"/>
                <w:szCs w:val="9"/>
                <w:color w:val="auto"/>
              </w:rPr>
            </w:pPr>
          </w:p>
        </w:tc>
        <w:tc>
          <w:tcPr>
            <w:tcW w:w="2460" w:type="dxa"/>
            <w:vAlign w:val="bottom"/>
            <w:shd w:val="clear" w:color="auto" w:fill="5988A5"/>
          </w:tcPr>
          <w:p>
            <w:pPr>
              <w:spacing w:after="0"/>
              <w:rPr>
                <w:sz w:val="9"/>
                <w:szCs w:val="9"/>
                <w:color w:val="auto"/>
              </w:rPr>
            </w:pPr>
          </w:p>
        </w:tc>
        <w:tc>
          <w:tcPr>
            <w:tcW w:w="120" w:type="dxa"/>
            <w:vAlign w:val="bottom"/>
          </w:tcPr>
          <w:p>
            <w:pPr>
              <w:spacing w:after="0"/>
              <w:rPr>
                <w:sz w:val="9"/>
                <w:szCs w:val="9"/>
                <w:color w:val="auto"/>
              </w:rPr>
            </w:pPr>
          </w:p>
        </w:tc>
        <w:tc>
          <w:tcPr>
            <w:tcW w:w="2360" w:type="dxa"/>
            <w:vAlign w:val="bottom"/>
            <w:shd w:val="clear" w:color="auto" w:fill="7F7F7F"/>
          </w:tcPr>
          <w:p>
            <w:pPr>
              <w:spacing w:after="0"/>
              <w:rPr>
                <w:sz w:val="9"/>
                <w:szCs w:val="9"/>
                <w:color w:val="auto"/>
              </w:rPr>
            </w:pPr>
          </w:p>
        </w:tc>
        <w:tc>
          <w:tcPr>
            <w:tcW w:w="120" w:type="dxa"/>
            <w:vAlign w:val="bottom"/>
          </w:tcPr>
          <w:p>
            <w:pPr>
              <w:spacing w:after="0"/>
              <w:rPr>
                <w:sz w:val="9"/>
                <w:szCs w:val="9"/>
                <w:color w:val="auto"/>
              </w:rPr>
            </w:pPr>
          </w:p>
        </w:tc>
        <w:tc>
          <w:tcPr>
            <w:tcW w:w="2360" w:type="dxa"/>
            <w:vAlign w:val="bottom"/>
            <w:shd w:val="clear" w:color="auto" w:fill="4C4C4C"/>
          </w:tcPr>
          <w:p>
            <w:pPr>
              <w:spacing w:after="0"/>
              <w:rPr>
                <w:sz w:val="9"/>
                <w:szCs w:val="9"/>
                <w:color w:val="auto"/>
              </w:rPr>
            </w:pP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120"/>
        <w:spacing w:after="0"/>
        <w:rPr>
          <w:sz w:val="20"/>
          <w:szCs w:val="20"/>
          <w:color w:val="auto"/>
        </w:rPr>
      </w:pPr>
      <w:r>
        <w:rPr>
          <w:rFonts w:ascii="Arial" w:cs="Arial" w:eastAsia="Arial" w:hAnsi="Arial"/>
          <w:sz w:val="29"/>
          <w:szCs w:val="29"/>
          <w:color w:val="004876"/>
        </w:rPr>
        <w:t>Business results</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20"/>
          <w:szCs w:val="20"/>
          <w:color w:val="004876"/>
        </w:rPr>
        <w:t>2019 KEY HIGHLIGHTS</w:t>
      </w:r>
    </w:p>
    <w:p>
      <w:pPr>
        <w:spacing w:after="0" w:line="94" w:lineRule="exact"/>
        <w:rPr>
          <w:sz w:val="20"/>
          <w:szCs w:val="20"/>
          <w:color w:val="auto"/>
        </w:rPr>
      </w:pPr>
    </w:p>
    <w:p>
      <w:pPr>
        <w:ind w:left="120" w:right="140"/>
        <w:spacing w:after="0" w:line="239" w:lineRule="auto"/>
        <w:rPr>
          <w:sz w:val="20"/>
          <w:szCs w:val="20"/>
          <w:color w:val="auto"/>
        </w:rPr>
      </w:pPr>
      <w:r>
        <w:rPr>
          <w:rFonts w:ascii="Arial" w:cs="Arial" w:eastAsia="Arial" w:hAnsi="Arial"/>
          <w:sz w:val="18"/>
          <w:szCs w:val="18"/>
          <w:color w:val="auto"/>
        </w:rPr>
        <w:t>In 2019, the Firm reported record net income of $36.4 billion, or $10.72 per share, with ROE of 15% and ROTCE</w:t>
      </w:r>
      <w:r>
        <w:rPr>
          <w:rFonts w:ascii="Arial" w:cs="Arial" w:eastAsia="Arial" w:hAnsi="Arial"/>
          <w:sz w:val="15"/>
          <w:szCs w:val="15"/>
          <w:color w:val="auto"/>
        </w:rPr>
        <w:t>1</w:t>
      </w:r>
      <w:r>
        <w:rPr>
          <w:rFonts w:ascii="Arial" w:cs="Arial" w:eastAsia="Arial" w:hAnsi="Arial"/>
          <w:sz w:val="18"/>
          <w:szCs w:val="18"/>
          <w:color w:val="auto"/>
        </w:rPr>
        <w:t xml:space="preserve"> of 19%, and returned capital to shareholders of $34.0 billion (including common dividends and net share repurchases). We gained market share in many of our businesses, demonstrated strong expense discipline, continued to achieve high customer satisfaction scores, and maintained a fortress balance sheet.</w:t>
      </w:r>
    </w:p>
    <w:p>
      <w:pPr>
        <w:spacing w:after="0" w:line="230" w:lineRule="exact"/>
        <w:rPr>
          <w:sz w:val="20"/>
          <w:szCs w:val="20"/>
          <w:color w:val="auto"/>
        </w:rPr>
      </w:pPr>
    </w:p>
    <w:p>
      <w:pPr>
        <w:ind w:left="3060"/>
        <w:spacing w:after="0"/>
        <w:rPr>
          <w:sz w:val="20"/>
          <w:szCs w:val="20"/>
          <w:color w:val="auto"/>
        </w:rPr>
      </w:pPr>
      <w:r>
        <w:rPr>
          <w:rFonts w:ascii="Arial" w:cs="Arial" w:eastAsia="Arial" w:hAnsi="Arial"/>
          <w:sz w:val="43"/>
          <w:szCs w:val="43"/>
          <w:color w:val="004876"/>
        </w:rPr>
        <w:t>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-312420</wp:posOffset>
            </wp:positionV>
            <wp:extent cx="6995160" cy="115760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995160" cy="115760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88" w:lineRule="exact"/>
        <w:rPr>
          <w:sz w:val="20"/>
          <w:szCs w:val="20"/>
          <w:color w:val="auto"/>
        </w:rPr>
      </w:pPr>
    </w:p>
    <w:p>
      <w:pPr>
        <w:ind w:left="600"/>
        <w:spacing w:after="0"/>
        <w:tabs>
          <w:tab w:leader="none" w:pos="2540" w:val="left"/>
          <w:tab w:leader="none" w:pos="4440" w:val="left"/>
        </w:tabs>
        <w:rPr>
          <w:sz w:val="20"/>
          <w:szCs w:val="20"/>
          <w:color w:val="auto"/>
        </w:rPr>
      </w:pPr>
      <w:r>
        <w:rPr>
          <w:rFonts w:ascii="Arial" w:cs="Arial" w:eastAsia="Arial" w:hAnsi="Arial"/>
          <w:sz w:val="52"/>
          <w:szCs w:val="52"/>
          <w:color w:val="004876"/>
          <w:vertAlign w:val="superscript"/>
        </w:rPr>
        <w:t>$</w:t>
      </w:r>
      <w:r>
        <w:rPr>
          <w:rFonts w:ascii="Arial" w:cs="Arial" w:eastAsia="Arial" w:hAnsi="Arial"/>
          <w:sz w:val="31"/>
          <w:szCs w:val="31"/>
          <w:color w:val="004876"/>
        </w:rPr>
        <w:t>36.4</w:t>
      </w:r>
      <w:r>
        <w:rPr>
          <w:rFonts w:ascii="Arial" w:cs="Arial" w:eastAsia="Arial" w:hAnsi="Arial"/>
          <w:sz w:val="23"/>
          <w:szCs w:val="23"/>
          <w:color w:val="004876"/>
        </w:rPr>
        <w:t>B</w:t>
      </w:r>
      <w:r>
        <w:rPr>
          <w:sz w:val="20"/>
          <w:szCs w:val="20"/>
          <w:color w:val="auto"/>
        </w:rPr>
        <w:tab/>
      </w:r>
      <w:r>
        <w:rPr>
          <w:rFonts w:ascii="Arial" w:cs="Arial" w:eastAsia="Arial" w:hAnsi="Arial"/>
          <w:sz w:val="52"/>
          <w:szCs w:val="52"/>
          <w:color w:val="004876"/>
          <w:vertAlign w:val="superscript"/>
        </w:rPr>
        <w:t>$</w:t>
      </w:r>
      <w:r>
        <w:rPr>
          <w:rFonts w:ascii="Arial" w:cs="Arial" w:eastAsia="Arial" w:hAnsi="Arial"/>
          <w:sz w:val="30"/>
          <w:szCs w:val="30"/>
          <w:color w:val="004876"/>
        </w:rPr>
        <w:t>10.72</w:t>
      </w:r>
      <w:r>
        <w:rPr>
          <w:sz w:val="20"/>
          <w:szCs w:val="20"/>
          <w:color w:val="auto"/>
        </w:rPr>
        <w:tab/>
      </w:r>
      <w:r>
        <w:rPr>
          <w:rFonts w:ascii="Arial" w:cs="Arial" w:eastAsia="Arial" w:hAnsi="Arial"/>
          <w:sz w:val="27"/>
          <w:szCs w:val="27"/>
          <w:color w:val="004876"/>
        </w:rPr>
        <w:t>15</w:t>
      </w:r>
      <w:r>
        <w:rPr>
          <w:rFonts w:ascii="Arial" w:cs="Arial" w:eastAsia="Arial" w:hAnsi="Arial"/>
          <w:sz w:val="45"/>
          <w:szCs w:val="45"/>
          <w:color w:val="004876"/>
          <w:vertAlign w:val="superscript"/>
        </w:rPr>
        <w:t>%</w:t>
      </w:r>
    </w:p>
    <w:p>
      <w:pPr>
        <w:ind w:left="580" w:right="140" w:firstLine="140"/>
        <w:spacing w:after="0" w:line="249" w:lineRule="auto"/>
        <w:rPr>
          <w:sz w:val="20"/>
          <w:szCs w:val="20"/>
          <w:color w:val="auto"/>
        </w:rPr>
      </w:pPr>
      <w:r>
        <w:rPr>
          <w:rFonts w:ascii="Arial" w:cs="Arial" w:eastAsia="Arial" w:hAnsi="Arial"/>
          <w:sz w:val="14"/>
          <w:szCs w:val="14"/>
          <w:b w:val="1"/>
          <w:bCs w:val="1"/>
          <w:color w:val="auto"/>
        </w:rPr>
        <w:t>RECORD RECORD EPS ROE NET INCOME</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780" w:type="dxa"/>
            <w:vAlign w:val="bottom"/>
            <w:vMerge w:val="restart"/>
          </w:tcPr>
          <w:p>
            <w:pPr>
              <w:spacing w:after="0"/>
              <w:rPr>
                <w:sz w:val="20"/>
                <w:szCs w:val="20"/>
                <w:color w:val="auto"/>
              </w:rPr>
            </w:pPr>
            <w:r>
              <w:rPr>
                <w:rFonts w:ascii="Arial" w:cs="Arial" w:eastAsia="Arial" w:hAnsi="Arial"/>
                <w:sz w:val="31"/>
                <w:szCs w:val="31"/>
                <w:color w:val="004876"/>
              </w:rPr>
              <w:t>19</w:t>
            </w:r>
            <w:r>
              <w:rPr>
                <w:rFonts w:ascii="Arial" w:cs="Arial" w:eastAsia="Arial" w:hAnsi="Arial"/>
                <w:sz w:val="52"/>
                <w:szCs w:val="52"/>
                <w:color w:val="004876"/>
                <w:vertAlign w:val="superscript"/>
              </w:rPr>
              <w:t>%</w:t>
            </w:r>
          </w:p>
        </w:tc>
        <w:tc>
          <w:tcPr>
            <w:tcW w:w="220" w:type="dxa"/>
            <w:vAlign w:val="bottom"/>
            <w:shd w:val="clear" w:color="auto" w:fill="EDEDED"/>
          </w:tcPr>
          <w:p>
            <w:pPr>
              <w:spacing w:after="0"/>
              <w:rPr>
                <w:sz w:val="21"/>
                <w:szCs w:val="21"/>
                <w:color w:val="auto"/>
              </w:rPr>
            </w:pPr>
          </w:p>
        </w:tc>
        <w:tc>
          <w:tcPr>
            <w:tcW w:w="1180" w:type="dxa"/>
            <w:vAlign w:val="bottom"/>
            <w:vMerge w:val="restart"/>
          </w:tcPr>
          <w:p>
            <w:pPr>
              <w:jc w:val="center"/>
              <w:spacing w:after="0"/>
              <w:rPr>
                <w:sz w:val="20"/>
                <w:szCs w:val="20"/>
                <w:color w:val="auto"/>
              </w:rPr>
            </w:pPr>
            <w:r>
              <w:rPr>
                <w:rFonts w:ascii="Arial" w:cs="Arial" w:eastAsia="Arial" w:hAnsi="Arial"/>
                <w:sz w:val="52"/>
                <w:szCs w:val="52"/>
                <w:color w:val="004876"/>
                <w:vertAlign w:val="superscript"/>
              </w:rPr>
              <w:t>$</w:t>
            </w:r>
            <w:r>
              <w:rPr>
                <w:rFonts w:ascii="Arial" w:cs="Arial" w:eastAsia="Arial" w:hAnsi="Arial"/>
                <w:sz w:val="31"/>
                <w:szCs w:val="31"/>
                <w:color w:val="004876"/>
              </w:rPr>
              <w:t>75.98</w:t>
            </w:r>
          </w:p>
        </w:tc>
        <w:tc>
          <w:tcPr>
            <w:tcW w:w="1120" w:type="dxa"/>
            <w:vAlign w:val="bottom"/>
            <w:vMerge w:val="restart"/>
          </w:tcPr>
          <w:p>
            <w:pPr>
              <w:jc w:val="center"/>
              <w:spacing w:after="0"/>
              <w:rPr>
                <w:sz w:val="20"/>
                <w:szCs w:val="20"/>
                <w:color w:val="auto"/>
              </w:rPr>
            </w:pPr>
            <w:r>
              <w:rPr>
                <w:rFonts w:ascii="Arial" w:cs="Arial" w:eastAsia="Arial" w:hAnsi="Arial"/>
                <w:sz w:val="52"/>
                <w:szCs w:val="52"/>
                <w:color w:val="004876"/>
                <w:vertAlign w:val="superscript"/>
              </w:rPr>
              <w:t>$</w:t>
            </w:r>
            <w:r>
              <w:rPr>
                <w:rFonts w:ascii="Arial" w:cs="Arial" w:eastAsia="Arial" w:hAnsi="Arial"/>
                <w:sz w:val="31"/>
                <w:szCs w:val="31"/>
                <w:color w:val="004876"/>
              </w:rPr>
              <w:t>60.98</w:t>
            </w:r>
          </w:p>
        </w:tc>
        <w:tc>
          <w:tcPr>
            <w:tcW w:w="200" w:type="dxa"/>
            <w:vAlign w:val="bottom"/>
            <w:shd w:val="clear" w:color="auto" w:fill="EDEDED"/>
          </w:tcPr>
          <w:p>
            <w:pPr>
              <w:spacing w:after="0"/>
              <w:rPr>
                <w:sz w:val="21"/>
                <w:szCs w:val="21"/>
                <w:color w:val="auto"/>
              </w:rPr>
            </w:pPr>
          </w:p>
        </w:tc>
        <w:tc>
          <w:tcPr>
            <w:tcW w:w="1460" w:type="dxa"/>
            <w:vAlign w:val="bottom"/>
            <w:vMerge w:val="restart"/>
          </w:tcPr>
          <w:p>
            <w:pPr>
              <w:ind w:left="540"/>
              <w:spacing w:after="0"/>
              <w:rPr>
                <w:sz w:val="20"/>
                <w:szCs w:val="20"/>
                <w:color w:val="auto"/>
              </w:rPr>
            </w:pPr>
            <w:r>
              <w:rPr>
                <w:rFonts w:ascii="Arial" w:cs="Arial" w:eastAsia="Arial" w:hAnsi="Arial"/>
                <w:sz w:val="52"/>
                <w:szCs w:val="52"/>
                <w:color w:val="004876"/>
                <w:w w:val="94"/>
                <w:vertAlign w:val="superscript"/>
              </w:rPr>
              <w:t>$</w:t>
            </w:r>
            <w:r>
              <w:rPr>
                <w:rFonts w:ascii="Arial" w:cs="Arial" w:eastAsia="Arial" w:hAnsi="Arial"/>
                <w:sz w:val="31"/>
                <w:szCs w:val="31"/>
                <w:color w:val="004876"/>
                <w:w w:val="94"/>
              </w:rPr>
              <w:t>34.0</w:t>
            </w:r>
            <w:r>
              <w:rPr>
                <w:rFonts w:ascii="Arial" w:cs="Arial" w:eastAsia="Arial" w:hAnsi="Arial"/>
                <w:sz w:val="23"/>
                <w:szCs w:val="23"/>
                <w:color w:val="004876"/>
                <w:w w:val="94"/>
              </w:rPr>
              <w:t>B</w:t>
            </w:r>
          </w:p>
        </w:tc>
        <w:tc>
          <w:tcPr>
            <w:tcW w:w="0" w:type="dxa"/>
            <w:vAlign w:val="bottom"/>
          </w:tcPr>
          <w:p>
            <w:pPr>
              <w:spacing w:after="0"/>
              <w:rPr>
                <w:sz w:val="1"/>
                <w:szCs w:val="1"/>
                <w:color w:val="auto"/>
              </w:rPr>
            </w:pPr>
          </w:p>
        </w:tc>
      </w:tr>
      <w:tr>
        <w:trPr>
          <w:trHeight w:val="348"/>
        </w:trPr>
        <w:tc>
          <w:tcPr>
            <w:tcW w:w="7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vMerge w:val="continue"/>
          </w:tcPr>
          <w:p>
            <w:pPr>
              <w:spacing w:after="0"/>
              <w:rPr>
                <w:sz w:val="24"/>
                <w:szCs w:val="24"/>
                <w:color w:val="auto"/>
              </w:rPr>
            </w:pPr>
          </w:p>
        </w:tc>
        <w:tc>
          <w:tcPr>
            <w:tcW w:w="11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80" w:type="dxa"/>
            <w:vAlign w:val="bottom"/>
          </w:tcPr>
          <w:p>
            <w:pPr>
              <w:spacing w:after="0" w:line="176" w:lineRule="exact"/>
              <w:rPr>
                <w:sz w:val="20"/>
                <w:szCs w:val="20"/>
                <w:color w:val="auto"/>
              </w:rPr>
            </w:pPr>
            <w:r>
              <w:rPr>
                <w:rFonts w:ascii="Arial" w:cs="Arial" w:eastAsia="Arial" w:hAnsi="Arial"/>
                <w:sz w:val="12"/>
                <w:szCs w:val="12"/>
                <w:b w:val="1"/>
                <w:bCs w:val="1"/>
                <w:color w:val="auto"/>
              </w:rPr>
              <w:t>ROTCE</w:t>
            </w:r>
            <w:r>
              <w:rPr>
                <w:rFonts w:ascii="Arial" w:cs="Arial" w:eastAsia="Arial" w:hAnsi="Arial"/>
                <w:sz w:val="20"/>
                <w:szCs w:val="20"/>
                <w:b w:val="1"/>
                <w:bCs w:val="1"/>
                <w:color w:val="auto"/>
                <w:vertAlign w:val="superscript"/>
              </w:rPr>
              <w:t>1</w:t>
            </w:r>
          </w:p>
        </w:tc>
        <w:tc>
          <w:tcPr>
            <w:tcW w:w="22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BVPS</w:t>
            </w:r>
          </w:p>
        </w:tc>
        <w:tc>
          <w:tcPr>
            <w:tcW w:w="1120" w:type="dxa"/>
            <w:vAlign w:val="bottom"/>
          </w:tcPr>
          <w:p>
            <w:pPr>
              <w:jc w:val="center"/>
              <w:spacing w:after="0" w:line="176" w:lineRule="exact"/>
              <w:rPr>
                <w:sz w:val="20"/>
                <w:szCs w:val="20"/>
                <w:color w:val="auto"/>
              </w:rPr>
            </w:pPr>
            <w:r>
              <w:rPr>
                <w:rFonts w:ascii="Arial" w:cs="Arial" w:eastAsia="Arial" w:hAnsi="Arial"/>
                <w:sz w:val="12"/>
                <w:szCs w:val="12"/>
                <w:b w:val="1"/>
                <w:bCs w:val="1"/>
                <w:color w:val="auto"/>
              </w:rPr>
              <w:t>TBVPS</w:t>
            </w:r>
            <w:r>
              <w:rPr>
                <w:rFonts w:ascii="Arial" w:cs="Arial" w:eastAsia="Arial" w:hAnsi="Arial"/>
                <w:sz w:val="20"/>
                <w:szCs w:val="20"/>
                <w:b w:val="1"/>
                <w:bCs w:val="1"/>
                <w:color w:val="auto"/>
                <w:vertAlign w:val="superscript"/>
              </w:rPr>
              <w:t>1</w:t>
            </w:r>
          </w:p>
        </w:tc>
        <w:tc>
          <w:tcPr>
            <w:tcW w:w="200" w:type="dxa"/>
            <w:vAlign w:val="bottom"/>
          </w:tcPr>
          <w:p>
            <w:pPr>
              <w:spacing w:after="0"/>
              <w:rPr>
                <w:sz w:val="15"/>
                <w:szCs w:val="15"/>
                <w:color w:val="auto"/>
              </w:rPr>
            </w:pPr>
          </w:p>
        </w:tc>
        <w:tc>
          <w:tcPr>
            <w:tcW w:w="1460" w:type="dxa"/>
            <w:vAlign w:val="bottom"/>
          </w:tcPr>
          <w:p>
            <w:pPr>
              <w:ind w:left="520"/>
              <w:spacing w:after="0"/>
              <w:rPr>
                <w:sz w:val="20"/>
                <w:szCs w:val="20"/>
                <w:color w:val="auto"/>
              </w:rPr>
            </w:pPr>
            <w:r>
              <w:rPr>
                <w:rFonts w:ascii="Arial" w:cs="Arial" w:eastAsia="Arial" w:hAnsi="Arial"/>
                <w:sz w:val="14"/>
                <w:szCs w:val="14"/>
                <w:b w:val="1"/>
                <w:bCs w:val="1"/>
                <w:color w:val="auto"/>
                <w:w w:val="99"/>
              </w:rPr>
              <w:t>NET CAPITAL</w:t>
            </w:r>
          </w:p>
        </w:tc>
        <w:tc>
          <w:tcPr>
            <w:tcW w:w="0" w:type="dxa"/>
            <w:vAlign w:val="bottom"/>
          </w:tcPr>
          <w:p>
            <w:pPr>
              <w:spacing w:after="0"/>
              <w:rPr>
                <w:sz w:val="1"/>
                <w:szCs w:val="1"/>
                <w:color w:val="auto"/>
              </w:rPr>
            </w:pPr>
          </w:p>
        </w:tc>
      </w:tr>
    </w:tbl>
    <w:p>
      <w:pPr>
        <w:jc w:val="right"/>
        <w:ind w:right="500"/>
        <w:spacing w:after="0"/>
        <w:rPr>
          <w:sz w:val="20"/>
          <w:szCs w:val="20"/>
          <w:color w:val="auto"/>
        </w:rPr>
      </w:pPr>
      <w:r>
        <w:rPr>
          <w:rFonts w:ascii="Arial" w:cs="Arial" w:eastAsia="Arial" w:hAnsi="Arial"/>
          <w:sz w:val="14"/>
          <w:szCs w:val="14"/>
          <w:b w:val="1"/>
          <w:bCs w:val="1"/>
          <w:color w:val="auto"/>
        </w:rPr>
        <w:t>DISTRIBUTIONS</w:t>
      </w:r>
      <w:r>
        <w:rPr>
          <w:rFonts w:ascii="Arial" w:cs="Arial" w:eastAsia="Arial" w:hAnsi="Arial"/>
          <w:sz w:val="24"/>
          <w:szCs w:val="24"/>
          <w:b w:val="1"/>
          <w:bCs w:val="1"/>
          <w:color w:val="auto"/>
          <w:vertAlign w:val="superscript"/>
        </w:rPr>
        <w:t>2</w:t>
      </w:r>
    </w:p>
    <w:p>
      <w:pPr>
        <w:spacing w:after="0" w:line="200" w:lineRule="exact"/>
        <w:rPr>
          <w:sz w:val="20"/>
          <w:szCs w:val="20"/>
          <w:color w:val="auto"/>
        </w:rPr>
      </w:pPr>
    </w:p>
    <w:p>
      <w:pPr>
        <w:sectPr>
          <w:pgSz w:w="11900" w:h="16838" w:orient="portrait"/>
          <w:cols w:equalWidth="0" w:num="2">
            <w:col w:w="5040" w:space="520"/>
            <w:col w:w="5580"/>
          </w:cols>
          <w:pgMar w:left="320" w:top="459" w:right="439" w:bottom="1440" w:gutter="0" w:footer="0" w:header="0"/>
          <w:type w:val="continuous"/>
        </w:sectPr>
      </w:pPr>
    </w:p>
    <w:p>
      <w:pPr>
        <w:spacing w:after="0" w:line="118" w:lineRule="exact"/>
        <w:rPr>
          <w:sz w:val="20"/>
          <w:szCs w:val="20"/>
          <w:color w:val="auto"/>
        </w:rPr>
      </w:pPr>
    </w:p>
    <w:p>
      <w:pPr>
        <w:jc w:val="center"/>
        <w:ind w:left="160"/>
        <w:spacing w:after="0"/>
        <w:rPr>
          <w:sz w:val="20"/>
          <w:szCs w:val="20"/>
          <w:color w:val="auto"/>
        </w:rPr>
      </w:pPr>
      <w:r>
        <w:rPr>
          <w:rFonts w:ascii="Arial" w:cs="Arial" w:eastAsia="Arial" w:hAnsi="Arial"/>
          <w:sz w:val="22"/>
          <w:szCs w:val="22"/>
          <w:color w:val="004876"/>
        </w:rPr>
        <w:t>CONSUMER &amp;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-149860</wp:posOffset>
            </wp:positionV>
            <wp:extent cx="1551305" cy="233172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551305" cy="2331720"/>
                    </a:xfrm>
                    <a:prstGeom prst="rect">
                      <a:avLst/>
                    </a:prstGeom>
                    <a:noFill/>
                  </pic:spPr>
                </pic:pic>
              </a:graphicData>
            </a:graphic>
          </wp:anchor>
        </w:drawing>
      </w:r>
    </w:p>
    <w:p>
      <w:pPr>
        <w:jc w:val="center"/>
        <w:ind w:left="160"/>
        <w:spacing w:after="0"/>
        <w:rPr>
          <w:sz w:val="20"/>
          <w:szCs w:val="20"/>
          <w:color w:val="auto"/>
        </w:rPr>
      </w:pPr>
      <w:r>
        <w:rPr>
          <w:rFonts w:ascii="Arial" w:cs="Arial" w:eastAsia="Arial" w:hAnsi="Arial"/>
          <w:sz w:val="21"/>
          <w:szCs w:val="21"/>
          <w:color w:val="004876"/>
        </w:rPr>
        <w:t>COMMUNITY BANKING</w:t>
      </w:r>
    </w:p>
    <w:p>
      <w:pPr>
        <w:ind w:left="160"/>
        <w:spacing w:after="0" w:line="189" w:lineRule="auto"/>
        <w:tabs>
          <w:tab w:leader="none" w:pos="1600" w:val="left"/>
        </w:tabs>
        <w:rPr>
          <w:sz w:val="20"/>
          <w:szCs w:val="20"/>
          <w:color w:val="auto"/>
        </w:rPr>
      </w:pPr>
      <w:r>
        <w:rPr>
          <w:rFonts w:ascii="Arial" w:cs="Arial" w:eastAsia="Arial" w:hAnsi="Arial"/>
          <w:sz w:val="45"/>
          <w:szCs w:val="45"/>
          <w:color w:val="004876"/>
          <w:vertAlign w:val="superscript"/>
        </w:rPr>
        <w:t>$</w:t>
      </w:r>
      <w:r>
        <w:rPr>
          <w:rFonts w:ascii="Arial" w:cs="Arial" w:eastAsia="Arial" w:hAnsi="Arial"/>
          <w:sz w:val="27"/>
          <w:szCs w:val="27"/>
          <w:color w:val="004876"/>
        </w:rPr>
        <w:t>16.6</w:t>
      </w:r>
      <w:r>
        <w:rPr>
          <w:rFonts w:ascii="Arial" w:cs="Arial" w:eastAsia="Arial" w:hAnsi="Arial"/>
          <w:sz w:val="21"/>
          <w:szCs w:val="21"/>
          <w:color w:val="004876"/>
        </w:rPr>
        <w:t>B</w:t>
      </w:r>
      <w:r>
        <w:rPr>
          <w:sz w:val="20"/>
          <w:szCs w:val="20"/>
          <w:color w:val="auto"/>
        </w:rPr>
        <w:tab/>
      </w:r>
      <w:r>
        <w:rPr>
          <w:rFonts w:ascii="Arial" w:cs="Arial" w:eastAsia="Arial" w:hAnsi="Arial"/>
          <w:sz w:val="26"/>
          <w:szCs w:val="26"/>
          <w:color w:val="004876"/>
        </w:rPr>
        <w:t>31</w:t>
      </w:r>
      <w:r>
        <w:rPr>
          <w:rFonts w:ascii="Arial" w:cs="Arial" w:eastAsia="Arial" w:hAnsi="Arial"/>
          <w:sz w:val="43"/>
          <w:szCs w:val="43"/>
          <w:color w:val="004876"/>
          <w:vertAlign w:val="superscript"/>
        </w:rPr>
        <w:t>%</w:t>
      </w:r>
    </w:p>
    <w:tbl>
      <w:tblPr>
        <w:tblLayout w:type="fixed"/>
        <w:tblInd w:w="160" w:type="dxa"/>
        <w:tblCellMar>
          <w:top w:w="0" w:type="dxa"/>
          <w:left w:w="0" w:type="dxa"/>
          <w:bottom w:w="0" w:type="dxa"/>
          <w:right w:w="0" w:type="dxa"/>
        </w:tblCellMar>
      </w:tblPr>
      <w:tr>
        <w:trPr>
          <w:trHeight w:val="190"/>
        </w:trPr>
        <w:tc>
          <w:tcPr>
            <w:tcW w:w="1240" w:type="dxa"/>
            <w:vAlign w:val="bottom"/>
          </w:tcPr>
          <w:p>
            <w:pPr>
              <w:spacing w:after="0"/>
              <w:rPr>
                <w:sz w:val="20"/>
                <w:szCs w:val="20"/>
                <w:color w:val="auto"/>
              </w:rPr>
            </w:pPr>
            <w:r>
              <w:rPr>
                <w:rFonts w:ascii="Arial" w:cs="Arial" w:eastAsia="Arial" w:hAnsi="Arial"/>
                <w:sz w:val="14"/>
                <w:szCs w:val="14"/>
                <w:b w:val="1"/>
                <w:bCs w:val="1"/>
                <w:color w:val="auto"/>
              </w:rPr>
              <w:t>NET INCOME</w:t>
            </w:r>
          </w:p>
        </w:tc>
        <w:tc>
          <w:tcPr>
            <w:tcW w:w="660" w:type="dxa"/>
            <w:vAlign w:val="bottom"/>
          </w:tcPr>
          <w:p>
            <w:pPr>
              <w:ind w:left="340"/>
              <w:spacing w:after="0"/>
              <w:rPr>
                <w:sz w:val="20"/>
                <w:szCs w:val="20"/>
                <w:color w:val="auto"/>
              </w:rPr>
            </w:pPr>
            <w:r>
              <w:rPr>
                <w:rFonts w:ascii="Arial" w:cs="Arial" w:eastAsia="Arial" w:hAnsi="Arial"/>
                <w:sz w:val="14"/>
                <w:szCs w:val="14"/>
                <w:b w:val="1"/>
                <w:bCs w:val="1"/>
                <w:color w:val="auto"/>
                <w:w w:val="98"/>
              </w:rPr>
              <w:t>ROE</w:t>
            </w:r>
          </w:p>
        </w:tc>
      </w:tr>
    </w:tbl>
    <w:p>
      <w:pPr>
        <w:spacing w:after="0" w:line="4" w:lineRule="exact"/>
        <w:rPr>
          <w:sz w:val="20"/>
          <w:szCs w:val="20"/>
          <w:color w:val="auto"/>
        </w:rPr>
      </w:pPr>
    </w:p>
    <w:p>
      <w:pPr>
        <w:ind w:left="400" w:right="620" w:hanging="140"/>
        <w:spacing w:after="0" w:line="242" w:lineRule="auto"/>
        <w:tabs>
          <w:tab w:leader="none" w:pos="396" w:val="left"/>
        </w:tabs>
        <w:numPr>
          <w:ilvl w:val="0"/>
          <w:numId w:val="110"/>
        </w:numPr>
        <w:rPr>
          <w:rFonts w:ascii="Arial" w:cs="Arial" w:eastAsia="Arial" w:hAnsi="Arial"/>
          <w:sz w:val="15"/>
          <w:szCs w:val="15"/>
          <w:color w:val="004876"/>
        </w:rPr>
      </w:pPr>
      <w:r>
        <w:rPr>
          <w:rFonts w:ascii="Arial" w:cs="Arial" w:eastAsia="Arial" w:hAnsi="Arial"/>
          <w:sz w:val="15"/>
          <w:szCs w:val="15"/>
          <w:color w:val="auto"/>
        </w:rPr>
        <w:t>Record net income on revenue</w:t>
      </w:r>
      <w:r>
        <w:rPr>
          <w:rFonts w:ascii="Arial" w:cs="Arial" w:eastAsia="Arial" w:hAnsi="Arial"/>
          <w:sz w:val="13"/>
          <w:szCs w:val="13"/>
          <w:color w:val="auto"/>
        </w:rPr>
        <w:t>3</w:t>
      </w:r>
      <w:r>
        <w:rPr>
          <w:rFonts w:ascii="Arial" w:cs="Arial" w:eastAsia="Arial" w:hAnsi="Arial"/>
          <w:sz w:val="15"/>
          <w:szCs w:val="15"/>
          <w:color w:val="auto"/>
        </w:rPr>
        <w:t xml:space="preserve"> of $55.9B</w:t>
      </w:r>
    </w:p>
    <w:p>
      <w:pPr>
        <w:spacing w:after="0" w:line="97" w:lineRule="exact"/>
        <w:rPr>
          <w:rFonts w:ascii="Arial" w:cs="Arial" w:eastAsia="Arial" w:hAnsi="Arial"/>
          <w:sz w:val="15"/>
          <w:szCs w:val="15"/>
          <w:color w:val="004876"/>
        </w:rPr>
      </w:pPr>
    </w:p>
    <w:p>
      <w:pPr>
        <w:ind w:left="400" w:right="160" w:hanging="140"/>
        <w:spacing w:after="0" w:line="235" w:lineRule="auto"/>
        <w:tabs>
          <w:tab w:leader="none" w:pos="387" w:val="left"/>
        </w:tabs>
        <w:numPr>
          <w:ilvl w:val="0"/>
          <w:numId w:val="110"/>
        </w:numPr>
        <w:rPr>
          <w:rFonts w:ascii="Arial" w:cs="Arial" w:eastAsia="Arial" w:hAnsi="Arial"/>
          <w:sz w:val="15"/>
          <w:szCs w:val="15"/>
          <w:color w:val="004876"/>
        </w:rPr>
      </w:pPr>
      <w:r>
        <w:rPr>
          <w:rFonts w:ascii="Arial" w:cs="Arial" w:eastAsia="Arial" w:hAnsi="Arial"/>
          <w:sz w:val="15"/>
          <w:szCs w:val="15"/>
          <w:color w:val="auto"/>
        </w:rPr>
        <w:t>Average deposits of $693.6B (up 3%); average loans of $464.3B (down 3%)</w:t>
      </w:r>
    </w:p>
    <w:p>
      <w:pPr>
        <w:spacing w:after="0" w:line="100" w:lineRule="exact"/>
        <w:rPr>
          <w:rFonts w:ascii="Arial" w:cs="Arial" w:eastAsia="Arial" w:hAnsi="Arial"/>
          <w:sz w:val="15"/>
          <w:szCs w:val="15"/>
          <w:color w:val="004876"/>
        </w:rPr>
      </w:pPr>
    </w:p>
    <w:p>
      <w:pPr>
        <w:ind w:left="400" w:right="180" w:hanging="140"/>
        <w:spacing w:after="0" w:line="235" w:lineRule="auto"/>
        <w:tabs>
          <w:tab w:leader="none" w:pos="396" w:val="left"/>
        </w:tabs>
        <w:numPr>
          <w:ilvl w:val="0"/>
          <w:numId w:val="110"/>
        </w:numPr>
        <w:rPr>
          <w:rFonts w:ascii="Arial" w:cs="Arial" w:eastAsia="Arial" w:hAnsi="Arial"/>
          <w:sz w:val="15"/>
          <w:szCs w:val="15"/>
          <w:color w:val="004876"/>
        </w:rPr>
      </w:pPr>
      <w:r>
        <w:rPr>
          <w:rFonts w:ascii="Arial" w:cs="Arial" w:eastAsia="Arial" w:hAnsi="Arial"/>
          <w:sz w:val="15"/>
          <w:szCs w:val="15"/>
          <w:color w:val="auto"/>
        </w:rPr>
        <w:t>#1 in U.S. card sales volume and #1 in credit card outstandings</w:t>
      </w:r>
    </w:p>
    <w:p>
      <w:pPr>
        <w:spacing w:after="0" w:line="100" w:lineRule="exact"/>
        <w:rPr>
          <w:rFonts w:ascii="Arial" w:cs="Arial" w:eastAsia="Arial" w:hAnsi="Arial"/>
          <w:sz w:val="15"/>
          <w:szCs w:val="15"/>
          <w:color w:val="004876"/>
        </w:rPr>
      </w:pPr>
    </w:p>
    <w:p>
      <w:pPr>
        <w:ind w:left="400" w:right="240" w:hanging="140"/>
        <w:spacing w:after="0" w:line="231" w:lineRule="auto"/>
        <w:tabs>
          <w:tab w:leader="none" w:pos="396" w:val="left"/>
        </w:tabs>
        <w:numPr>
          <w:ilvl w:val="0"/>
          <w:numId w:val="110"/>
        </w:numPr>
        <w:rPr>
          <w:rFonts w:ascii="Arial" w:cs="Arial" w:eastAsia="Arial" w:hAnsi="Arial"/>
          <w:sz w:val="15"/>
          <w:szCs w:val="15"/>
          <w:color w:val="004876"/>
        </w:rPr>
      </w:pPr>
      <w:r>
        <w:rPr>
          <w:rFonts w:ascii="Arial" w:cs="Arial" w:eastAsia="Arial" w:hAnsi="Arial"/>
          <w:sz w:val="15"/>
          <w:szCs w:val="15"/>
          <w:color w:val="auto"/>
        </w:rPr>
        <w:t>Continued credit outperformance with Consumer Lending 30+ day delinquency rates well below industry benchmarks</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jc w:val="center"/>
        <w:ind w:left="-71"/>
        <w:spacing w:after="0"/>
        <w:rPr>
          <w:sz w:val="20"/>
          <w:szCs w:val="20"/>
          <w:color w:val="auto"/>
        </w:rPr>
      </w:pPr>
      <w:r>
        <w:rPr>
          <w:rFonts w:ascii="Arial" w:cs="Arial" w:eastAsia="Arial" w:hAnsi="Arial"/>
          <w:sz w:val="22"/>
          <w:szCs w:val="22"/>
          <w:color w:val="004876"/>
        </w:rPr>
        <w:t>CORPORATE &amp;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-149860</wp:posOffset>
            </wp:positionV>
            <wp:extent cx="1688465" cy="6604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688465" cy="660400"/>
                    </a:xfrm>
                    <a:prstGeom prst="rect">
                      <a:avLst/>
                    </a:prstGeom>
                    <a:noFill/>
                  </pic:spPr>
                </pic:pic>
              </a:graphicData>
            </a:graphic>
          </wp:anchor>
        </w:drawing>
      </w:r>
    </w:p>
    <w:p>
      <w:pPr>
        <w:jc w:val="center"/>
        <w:ind w:left="-71"/>
        <w:spacing w:after="0"/>
        <w:rPr>
          <w:sz w:val="20"/>
          <w:szCs w:val="20"/>
          <w:color w:val="auto"/>
        </w:rPr>
      </w:pPr>
      <w:r>
        <w:rPr>
          <w:rFonts w:ascii="Arial" w:cs="Arial" w:eastAsia="Arial" w:hAnsi="Arial"/>
          <w:sz w:val="22"/>
          <w:szCs w:val="22"/>
          <w:color w:val="004876"/>
        </w:rPr>
        <w:t>INVESTMENT BANK</w:t>
      </w:r>
    </w:p>
    <w:p>
      <w:pPr>
        <w:ind w:left="12"/>
        <w:spacing w:after="0" w:line="184" w:lineRule="auto"/>
        <w:tabs>
          <w:tab w:leader="none" w:pos="1492" w:val="left"/>
        </w:tabs>
        <w:rPr>
          <w:sz w:val="20"/>
          <w:szCs w:val="20"/>
          <w:color w:val="auto"/>
        </w:rPr>
      </w:pPr>
      <w:r>
        <w:rPr>
          <w:rFonts w:ascii="Arial" w:cs="Arial" w:eastAsia="Arial" w:hAnsi="Arial"/>
          <w:sz w:val="43"/>
          <w:szCs w:val="43"/>
          <w:color w:val="004876"/>
          <w:vertAlign w:val="superscript"/>
        </w:rPr>
        <w:t>$</w:t>
      </w:r>
      <w:r>
        <w:rPr>
          <w:rFonts w:ascii="Arial" w:cs="Arial" w:eastAsia="Arial" w:hAnsi="Arial"/>
          <w:sz w:val="26"/>
          <w:szCs w:val="26"/>
          <w:color w:val="004876"/>
        </w:rPr>
        <w:t>11.9</w:t>
      </w:r>
      <w:r>
        <w:rPr>
          <w:rFonts w:ascii="Arial" w:cs="Arial" w:eastAsia="Arial" w:hAnsi="Arial"/>
          <w:sz w:val="21"/>
          <w:szCs w:val="21"/>
          <w:color w:val="004876"/>
        </w:rPr>
        <w:t>B</w:t>
      </w:r>
      <w:r>
        <w:rPr>
          <w:sz w:val="20"/>
          <w:szCs w:val="20"/>
          <w:color w:val="auto"/>
        </w:rPr>
        <w:tab/>
      </w:r>
      <w:r>
        <w:rPr>
          <w:rFonts w:ascii="Arial" w:cs="Arial" w:eastAsia="Arial" w:hAnsi="Arial"/>
          <w:sz w:val="26"/>
          <w:szCs w:val="26"/>
          <w:color w:val="004876"/>
        </w:rPr>
        <w:t>14</w:t>
      </w:r>
      <w:r>
        <w:rPr>
          <w:rFonts w:ascii="Arial" w:cs="Arial" w:eastAsia="Arial" w:hAnsi="Arial"/>
          <w:sz w:val="43"/>
          <w:szCs w:val="43"/>
          <w:color w:val="004876"/>
          <w:vertAlign w:val="superscript"/>
        </w:rPr>
        <w:t>%</w:t>
      </w:r>
    </w:p>
    <w:tbl>
      <w:tblPr>
        <w:tblLayout w:type="fixed"/>
        <w:tblInd w:w="12" w:type="dxa"/>
        <w:tblCellMar>
          <w:top w:w="0" w:type="dxa"/>
          <w:left w:w="0" w:type="dxa"/>
          <w:bottom w:w="0" w:type="dxa"/>
          <w:right w:w="0" w:type="dxa"/>
        </w:tblCellMar>
      </w:tblPr>
      <w:tr>
        <w:trPr>
          <w:trHeight w:val="190"/>
        </w:trPr>
        <w:tc>
          <w:tcPr>
            <w:tcW w:w="1260" w:type="dxa"/>
            <w:vAlign w:val="bottom"/>
          </w:tcPr>
          <w:p>
            <w:pPr>
              <w:spacing w:after="0"/>
              <w:rPr>
                <w:sz w:val="20"/>
                <w:szCs w:val="20"/>
                <w:color w:val="auto"/>
              </w:rPr>
            </w:pPr>
            <w:r>
              <w:rPr>
                <w:rFonts w:ascii="Arial" w:cs="Arial" w:eastAsia="Arial" w:hAnsi="Arial"/>
                <w:sz w:val="14"/>
                <w:szCs w:val="14"/>
                <w:b w:val="1"/>
                <w:bCs w:val="1"/>
                <w:color w:val="auto"/>
              </w:rPr>
              <w:t>NET INCOME</w:t>
            </w:r>
          </w:p>
        </w:tc>
        <w:tc>
          <w:tcPr>
            <w:tcW w:w="680" w:type="dxa"/>
            <w:vAlign w:val="bottom"/>
          </w:tcPr>
          <w:p>
            <w:pPr>
              <w:ind w:left="360"/>
              <w:spacing w:after="0"/>
              <w:rPr>
                <w:sz w:val="20"/>
                <w:szCs w:val="20"/>
                <w:color w:val="auto"/>
              </w:rPr>
            </w:pPr>
            <w:r>
              <w:rPr>
                <w:rFonts w:ascii="Arial" w:cs="Arial" w:eastAsia="Arial" w:hAnsi="Arial"/>
                <w:sz w:val="14"/>
                <w:szCs w:val="14"/>
                <w:b w:val="1"/>
                <w:bCs w:val="1"/>
                <w:color w:val="auto"/>
                <w:w w:val="98"/>
              </w:rPr>
              <w:t>ROE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-12065</wp:posOffset>
            </wp:positionV>
            <wp:extent cx="1688465" cy="167132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688465" cy="1671320"/>
                    </a:xfrm>
                    <a:prstGeom prst="rect">
                      <a:avLst/>
                    </a:prstGeom>
                    <a:noFill/>
                  </pic:spPr>
                </pic:pic>
              </a:graphicData>
            </a:graphic>
          </wp:anchor>
        </w:drawing>
      </w:r>
    </w:p>
    <w:p>
      <w:pPr>
        <w:ind w:left="152" w:right="60" w:hanging="152"/>
        <w:spacing w:after="0" w:line="242" w:lineRule="auto"/>
        <w:tabs>
          <w:tab w:leader="none" w:pos="148" w:val="left"/>
        </w:tabs>
        <w:numPr>
          <w:ilvl w:val="0"/>
          <w:numId w:val="111"/>
        </w:numPr>
        <w:rPr>
          <w:rFonts w:ascii="Arial" w:cs="Arial" w:eastAsia="Arial" w:hAnsi="Arial"/>
          <w:sz w:val="15"/>
          <w:szCs w:val="15"/>
          <w:color w:val="004876"/>
        </w:rPr>
      </w:pPr>
      <w:r>
        <w:rPr>
          <w:rFonts w:ascii="Arial" w:cs="Arial" w:eastAsia="Arial" w:hAnsi="Arial"/>
          <w:sz w:val="15"/>
          <w:szCs w:val="15"/>
          <w:color w:val="auto"/>
        </w:rPr>
        <w:t>Record net income on record revenue</w:t>
      </w:r>
      <w:r>
        <w:rPr>
          <w:rFonts w:ascii="Arial" w:cs="Arial" w:eastAsia="Arial" w:hAnsi="Arial"/>
          <w:sz w:val="13"/>
          <w:szCs w:val="13"/>
          <w:color w:val="auto"/>
        </w:rPr>
        <w:t>3</w:t>
      </w:r>
      <w:r>
        <w:rPr>
          <w:rFonts w:ascii="Arial" w:cs="Arial" w:eastAsia="Arial" w:hAnsi="Arial"/>
          <w:sz w:val="15"/>
          <w:szCs w:val="15"/>
          <w:color w:val="auto"/>
        </w:rPr>
        <w:t xml:space="preserve"> of $38.3B</w:t>
      </w:r>
    </w:p>
    <w:p>
      <w:pPr>
        <w:spacing w:after="0" w:line="178" w:lineRule="exact"/>
        <w:rPr>
          <w:rFonts w:ascii="Arial" w:cs="Arial" w:eastAsia="Arial" w:hAnsi="Arial"/>
          <w:sz w:val="15"/>
          <w:szCs w:val="15"/>
          <w:color w:val="004876"/>
        </w:rPr>
      </w:pPr>
    </w:p>
    <w:p>
      <w:pPr>
        <w:ind w:left="152" w:right="20" w:hanging="152"/>
        <w:spacing w:after="0" w:line="235" w:lineRule="auto"/>
        <w:tabs>
          <w:tab w:leader="none" w:pos="148" w:val="left"/>
        </w:tabs>
        <w:numPr>
          <w:ilvl w:val="0"/>
          <w:numId w:val="111"/>
        </w:numPr>
        <w:rPr>
          <w:rFonts w:ascii="Arial" w:cs="Arial" w:eastAsia="Arial" w:hAnsi="Arial"/>
          <w:sz w:val="15"/>
          <w:szCs w:val="15"/>
          <w:color w:val="004876"/>
        </w:rPr>
      </w:pPr>
      <w:r>
        <w:rPr>
          <w:rFonts w:ascii="Arial" w:cs="Arial" w:eastAsia="Arial" w:hAnsi="Arial"/>
          <w:sz w:val="15"/>
          <w:szCs w:val="15"/>
          <w:color w:val="auto"/>
        </w:rPr>
        <w:t>#1 in global Markets revenue; #1 in global IB fees for 11 consecutive years</w:t>
      </w:r>
    </w:p>
    <w:p>
      <w:pPr>
        <w:spacing w:after="0" w:line="181" w:lineRule="exact"/>
        <w:rPr>
          <w:rFonts w:ascii="Arial" w:cs="Arial" w:eastAsia="Arial" w:hAnsi="Arial"/>
          <w:sz w:val="15"/>
          <w:szCs w:val="15"/>
          <w:color w:val="004876"/>
        </w:rPr>
      </w:pPr>
    </w:p>
    <w:p>
      <w:pPr>
        <w:ind w:left="152" w:hanging="152"/>
        <w:spacing w:after="0" w:line="235" w:lineRule="auto"/>
        <w:tabs>
          <w:tab w:leader="none" w:pos="148" w:val="left"/>
        </w:tabs>
        <w:numPr>
          <w:ilvl w:val="0"/>
          <w:numId w:val="111"/>
        </w:numPr>
        <w:rPr>
          <w:rFonts w:ascii="Arial" w:cs="Arial" w:eastAsia="Arial" w:hAnsi="Arial"/>
          <w:sz w:val="15"/>
          <w:szCs w:val="15"/>
          <w:color w:val="004876"/>
        </w:rPr>
      </w:pPr>
      <w:r>
        <w:rPr>
          <w:rFonts w:ascii="Arial" w:cs="Arial" w:eastAsia="Arial" w:hAnsi="Arial"/>
          <w:sz w:val="15"/>
          <w:szCs w:val="15"/>
          <w:color w:val="auto"/>
        </w:rPr>
        <w:t>#2 custodian globally with $27T in assets under custody, up 16%</w:t>
      </w:r>
    </w:p>
    <w:p>
      <w:pPr>
        <w:spacing w:after="0" w:line="181" w:lineRule="exact"/>
        <w:rPr>
          <w:rFonts w:ascii="Arial" w:cs="Arial" w:eastAsia="Arial" w:hAnsi="Arial"/>
          <w:sz w:val="15"/>
          <w:szCs w:val="15"/>
          <w:color w:val="004876"/>
        </w:rPr>
      </w:pPr>
    </w:p>
    <w:p>
      <w:pPr>
        <w:ind w:left="132" w:hanging="132"/>
        <w:spacing w:after="0"/>
        <w:tabs>
          <w:tab w:leader="none" w:pos="132" w:val="left"/>
        </w:tabs>
        <w:numPr>
          <w:ilvl w:val="0"/>
          <w:numId w:val="111"/>
        </w:numPr>
        <w:rPr>
          <w:rFonts w:ascii="Arial" w:cs="Arial" w:eastAsia="Arial" w:hAnsi="Arial"/>
          <w:sz w:val="15"/>
          <w:szCs w:val="15"/>
          <w:color w:val="004876"/>
        </w:rPr>
      </w:pPr>
      <w:r>
        <w:rPr>
          <w:rFonts w:ascii="Arial" w:cs="Arial" w:eastAsia="Arial" w:hAnsi="Arial"/>
          <w:sz w:val="15"/>
          <w:szCs w:val="15"/>
          <w:color w:val="auto"/>
        </w:rPr>
        <w:t>#1 in USD Payments volume</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jc w:val="center"/>
        <w:ind w:left="-9"/>
        <w:spacing w:after="0"/>
        <w:rPr>
          <w:sz w:val="20"/>
          <w:szCs w:val="20"/>
          <w:color w:val="auto"/>
        </w:rPr>
      </w:pPr>
      <w:r>
        <w:rPr>
          <w:rFonts w:ascii="Arial" w:cs="Arial" w:eastAsia="Arial" w:hAnsi="Arial"/>
          <w:sz w:val="22"/>
          <w:szCs w:val="22"/>
          <w:color w:val="004876"/>
        </w:rPr>
        <w:t>COMMERCIAL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-149860</wp:posOffset>
            </wp:positionV>
            <wp:extent cx="1663065" cy="6604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663065" cy="660400"/>
                    </a:xfrm>
                    <a:prstGeom prst="rect">
                      <a:avLst/>
                    </a:prstGeom>
                    <a:noFill/>
                  </pic:spPr>
                </pic:pic>
              </a:graphicData>
            </a:graphic>
          </wp:anchor>
        </w:drawing>
      </w:r>
    </w:p>
    <w:p>
      <w:pPr>
        <w:jc w:val="center"/>
        <w:ind w:left="-9"/>
        <w:spacing w:after="0"/>
        <w:rPr>
          <w:sz w:val="20"/>
          <w:szCs w:val="20"/>
          <w:color w:val="auto"/>
        </w:rPr>
      </w:pPr>
      <w:r>
        <w:rPr>
          <w:rFonts w:ascii="Arial" w:cs="Arial" w:eastAsia="Arial" w:hAnsi="Arial"/>
          <w:sz w:val="22"/>
          <w:szCs w:val="22"/>
          <w:color w:val="004876"/>
        </w:rPr>
        <w:t>BANKING</w:t>
      </w:r>
    </w:p>
    <w:p>
      <w:pPr>
        <w:ind w:left="90"/>
        <w:spacing w:after="0" w:line="184" w:lineRule="auto"/>
        <w:tabs>
          <w:tab w:leader="none" w:pos="1470" w:val="left"/>
        </w:tabs>
        <w:rPr>
          <w:sz w:val="20"/>
          <w:szCs w:val="20"/>
          <w:color w:val="auto"/>
        </w:rPr>
      </w:pPr>
      <w:r>
        <w:rPr>
          <w:rFonts w:ascii="Arial" w:cs="Arial" w:eastAsia="Arial" w:hAnsi="Arial"/>
          <w:sz w:val="43"/>
          <w:szCs w:val="43"/>
          <w:color w:val="004876"/>
          <w:vertAlign w:val="superscript"/>
        </w:rPr>
        <w:t>$</w:t>
      </w:r>
      <w:r>
        <w:rPr>
          <w:rFonts w:ascii="Arial" w:cs="Arial" w:eastAsia="Arial" w:hAnsi="Arial"/>
          <w:sz w:val="26"/>
          <w:szCs w:val="26"/>
          <w:color w:val="004876"/>
        </w:rPr>
        <w:t>3.9</w:t>
      </w:r>
      <w:r>
        <w:rPr>
          <w:rFonts w:ascii="Arial" w:cs="Arial" w:eastAsia="Arial" w:hAnsi="Arial"/>
          <w:sz w:val="21"/>
          <w:szCs w:val="21"/>
          <w:color w:val="004876"/>
        </w:rPr>
        <w:t>B</w:t>
      </w:r>
      <w:r>
        <w:rPr>
          <w:sz w:val="20"/>
          <w:szCs w:val="20"/>
          <w:color w:val="auto"/>
        </w:rPr>
        <w:tab/>
      </w:r>
      <w:r>
        <w:rPr>
          <w:rFonts w:ascii="Arial" w:cs="Arial" w:eastAsia="Arial" w:hAnsi="Arial"/>
          <w:sz w:val="26"/>
          <w:szCs w:val="26"/>
          <w:color w:val="004876"/>
        </w:rPr>
        <w:t>17</w:t>
      </w:r>
      <w:r>
        <w:rPr>
          <w:rFonts w:ascii="Arial" w:cs="Arial" w:eastAsia="Arial" w:hAnsi="Arial"/>
          <w:sz w:val="43"/>
          <w:szCs w:val="43"/>
          <w:color w:val="004876"/>
          <w:vertAlign w:val="superscript"/>
        </w:rPr>
        <w:t>%</w:t>
      </w:r>
    </w:p>
    <w:tbl>
      <w:tblPr>
        <w:tblLayout w:type="fixed"/>
        <w:tblInd w:w="10" w:type="dxa"/>
        <w:tblCellMar>
          <w:top w:w="0" w:type="dxa"/>
          <w:left w:w="0" w:type="dxa"/>
          <w:bottom w:w="0" w:type="dxa"/>
          <w:right w:w="0" w:type="dxa"/>
        </w:tblCellMar>
      </w:tblPr>
      <w:tr>
        <w:trPr>
          <w:trHeight w:val="190"/>
        </w:trPr>
        <w:tc>
          <w:tcPr>
            <w:tcW w:w="1240" w:type="dxa"/>
            <w:vAlign w:val="bottom"/>
          </w:tcPr>
          <w:p>
            <w:pPr>
              <w:spacing w:after="0"/>
              <w:rPr>
                <w:sz w:val="20"/>
                <w:szCs w:val="20"/>
                <w:color w:val="auto"/>
              </w:rPr>
            </w:pPr>
            <w:r>
              <w:rPr>
                <w:rFonts w:ascii="Arial" w:cs="Arial" w:eastAsia="Arial" w:hAnsi="Arial"/>
                <w:sz w:val="14"/>
                <w:szCs w:val="14"/>
                <w:b w:val="1"/>
                <w:bCs w:val="1"/>
                <w:color w:val="auto"/>
              </w:rPr>
              <w:t>NET INCOME</w:t>
            </w:r>
          </w:p>
        </w:tc>
        <w:tc>
          <w:tcPr>
            <w:tcW w:w="680" w:type="dxa"/>
            <w:vAlign w:val="bottom"/>
          </w:tcPr>
          <w:p>
            <w:pPr>
              <w:ind w:left="360"/>
              <w:spacing w:after="0"/>
              <w:rPr>
                <w:sz w:val="20"/>
                <w:szCs w:val="20"/>
                <w:color w:val="auto"/>
              </w:rPr>
            </w:pPr>
            <w:r>
              <w:rPr>
                <w:rFonts w:ascii="Arial" w:cs="Arial" w:eastAsia="Arial" w:hAnsi="Arial"/>
                <w:sz w:val="14"/>
                <w:szCs w:val="14"/>
                <w:b w:val="1"/>
                <w:bCs w:val="1"/>
                <w:color w:val="auto"/>
                <w:w w:val="98"/>
              </w:rPr>
              <w:t>ROE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-12065</wp:posOffset>
            </wp:positionV>
            <wp:extent cx="1663065" cy="167132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663065" cy="1671320"/>
                    </a:xfrm>
                    <a:prstGeom prst="rect">
                      <a:avLst/>
                    </a:prstGeom>
                    <a:noFill/>
                  </pic:spPr>
                </pic:pic>
              </a:graphicData>
            </a:graphic>
          </wp:anchor>
        </w:drawing>
      </w:r>
    </w:p>
    <w:p>
      <w:pPr>
        <w:ind w:left="130" w:hanging="130"/>
        <w:spacing w:after="0"/>
        <w:tabs>
          <w:tab w:leader="none" w:pos="130" w:val="left"/>
        </w:tabs>
        <w:numPr>
          <w:ilvl w:val="0"/>
          <w:numId w:val="112"/>
        </w:numPr>
        <w:rPr>
          <w:rFonts w:ascii="Arial" w:cs="Arial" w:eastAsia="Arial" w:hAnsi="Arial"/>
          <w:sz w:val="15"/>
          <w:szCs w:val="15"/>
          <w:color w:val="004876"/>
        </w:rPr>
      </w:pPr>
      <w:r>
        <w:rPr>
          <w:rFonts w:ascii="Arial" w:cs="Arial" w:eastAsia="Arial" w:hAnsi="Arial"/>
          <w:sz w:val="15"/>
          <w:szCs w:val="15"/>
          <w:color w:val="auto"/>
        </w:rPr>
        <w:t>Revenue</w:t>
      </w:r>
      <w:r>
        <w:rPr>
          <w:rFonts w:ascii="Arial" w:cs="Arial" w:eastAsia="Arial" w:hAnsi="Arial"/>
          <w:sz w:val="13"/>
          <w:szCs w:val="13"/>
          <w:color w:val="auto"/>
        </w:rPr>
        <w:t>3</w:t>
      </w:r>
      <w:r>
        <w:rPr>
          <w:rFonts w:ascii="Arial" w:cs="Arial" w:eastAsia="Arial" w:hAnsi="Arial"/>
          <w:sz w:val="15"/>
          <w:szCs w:val="15"/>
          <w:color w:val="auto"/>
        </w:rPr>
        <w:t xml:space="preserve"> of $9.0B</w:t>
      </w:r>
    </w:p>
    <w:p>
      <w:pPr>
        <w:spacing w:after="0" w:line="192" w:lineRule="exact"/>
        <w:rPr>
          <w:rFonts w:ascii="Arial" w:cs="Arial" w:eastAsia="Arial" w:hAnsi="Arial"/>
          <w:sz w:val="15"/>
          <w:szCs w:val="15"/>
          <w:color w:val="004876"/>
        </w:rPr>
      </w:pPr>
    </w:p>
    <w:p>
      <w:pPr>
        <w:ind w:left="150" w:right="140" w:hanging="150"/>
        <w:spacing w:after="0" w:line="233" w:lineRule="auto"/>
        <w:tabs>
          <w:tab w:leader="none" w:pos="146" w:val="left"/>
        </w:tabs>
        <w:numPr>
          <w:ilvl w:val="0"/>
          <w:numId w:val="112"/>
        </w:numPr>
        <w:rPr>
          <w:rFonts w:ascii="Arial" w:cs="Arial" w:eastAsia="Arial" w:hAnsi="Arial"/>
          <w:sz w:val="15"/>
          <w:szCs w:val="15"/>
          <w:color w:val="004876"/>
        </w:rPr>
      </w:pPr>
      <w:r>
        <w:rPr>
          <w:rFonts w:ascii="Arial" w:cs="Arial" w:eastAsia="Arial" w:hAnsi="Arial"/>
          <w:sz w:val="15"/>
          <w:szCs w:val="15"/>
          <w:color w:val="auto"/>
        </w:rPr>
        <w:t>Record gross IB revenue of $2.7B (up 10%), including record years for both MMBSI and CCBSI</w:t>
      </w:r>
    </w:p>
    <w:p>
      <w:pPr>
        <w:spacing w:after="0" w:line="180" w:lineRule="exact"/>
        <w:rPr>
          <w:rFonts w:ascii="Arial" w:cs="Arial" w:eastAsia="Arial" w:hAnsi="Arial"/>
          <w:sz w:val="15"/>
          <w:szCs w:val="15"/>
          <w:color w:val="004876"/>
        </w:rPr>
      </w:pPr>
    </w:p>
    <w:p>
      <w:pPr>
        <w:ind w:left="150" w:right="120" w:hanging="150"/>
        <w:spacing w:after="0" w:line="235" w:lineRule="auto"/>
        <w:tabs>
          <w:tab w:leader="none" w:pos="146" w:val="left"/>
        </w:tabs>
        <w:numPr>
          <w:ilvl w:val="0"/>
          <w:numId w:val="112"/>
        </w:numPr>
        <w:rPr>
          <w:rFonts w:ascii="Arial" w:cs="Arial" w:eastAsia="Arial" w:hAnsi="Arial"/>
          <w:sz w:val="15"/>
          <w:szCs w:val="15"/>
          <w:color w:val="004876"/>
        </w:rPr>
      </w:pPr>
      <w:r>
        <w:rPr>
          <w:rFonts w:ascii="Arial" w:cs="Arial" w:eastAsia="Arial" w:hAnsi="Arial"/>
          <w:sz w:val="15"/>
          <w:szCs w:val="15"/>
          <w:color w:val="auto"/>
        </w:rPr>
        <w:t>Record Middle Market expansion market revenue of $723M (up 12%)</w:t>
      </w:r>
    </w:p>
    <w:p>
      <w:pPr>
        <w:spacing w:after="0" w:line="181" w:lineRule="exact"/>
        <w:rPr>
          <w:rFonts w:ascii="Arial" w:cs="Arial" w:eastAsia="Arial" w:hAnsi="Arial"/>
          <w:sz w:val="15"/>
          <w:szCs w:val="15"/>
          <w:color w:val="004876"/>
        </w:rPr>
      </w:pPr>
    </w:p>
    <w:p>
      <w:pPr>
        <w:jc w:val="both"/>
        <w:ind w:left="150" w:hanging="150"/>
        <w:spacing w:after="0" w:line="242" w:lineRule="auto"/>
        <w:tabs>
          <w:tab w:leader="none" w:pos="146" w:val="left"/>
        </w:tabs>
        <w:numPr>
          <w:ilvl w:val="0"/>
          <w:numId w:val="112"/>
        </w:numPr>
        <w:rPr>
          <w:rFonts w:ascii="Arial" w:cs="Arial" w:eastAsia="Arial" w:hAnsi="Arial"/>
          <w:sz w:val="15"/>
          <w:szCs w:val="15"/>
          <w:color w:val="004876"/>
        </w:rPr>
      </w:pPr>
      <w:r>
        <w:rPr>
          <w:rFonts w:ascii="Arial" w:cs="Arial" w:eastAsia="Arial" w:hAnsi="Arial"/>
          <w:sz w:val="15"/>
          <w:szCs w:val="15"/>
          <w:color w:val="auto"/>
        </w:rPr>
        <w:t>Strong credit performance with a net charge-off ratio of 0.08%</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jc w:val="center"/>
        <w:ind w:right="160"/>
        <w:spacing w:after="0"/>
        <w:rPr>
          <w:sz w:val="20"/>
          <w:szCs w:val="20"/>
          <w:color w:val="auto"/>
        </w:rPr>
      </w:pPr>
      <w:r>
        <w:rPr>
          <w:rFonts w:ascii="Arial" w:cs="Arial" w:eastAsia="Arial" w:hAnsi="Arial"/>
          <w:sz w:val="22"/>
          <w:szCs w:val="22"/>
          <w:color w:val="004876"/>
        </w:rPr>
        <w:t>ASSET &amp; WEALTH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wp:posOffset>
            </wp:positionH>
            <wp:positionV relativeFrom="paragraph">
              <wp:posOffset>-149860</wp:posOffset>
            </wp:positionV>
            <wp:extent cx="1663065" cy="6604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663065" cy="660400"/>
                    </a:xfrm>
                    <a:prstGeom prst="rect">
                      <a:avLst/>
                    </a:prstGeom>
                    <a:noFill/>
                  </pic:spPr>
                </pic:pic>
              </a:graphicData>
            </a:graphic>
          </wp:anchor>
        </w:drawing>
      </w:r>
    </w:p>
    <w:p>
      <w:pPr>
        <w:jc w:val="center"/>
        <w:ind w:right="160"/>
        <w:spacing w:after="0"/>
        <w:rPr>
          <w:sz w:val="20"/>
          <w:szCs w:val="20"/>
          <w:color w:val="auto"/>
        </w:rPr>
      </w:pPr>
      <w:r>
        <w:rPr>
          <w:rFonts w:ascii="Arial" w:cs="Arial" w:eastAsia="Arial" w:hAnsi="Arial"/>
          <w:sz w:val="22"/>
          <w:szCs w:val="22"/>
          <w:color w:val="004876"/>
        </w:rPr>
        <w:t>MANAGEMENT</w:t>
      </w:r>
    </w:p>
    <w:p>
      <w:pPr>
        <w:ind w:left="100"/>
        <w:spacing w:after="0" w:line="184" w:lineRule="auto"/>
        <w:tabs>
          <w:tab w:leader="none" w:pos="1460" w:val="left"/>
        </w:tabs>
        <w:rPr>
          <w:sz w:val="20"/>
          <w:szCs w:val="20"/>
          <w:color w:val="auto"/>
        </w:rPr>
      </w:pPr>
      <w:r>
        <w:rPr>
          <w:rFonts w:ascii="Arial" w:cs="Arial" w:eastAsia="Arial" w:hAnsi="Arial"/>
          <w:sz w:val="43"/>
          <w:szCs w:val="43"/>
          <w:color w:val="004876"/>
          <w:vertAlign w:val="superscript"/>
        </w:rPr>
        <w:t>$</w:t>
      </w:r>
      <w:r>
        <w:rPr>
          <w:rFonts w:ascii="Arial" w:cs="Arial" w:eastAsia="Arial" w:hAnsi="Arial"/>
          <w:sz w:val="26"/>
          <w:szCs w:val="26"/>
          <w:color w:val="004876"/>
        </w:rPr>
        <w:t>2.8</w:t>
      </w:r>
      <w:r>
        <w:rPr>
          <w:rFonts w:ascii="Arial" w:cs="Arial" w:eastAsia="Arial" w:hAnsi="Arial"/>
          <w:sz w:val="21"/>
          <w:szCs w:val="21"/>
          <w:color w:val="004876"/>
        </w:rPr>
        <w:t>B</w:t>
      </w:r>
      <w:r>
        <w:rPr>
          <w:sz w:val="20"/>
          <w:szCs w:val="20"/>
          <w:color w:val="auto"/>
        </w:rPr>
        <w:tab/>
      </w:r>
      <w:r>
        <w:rPr>
          <w:rFonts w:ascii="Arial" w:cs="Arial" w:eastAsia="Arial" w:hAnsi="Arial"/>
          <w:sz w:val="26"/>
          <w:szCs w:val="26"/>
          <w:color w:val="004876"/>
        </w:rPr>
        <w:t>26</w:t>
      </w:r>
      <w:r>
        <w:rPr>
          <w:rFonts w:ascii="Arial" w:cs="Arial" w:eastAsia="Arial" w:hAnsi="Arial"/>
          <w:sz w:val="43"/>
          <w:szCs w:val="43"/>
          <w:color w:val="004876"/>
          <w:vertAlign w:val="superscript"/>
        </w:rPr>
        <w:t>%</w:t>
      </w:r>
    </w:p>
    <w:tbl>
      <w:tblPr>
        <w:tblLayout w:type="fixed"/>
        <w:tblInd w:w="20" w:type="dxa"/>
        <w:tblCellMar>
          <w:top w:w="0" w:type="dxa"/>
          <w:left w:w="0" w:type="dxa"/>
          <w:bottom w:w="0" w:type="dxa"/>
          <w:right w:w="0" w:type="dxa"/>
        </w:tblCellMar>
      </w:tblPr>
      <w:tr>
        <w:trPr>
          <w:trHeight w:val="190"/>
        </w:trPr>
        <w:tc>
          <w:tcPr>
            <w:tcW w:w="1240" w:type="dxa"/>
            <w:vAlign w:val="bottom"/>
          </w:tcPr>
          <w:p>
            <w:pPr>
              <w:spacing w:after="0"/>
              <w:rPr>
                <w:sz w:val="20"/>
                <w:szCs w:val="20"/>
                <w:color w:val="auto"/>
              </w:rPr>
            </w:pPr>
            <w:r>
              <w:rPr>
                <w:rFonts w:ascii="Arial" w:cs="Arial" w:eastAsia="Arial" w:hAnsi="Arial"/>
                <w:sz w:val="14"/>
                <w:szCs w:val="14"/>
                <w:b w:val="1"/>
                <w:bCs w:val="1"/>
                <w:color w:val="auto"/>
              </w:rPr>
              <w:t>NET INCOME</w:t>
            </w:r>
          </w:p>
        </w:tc>
        <w:tc>
          <w:tcPr>
            <w:tcW w:w="660" w:type="dxa"/>
            <w:vAlign w:val="bottom"/>
          </w:tcPr>
          <w:p>
            <w:pPr>
              <w:ind w:left="360"/>
              <w:spacing w:after="0"/>
              <w:rPr>
                <w:sz w:val="20"/>
                <w:szCs w:val="20"/>
                <w:color w:val="auto"/>
              </w:rPr>
            </w:pPr>
            <w:r>
              <w:rPr>
                <w:rFonts w:ascii="Arial" w:cs="Arial" w:eastAsia="Arial" w:hAnsi="Arial"/>
                <w:sz w:val="14"/>
                <w:szCs w:val="14"/>
                <w:b w:val="1"/>
                <w:bCs w:val="1"/>
                <w:color w:val="auto"/>
                <w:w w:val="92"/>
              </w:rPr>
              <w:t>ROE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wp:posOffset>
            </wp:positionH>
            <wp:positionV relativeFrom="paragraph">
              <wp:posOffset>-12065</wp:posOffset>
            </wp:positionV>
            <wp:extent cx="1663065" cy="167132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663065" cy="1671320"/>
                    </a:xfrm>
                    <a:prstGeom prst="rect">
                      <a:avLst/>
                    </a:prstGeom>
                    <a:noFill/>
                  </pic:spPr>
                </pic:pic>
              </a:graphicData>
            </a:graphic>
          </wp:anchor>
        </w:drawing>
      </w:r>
    </w:p>
    <w:p>
      <w:pPr>
        <w:ind w:left="140" w:right="340" w:hanging="135"/>
        <w:spacing w:after="0" w:line="242" w:lineRule="auto"/>
        <w:tabs>
          <w:tab w:leader="none" w:pos="136" w:val="left"/>
        </w:tabs>
        <w:numPr>
          <w:ilvl w:val="0"/>
          <w:numId w:val="113"/>
        </w:numPr>
        <w:rPr>
          <w:rFonts w:ascii="Arial" w:cs="Arial" w:eastAsia="Arial" w:hAnsi="Arial"/>
          <w:sz w:val="15"/>
          <w:szCs w:val="15"/>
          <w:color w:val="004876"/>
        </w:rPr>
      </w:pPr>
      <w:r>
        <w:rPr>
          <w:rFonts w:ascii="Arial" w:cs="Arial" w:eastAsia="Arial" w:hAnsi="Arial"/>
          <w:sz w:val="15"/>
          <w:szCs w:val="15"/>
          <w:color w:val="auto"/>
        </w:rPr>
        <w:t>Record revenue</w:t>
      </w:r>
      <w:r>
        <w:rPr>
          <w:rFonts w:ascii="Arial" w:cs="Arial" w:eastAsia="Arial" w:hAnsi="Arial"/>
          <w:sz w:val="13"/>
          <w:szCs w:val="13"/>
          <w:color w:val="auto"/>
        </w:rPr>
        <w:t>3</w:t>
      </w:r>
      <w:r>
        <w:rPr>
          <w:rFonts w:ascii="Arial" w:cs="Arial" w:eastAsia="Arial" w:hAnsi="Arial"/>
          <w:sz w:val="15"/>
          <w:szCs w:val="15"/>
          <w:color w:val="auto"/>
        </w:rPr>
        <w:t xml:space="preserve"> of $14.3B; pre-tax margin of 26%</w:t>
      </w:r>
    </w:p>
    <w:p>
      <w:pPr>
        <w:spacing w:after="0" w:line="97" w:lineRule="exact"/>
        <w:rPr>
          <w:rFonts w:ascii="Arial" w:cs="Arial" w:eastAsia="Arial" w:hAnsi="Arial"/>
          <w:sz w:val="15"/>
          <w:szCs w:val="15"/>
          <w:color w:val="004876"/>
        </w:rPr>
      </w:pPr>
    </w:p>
    <w:p>
      <w:pPr>
        <w:ind w:left="140" w:right="240" w:hanging="135"/>
        <w:spacing w:after="0" w:line="233" w:lineRule="auto"/>
        <w:tabs>
          <w:tab w:leader="none" w:pos="127" w:val="left"/>
        </w:tabs>
        <w:numPr>
          <w:ilvl w:val="0"/>
          <w:numId w:val="113"/>
        </w:numPr>
        <w:rPr>
          <w:rFonts w:ascii="Arial" w:cs="Arial" w:eastAsia="Arial" w:hAnsi="Arial"/>
          <w:sz w:val="15"/>
          <w:szCs w:val="15"/>
          <w:color w:val="004876"/>
        </w:rPr>
      </w:pPr>
      <w:r>
        <w:rPr>
          <w:rFonts w:ascii="Arial" w:cs="Arial" w:eastAsia="Arial" w:hAnsi="Arial"/>
          <w:sz w:val="15"/>
          <w:szCs w:val="15"/>
          <w:color w:val="auto"/>
        </w:rPr>
        <w:t>Assets under management of $2.4T and client assets of $3.2T, up 19% and 18% respectively</w:t>
      </w:r>
    </w:p>
    <w:p>
      <w:pPr>
        <w:spacing w:after="0" w:line="99" w:lineRule="exact"/>
        <w:rPr>
          <w:rFonts w:ascii="Arial" w:cs="Arial" w:eastAsia="Arial" w:hAnsi="Arial"/>
          <w:sz w:val="15"/>
          <w:szCs w:val="15"/>
          <w:color w:val="004876"/>
        </w:rPr>
      </w:pPr>
    </w:p>
    <w:p>
      <w:pPr>
        <w:ind w:left="140" w:hanging="135"/>
        <w:spacing w:after="0" w:line="235" w:lineRule="auto"/>
        <w:tabs>
          <w:tab w:leader="none" w:pos="136" w:val="left"/>
        </w:tabs>
        <w:numPr>
          <w:ilvl w:val="0"/>
          <w:numId w:val="113"/>
        </w:numPr>
        <w:rPr>
          <w:rFonts w:ascii="Arial" w:cs="Arial" w:eastAsia="Arial" w:hAnsi="Arial"/>
          <w:sz w:val="15"/>
          <w:szCs w:val="15"/>
          <w:color w:val="004876"/>
        </w:rPr>
      </w:pPr>
      <w:r>
        <w:rPr>
          <w:rFonts w:ascii="Arial" w:cs="Arial" w:eastAsia="Arial" w:hAnsi="Arial"/>
          <w:sz w:val="15"/>
          <w:szCs w:val="15"/>
          <w:color w:val="auto"/>
        </w:rPr>
        <w:t>88% of 10-year long-term mutual fund AUM performing above peer median</w:t>
      </w:r>
    </w:p>
    <w:p>
      <w:pPr>
        <w:spacing w:after="0" w:line="100" w:lineRule="exact"/>
        <w:rPr>
          <w:rFonts w:ascii="Arial" w:cs="Arial" w:eastAsia="Arial" w:hAnsi="Arial"/>
          <w:sz w:val="15"/>
          <w:szCs w:val="15"/>
          <w:color w:val="004876"/>
        </w:rPr>
      </w:pPr>
    </w:p>
    <w:p>
      <w:pPr>
        <w:ind w:left="140" w:right="180" w:hanging="135"/>
        <w:spacing w:after="0" w:line="235" w:lineRule="auto"/>
        <w:tabs>
          <w:tab w:leader="none" w:pos="127" w:val="left"/>
        </w:tabs>
        <w:numPr>
          <w:ilvl w:val="0"/>
          <w:numId w:val="113"/>
        </w:numPr>
        <w:rPr>
          <w:rFonts w:ascii="Arial" w:cs="Arial" w:eastAsia="Arial" w:hAnsi="Arial"/>
          <w:sz w:val="15"/>
          <w:szCs w:val="15"/>
          <w:color w:val="004876"/>
        </w:rPr>
      </w:pPr>
      <w:r>
        <w:rPr>
          <w:rFonts w:ascii="Arial" w:cs="Arial" w:eastAsia="Arial" w:hAnsi="Arial"/>
          <w:sz w:val="15"/>
          <w:szCs w:val="15"/>
          <w:color w:val="auto"/>
        </w:rPr>
        <w:t>Average deposits of $140B (up 2%); record average loans of $150B (up 8%)</w:t>
      </w:r>
    </w:p>
    <w:p>
      <w:pPr>
        <w:spacing w:after="0" w:line="361" w:lineRule="exact"/>
        <w:rPr>
          <w:sz w:val="20"/>
          <w:szCs w:val="20"/>
          <w:color w:val="auto"/>
        </w:rPr>
      </w:pPr>
    </w:p>
    <w:p>
      <w:pPr>
        <w:sectPr>
          <w:pgSz w:w="11900" w:h="16838" w:orient="portrait"/>
          <w:cols w:equalWidth="0" w:num="4">
            <w:col w:w="2520" w:space="548"/>
            <w:col w:w="2172" w:space="690"/>
            <w:col w:w="2230" w:space="600"/>
            <w:col w:w="2380"/>
          </w:cols>
          <w:pgMar w:left="320" w:top="459" w:right="439" w:bottom="1440" w:gutter="0" w:footer="0" w:header="0"/>
          <w:type w:val="continuous"/>
        </w:sectPr>
      </w:pPr>
    </w:p>
    <w:p>
      <w:pPr>
        <w:spacing w:after="0" w:line="40"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80" w:type="dxa"/>
            <w:vAlign w:val="bottom"/>
            <w:shd w:val="clear" w:color="auto" w:fill="EDEDED"/>
          </w:tcPr>
          <w:p>
            <w:pPr>
              <w:spacing w:after="0"/>
              <w:rPr>
                <w:sz w:val="16"/>
                <w:szCs w:val="16"/>
                <w:color w:val="auto"/>
              </w:rPr>
            </w:pPr>
          </w:p>
        </w:tc>
        <w:tc>
          <w:tcPr>
            <w:tcW w:w="3360" w:type="dxa"/>
            <w:vAlign w:val="bottom"/>
            <w:shd w:val="clear" w:color="auto" w:fill="EDEDED"/>
          </w:tcPr>
          <w:p>
            <w:pPr>
              <w:spacing w:after="0"/>
              <w:rPr>
                <w:sz w:val="16"/>
                <w:szCs w:val="16"/>
                <w:color w:val="auto"/>
              </w:rPr>
            </w:pPr>
          </w:p>
        </w:tc>
        <w:tc>
          <w:tcPr>
            <w:tcW w:w="220" w:type="dxa"/>
            <w:vAlign w:val="bottom"/>
            <w:shd w:val="clear" w:color="auto" w:fill="EDEDED"/>
          </w:tcPr>
          <w:p>
            <w:pPr>
              <w:spacing w:after="0"/>
              <w:rPr>
                <w:sz w:val="16"/>
                <w:szCs w:val="16"/>
                <w:color w:val="auto"/>
              </w:rPr>
            </w:pPr>
          </w:p>
        </w:tc>
        <w:tc>
          <w:tcPr>
            <w:tcW w:w="3600" w:type="dxa"/>
            <w:vAlign w:val="bottom"/>
            <w:shd w:val="clear" w:color="auto" w:fill="EDEDED"/>
          </w:tcPr>
          <w:p>
            <w:pPr>
              <w:spacing w:after="0"/>
              <w:rPr>
                <w:sz w:val="16"/>
                <w:szCs w:val="16"/>
                <w:color w:val="auto"/>
              </w:rPr>
            </w:pPr>
          </w:p>
        </w:tc>
        <w:tc>
          <w:tcPr>
            <w:tcW w:w="220" w:type="dxa"/>
            <w:vAlign w:val="bottom"/>
            <w:shd w:val="clear" w:color="auto" w:fill="EDEDED"/>
          </w:tcPr>
          <w:p>
            <w:pPr>
              <w:spacing w:after="0"/>
              <w:rPr>
                <w:sz w:val="16"/>
                <w:szCs w:val="16"/>
                <w:color w:val="auto"/>
              </w:rPr>
            </w:pPr>
          </w:p>
        </w:tc>
        <w:tc>
          <w:tcPr>
            <w:tcW w:w="3320" w:type="dxa"/>
            <w:vAlign w:val="bottom"/>
            <w:shd w:val="clear" w:color="auto" w:fill="EDEDED"/>
          </w:tcPr>
          <w:p>
            <w:pPr>
              <w:spacing w:after="0"/>
              <w:rPr>
                <w:sz w:val="16"/>
                <w:szCs w:val="16"/>
                <w:color w:val="auto"/>
              </w:rPr>
            </w:pPr>
          </w:p>
        </w:tc>
        <w:tc>
          <w:tcPr>
            <w:tcW w:w="220" w:type="dxa"/>
            <w:vAlign w:val="bottom"/>
            <w:shd w:val="clear" w:color="auto" w:fill="EDEDED"/>
          </w:tcPr>
          <w:p>
            <w:pPr>
              <w:spacing w:after="0"/>
              <w:rPr>
                <w:sz w:val="16"/>
                <w:szCs w:val="16"/>
                <w:color w:val="auto"/>
              </w:rPr>
            </w:pPr>
          </w:p>
        </w:tc>
      </w:tr>
      <w:tr>
        <w:trPr>
          <w:trHeight w:val="256"/>
        </w:trPr>
        <w:tc>
          <w:tcPr>
            <w:tcW w:w="80" w:type="dxa"/>
            <w:vAlign w:val="bottom"/>
            <w:shd w:val="clear" w:color="auto" w:fill="EDEDED"/>
          </w:tcPr>
          <w:p>
            <w:pPr>
              <w:spacing w:after="0"/>
              <w:rPr>
                <w:sz w:val="22"/>
                <w:szCs w:val="22"/>
                <w:color w:val="auto"/>
              </w:rPr>
            </w:pPr>
          </w:p>
        </w:tc>
        <w:tc>
          <w:tcPr>
            <w:tcW w:w="3360" w:type="dxa"/>
            <w:vAlign w:val="bottom"/>
            <w:shd w:val="clear" w:color="auto" w:fill="004876"/>
          </w:tcPr>
          <w:p>
            <w:pPr>
              <w:ind w:left="300"/>
              <w:spacing w:after="0"/>
              <w:rPr>
                <w:sz w:val="20"/>
                <w:szCs w:val="20"/>
                <w:color w:val="auto"/>
              </w:rPr>
            </w:pPr>
            <w:r>
              <w:rPr>
                <w:rFonts w:ascii="Arial" w:cs="Arial" w:eastAsia="Arial" w:hAnsi="Arial"/>
                <w:sz w:val="16"/>
                <w:szCs w:val="16"/>
                <w:b w:val="1"/>
                <w:bCs w:val="1"/>
                <w:color w:val="FFFFFF"/>
              </w:rPr>
              <w:t>EXCEPTIONAL CLIENT FRANCHISES</w:t>
            </w:r>
          </w:p>
        </w:tc>
        <w:tc>
          <w:tcPr>
            <w:tcW w:w="220" w:type="dxa"/>
            <w:vAlign w:val="bottom"/>
            <w:shd w:val="clear" w:color="auto" w:fill="EDEDED"/>
          </w:tcPr>
          <w:p>
            <w:pPr>
              <w:spacing w:after="0"/>
              <w:rPr>
                <w:sz w:val="22"/>
                <w:szCs w:val="22"/>
                <w:color w:val="auto"/>
              </w:rPr>
            </w:pPr>
          </w:p>
        </w:tc>
        <w:tc>
          <w:tcPr>
            <w:tcW w:w="3600" w:type="dxa"/>
            <w:vAlign w:val="bottom"/>
            <w:shd w:val="clear" w:color="auto" w:fill="004876"/>
          </w:tcPr>
          <w:p>
            <w:pPr>
              <w:ind w:left="100"/>
              <w:spacing w:after="0"/>
              <w:rPr>
                <w:sz w:val="20"/>
                <w:szCs w:val="20"/>
                <w:color w:val="auto"/>
              </w:rPr>
            </w:pPr>
            <w:r>
              <w:rPr>
                <w:rFonts w:ascii="Arial" w:cs="Arial" w:eastAsia="Arial" w:hAnsi="Arial"/>
                <w:sz w:val="16"/>
                <w:szCs w:val="16"/>
                <w:b w:val="1"/>
                <w:bCs w:val="1"/>
                <w:color w:val="FFFFFF"/>
                <w:shd w:val="clear" w:color="auto" w:fill="004876"/>
              </w:rPr>
              <w:t>FORTRESS BALANCE SHEET &amp; PRINCIPLES</w:t>
            </w:r>
          </w:p>
        </w:tc>
        <w:tc>
          <w:tcPr>
            <w:tcW w:w="220" w:type="dxa"/>
            <w:vAlign w:val="bottom"/>
            <w:shd w:val="clear" w:color="auto" w:fill="EDEDED"/>
          </w:tcPr>
          <w:p>
            <w:pPr>
              <w:spacing w:after="0"/>
              <w:rPr>
                <w:sz w:val="22"/>
                <w:szCs w:val="22"/>
                <w:color w:val="auto"/>
              </w:rPr>
            </w:pPr>
          </w:p>
        </w:tc>
        <w:tc>
          <w:tcPr>
            <w:tcW w:w="3320" w:type="dxa"/>
            <w:vAlign w:val="bottom"/>
            <w:shd w:val="clear" w:color="auto" w:fill="004876"/>
          </w:tcPr>
          <w:p>
            <w:pPr>
              <w:ind w:left="280"/>
              <w:spacing w:after="0"/>
              <w:rPr>
                <w:sz w:val="20"/>
                <w:szCs w:val="20"/>
                <w:color w:val="auto"/>
              </w:rPr>
            </w:pPr>
            <w:r>
              <w:rPr>
                <w:rFonts w:ascii="Arial" w:cs="Arial" w:eastAsia="Arial" w:hAnsi="Arial"/>
                <w:sz w:val="16"/>
                <w:szCs w:val="16"/>
                <w:b w:val="1"/>
                <w:bCs w:val="1"/>
                <w:color w:val="FFFFFF"/>
              </w:rPr>
              <w:t>LONG-TERM SHAREHOLDER VALUE</w:t>
            </w:r>
          </w:p>
        </w:tc>
        <w:tc>
          <w:tcPr>
            <w:tcW w:w="220" w:type="dxa"/>
            <w:vAlign w:val="bottom"/>
            <w:shd w:val="clear" w:color="auto" w:fill="EDEDED"/>
          </w:tcPr>
          <w:p>
            <w:pPr>
              <w:spacing w:after="0"/>
              <w:rPr>
                <w:sz w:val="22"/>
                <w:szCs w:val="22"/>
                <w:color w:val="auto"/>
              </w:rPr>
            </w:pPr>
          </w:p>
        </w:tc>
      </w:tr>
      <w:tr>
        <w:trPr>
          <w:trHeight w:val="189"/>
        </w:trPr>
        <w:tc>
          <w:tcPr>
            <w:tcW w:w="80" w:type="dxa"/>
            <w:vAlign w:val="bottom"/>
            <w:shd w:val="clear" w:color="auto" w:fill="EDEDED"/>
          </w:tcPr>
          <w:p>
            <w:pPr>
              <w:spacing w:after="0"/>
              <w:rPr>
                <w:sz w:val="16"/>
                <w:szCs w:val="16"/>
                <w:color w:val="auto"/>
              </w:rPr>
            </w:pPr>
          </w:p>
        </w:tc>
        <w:tc>
          <w:tcPr>
            <w:tcW w:w="3360" w:type="dxa"/>
            <w:vAlign w:val="bottom"/>
            <w:shd w:val="clear" w:color="auto" w:fill="EDEDED"/>
          </w:tcPr>
          <w:p>
            <w:pPr>
              <w:spacing w:after="0"/>
              <w:rPr>
                <w:sz w:val="16"/>
                <w:szCs w:val="16"/>
                <w:color w:val="auto"/>
              </w:rPr>
            </w:pPr>
          </w:p>
        </w:tc>
        <w:tc>
          <w:tcPr>
            <w:tcW w:w="220" w:type="dxa"/>
            <w:vAlign w:val="bottom"/>
            <w:shd w:val="clear" w:color="auto" w:fill="EDEDED"/>
          </w:tcPr>
          <w:p>
            <w:pPr>
              <w:spacing w:after="0"/>
              <w:rPr>
                <w:sz w:val="16"/>
                <w:szCs w:val="16"/>
                <w:color w:val="auto"/>
              </w:rPr>
            </w:pPr>
          </w:p>
        </w:tc>
        <w:tc>
          <w:tcPr>
            <w:tcW w:w="3600" w:type="dxa"/>
            <w:vAlign w:val="bottom"/>
            <w:shd w:val="clear" w:color="auto" w:fill="EDEDED"/>
          </w:tcPr>
          <w:p>
            <w:pPr>
              <w:spacing w:after="0"/>
              <w:rPr>
                <w:sz w:val="16"/>
                <w:szCs w:val="16"/>
                <w:color w:val="auto"/>
              </w:rPr>
            </w:pPr>
          </w:p>
        </w:tc>
        <w:tc>
          <w:tcPr>
            <w:tcW w:w="220" w:type="dxa"/>
            <w:vAlign w:val="bottom"/>
            <w:shd w:val="clear" w:color="auto" w:fill="EDEDED"/>
          </w:tcPr>
          <w:p>
            <w:pPr>
              <w:spacing w:after="0"/>
              <w:rPr>
                <w:sz w:val="16"/>
                <w:szCs w:val="16"/>
                <w:color w:val="auto"/>
              </w:rPr>
            </w:pPr>
          </w:p>
        </w:tc>
        <w:tc>
          <w:tcPr>
            <w:tcW w:w="3320" w:type="dxa"/>
            <w:vAlign w:val="bottom"/>
            <w:shd w:val="clear" w:color="auto" w:fill="EDEDED"/>
          </w:tcPr>
          <w:p>
            <w:pPr>
              <w:spacing w:after="0"/>
              <w:rPr>
                <w:sz w:val="16"/>
                <w:szCs w:val="16"/>
                <w:color w:val="auto"/>
              </w:rPr>
            </w:pPr>
          </w:p>
        </w:tc>
        <w:tc>
          <w:tcPr>
            <w:tcW w:w="220" w:type="dxa"/>
            <w:vAlign w:val="bottom"/>
            <w:shd w:val="clear" w:color="auto" w:fill="EDEDED"/>
          </w:tcPr>
          <w:p>
            <w:pPr>
              <w:spacing w:after="0"/>
              <w:rPr>
                <w:sz w:val="16"/>
                <w:szCs w:val="16"/>
                <w:color w:val="auto"/>
              </w:rPr>
            </w:pPr>
          </w:p>
        </w:tc>
      </w:tr>
    </w:tbl>
    <w:p>
      <w:pPr>
        <w:spacing w:after="0" w:line="200" w:lineRule="exact"/>
        <w:rPr>
          <w:sz w:val="20"/>
          <w:szCs w:val="20"/>
          <w:color w:val="auto"/>
        </w:rPr>
      </w:pPr>
    </w:p>
    <w:p>
      <w:pPr>
        <w:spacing w:after="0" w:line="294" w:lineRule="exact"/>
        <w:rPr>
          <w:sz w:val="20"/>
          <w:szCs w:val="20"/>
          <w:color w:val="auto"/>
        </w:rPr>
      </w:pPr>
    </w:p>
    <w:p>
      <w:pPr>
        <w:ind w:left="340" w:hanging="210"/>
        <w:spacing w:after="0"/>
        <w:tabs>
          <w:tab w:leader="none" w:pos="340" w:val="left"/>
        </w:tabs>
        <w:numPr>
          <w:ilvl w:val="0"/>
          <w:numId w:val="114"/>
        </w:numPr>
        <w:rPr>
          <w:rFonts w:ascii="Arial" w:cs="Arial" w:eastAsia="Arial" w:hAnsi="Arial"/>
          <w:sz w:val="11"/>
          <w:szCs w:val="11"/>
          <w:color w:val="auto"/>
        </w:rPr>
      </w:pPr>
      <w:r>
        <w:rPr>
          <w:rFonts w:ascii="Arial" w:cs="Arial" w:eastAsia="Arial" w:hAnsi="Arial"/>
          <w:sz w:val="13"/>
          <w:szCs w:val="13"/>
          <w:color w:val="auto"/>
        </w:rPr>
        <w:t>ROTCE and TBVPS are each non-GAAP financial measures; refer to Note 1 on page 114 for a further discussion of these measures.</w:t>
      </w:r>
    </w:p>
    <w:p>
      <w:pPr>
        <w:spacing w:after="0" w:line="12" w:lineRule="exact"/>
        <w:rPr>
          <w:rFonts w:ascii="Arial" w:cs="Arial" w:eastAsia="Arial" w:hAnsi="Arial"/>
          <w:sz w:val="11"/>
          <w:szCs w:val="11"/>
          <w:color w:val="auto"/>
        </w:rPr>
      </w:pPr>
    </w:p>
    <w:p>
      <w:pPr>
        <w:ind w:left="140"/>
        <w:spacing w:after="0"/>
        <w:rPr>
          <w:rFonts w:ascii="Arial" w:cs="Arial" w:eastAsia="Arial" w:hAnsi="Arial"/>
          <w:sz w:val="11"/>
          <w:szCs w:val="11"/>
          <w:color w:val="auto"/>
        </w:rPr>
      </w:pPr>
      <w:r>
        <w:rPr>
          <w:rFonts w:ascii="Arial" w:cs="Arial" w:eastAsia="Arial" w:hAnsi="Arial"/>
          <w:sz w:val="11"/>
          <w:szCs w:val="11"/>
          <w:color w:val="auto"/>
        </w:rPr>
        <w:t xml:space="preserve">2   </w:t>
      </w:r>
      <w:r>
        <w:rPr>
          <w:rFonts w:ascii="Arial" w:cs="Arial" w:eastAsia="Arial" w:hAnsi="Arial"/>
          <w:sz w:val="12"/>
          <w:szCs w:val="12"/>
          <w:color w:val="auto"/>
        </w:rPr>
        <w:t>Refer to Note 2 on page 40.</w:t>
      </w:r>
    </w:p>
    <w:p>
      <w:pPr>
        <w:spacing w:after="0" w:line="24" w:lineRule="exact"/>
        <w:rPr>
          <w:rFonts w:ascii="Arial" w:cs="Arial" w:eastAsia="Arial" w:hAnsi="Arial"/>
          <w:sz w:val="11"/>
          <w:szCs w:val="11"/>
          <w:color w:val="auto"/>
        </w:rPr>
      </w:pPr>
    </w:p>
    <w:p>
      <w:pPr>
        <w:ind w:left="140"/>
        <w:spacing w:after="0"/>
        <w:rPr>
          <w:rFonts w:ascii="Arial" w:cs="Arial" w:eastAsia="Arial" w:hAnsi="Arial"/>
          <w:sz w:val="11"/>
          <w:szCs w:val="11"/>
          <w:color w:val="auto"/>
        </w:rPr>
      </w:pPr>
      <w:r>
        <w:rPr>
          <w:rFonts w:ascii="Arial" w:cs="Arial" w:eastAsia="Arial" w:hAnsi="Arial"/>
          <w:sz w:val="11"/>
          <w:szCs w:val="11"/>
          <w:color w:val="auto"/>
        </w:rPr>
        <w:t xml:space="preserve">3   </w:t>
      </w:r>
      <w:r>
        <w:rPr>
          <w:rFonts w:ascii="Arial" w:cs="Arial" w:eastAsia="Arial" w:hAnsi="Arial"/>
          <w:sz w:val="12"/>
          <w:szCs w:val="12"/>
          <w:color w:val="auto"/>
        </w:rPr>
        <w:t>The Firm reviews the results of the lines of business on a managed basis. Refer to Additional notes, Note 1, on page 115 for a definition of managed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267335</wp:posOffset>
            </wp:positionV>
            <wp:extent cx="7029450" cy="19685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029450" cy="19685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p>
      <w:pPr>
        <w:spacing w:after="0" w:line="200" w:lineRule="exact"/>
        <w:rPr>
          <w:sz w:val="20"/>
          <w:szCs w:val="20"/>
          <w:color w:val="auto"/>
        </w:rPr>
      </w:pPr>
    </w:p>
    <w:p>
      <w:pPr>
        <w:spacing w:after="0" w:line="299" w:lineRule="exact"/>
        <w:rPr>
          <w:sz w:val="20"/>
          <w:szCs w:val="20"/>
          <w:color w:val="auto"/>
        </w:rPr>
      </w:pPr>
    </w:p>
    <w:p>
      <w:pPr>
        <w:jc w:val="center"/>
        <w:ind w:right="-99"/>
        <w:spacing w:after="0"/>
        <w:rPr>
          <w:sz w:val="20"/>
          <w:szCs w:val="20"/>
          <w:color w:val="auto"/>
        </w:rPr>
      </w:pPr>
      <w:r>
        <w:rPr>
          <w:rFonts w:ascii="Arial" w:cs="Arial" w:eastAsia="Arial" w:hAnsi="Arial"/>
          <w:sz w:val="13"/>
          <w:szCs w:val="13"/>
          <w:b w:val="1"/>
          <w:bCs w:val="1"/>
          <w:color w:val="004876"/>
        </w:rPr>
        <w:t>54</w:t>
      </w:r>
    </w:p>
    <w:p>
      <w:pPr>
        <w:sectPr>
          <w:pgSz w:w="11900" w:h="16838" w:orient="portrait"/>
          <w:cols w:equalWidth="0" w:num="1">
            <w:col w:w="11140"/>
          </w:cols>
          <w:pgMar w:left="320" w:top="459" w:right="439" w:bottom="1440" w:gutter="0" w:footer="0" w:header="0"/>
          <w:type w:val="continuous"/>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04876"/>
        </w:rPr>
        <w:t>EXECUTIVE COMPENSATION | 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160655</wp:posOffset>
            </wp:positionV>
            <wp:extent cx="7029450" cy="26543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029450"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20"/>
        <w:spacing w:after="0"/>
        <w:rPr>
          <w:sz w:val="20"/>
          <w:szCs w:val="20"/>
          <w:color w:val="auto"/>
        </w:rPr>
      </w:pPr>
      <w:r>
        <w:rPr>
          <w:rFonts w:ascii="Arial" w:cs="Arial" w:eastAsia="Arial" w:hAnsi="Arial"/>
          <w:sz w:val="20"/>
          <w:szCs w:val="20"/>
          <w:color w:val="004876"/>
        </w:rPr>
        <w:t>LONG-TERM FINANCIAL PERFORMANCE</w:t>
      </w:r>
    </w:p>
    <w:p>
      <w:pPr>
        <w:spacing w:after="0" w:line="97"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We have generated strong financial results over time, more than doubling net income over the past 10 years while adding substantial capital. Over this period we increased average common equity by over 40% to $ 233 billion and average TCE</w:t>
      </w:r>
      <w:r>
        <w:rPr>
          <w:rFonts w:ascii="Arial" w:cs="Arial" w:eastAsia="Arial" w:hAnsi="Arial"/>
          <w:sz w:val="15"/>
          <w:szCs w:val="15"/>
          <w:color w:val="auto"/>
        </w:rPr>
        <w:t>1</w:t>
      </w:r>
      <w:r>
        <w:rPr>
          <w:rFonts w:ascii="Arial" w:cs="Arial" w:eastAsia="Arial" w:hAnsi="Arial"/>
          <w:sz w:val="18"/>
          <w:szCs w:val="18"/>
          <w:color w:val="auto"/>
        </w:rPr>
        <w:t xml:space="preserve"> by over 65% to $187 billion to support growth in the businesses and maintain a fortress balance sheet. With our net income growth outpacing capital growth, we have maintained strong ROE and ROTCE</w:t>
      </w:r>
      <w:r>
        <w:rPr>
          <w:rFonts w:ascii="Arial" w:cs="Arial" w:eastAsia="Arial" w:hAnsi="Arial"/>
          <w:sz w:val="15"/>
          <w:szCs w:val="15"/>
          <w:color w:val="auto"/>
        </w:rPr>
        <w:t>1</w:t>
      </w:r>
      <w:r>
        <w:rPr>
          <w:rFonts w:ascii="Arial" w:cs="Arial" w:eastAsia="Arial" w:hAnsi="Arial"/>
          <w:sz w:val="18"/>
          <w:szCs w:val="18"/>
          <w:color w:val="auto"/>
        </w:rPr>
        <w:t xml:space="preserve"> over time, including peer-leading results in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147955</wp:posOffset>
            </wp:positionV>
            <wp:extent cx="7029450" cy="419163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029450" cy="4191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20" w:right="40"/>
        <w:spacing w:after="0" w:line="249" w:lineRule="auto"/>
        <w:rPr>
          <w:sz w:val="20"/>
          <w:szCs w:val="20"/>
          <w:color w:val="auto"/>
        </w:rPr>
      </w:pPr>
      <w:r>
        <w:rPr>
          <w:rFonts w:ascii="Arial" w:cs="Arial" w:eastAsia="Arial" w:hAnsi="Arial"/>
          <w:sz w:val="18"/>
          <w:szCs w:val="18"/>
          <w:color w:val="auto"/>
        </w:rPr>
        <w:t>We have also delivered sustained growth in EPS, BVPS, and TBVPS</w:t>
      </w:r>
      <w:r>
        <w:rPr>
          <w:rFonts w:ascii="Arial" w:cs="Arial" w:eastAsia="Arial" w:hAnsi="Arial"/>
          <w:sz w:val="15"/>
          <w:szCs w:val="15"/>
          <w:color w:val="auto"/>
        </w:rPr>
        <w:t>1</w:t>
      </w:r>
      <w:r>
        <w:rPr>
          <w:rFonts w:ascii="Arial" w:cs="Arial" w:eastAsia="Arial" w:hAnsi="Arial"/>
          <w:sz w:val="18"/>
          <w:szCs w:val="18"/>
          <w:color w:val="auto"/>
        </w:rPr>
        <w:t xml:space="preserve"> over the past 10 years, reflecting compound annual growth rates of 12%, 7% and 8%, respectively over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217805</wp:posOffset>
            </wp:positionV>
            <wp:extent cx="7029450" cy="259715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029450" cy="2597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40" w:hanging="175"/>
        <w:spacing w:after="0"/>
        <w:tabs>
          <w:tab w:leader="none" w:pos="340" w:val="left"/>
        </w:tabs>
        <w:numPr>
          <w:ilvl w:val="0"/>
          <w:numId w:val="115"/>
        </w:numPr>
        <w:rPr>
          <w:rFonts w:ascii="Arial" w:cs="Arial" w:eastAsia="Arial" w:hAnsi="Arial"/>
          <w:sz w:val="11"/>
          <w:szCs w:val="11"/>
          <w:color w:val="auto"/>
        </w:rPr>
      </w:pPr>
      <w:r>
        <w:rPr>
          <w:rFonts w:ascii="Arial" w:cs="Arial" w:eastAsia="Arial" w:hAnsi="Arial"/>
          <w:sz w:val="13"/>
          <w:szCs w:val="13"/>
          <w:color w:val="auto"/>
        </w:rPr>
        <w:t>Average TCE, ROTCE, and TBVPS are each non-GAAP financial measures; refer to Note 1 on page 114 for a further discussion of these measures.</w:t>
      </w:r>
    </w:p>
    <w:p>
      <w:pPr>
        <w:spacing w:after="0" w:line="13" w:lineRule="exact"/>
        <w:rPr>
          <w:sz w:val="20"/>
          <w:szCs w:val="20"/>
          <w:color w:val="auto"/>
        </w:rPr>
      </w:pPr>
    </w:p>
    <w:p>
      <w:pPr>
        <w:ind w:left="340" w:hanging="175"/>
        <w:spacing w:after="0" w:line="225" w:lineRule="auto"/>
        <w:tabs>
          <w:tab w:leader="none" w:pos="340" w:val="left"/>
        </w:tabs>
        <w:numPr>
          <w:ilvl w:val="0"/>
          <w:numId w:val="116"/>
        </w:numPr>
        <w:rPr>
          <w:rFonts w:ascii="Arial" w:cs="Arial" w:eastAsia="Arial" w:hAnsi="Arial"/>
          <w:sz w:val="11"/>
          <w:szCs w:val="11"/>
          <w:color w:val="auto"/>
        </w:rPr>
      </w:pPr>
      <w:r>
        <w:rPr>
          <w:rFonts w:ascii="Arial" w:cs="Arial" w:eastAsia="Arial" w:hAnsi="Arial"/>
          <w:sz w:val="13"/>
          <w:szCs w:val="13"/>
          <w:color w:val="auto"/>
        </w:rPr>
        <w:t>Excluding the impact of the enactment of the TCJA of $(2.4) billion and a legal benefit of $406 million (after-tax) in 2017, adjusted net income would have been $26.5 billion, adjusted ROTCE would have been 13% and adjusted EPS would have been $6.87. Adjusted net income, adjusted ROTCE and adjusted EPS are each non-GAAP financial measures; refer to Notes on non-GAAP financial measures, Note 2, on page 114 for a further discussion of these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242570</wp:posOffset>
            </wp:positionV>
            <wp:extent cx="7029450" cy="19685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029450" cy="196850"/>
                    </a:xfrm>
                    <a:prstGeom prst="rect">
                      <a:avLst/>
                    </a:prstGeom>
                    <a:noFill/>
                  </pic:spPr>
                </pic:pic>
              </a:graphicData>
            </a:graphic>
          </wp:anchor>
        </w:drawing>
      </w:r>
    </w:p>
    <w:p>
      <w:pPr>
        <w:sectPr>
          <w:pgSz w:w="11900" w:h="16838" w:orient="portrait"/>
          <w:cols w:equalWidth="0" w:num="1">
            <w:col w:w="11120"/>
          </w:cols>
          <w:pgMar w:left="320" w:top="459" w:right="459" w:bottom="0" w:gutter="0" w:footer="0" w:header="0"/>
        </w:sectPr>
      </w:pPr>
    </w:p>
    <w:p>
      <w:pPr>
        <w:spacing w:after="0" w:line="200" w:lineRule="exact"/>
        <w:rPr>
          <w:sz w:val="20"/>
          <w:szCs w:val="20"/>
          <w:color w:val="auto"/>
        </w:rPr>
      </w:pPr>
    </w:p>
    <w:p>
      <w:pPr>
        <w:spacing w:after="0" w:line="260" w:lineRule="exact"/>
        <w:rPr>
          <w:sz w:val="20"/>
          <w:szCs w:val="20"/>
          <w:color w:val="auto"/>
        </w:rPr>
      </w:pPr>
    </w:p>
    <w:p>
      <w:pPr>
        <w:jc w:val="center"/>
        <w:ind w:right="-119"/>
        <w:spacing w:after="0"/>
        <w:rPr>
          <w:sz w:val="20"/>
          <w:szCs w:val="20"/>
          <w:color w:val="auto"/>
        </w:rPr>
      </w:pPr>
      <w:r>
        <w:rPr>
          <w:rFonts w:ascii="Arial" w:cs="Arial" w:eastAsia="Arial" w:hAnsi="Arial"/>
          <w:sz w:val="13"/>
          <w:szCs w:val="13"/>
          <w:b w:val="1"/>
          <w:bCs w:val="1"/>
          <w:color w:val="004876"/>
        </w:rPr>
        <w:t>55</w:t>
      </w:r>
    </w:p>
    <w:p>
      <w:pPr>
        <w:sectPr>
          <w:pgSz w:w="11900" w:h="16838" w:orient="portrait"/>
          <w:cols w:equalWidth="0" w:num="1">
            <w:col w:w="11120"/>
          </w:cols>
          <w:pgMar w:left="320" w:top="459" w:right="459" w:bottom="0" w:gutter="0" w:footer="0" w:header="0"/>
          <w:type w:val="continuous"/>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4876"/>
        </w:rPr>
        <w:t>COMPENSATION DISCUSSION AND ANALYSIS |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160655</wp:posOffset>
            </wp:positionV>
            <wp:extent cx="7029450" cy="26543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029450"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20"/>
        <w:spacing w:after="0"/>
        <w:rPr>
          <w:sz w:val="20"/>
          <w:szCs w:val="20"/>
          <w:color w:val="auto"/>
        </w:rPr>
      </w:pPr>
      <w:r>
        <w:rPr>
          <w:rFonts w:ascii="Arial" w:cs="Arial" w:eastAsia="Arial" w:hAnsi="Arial"/>
          <w:sz w:val="20"/>
          <w:szCs w:val="20"/>
          <w:color w:val="004876"/>
        </w:rPr>
        <w:t>TOTAL SHAREHOLDER RETURN</w:t>
      </w:r>
    </w:p>
    <w:p>
      <w:pPr>
        <w:spacing w:after="0" w:line="94" w:lineRule="exact"/>
        <w:rPr>
          <w:sz w:val="20"/>
          <w:szCs w:val="20"/>
          <w:color w:val="auto"/>
        </w:rPr>
      </w:pPr>
    </w:p>
    <w:p>
      <w:pPr>
        <w:ind w:left="120" w:right="160"/>
        <w:spacing w:after="0" w:line="239" w:lineRule="auto"/>
        <w:rPr>
          <w:sz w:val="20"/>
          <w:szCs w:val="20"/>
          <w:color w:val="auto"/>
        </w:rPr>
      </w:pPr>
      <w:r>
        <w:rPr>
          <w:rFonts w:ascii="Arial" w:cs="Arial" w:eastAsia="Arial" w:hAnsi="Arial"/>
          <w:sz w:val="18"/>
          <w:szCs w:val="18"/>
          <w:color w:val="auto"/>
        </w:rPr>
        <w:t>TSR</w:t>
      </w:r>
      <w:r>
        <w:rPr>
          <w:rFonts w:ascii="Arial" w:cs="Arial" w:eastAsia="Arial" w:hAnsi="Arial"/>
          <w:sz w:val="15"/>
          <w:szCs w:val="15"/>
          <w:color w:val="auto"/>
        </w:rPr>
        <w:t>1</w:t>
      </w:r>
      <w:r>
        <w:rPr>
          <w:rFonts w:ascii="Arial" w:cs="Arial" w:eastAsia="Arial" w:hAnsi="Arial"/>
          <w:sz w:val="18"/>
          <w:szCs w:val="18"/>
          <w:color w:val="auto"/>
        </w:rPr>
        <w:t xml:space="preserve"> was 47% in 2019, following a TSR of (7)% in 2018 and 27% in 2017, for a combined three-year TSR of 74%. The graph below shows our TSR expressed as the cumulative return to shareholders over the past decade. As illustrated, a $100 investment in JPMorgan Chase common stock on December 31, 2009 would be valued at $426 as of December 31, 2019, which significantly outperformed the financial services industry over the period, as measured by the S&amp;P Financials Index and the KBW Bank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147320</wp:posOffset>
            </wp:positionV>
            <wp:extent cx="7029450" cy="402018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029450" cy="4020185"/>
                    </a:xfrm>
                    <a:prstGeom prst="rect">
                      <a:avLst/>
                    </a:prstGeom>
                    <a:noFill/>
                  </pic:spPr>
                </pic:pic>
              </a:graphicData>
            </a:graphic>
          </wp:anchor>
        </w:drawing>
      </w:r>
    </w:p>
    <w:p>
      <w:pPr>
        <w:sectPr>
          <w:pgSz w:w="11900" w:h="16838" w:orient="portrait"/>
          <w:cols w:equalWidth="0" w:num="1">
            <w:col w:w="11140"/>
          </w:cols>
          <w:pgMar w:left="320" w:top="459" w:right="439"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340" w:hanging="210"/>
        <w:spacing w:after="0"/>
        <w:tabs>
          <w:tab w:leader="none" w:pos="340" w:val="left"/>
        </w:tabs>
        <w:numPr>
          <w:ilvl w:val="0"/>
          <w:numId w:val="117"/>
        </w:numPr>
        <w:rPr>
          <w:rFonts w:ascii="Arial" w:cs="Arial" w:eastAsia="Arial" w:hAnsi="Arial"/>
          <w:sz w:val="11"/>
          <w:szCs w:val="11"/>
          <w:color w:val="auto"/>
        </w:rPr>
      </w:pPr>
      <w:r>
        <w:rPr>
          <w:rFonts w:ascii="Arial" w:cs="Arial" w:eastAsia="Arial" w:hAnsi="Arial"/>
          <w:sz w:val="13"/>
          <w:szCs w:val="13"/>
          <w:color w:val="auto"/>
        </w:rPr>
        <w:t>TSR shows the actual return of the stock price, with dividends reinvested.</w:t>
      </w:r>
    </w:p>
    <w:p>
      <w:pPr>
        <w:spacing w:after="0" w:line="338" w:lineRule="exact"/>
        <w:rPr>
          <w:sz w:val="20"/>
          <w:szCs w:val="20"/>
          <w:color w:val="auto"/>
        </w:rPr>
      </w:pPr>
    </w:p>
    <w:p>
      <w:pPr>
        <w:ind w:left="120"/>
        <w:spacing w:after="0"/>
        <w:rPr>
          <w:sz w:val="20"/>
          <w:szCs w:val="20"/>
          <w:color w:val="auto"/>
        </w:rPr>
      </w:pPr>
      <w:r>
        <w:rPr>
          <w:rFonts w:ascii="Arial" w:cs="Arial" w:eastAsia="Arial" w:hAnsi="Arial"/>
          <w:sz w:val="29"/>
          <w:szCs w:val="29"/>
          <w:color w:val="004876"/>
        </w:rPr>
        <w:t>Risk, controls &amp; conduct</w:t>
      </w:r>
    </w:p>
    <w:p>
      <w:pPr>
        <w:spacing w:after="0" w:line="183" w:lineRule="exact"/>
        <w:rPr>
          <w:sz w:val="20"/>
          <w:szCs w:val="20"/>
          <w:color w:val="auto"/>
        </w:rPr>
      </w:pPr>
    </w:p>
    <w:p>
      <w:pPr>
        <w:ind w:left="120"/>
        <w:spacing w:after="0" w:line="251" w:lineRule="auto"/>
        <w:rPr>
          <w:sz w:val="20"/>
          <w:szCs w:val="20"/>
          <w:color w:val="auto"/>
        </w:rPr>
      </w:pPr>
      <w:r>
        <w:rPr>
          <w:rFonts w:ascii="Arial" w:cs="Arial" w:eastAsia="Arial" w:hAnsi="Arial"/>
          <w:sz w:val="17"/>
          <w:szCs w:val="17"/>
          <w:color w:val="auto"/>
        </w:rPr>
        <w:t>We believe a strong control environment is fundamental to the success of our Firm. We continue to invest in strengthening our controls and infrastructure as part of our commitment to operate an effective and efficient risk, controls and conduct environment. The LOBs, Risk Management and Compliance, Finance, Legal, and Internal Audit continue to focus on identifying our risks and enhancing our control environment. We are also continuing to work on becoming more effective and efficient in addressing risks and controls while improving the client and customer experience.</w:t>
      </w:r>
    </w:p>
    <w:p>
      <w:pPr>
        <w:spacing w:after="0" w:line="196" w:lineRule="exact"/>
        <w:rPr>
          <w:sz w:val="20"/>
          <w:szCs w:val="20"/>
          <w:color w:val="auto"/>
        </w:rPr>
      </w:pPr>
    </w:p>
    <w:p>
      <w:pPr>
        <w:ind w:left="120"/>
        <w:spacing w:after="0"/>
        <w:rPr>
          <w:sz w:val="20"/>
          <w:szCs w:val="20"/>
          <w:color w:val="auto"/>
        </w:rPr>
      </w:pPr>
      <w:r>
        <w:rPr>
          <w:rFonts w:ascii="Arial" w:cs="Arial" w:eastAsia="Arial" w:hAnsi="Arial"/>
          <w:sz w:val="20"/>
          <w:szCs w:val="20"/>
          <w:color w:val="004876"/>
        </w:rPr>
        <w:t>CYBERSECURITY</w:t>
      </w:r>
    </w:p>
    <w:p>
      <w:pPr>
        <w:spacing w:after="0" w:line="43"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The Firm devotes significant resources to protecting and continuing to improve the security of our computer systems, software, networks and other technology assets. We continue to make significant investments in enhancing our cyberdefense capabilities and to strengthen our partnerships with the appropriate government and law enforcement agencies and other businesses in order 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understand the full spectrum of cybersecurity risks in the operating environment, enhance defenses and improve resiliency against cybersecurity threats.</w:t>
      </w:r>
    </w:p>
    <w:p>
      <w:pPr>
        <w:spacing w:after="0" w:line="95"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Globally, thousands of employees focus on cybersecurity — working across the Firm and with many partners to maintain our defenses and enhance our resiliency to threats. Three global security operations centers monitor our systems 24 hours a day, seven days a week.</w:t>
      </w:r>
    </w:p>
    <w:p>
      <w:pPr>
        <w:spacing w:after="0" w:line="9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Firm’s Security Awareness Program includes training that reinforces the Firm’s Information Technology Risk and Security Management policies, standards and practices, as well as the expectation that employees comply with these policies. The Security Awareness Program engages personnel through training on how to identify potential cybersecurity risks and protect the Firm’s resources and information. This training is mandatory for all employees globally on a periodic basis, and it is supplemented by Firmwide testing initiatives, including periodic phishing tests. Finally, the Firm’s Global Privacy Program requires all employees to take periodic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335915</wp:posOffset>
            </wp:positionV>
            <wp:extent cx="7029450" cy="19685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029450" cy="1968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20" w:space="420"/>
            <w:col w:w="5400"/>
          </w:cols>
          <w:pgMar w:left="320" w:top="459" w:right="439" w:bottom="544" w:gutter="0" w:footer="0" w:header="0"/>
          <w:type w:val="continuous"/>
        </w:sectPr>
      </w:pPr>
    </w:p>
    <w:p>
      <w:pPr>
        <w:spacing w:after="0" w:line="200" w:lineRule="exact"/>
        <w:rPr>
          <w:sz w:val="20"/>
          <w:szCs w:val="20"/>
          <w:color w:val="auto"/>
        </w:rPr>
      </w:pP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3"/>
          <w:szCs w:val="13"/>
          <w:b w:val="1"/>
          <w:bCs w:val="1"/>
          <w:color w:val="004876"/>
        </w:rPr>
        <w:t>56</w:t>
      </w:r>
    </w:p>
    <w:p>
      <w:pPr>
        <w:sectPr>
          <w:pgSz w:w="11900" w:h="16838" w:orient="portrait"/>
          <w:cols w:equalWidth="0" w:num="1">
            <w:col w:w="11140"/>
          </w:cols>
          <w:pgMar w:left="320" w:top="459" w:right="439" w:bottom="544" w:gutter="0" w:footer="0" w:header="0"/>
          <w:type w:val="continuous"/>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04876"/>
        </w:rPr>
        <w:t>EXECUTIVE COMPENSATION | 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160655</wp:posOffset>
            </wp:positionV>
            <wp:extent cx="7029450" cy="26543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029450" cy="265430"/>
                    </a:xfrm>
                    <a:prstGeom prst="rect">
                      <a:avLst/>
                    </a:prstGeom>
                    <a:noFill/>
                  </pic:spPr>
                </pic:pic>
              </a:graphicData>
            </a:graphic>
          </wp:anchor>
        </w:drawing>
      </w:r>
    </w:p>
    <w:p>
      <w:pPr>
        <w:sectPr>
          <w:pgSz w:w="11900" w:h="16838" w:orient="portrait"/>
          <w:cols w:equalWidth="0" w:num="1">
            <w:col w:w="11120"/>
          </w:cols>
          <w:pgMar w:left="320" w:top="459"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left="120" w:right="120"/>
        <w:spacing w:after="0" w:line="261" w:lineRule="auto"/>
        <w:rPr>
          <w:sz w:val="20"/>
          <w:szCs w:val="20"/>
          <w:color w:val="auto"/>
        </w:rPr>
      </w:pPr>
      <w:r>
        <w:rPr>
          <w:rFonts w:ascii="Arial" w:cs="Arial" w:eastAsia="Arial" w:hAnsi="Arial"/>
          <w:sz w:val="17"/>
          <w:szCs w:val="17"/>
          <w:color w:val="auto"/>
        </w:rPr>
        <w:t>awareness training on data privacy. This privacy-focused training includes information about confidentiality and security, as well as responding to unauthorized access to or use of information.</w:t>
      </w:r>
    </w:p>
    <w:p>
      <w:pPr>
        <w:spacing w:after="0" w:line="78" w:lineRule="exact"/>
        <w:rPr>
          <w:sz w:val="20"/>
          <w:szCs w:val="20"/>
          <w:color w:val="auto"/>
        </w:rPr>
      </w:pPr>
    </w:p>
    <w:p>
      <w:pPr>
        <w:ind w:left="120" w:right="220"/>
        <w:spacing w:after="0" w:line="238" w:lineRule="auto"/>
        <w:rPr>
          <w:sz w:val="20"/>
          <w:szCs w:val="20"/>
          <w:color w:val="auto"/>
        </w:rPr>
      </w:pPr>
      <w:r>
        <w:rPr>
          <w:rFonts w:ascii="Arial" w:cs="Arial" w:eastAsia="Arial" w:hAnsi="Arial"/>
          <w:sz w:val="18"/>
          <w:szCs w:val="18"/>
          <w:color w:val="auto"/>
        </w:rPr>
        <w:t>The Audit Committee of the Board of Directors is updated periodically on the Firm’s Information Security Program and any recommended changes, cybersecurity policies and practices, ongoing efforts to improve security, as well as on our efforts regarding significant cybersecurity events.</w:t>
      </w:r>
    </w:p>
    <w:p>
      <w:pPr>
        <w:spacing w:after="0" w:line="199" w:lineRule="exact"/>
        <w:rPr>
          <w:sz w:val="20"/>
          <w:szCs w:val="20"/>
          <w:color w:val="auto"/>
        </w:rPr>
      </w:pPr>
    </w:p>
    <w:p>
      <w:pPr>
        <w:ind w:left="120"/>
        <w:spacing w:after="0" w:line="236" w:lineRule="auto"/>
        <w:rPr>
          <w:sz w:val="20"/>
          <w:szCs w:val="20"/>
          <w:color w:val="auto"/>
        </w:rPr>
      </w:pPr>
      <w:r>
        <w:rPr>
          <w:rFonts w:ascii="Arial" w:cs="Arial" w:eastAsia="Arial" w:hAnsi="Arial"/>
          <w:sz w:val="20"/>
          <w:szCs w:val="20"/>
          <w:color w:val="004876"/>
        </w:rPr>
        <w:t>CONTINUED FOCUS ON CULTURE AND CONDUCT RISK MANAGEMENT</w:t>
      </w:r>
    </w:p>
    <w:p>
      <w:pPr>
        <w:spacing w:after="0" w:line="23"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We continue to reinforce our culture and remain focused on managing employee conduct end-to-end. Our “How We Do Business” principles are embedded throughout the employee lifecycle, starting with the onboarding process and extending to training, compensation, promoting and rewarding employees; and our performance development and compensation processes are designed to hold employees accountable for their conduct, where appropriate.</w:t>
      </w:r>
    </w:p>
    <w:p>
      <w:pPr>
        <w:spacing w:after="0" w:line="100" w:lineRule="exact"/>
        <w:rPr>
          <w:sz w:val="20"/>
          <w:szCs w:val="20"/>
          <w:color w:val="auto"/>
        </w:rPr>
      </w:pPr>
    </w:p>
    <w:p>
      <w:pPr>
        <w:ind w:left="120" w:right="80"/>
        <w:spacing w:after="0" w:line="237" w:lineRule="auto"/>
        <w:rPr>
          <w:sz w:val="20"/>
          <w:szCs w:val="20"/>
          <w:color w:val="auto"/>
        </w:rPr>
      </w:pPr>
      <w:r>
        <w:rPr>
          <w:rFonts w:ascii="Arial" w:cs="Arial" w:eastAsia="Arial" w:hAnsi="Arial"/>
          <w:sz w:val="18"/>
          <w:szCs w:val="18"/>
          <w:color w:val="auto"/>
        </w:rPr>
        <w:t>We strive to clearly and frequently communicate our expectations that all employee conduct must adhere to the highest ethical standards encompassed by our Business Principles; including through town hall meetings and senior leadership messages and by including culture and conduct related themes in our employee surveys.</w:t>
      </w:r>
    </w:p>
    <w:p>
      <w:pPr>
        <w:spacing w:after="0" w:line="97"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auto"/>
        </w:rPr>
        <w:t>In 2019, we created a global Employee Engagement, Culture and Conduct organization within HR, focused on strategic efforts to deliver a positive employee experience and develop best-in-class people practices that reinforce our culture.</w:t>
      </w:r>
    </w:p>
    <w:p>
      <w:pPr>
        <w:spacing w:after="0" w:line="97" w:lineRule="exact"/>
        <w:rPr>
          <w:sz w:val="20"/>
          <w:szCs w:val="20"/>
          <w:color w:val="auto"/>
        </w:rPr>
      </w:pPr>
    </w:p>
    <w:p>
      <w:pPr>
        <w:ind w:left="120" w:right="80"/>
        <w:spacing w:after="0" w:line="237" w:lineRule="auto"/>
        <w:rPr>
          <w:sz w:val="20"/>
          <w:szCs w:val="20"/>
          <w:color w:val="auto"/>
        </w:rPr>
      </w:pPr>
      <w:r>
        <w:rPr>
          <w:rFonts w:ascii="Arial" w:cs="Arial" w:eastAsia="Arial" w:hAnsi="Arial"/>
          <w:sz w:val="18"/>
          <w:szCs w:val="18"/>
          <w:color w:val="auto"/>
        </w:rPr>
        <w:t>The Firm endeavors to promote a culture of respect that allows every employee to feel safe and empowered at work. To that end, the Firm has in place employee training and protocols for preventing, reporting and addressing sexual, discriminatory or other misconduct and prohibits retaliation against an individual because the person reported a concern or assisted with any inquiry or investigation.</w:t>
      </w:r>
    </w:p>
    <w:p>
      <w:pPr>
        <w:spacing w:after="0" w:line="95"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We remain focused on our anti-harassment and culture of respect efforts across the company. Building on the enhancements made in 2018, we have taken a deeper approach to reinforce our culture by increasing awareness and education through engagement, communication and training while adhering to policy and regulatory requirements. Our periodic Code of Conduct and Culture of Respect trainings were refreshed and assigned as mandatory training to all employees.</w:t>
      </w:r>
    </w:p>
    <w:p>
      <w:pPr>
        <w:spacing w:after="0" w:line="100" w:lineRule="exact"/>
        <w:rPr>
          <w:sz w:val="20"/>
          <w:szCs w:val="20"/>
          <w:color w:val="auto"/>
        </w:rPr>
      </w:pPr>
    </w:p>
    <w:p>
      <w:pPr>
        <w:ind w:left="120" w:right="320"/>
        <w:spacing w:after="0"/>
        <w:rPr>
          <w:sz w:val="20"/>
          <w:szCs w:val="20"/>
          <w:color w:val="auto"/>
        </w:rPr>
      </w:pPr>
      <w:r>
        <w:rPr>
          <w:rFonts w:ascii="Arial" w:cs="Arial" w:eastAsia="Arial" w:hAnsi="Arial"/>
          <w:sz w:val="18"/>
          <w:szCs w:val="18"/>
          <w:color w:val="auto"/>
        </w:rPr>
        <w:t>Our Business Conduct training, which is complementary to the Code of Conduct training, was launched for approximately 119,000 in-scope employees and is intended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 w:right="140"/>
        <w:spacing w:after="0"/>
        <w:rPr>
          <w:sz w:val="20"/>
          <w:szCs w:val="20"/>
          <w:color w:val="auto"/>
        </w:rPr>
      </w:pPr>
      <w:r>
        <w:rPr>
          <w:rFonts w:ascii="Arial" w:cs="Arial" w:eastAsia="Arial" w:hAnsi="Arial"/>
          <w:sz w:val="18"/>
          <w:szCs w:val="18"/>
          <w:color w:val="auto"/>
        </w:rPr>
        <w:t>to educate employees, provide a forum to discuss a wide range of real-life, conduct-related questions, and instill best practices for staying true to our Business Principles in all of our dealings.</w:t>
      </w:r>
    </w:p>
    <w:p>
      <w:pPr>
        <w:spacing w:after="0" w:line="95" w:lineRule="exact"/>
        <w:rPr>
          <w:sz w:val="20"/>
          <w:szCs w:val="20"/>
          <w:color w:val="auto"/>
        </w:rPr>
      </w:pPr>
    </w:p>
    <w:p>
      <w:pPr>
        <w:jc w:val="both"/>
        <w:ind w:left="6" w:right="280"/>
        <w:spacing w:after="0"/>
        <w:rPr>
          <w:sz w:val="20"/>
          <w:szCs w:val="20"/>
          <w:color w:val="auto"/>
        </w:rPr>
      </w:pPr>
      <w:r>
        <w:rPr>
          <w:rFonts w:ascii="Arial" w:cs="Arial" w:eastAsia="Arial" w:hAnsi="Arial"/>
          <w:sz w:val="18"/>
          <w:szCs w:val="18"/>
          <w:color w:val="auto"/>
        </w:rPr>
        <w:t>Management teams are expected to drive culture activities and initiatives that are consistent with our Business Principles and to escalate issues when appropriate.</w:t>
      </w:r>
    </w:p>
    <w:p>
      <w:pPr>
        <w:spacing w:after="0" w:line="95" w:lineRule="exact"/>
        <w:rPr>
          <w:sz w:val="20"/>
          <w:szCs w:val="20"/>
          <w:color w:val="auto"/>
        </w:rPr>
      </w:pPr>
    </w:p>
    <w:p>
      <w:pPr>
        <w:ind w:left="6" w:right="20"/>
        <w:spacing w:after="0" w:line="236" w:lineRule="auto"/>
        <w:rPr>
          <w:sz w:val="20"/>
          <w:szCs w:val="20"/>
          <w:color w:val="auto"/>
        </w:rPr>
      </w:pPr>
      <w:r>
        <w:rPr>
          <w:rFonts w:ascii="Arial" w:cs="Arial" w:eastAsia="Arial" w:hAnsi="Arial"/>
          <w:sz w:val="18"/>
          <w:szCs w:val="18"/>
          <w:color w:val="auto"/>
        </w:rPr>
        <w:t>The actual or potential misconduct of individuals who may be involved in material risk and control issues is escalated through the HR Control Forum process. In 2019, we implemented several enhancements to this process, including issuing comprehensive written procedures that provide more consistent guidance on the types of issues that should be escalated to the HR Control Forums, as well as clarifying roles and responsibilities, and accountability for escalation and decision-making. The HR Control Forum process is discussed in further detail on page 52.</w:t>
      </w:r>
    </w:p>
    <w:p>
      <w:pPr>
        <w:spacing w:after="0" w:line="203" w:lineRule="exact"/>
        <w:rPr>
          <w:sz w:val="20"/>
          <w:szCs w:val="20"/>
          <w:color w:val="auto"/>
        </w:rPr>
      </w:pPr>
    </w:p>
    <w:p>
      <w:pPr>
        <w:ind w:left="6"/>
        <w:spacing w:after="0"/>
        <w:rPr>
          <w:sz w:val="20"/>
          <w:szCs w:val="20"/>
          <w:color w:val="auto"/>
        </w:rPr>
      </w:pPr>
      <w:r>
        <w:rPr>
          <w:rFonts w:ascii="Arial" w:cs="Arial" w:eastAsia="Arial" w:hAnsi="Arial"/>
          <w:sz w:val="29"/>
          <w:szCs w:val="29"/>
          <w:color w:val="004876"/>
        </w:rPr>
        <w:t>Client/customer/stakeholder</w:t>
      </w:r>
    </w:p>
    <w:p>
      <w:pPr>
        <w:spacing w:after="0" w:line="115" w:lineRule="exact"/>
        <w:rPr>
          <w:sz w:val="20"/>
          <w:szCs w:val="20"/>
          <w:color w:val="auto"/>
        </w:rPr>
      </w:pPr>
    </w:p>
    <w:p>
      <w:pPr>
        <w:ind w:left="6" w:right="140"/>
        <w:spacing w:after="0" w:line="238" w:lineRule="auto"/>
        <w:rPr>
          <w:sz w:val="20"/>
          <w:szCs w:val="20"/>
          <w:color w:val="auto"/>
        </w:rPr>
      </w:pPr>
      <w:r>
        <w:rPr>
          <w:rFonts w:ascii="Arial" w:cs="Arial" w:eastAsia="Arial" w:hAnsi="Arial"/>
          <w:sz w:val="18"/>
          <w:szCs w:val="18"/>
          <w:color w:val="auto"/>
        </w:rPr>
        <w:t>Our performance reflects our ongoing commitment to invest in our employees and businesses, further strengthen the market leadership of our franchises, generate long-term value for our shareholders, and help strengthen the broader economy.</w:t>
      </w:r>
    </w:p>
    <w:p>
      <w:pPr>
        <w:spacing w:after="0" w:line="97" w:lineRule="exact"/>
        <w:rPr>
          <w:sz w:val="20"/>
          <w:szCs w:val="20"/>
          <w:color w:val="auto"/>
        </w:rPr>
      </w:pPr>
    </w:p>
    <w:p>
      <w:pPr>
        <w:ind w:left="6" w:right="80"/>
        <w:spacing w:after="0" w:line="237" w:lineRule="auto"/>
        <w:rPr>
          <w:sz w:val="20"/>
          <w:szCs w:val="20"/>
          <w:color w:val="auto"/>
        </w:rPr>
      </w:pPr>
      <w:r>
        <w:rPr>
          <w:rFonts w:ascii="Arial" w:cs="Arial" w:eastAsia="Arial" w:hAnsi="Arial"/>
          <w:sz w:val="18"/>
          <w:szCs w:val="18"/>
          <w:color w:val="auto"/>
        </w:rPr>
        <w:t>Our future success rests on our commitment to deliver value to our customers in meeting or exceeding expectations; deal fairly and ethically with our suppliers as good partners to help us meet our missions; support the communities in which we work, and protect the environment by embracing sustainable practices across our businesses.</w:t>
      </w:r>
    </w:p>
    <w:p>
      <w:pPr>
        <w:spacing w:after="0" w:line="202" w:lineRule="exact"/>
        <w:rPr>
          <w:sz w:val="20"/>
          <w:szCs w:val="20"/>
          <w:color w:val="auto"/>
        </w:rPr>
      </w:pPr>
    </w:p>
    <w:p>
      <w:pPr>
        <w:ind w:left="6" w:right="1280"/>
        <w:spacing w:after="0" w:line="236" w:lineRule="auto"/>
        <w:rPr>
          <w:sz w:val="20"/>
          <w:szCs w:val="20"/>
          <w:color w:val="auto"/>
        </w:rPr>
      </w:pPr>
      <w:r>
        <w:rPr>
          <w:rFonts w:ascii="Arial" w:cs="Arial" w:eastAsia="Arial" w:hAnsi="Arial"/>
          <w:sz w:val="20"/>
          <w:szCs w:val="20"/>
          <w:color w:val="004876"/>
        </w:rPr>
        <w:t>ENHANCING OUR CUSTOMER AND CLIENT EXPERIENCE</w:t>
      </w:r>
    </w:p>
    <w:p>
      <w:pPr>
        <w:spacing w:after="0" w:line="23" w:lineRule="exact"/>
        <w:rPr>
          <w:sz w:val="20"/>
          <w:szCs w:val="20"/>
          <w:color w:val="auto"/>
        </w:rPr>
      </w:pPr>
    </w:p>
    <w:p>
      <w:pPr>
        <w:ind w:left="6"/>
        <w:spacing w:after="0" w:line="236" w:lineRule="auto"/>
        <w:rPr>
          <w:sz w:val="20"/>
          <w:szCs w:val="20"/>
          <w:color w:val="auto"/>
        </w:rPr>
      </w:pPr>
      <w:r>
        <w:rPr>
          <w:rFonts w:ascii="Arial" w:cs="Arial" w:eastAsia="Arial" w:hAnsi="Arial"/>
          <w:sz w:val="18"/>
          <w:szCs w:val="18"/>
          <w:color w:val="auto"/>
        </w:rPr>
        <w:t>The customer is at the center of everything we do. We strive to deliver value by offering our customers and clients choice through a full set of products and services, security by protecting their data and transactions, ease of doing business in a fast and simple way, and personalization through tailored customer solutions and integrated experiences. Our LOBs are able to leverage the unique scale advantage of our Firm in order to benefit our customers and clients, as illustrated in the examples below.</w:t>
      </w:r>
    </w:p>
    <w:p>
      <w:pPr>
        <w:spacing w:after="0" w:line="190" w:lineRule="exact"/>
        <w:rPr>
          <w:sz w:val="20"/>
          <w:szCs w:val="20"/>
          <w:color w:val="auto"/>
        </w:rPr>
      </w:pPr>
    </w:p>
    <w:p>
      <w:pPr>
        <w:ind w:left="6"/>
        <w:spacing w:after="0"/>
        <w:rPr>
          <w:sz w:val="20"/>
          <w:szCs w:val="20"/>
          <w:color w:val="auto"/>
        </w:rPr>
      </w:pPr>
      <w:r>
        <w:rPr>
          <w:rFonts w:ascii="Arial" w:cs="Arial" w:eastAsia="Arial" w:hAnsi="Arial"/>
          <w:sz w:val="18"/>
          <w:szCs w:val="18"/>
          <w:i w:val="1"/>
          <w:iCs w:val="1"/>
          <w:color w:val="auto"/>
        </w:rPr>
        <w:t>Consumer &amp; Community Banking (“CCB”)</w:t>
      </w:r>
    </w:p>
    <w:p>
      <w:pPr>
        <w:spacing w:after="0" w:line="54" w:lineRule="exact"/>
        <w:rPr>
          <w:sz w:val="20"/>
          <w:szCs w:val="20"/>
          <w:color w:val="auto"/>
        </w:rPr>
      </w:pPr>
    </w:p>
    <w:p>
      <w:pPr>
        <w:ind w:left="166" w:right="40" w:hanging="166"/>
        <w:spacing w:after="0" w:line="238" w:lineRule="auto"/>
        <w:tabs>
          <w:tab w:leader="none" w:pos="166" w:val="left"/>
        </w:tabs>
        <w:numPr>
          <w:ilvl w:val="0"/>
          <w:numId w:val="118"/>
        </w:numPr>
        <w:rPr>
          <w:rFonts w:ascii="Arial" w:cs="Arial" w:eastAsia="Arial" w:hAnsi="Arial"/>
          <w:sz w:val="18"/>
          <w:szCs w:val="18"/>
          <w:color w:val="004876"/>
        </w:rPr>
      </w:pPr>
      <w:r>
        <w:rPr>
          <w:rFonts w:ascii="Arial" w:cs="Arial" w:eastAsia="Arial" w:hAnsi="Arial"/>
          <w:sz w:val="18"/>
          <w:szCs w:val="18"/>
          <w:color w:val="auto"/>
        </w:rPr>
        <w:t>Built digital solutions to drive customer engagement, such as: My Chase Loan to use existing credit lines to finance purchases customers otherwise would not be able to put on their cards; Autosave; and additional features in Chase MyHome, including a service and advice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-3566795</wp:posOffset>
            </wp:positionH>
            <wp:positionV relativeFrom="paragraph">
              <wp:posOffset>600710</wp:posOffset>
            </wp:positionV>
            <wp:extent cx="7029450" cy="19685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029450" cy="196850"/>
                    </a:xfrm>
                    <a:prstGeom prst="rect">
                      <a:avLst/>
                    </a:prstGeom>
                    <a:noFill/>
                  </pic:spPr>
                </pic:pic>
              </a:graphicData>
            </a:graphic>
          </wp:anchor>
        </w:drawing>
      </w:r>
    </w:p>
    <w:p>
      <w:pPr>
        <w:spacing w:after="0" w:line="618" w:lineRule="exact"/>
        <w:rPr>
          <w:sz w:val="20"/>
          <w:szCs w:val="20"/>
          <w:color w:val="auto"/>
        </w:rPr>
      </w:pPr>
    </w:p>
    <w:p>
      <w:pPr>
        <w:sectPr>
          <w:pgSz w:w="11900" w:h="16838" w:orient="portrait"/>
          <w:cols w:equalWidth="0" w:num="2">
            <w:col w:w="5400" w:space="334"/>
            <w:col w:w="5386"/>
          </w:cols>
          <w:pgMar w:left="320" w:top="459" w:right="459" w:bottom="1440" w:gutter="0" w:footer="0" w:header="0"/>
          <w:type w:val="continuous"/>
        </w:sectPr>
      </w:pPr>
    </w:p>
    <w:p>
      <w:pPr>
        <w:spacing w:after="0" w:line="200" w:lineRule="exact"/>
        <w:rPr>
          <w:sz w:val="20"/>
          <w:szCs w:val="20"/>
          <w:color w:val="auto"/>
        </w:rPr>
      </w:pPr>
    </w:p>
    <w:p>
      <w:pPr>
        <w:spacing w:after="0" w:line="205" w:lineRule="exact"/>
        <w:rPr>
          <w:sz w:val="20"/>
          <w:szCs w:val="20"/>
          <w:color w:val="auto"/>
        </w:rPr>
      </w:pPr>
    </w:p>
    <w:p>
      <w:pPr>
        <w:jc w:val="center"/>
        <w:ind w:right="-119"/>
        <w:spacing w:after="0"/>
        <w:rPr>
          <w:sz w:val="20"/>
          <w:szCs w:val="20"/>
          <w:color w:val="auto"/>
        </w:rPr>
      </w:pPr>
      <w:r>
        <w:rPr>
          <w:rFonts w:ascii="Arial" w:cs="Arial" w:eastAsia="Arial" w:hAnsi="Arial"/>
          <w:sz w:val="13"/>
          <w:szCs w:val="13"/>
          <w:b w:val="1"/>
          <w:bCs w:val="1"/>
          <w:color w:val="004876"/>
        </w:rPr>
        <w:t>57</w:t>
      </w:r>
    </w:p>
    <w:p>
      <w:pPr>
        <w:sectPr>
          <w:pgSz w:w="11900" w:h="16838" w:orient="portrait"/>
          <w:cols w:equalWidth="0" w:num="1">
            <w:col w:w="11120"/>
          </w:cols>
          <w:pgMar w:left="320" w:top="459" w:right="459" w:bottom="1440" w:gutter="0" w:footer="0" w:header="0"/>
          <w:type w:val="continuous"/>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4876"/>
        </w:rPr>
        <w:t>COMPENSATION DISCUSSION AND ANALYSIS |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160655</wp:posOffset>
            </wp:positionV>
            <wp:extent cx="7029450" cy="26543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029450" cy="26543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00" w:right="80" w:hanging="184"/>
        <w:spacing w:after="0" w:line="238" w:lineRule="auto"/>
        <w:tabs>
          <w:tab w:leader="none" w:pos="300" w:val="left"/>
        </w:tabs>
        <w:numPr>
          <w:ilvl w:val="0"/>
          <w:numId w:val="119"/>
        </w:numPr>
        <w:rPr>
          <w:rFonts w:ascii="Arial" w:cs="Arial" w:eastAsia="Arial" w:hAnsi="Arial"/>
          <w:sz w:val="18"/>
          <w:szCs w:val="18"/>
          <w:color w:val="004876"/>
        </w:rPr>
      </w:pPr>
      <w:r>
        <w:rPr>
          <w:rFonts w:ascii="Arial" w:cs="Arial" w:eastAsia="Arial" w:hAnsi="Arial"/>
          <w:sz w:val="18"/>
          <w:szCs w:val="18"/>
          <w:color w:val="auto"/>
        </w:rPr>
        <w:t>Expanded our branch footprint in areas of strategic opportunity, opening over 70 new branches in 16 new markets in 2019, placing points of convenience where our customers live, work and shop</w:t>
      </w:r>
    </w:p>
    <w:p>
      <w:pPr>
        <w:spacing w:after="0" w:line="110" w:lineRule="exact"/>
        <w:rPr>
          <w:rFonts w:ascii="Arial" w:cs="Arial" w:eastAsia="Arial" w:hAnsi="Arial"/>
          <w:sz w:val="18"/>
          <w:szCs w:val="18"/>
          <w:color w:val="004876"/>
        </w:rPr>
      </w:pPr>
    </w:p>
    <w:p>
      <w:pPr>
        <w:ind w:left="300" w:right="180" w:hanging="184"/>
        <w:spacing w:after="0" w:line="238" w:lineRule="auto"/>
        <w:tabs>
          <w:tab w:leader="none" w:pos="300" w:val="left"/>
        </w:tabs>
        <w:numPr>
          <w:ilvl w:val="0"/>
          <w:numId w:val="119"/>
        </w:numPr>
        <w:rPr>
          <w:rFonts w:ascii="Arial" w:cs="Arial" w:eastAsia="Arial" w:hAnsi="Arial"/>
          <w:sz w:val="18"/>
          <w:szCs w:val="18"/>
          <w:color w:val="004876"/>
        </w:rPr>
      </w:pPr>
      <w:r>
        <w:rPr>
          <w:rFonts w:ascii="Arial" w:cs="Arial" w:eastAsia="Arial" w:hAnsi="Arial"/>
          <w:sz w:val="18"/>
          <w:szCs w:val="18"/>
          <w:color w:val="auto"/>
        </w:rPr>
        <w:t>Introduced new products and pricing in Credit Card, including branded and co-branded product launches, targeted rate promotion offers and credit line increases, to continue to meet customers’ borrowing needs</w:t>
      </w:r>
    </w:p>
    <w:p>
      <w:pPr>
        <w:spacing w:after="0" w:line="110" w:lineRule="exact"/>
        <w:rPr>
          <w:rFonts w:ascii="Arial" w:cs="Arial" w:eastAsia="Arial" w:hAnsi="Arial"/>
          <w:sz w:val="18"/>
          <w:szCs w:val="18"/>
          <w:color w:val="004876"/>
        </w:rPr>
      </w:pPr>
    </w:p>
    <w:p>
      <w:pPr>
        <w:ind w:left="300" w:right="100" w:hanging="184"/>
        <w:spacing w:after="0" w:line="274" w:lineRule="auto"/>
        <w:tabs>
          <w:tab w:leader="none" w:pos="300" w:val="left"/>
        </w:tabs>
        <w:numPr>
          <w:ilvl w:val="0"/>
          <w:numId w:val="119"/>
        </w:numPr>
        <w:rPr>
          <w:rFonts w:ascii="Arial" w:cs="Arial" w:eastAsia="Arial" w:hAnsi="Arial"/>
          <w:sz w:val="17"/>
          <w:szCs w:val="17"/>
          <w:color w:val="004876"/>
        </w:rPr>
      </w:pPr>
      <w:r>
        <w:rPr>
          <w:rFonts w:ascii="Arial" w:cs="Arial" w:eastAsia="Arial" w:hAnsi="Arial"/>
          <w:sz w:val="17"/>
          <w:szCs w:val="17"/>
          <w:color w:val="auto"/>
        </w:rPr>
        <w:t>Extended “already approved” offers to approximately 10 million eligible customers, based on their full Chase relationship</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Corporate &amp; Investment Bank (“CIB”)</w:t>
      </w:r>
    </w:p>
    <w:p>
      <w:pPr>
        <w:spacing w:after="0" w:line="54" w:lineRule="exact"/>
        <w:rPr>
          <w:sz w:val="20"/>
          <w:szCs w:val="20"/>
          <w:color w:val="auto"/>
        </w:rPr>
      </w:pPr>
    </w:p>
    <w:p>
      <w:pPr>
        <w:ind w:left="300" w:hanging="184"/>
        <w:spacing w:after="0"/>
        <w:tabs>
          <w:tab w:leader="none" w:pos="300" w:val="left"/>
        </w:tabs>
        <w:numPr>
          <w:ilvl w:val="0"/>
          <w:numId w:val="120"/>
        </w:numPr>
        <w:rPr>
          <w:rFonts w:ascii="Arial" w:cs="Arial" w:eastAsia="Arial" w:hAnsi="Arial"/>
          <w:sz w:val="18"/>
          <w:szCs w:val="18"/>
          <w:color w:val="004876"/>
        </w:rPr>
      </w:pPr>
      <w:r>
        <w:rPr>
          <w:rFonts w:ascii="Arial" w:cs="Arial" w:eastAsia="Arial" w:hAnsi="Arial"/>
          <w:sz w:val="18"/>
          <w:szCs w:val="18"/>
          <w:color w:val="auto"/>
        </w:rPr>
        <w:t>Created the Wholesale Payments business unit, which combines Treasury Services and Merchant Services to deliver a comprehensive offering to clients</w:t>
      </w:r>
    </w:p>
    <w:p>
      <w:pPr>
        <w:spacing w:after="0" w:line="108" w:lineRule="exact"/>
        <w:rPr>
          <w:rFonts w:ascii="Arial" w:cs="Arial" w:eastAsia="Arial" w:hAnsi="Arial"/>
          <w:sz w:val="18"/>
          <w:szCs w:val="18"/>
          <w:color w:val="004876"/>
        </w:rPr>
      </w:pPr>
    </w:p>
    <w:p>
      <w:pPr>
        <w:ind w:left="300" w:right="260" w:hanging="184"/>
        <w:spacing w:after="0" w:line="246" w:lineRule="auto"/>
        <w:tabs>
          <w:tab w:leader="none" w:pos="300" w:val="left"/>
        </w:tabs>
        <w:numPr>
          <w:ilvl w:val="0"/>
          <w:numId w:val="120"/>
        </w:numPr>
        <w:rPr>
          <w:rFonts w:ascii="Arial" w:cs="Arial" w:eastAsia="Arial" w:hAnsi="Arial"/>
          <w:sz w:val="18"/>
          <w:szCs w:val="18"/>
          <w:color w:val="004876"/>
        </w:rPr>
      </w:pPr>
      <w:r>
        <w:rPr>
          <w:rFonts w:ascii="Arial" w:cs="Arial" w:eastAsia="Arial" w:hAnsi="Arial"/>
          <w:sz w:val="18"/>
          <w:szCs w:val="18"/>
          <w:color w:val="auto"/>
        </w:rPr>
        <w:t>Acquired InstaMed, which broadens the Firm’s capabilities in healthcare payments</w:t>
      </w:r>
    </w:p>
    <w:p>
      <w:pPr>
        <w:spacing w:after="0" w:line="102" w:lineRule="exact"/>
        <w:rPr>
          <w:rFonts w:ascii="Arial" w:cs="Arial" w:eastAsia="Arial" w:hAnsi="Arial"/>
          <w:sz w:val="18"/>
          <w:szCs w:val="18"/>
          <w:color w:val="004876"/>
        </w:rPr>
      </w:pPr>
    </w:p>
    <w:p>
      <w:pPr>
        <w:ind w:left="300" w:right="440" w:hanging="184"/>
        <w:spacing w:after="0"/>
        <w:tabs>
          <w:tab w:leader="none" w:pos="300" w:val="left"/>
        </w:tabs>
        <w:numPr>
          <w:ilvl w:val="0"/>
          <w:numId w:val="120"/>
        </w:numPr>
        <w:rPr>
          <w:rFonts w:ascii="Arial" w:cs="Arial" w:eastAsia="Arial" w:hAnsi="Arial"/>
          <w:sz w:val="18"/>
          <w:szCs w:val="18"/>
          <w:color w:val="004876"/>
        </w:rPr>
      </w:pPr>
      <w:r>
        <w:rPr>
          <w:rFonts w:ascii="Arial" w:cs="Arial" w:eastAsia="Arial" w:hAnsi="Arial"/>
          <w:sz w:val="18"/>
          <w:szCs w:val="18"/>
          <w:color w:val="auto"/>
        </w:rPr>
        <w:t>Received regulatory approval that allows J.P. Morgan’s majority-owned securities company in China to commence operations</w:t>
      </w:r>
    </w:p>
    <w:p>
      <w:pPr>
        <w:spacing w:after="0" w:line="108" w:lineRule="exact"/>
        <w:rPr>
          <w:rFonts w:ascii="Arial" w:cs="Arial" w:eastAsia="Arial" w:hAnsi="Arial"/>
          <w:sz w:val="18"/>
          <w:szCs w:val="18"/>
          <w:color w:val="004876"/>
        </w:rPr>
      </w:pPr>
    </w:p>
    <w:p>
      <w:pPr>
        <w:ind w:left="300" w:right="600" w:hanging="184"/>
        <w:spacing w:after="0" w:line="246" w:lineRule="auto"/>
        <w:tabs>
          <w:tab w:leader="none" w:pos="300" w:val="left"/>
        </w:tabs>
        <w:numPr>
          <w:ilvl w:val="0"/>
          <w:numId w:val="120"/>
        </w:numPr>
        <w:rPr>
          <w:rFonts w:ascii="Arial" w:cs="Arial" w:eastAsia="Arial" w:hAnsi="Arial"/>
          <w:sz w:val="18"/>
          <w:szCs w:val="18"/>
          <w:color w:val="004876"/>
        </w:rPr>
      </w:pPr>
      <w:r>
        <w:rPr>
          <w:rFonts w:ascii="Arial" w:cs="Arial" w:eastAsia="Arial" w:hAnsi="Arial"/>
          <w:sz w:val="18"/>
          <w:szCs w:val="18"/>
          <w:color w:val="auto"/>
        </w:rPr>
        <w:t>Continued to expand and enhance the end-to-end digital offering for our clients</w:t>
      </w:r>
    </w:p>
    <w:p>
      <w:pPr>
        <w:spacing w:after="0" w:line="102" w:lineRule="exact"/>
        <w:rPr>
          <w:rFonts w:ascii="Arial" w:cs="Arial" w:eastAsia="Arial" w:hAnsi="Arial"/>
          <w:sz w:val="18"/>
          <w:szCs w:val="18"/>
          <w:color w:val="004876"/>
        </w:rPr>
      </w:pPr>
    </w:p>
    <w:p>
      <w:pPr>
        <w:ind w:left="300" w:right="440" w:hanging="184"/>
        <w:spacing w:after="0" w:line="246" w:lineRule="auto"/>
        <w:tabs>
          <w:tab w:leader="none" w:pos="300" w:val="left"/>
        </w:tabs>
        <w:numPr>
          <w:ilvl w:val="0"/>
          <w:numId w:val="120"/>
        </w:numPr>
        <w:rPr>
          <w:rFonts w:ascii="Arial" w:cs="Arial" w:eastAsia="Arial" w:hAnsi="Arial"/>
          <w:sz w:val="18"/>
          <w:szCs w:val="18"/>
          <w:color w:val="004876"/>
        </w:rPr>
      </w:pPr>
      <w:r>
        <w:rPr>
          <w:rFonts w:ascii="Arial" w:cs="Arial" w:eastAsia="Arial" w:hAnsi="Arial"/>
          <w:sz w:val="18"/>
          <w:szCs w:val="18"/>
          <w:color w:val="auto"/>
        </w:rPr>
        <w:t>Maintained high client satisfaction levels while growing the franchise</w:t>
      </w:r>
    </w:p>
    <w:p>
      <w:pPr>
        <w:spacing w:after="0" w:line="102" w:lineRule="exact"/>
        <w:rPr>
          <w:rFonts w:ascii="Arial" w:cs="Arial" w:eastAsia="Arial" w:hAnsi="Arial"/>
          <w:sz w:val="18"/>
          <w:szCs w:val="18"/>
          <w:color w:val="004876"/>
        </w:rPr>
      </w:pPr>
    </w:p>
    <w:p>
      <w:pPr>
        <w:ind w:left="300" w:right="260" w:hanging="184"/>
        <w:spacing w:after="0" w:line="246" w:lineRule="auto"/>
        <w:tabs>
          <w:tab w:leader="none" w:pos="300" w:val="left"/>
        </w:tabs>
        <w:numPr>
          <w:ilvl w:val="0"/>
          <w:numId w:val="120"/>
        </w:numPr>
        <w:rPr>
          <w:rFonts w:ascii="Arial" w:cs="Arial" w:eastAsia="Arial" w:hAnsi="Arial"/>
          <w:sz w:val="18"/>
          <w:szCs w:val="18"/>
          <w:color w:val="004876"/>
        </w:rPr>
      </w:pPr>
      <w:r>
        <w:rPr>
          <w:rFonts w:ascii="Arial" w:cs="Arial" w:eastAsia="Arial" w:hAnsi="Arial"/>
          <w:sz w:val="18"/>
          <w:szCs w:val="18"/>
          <w:color w:val="auto"/>
        </w:rPr>
        <w:t>Continued to execute on our Brexit strategy to be ready for a minimally disruptive outcome</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Commercial Banking (“CB”)</w:t>
      </w:r>
    </w:p>
    <w:p>
      <w:pPr>
        <w:spacing w:after="0" w:line="54" w:lineRule="exact"/>
        <w:rPr>
          <w:sz w:val="20"/>
          <w:szCs w:val="20"/>
          <w:color w:val="auto"/>
        </w:rPr>
      </w:pPr>
    </w:p>
    <w:p>
      <w:pPr>
        <w:ind w:left="300" w:right="480" w:hanging="184"/>
        <w:spacing w:after="0" w:line="246" w:lineRule="auto"/>
        <w:tabs>
          <w:tab w:leader="none" w:pos="300" w:val="left"/>
        </w:tabs>
        <w:numPr>
          <w:ilvl w:val="0"/>
          <w:numId w:val="121"/>
        </w:numPr>
        <w:rPr>
          <w:rFonts w:ascii="Arial" w:cs="Arial" w:eastAsia="Arial" w:hAnsi="Arial"/>
          <w:sz w:val="18"/>
          <w:szCs w:val="18"/>
          <w:color w:val="004876"/>
        </w:rPr>
      </w:pPr>
      <w:r>
        <w:rPr>
          <w:rFonts w:ascii="Arial" w:cs="Arial" w:eastAsia="Arial" w:hAnsi="Arial"/>
          <w:sz w:val="18"/>
          <w:szCs w:val="18"/>
          <w:color w:val="auto"/>
        </w:rPr>
        <w:t>Continued to develop new treasury services solutions and functionality for clients across all sizes and segments</w:t>
      </w:r>
    </w:p>
    <w:p>
      <w:pPr>
        <w:spacing w:after="0" w:line="102" w:lineRule="exact"/>
        <w:rPr>
          <w:rFonts w:ascii="Arial" w:cs="Arial" w:eastAsia="Arial" w:hAnsi="Arial"/>
          <w:sz w:val="18"/>
          <w:szCs w:val="18"/>
          <w:color w:val="004876"/>
        </w:rPr>
      </w:pPr>
    </w:p>
    <w:p>
      <w:pPr>
        <w:ind w:left="300" w:right="40" w:hanging="184"/>
        <w:spacing w:after="0"/>
        <w:tabs>
          <w:tab w:leader="none" w:pos="300" w:val="left"/>
        </w:tabs>
        <w:numPr>
          <w:ilvl w:val="0"/>
          <w:numId w:val="121"/>
        </w:numPr>
        <w:rPr>
          <w:rFonts w:ascii="Arial" w:cs="Arial" w:eastAsia="Arial" w:hAnsi="Arial"/>
          <w:sz w:val="18"/>
          <w:szCs w:val="18"/>
          <w:color w:val="004876"/>
        </w:rPr>
      </w:pPr>
      <w:r>
        <w:rPr>
          <w:rFonts w:ascii="Arial" w:cs="Arial" w:eastAsia="Arial" w:hAnsi="Arial"/>
          <w:sz w:val="18"/>
          <w:szCs w:val="18"/>
          <w:color w:val="auto"/>
        </w:rPr>
        <w:t>Established teams in ten new international geographies to provide differentiated capabilities to multinational companies for their cross-border needs</w:t>
      </w:r>
    </w:p>
    <w:p>
      <w:pPr>
        <w:spacing w:after="0" w:line="108" w:lineRule="exact"/>
        <w:rPr>
          <w:rFonts w:ascii="Arial" w:cs="Arial" w:eastAsia="Arial" w:hAnsi="Arial"/>
          <w:sz w:val="18"/>
          <w:szCs w:val="18"/>
          <w:color w:val="004876"/>
        </w:rPr>
      </w:pPr>
    </w:p>
    <w:p>
      <w:pPr>
        <w:ind w:left="300" w:right="20" w:hanging="184"/>
        <w:spacing w:after="0"/>
        <w:tabs>
          <w:tab w:leader="none" w:pos="300" w:val="left"/>
        </w:tabs>
        <w:numPr>
          <w:ilvl w:val="0"/>
          <w:numId w:val="121"/>
        </w:numPr>
        <w:rPr>
          <w:rFonts w:ascii="Arial" w:cs="Arial" w:eastAsia="Arial" w:hAnsi="Arial"/>
          <w:sz w:val="18"/>
          <w:szCs w:val="18"/>
          <w:color w:val="004876"/>
        </w:rPr>
      </w:pPr>
      <w:r>
        <w:rPr>
          <w:rFonts w:ascii="Arial" w:cs="Arial" w:eastAsia="Arial" w:hAnsi="Arial"/>
          <w:sz w:val="18"/>
          <w:szCs w:val="18"/>
          <w:color w:val="auto"/>
        </w:rPr>
        <w:t>Enhanced digital platforms across the CB; completed the full transition from a legacy platform to our Chase Connect platform with more than 9,000 active Chase Connect clients</w:t>
      </w:r>
    </w:p>
    <w:p>
      <w:pPr>
        <w:spacing w:after="0" w:line="108" w:lineRule="exact"/>
        <w:rPr>
          <w:rFonts w:ascii="Arial" w:cs="Arial" w:eastAsia="Arial" w:hAnsi="Arial"/>
          <w:sz w:val="18"/>
          <w:szCs w:val="18"/>
          <w:color w:val="004876"/>
        </w:rPr>
      </w:pPr>
    </w:p>
    <w:p>
      <w:pPr>
        <w:ind w:left="300" w:right="360" w:hanging="184"/>
        <w:spacing w:after="0" w:line="246" w:lineRule="auto"/>
        <w:tabs>
          <w:tab w:leader="none" w:pos="300" w:val="left"/>
        </w:tabs>
        <w:numPr>
          <w:ilvl w:val="0"/>
          <w:numId w:val="121"/>
        </w:numPr>
        <w:rPr>
          <w:rFonts w:ascii="Arial" w:cs="Arial" w:eastAsia="Arial" w:hAnsi="Arial"/>
          <w:sz w:val="18"/>
          <w:szCs w:val="18"/>
          <w:color w:val="004876"/>
        </w:rPr>
      </w:pPr>
      <w:r>
        <w:rPr>
          <w:rFonts w:ascii="Arial" w:cs="Arial" w:eastAsia="Arial" w:hAnsi="Arial"/>
          <w:sz w:val="18"/>
          <w:szCs w:val="18"/>
          <w:color w:val="auto"/>
        </w:rPr>
        <w:t>Improved end-to-end processes to drive efficiency; reduced U.S. account opening time by approximately 25%</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Asset &amp; Wealth Management (“AWM”)</w:t>
      </w:r>
    </w:p>
    <w:p>
      <w:pPr>
        <w:spacing w:after="0" w:line="54" w:lineRule="exact"/>
        <w:rPr>
          <w:sz w:val="20"/>
          <w:szCs w:val="20"/>
          <w:color w:val="auto"/>
        </w:rPr>
      </w:pPr>
    </w:p>
    <w:p>
      <w:pPr>
        <w:ind w:left="300" w:right="160" w:hanging="184"/>
        <w:spacing w:after="0" w:line="274" w:lineRule="auto"/>
        <w:tabs>
          <w:tab w:leader="none" w:pos="300" w:val="left"/>
        </w:tabs>
        <w:numPr>
          <w:ilvl w:val="0"/>
          <w:numId w:val="122"/>
        </w:numPr>
        <w:rPr>
          <w:rFonts w:ascii="Arial" w:cs="Arial" w:eastAsia="Arial" w:hAnsi="Arial"/>
          <w:sz w:val="17"/>
          <w:szCs w:val="17"/>
          <w:color w:val="004876"/>
        </w:rPr>
      </w:pPr>
      <w:r>
        <w:rPr>
          <w:rFonts w:ascii="Arial" w:cs="Arial" w:eastAsia="Arial" w:hAnsi="Arial"/>
          <w:sz w:val="17"/>
          <w:szCs w:val="17"/>
          <w:color w:val="auto"/>
        </w:rPr>
        <w:t>Launched the Singapore Trust Company, which expands our international Trusts &amp; Estates footprint in Asia for the first time</w:t>
      </w:r>
    </w:p>
    <w:p>
      <w:pPr>
        <w:spacing w:after="0" w:line="80" w:lineRule="exact"/>
        <w:rPr>
          <w:rFonts w:ascii="Arial" w:cs="Arial" w:eastAsia="Arial" w:hAnsi="Arial"/>
          <w:sz w:val="17"/>
          <w:szCs w:val="17"/>
          <w:color w:val="004876"/>
        </w:rPr>
      </w:pPr>
    </w:p>
    <w:p>
      <w:pPr>
        <w:jc w:val="both"/>
        <w:ind w:left="300" w:right="120" w:hanging="184"/>
        <w:spacing w:after="0" w:line="274" w:lineRule="auto"/>
        <w:tabs>
          <w:tab w:leader="none" w:pos="300" w:val="left"/>
        </w:tabs>
        <w:numPr>
          <w:ilvl w:val="0"/>
          <w:numId w:val="122"/>
        </w:numPr>
        <w:rPr>
          <w:rFonts w:ascii="Arial" w:cs="Arial" w:eastAsia="Arial" w:hAnsi="Arial"/>
          <w:sz w:val="17"/>
          <w:szCs w:val="17"/>
          <w:color w:val="004876"/>
        </w:rPr>
      </w:pPr>
      <w:r>
        <w:rPr>
          <w:rFonts w:ascii="Arial" w:cs="Arial" w:eastAsia="Arial" w:hAnsi="Arial"/>
          <w:sz w:val="17"/>
          <w:szCs w:val="17"/>
          <w:color w:val="auto"/>
        </w:rPr>
        <w:t>Constant innovation of the You Invest platform, which included launching You Invest Portfolios and introducing options trading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66" w:right="640" w:hanging="166"/>
        <w:spacing w:after="0"/>
        <w:tabs>
          <w:tab w:leader="none" w:pos="166" w:val="left"/>
        </w:tabs>
        <w:numPr>
          <w:ilvl w:val="0"/>
          <w:numId w:val="123"/>
        </w:numPr>
        <w:rPr>
          <w:rFonts w:ascii="Arial" w:cs="Arial" w:eastAsia="Arial" w:hAnsi="Arial"/>
          <w:sz w:val="18"/>
          <w:szCs w:val="18"/>
          <w:color w:val="004876"/>
        </w:rPr>
      </w:pPr>
      <w:r>
        <w:rPr>
          <w:rFonts w:ascii="Arial" w:cs="Arial" w:eastAsia="Arial" w:hAnsi="Arial"/>
          <w:sz w:val="18"/>
          <w:szCs w:val="18"/>
          <w:color w:val="auto"/>
        </w:rPr>
        <w:t>Continued to refine our client solutions product offering by launching new, innovative strategies and by rationalizing strategies with lower traction</w:t>
      </w:r>
    </w:p>
    <w:p>
      <w:pPr>
        <w:spacing w:after="0" w:line="108" w:lineRule="exact"/>
        <w:rPr>
          <w:rFonts w:ascii="Arial" w:cs="Arial" w:eastAsia="Arial" w:hAnsi="Arial"/>
          <w:sz w:val="18"/>
          <w:szCs w:val="18"/>
          <w:color w:val="004876"/>
        </w:rPr>
      </w:pPr>
    </w:p>
    <w:p>
      <w:pPr>
        <w:ind w:left="166" w:right="240" w:hanging="166"/>
        <w:spacing w:after="0"/>
        <w:tabs>
          <w:tab w:leader="none" w:pos="166" w:val="left"/>
        </w:tabs>
        <w:numPr>
          <w:ilvl w:val="0"/>
          <w:numId w:val="123"/>
        </w:numPr>
        <w:rPr>
          <w:rFonts w:ascii="Arial" w:cs="Arial" w:eastAsia="Arial" w:hAnsi="Arial"/>
          <w:sz w:val="18"/>
          <w:szCs w:val="18"/>
          <w:color w:val="004876"/>
        </w:rPr>
      </w:pPr>
      <w:r>
        <w:rPr>
          <w:rFonts w:ascii="Arial" w:cs="Arial" w:eastAsia="Arial" w:hAnsi="Arial"/>
          <w:sz w:val="18"/>
          <w:szCs w:val="18"/>
          <w:color w:val="auto"/>
        </w:rPr>
        <w:t>Focused on technology investments to enable better client and employee experience with 50% of total spend on growth initiatives</w:t>
      </w:r>
    </w:p>
    <w:p>
      <w:pPr>
        <w:spacing w:after="0" w:line="200" w:lineRule="exact"/>
        <w:rPr>
          <w:sz w:val="20"/>
          <w:szCs w:val="20"/>
          <w:color w:val="auto"/>
        </w:rPr>
      </w:pPr>
    </w:p>
    <w:p>
      <w:pPr>
        <w:ind w:left="6"/>
        <w:spacing w:after="0"/>
        <w:rPr>
          <w:sz w:val="20"/>
          <w:szCs w:val="20"/>
          <w:color w:val="auto"/>
        </w:rPr>
      </w:pPr>
      <w:r>
        <w:rPr>
          <w:rFonts w:ascii="Arial" w:cs="Arial" w:eastAsia="Arial" w:hAnsi="Arial"/>
          <w:sz w:val="20"/>
          <w:szCs w:val="20"/>
          <w:color w:val="004876"/>
        </w:rPr>
        <w:t>INVESTING IN OUR COMMUNITIES</w:t>
      </w:r>
    </w:p>
    <w:p>
      <w:pPr>
        <w:spacing w:after="0" w:line="29" w:lineRule="exact"/>
        <w:rPr>
          <w:sz w:val="20"/>
          <w:szCs w:val="20"/>
          <w:color w:val="auto"/>
        </w:rPr>
      </w:pPr>
    </w:p>
    <w:p>
      <w:pPr>
        <w:ind w:left="6" w:right="140"/>
        <w:spacing w:after="0" w:line="238" w:lineRule="auto"/>
        <w:rPr>
          <w:sz w:val="20"/>
          <w:szCs w:val="20"/>
          <w:color w:val="auto"/>
        </w:rPr>
      </w:pPr>
      <w:r>
        <w:rPr>
          <w:rFonts w:ascii="Arial" w:cs="Arial" w:eastAsia="Arial" w:hAnsi="Arial"/>
          <w:sz w:val="18"/>
          <w:szCs w:val="18"/>
          <w:color w:val="auto"/>
        </w:rPr>
        <w:t>We endeavor to promote inclusive economic growth and opportunity in communities where we operate. We also work to advance environmental sustainability within our business activities and facilities.</w:t>
      </w:r>
    </w:p>
    <w:p>
      <w:pPr>
        <w:spacing w:after="0" w:line="97" w:lineRule="exact"/>
        <w:rPr>
          <w:sz w:val="20"/>
          <w:szCs w:val="20"/>
          <w:color w:val="auto"/>
        </w:rPr>
      </w:pPr>
    </w:p>
    <w:p>
      <w:pPr>
        <w:ind w:left="6"/>
        <w:spacing w:after="0"/>
        <w:rPr>
          <w:sz w:val="20"/>
          <w:szCs w:val="20"/>
          <w:color w:val="auto"/>
        </w:rPr>
      </w:pPr>
      <w:r>
        <w:rPr>
          <w:rFonts w:ascii="Arial" w:cs="Arial" w:eastAsia="Arial" w:hAnsi="Arial"/>
          <w:sz w:val="18"/>
          <w:szCs w:val="18"/>
          <w:color w:val="auto"/>
        </w:rPr>
        <w:t>Highlights of our work include:</w:t>
      </w:r>
    </w:p>
    <w:p>
      <w:pPr>
        <w:spacing w:after="0" w:line="117" w:lineRule="exact"/>
        <w:rPr>
          <w:sz w:val="20"/>
          <w:szCs w:val="20"/>
          <w:color w:val="auto"/>
        </w:rPr>
      </w:pPr>
    </w:p>
    <w:p>
      <w:pPr>
        <w:ind w:left="166" w:right="60" w:hanging="166"/>
        <w:spacing w:after="0" w:line="235" w:lineRule="auto"/>
        <w:tabs>
          <w:tab w:leader="none" w:pos="166" w:val="left"/>
        </w:tabs>
        <w:numPr>
          <w:ilvl w:val="0"/>
          <w:numId w:val="124"/>
        </w:numPr>
        <w:rPr>
          <w:rFonts w:ascii="Arial" w:cs="Arial" w:eastAsia="Arial" w:hAnsi="Arial"/>
          <w:sz w:val="18"/>
          <w:szCs w:val="18"/>
          <w:color w:val="004876"/>
        </w:rPr>
      </w:pPr>
      <w:r>
        <w:rPr>
          <w:rFonts w:ascii="Arial" w:cs="Arial" w:eastAsia="Arial" w:hAnsi="Arial"/>
          <w:sz w:val="18"/>
          <w:szCs w:val="18"/>
          <w:color w:val="auto"/>
        </w:rPr>
        <w:t xml:space="preserve">Driving inclusive growth – The Firm continues to make progress toward its commitment to invest $1.75 billion by 2023 focused on breaking down barriers to opportunity and creating an economy that works for more people. Our efforts focus on four pillars of opportunity: jobs and skills, small business expansion, neighborhood revitalization and financial health. We are combining our business and policy expertise, sustainable business practices, data, capital and global presence to advance solutions that create economic opportunity for our customers, employees and the communities we serve. In 2019, we launched the JPMorgan Chase </w:t>
      </w:r>
      <w:r>
        <w:rPr>
          <w:rFonts w:ascii="Arial" w:cs="Arial" w:eastAsia="Arial" w:hAnsi="Arial"/>
          <w:sz w:val="18"/>
          <w:szCs w:val="18"/>
          <w:i w:val="1"/>
          <w:iCs w:val="1"/>
          <w:color w:val="auto"/>
        </w:rPr>
        <w:t>Policy</w:t>
      </w:r>
      <w:r>
        <w:rPr>
          <w:rFonts w:ascii="Arial" w:cs="Arial" w:eastAsia="Arial" w:hAnsi="Arial"/>
          <w:sz w:val="18"/>
          <w:szCs w:val="18"/>
          <w:color w:val="auto"/>
        </w:rPr>
        <w:t xml:space="preserve">Center, which aims to develop and advance sustainable, evidence-based policy solutions to drive inclusive growth in the U.S. and around the world. The first focus area for the </w:t>
      </w:r>
      <w:r>
        <w:rPr>
          <w:rFonts w:ascii="Arial" w:cs="Arial" w:eastAsia="Arial" w:hAnsi="Arial"/>
          <w:sz w:val="18"/>
          <w:szCs w:val="18"/>
          <w:i w:val="1"/>
          <w:iCs w:val="1"/>
          <w:color w:val="auto"/>
        </w:rPr>
        <w:t>Policy</w:t>
      </w:r>
      <w:r>
        <w:rPr>
          <w:rFonts w:ascii="Arial" w:cs="Arial" w:eastAsia="Arial" w:hAnsi="Arial"/>
          <w:sz w:val="18"/>
          <w:szCs w:val="18"/>
          <w:color w:val="auto"/>
        </w:rPr>
        <w:t>Center is advocating for federal and state policy changes to remove barriers to employment for people with criminal backgrounds. Also in 2019, we bolstered our strategy and renewed our commitment to prepare people for the future of work. We are investing $350 million over the next five years to develop, test and scale innovative efforts that prepare individuals with the skills they need to be successful in a rapidly changing economy.</w:t>
      </w:r>
    </w:p>
    <w:p>
      <w:pPr>
        <w:spacing w:after="0" w:line="117" w:lineRule="exact"/>
        <w:rPr>
          <w:rFonts w:ascii="Arial" w:cs="Arial" w:eastAsia="Arial" w:hAnsi="Arial"/>
          <w:sz w:val="18"/>
          <w:szCs w:val="18"/>
          <w:color w:val="004876"/>
        </w:rPr>
      </w:pPr>
    </w:p>
    <w:p>
      <w:pPr>
        <w:ind w:left="166" w:right="60" w:hanging="166"/>
        <w:spacing w:after="0" w:line="236" w:lineRule="auto"/>
        <w:tabs>
          <w:tab w:leader="none" w:pos="166" w:val="left"/>
        </w:tabs>
        <w:numPr>
          <w:ilvl w:val="0"/>
          <w:numId w:val="124"/>
        </w:numPr>
        <w:rPr>
          <w:rFonts w:ascii="Arial" w:cs="Arial" w:eastAsia="Arial" w:hAnsi="Arial"/>
          <w:sz w:val="18"/>
          <w:szCs w:val="18"/>
          <w:color w:val="004876"/>
        </w:rPr>
      </w:pPr>
      <w:r>
        <w:rPr>
          <w:rFonts w:ascii="Arial" w:cs="Arial" w:eastAsia="Arial" w:hAnsi="Arial"/>
          <w:sz w:val="18"/>
          <w:szCs w:val="18"/>
          <w:color w:val="auto"/>
        </w:rPr>
        <w:t>Advancing clean finance – One of the key ways we help our clients achieve their sustainability efforts is through our financing activities. In 2017, the Firm set a target to facilitate $200 billion in clean financing by 2025, and we expect to reach this goal ahead of schedule. In 2019 alone, we facilitated nearly $50 billion in clean financing. In 2020, we are expanding our financing commitment to include other efforts that address climate change and further promote sustainable development.</w:t>
      </w:r>
    </w:p>
    <w:p>
      <w:pPr>
        <w:spacing w:after="0" w:line="113" w:lineRule="exact"/>
        <w:rPr>
          <w:rFonts w:ascii="Arial" w:cs="Arial" w:eastAsia="Arial" w:hAnsi="Arial"/>
          <w:sz w:val="18"/>
          <w:szCs w:val="18"/>
          <w:color w:val="004876"/>
        </w:rPr>
      </w:pPr>
    </w:p>
    <w:p>
      <w:pPr>
        <w:ind w:left="166" w:right="100" w:hanging="166"/>
        <w:spacing w:after="0" w:line="238" w:lineRule="auto"/>
        <w:tabs>
          <w:tab w:leader="none" w:pos="166" w:val="left"/>
        </w:tabs>
        <w:numPr>
          <w:ilvl w:val="0"/>
          <w:numId w:val="124"/>
        </w:numPr>
        <w:rPr>
          <w:rFonts w:ascii="Arial" w:cs="Arial" w:eastAsia="Arial" w:hAnsi="Arial"/>
          <w:sz w:val="18"/>
          <w:szCs w:val="18"/>
          <w:color w:val="004876"/>
        </w:rPr>
      </w:pPr>
      <w:r>
        <w:rPr>
          <w:rFonts w:ascii="Arial" w:cs="Arial" w:eastAsia="Arial" w:hAnsi="Arial"/>
          <w:sz w:val="18"/>
          <w:szCs w:val="18"/>
          <w:color w:val="auto"/>
        </w:rPr>
        <w:t>Improving operational sustainability - In addition to offsetting 100% of carbon emissions from employee air travel each year, we are on track to meet our goal to source renewable energy for 100% of our global power needs across our buildings, branches, and data centers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-3566795</wp:posOffset>
            </wp:positionH>
            <wp:positionV relativeFrom="paragraph">
              <wp:posOffset>480695</wp:posOffset>
            </wp:positionV>
            <wp:extent cx="7029450" cy="19685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029450" cy="196850"/>
                    </a:xfrm>
                    <a:prstGeom prst="rect">
                      <a:avLst/>
                    </a:prstGeom>
                    <a:noFill/>
                  </pic:spPr>
                </pic:pic>
              </a:graphicData>
            </a:graphic>
          </wp:anchor>
        </w:drawing>
      </w:r>
    </w:p>
    <w:p>
      <w:pPr>
        <w:spacing w:after="0" w:line="457" w:lineRule="exact"/>
        <w:rPr>
          <w:sz w:val="20"/>
          <w:szCs w:val="20"/>
          <w:color w:val="auto"/>
        </w:rPr>
      </w:pPr>
    </w:p>
    <w:p>
      <w:pPr>
        <w:sectPr>
          <w:pgSz w:w="11900" w:h="16838" w:orient="portrait"/>
          <w:cols w:equalWidth="0" w:num="2">
            <w:col w:w="5380" w:space="354"/>
            <w:col w:w="5406"/>
          </w:cols>
          <w:pgMar w:left="320" w:top="459" w:right="439" w:bottom="1440" w:gutter="0" w:footer="0" w:header="0"/>
          <w:type w:val="continuous"/>
        </w:sectPr>
      </w:pPr>
    </w:p>
    <w:p>
      <w:pPr>
        <w:spacing w:after="0" w:line="377" w:lineRule="exact"/>
        <w:rPr>
          <w:sz w:val="20"/>
          <w:szCs w:val="20"/>
          <w:color w:val="auto"/>
        </w:rPr>
      </w:pPr>
    </w:p>
    <w:p>
      <w:pPr>
        <w:jc w:val="center"/>
        <w:ind w:right="-99"/>
        <w:spacing w:after="0"/>
        <w:rPr>
          <w:sz w:val="20"/>
          <w:szCs w:val="20"/>
          <w:color w:val="auto"/>
        </w:rPr>
      </w:pPr>
      <w:r>
        <w:rPr>
          <w:rFonts w:ascii="Arial" w:cs="Arial" w:eastAsia="Arial" w:hAnsi="Arial"/>
          <w:sz w:val="13"/>
          <w:szCs w:val="13"/>
          <w:b w:val="1"/>
          <w:bCs w:val="1"/>
          <w:color w:val="004876"/>
        </w:rPr>
        <w:t>58</w:t>
      </w:r>
    </w:p>
    <w:p>
      <w:pPr>
        <w:sectPr>
          <w:pgSz w:w="11900" w:h="16838" w:orient="portrait"/>
          <w:cols w:equalWidth="0" w:num="1">
            <w:col w:w="11140"/>
          </w:cols>
          <w:pgMar w:left="320" w:top="459" w:right="439" w:bottom="1440" w:gutter="0" w:footer="0" w:header="0"/>
          <w:type w:val="continuous"/>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04876"/>
        </w:rPr>
        <w:t>EXECUTIVE COMPENSATION | 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160655</wp:posOffset>
            </wp:positionV>
            <wp:extent cx="7029450" cy="26543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029450"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by the end of 2020 - and to do so in a way that maximizes the</w:t>
      </w:r>
    </w:p>
    <w:p>
      <w:pPr>
        <w:ind w:left="300"/>
        <w:spacing w:after="0"/>
        <w:rPr>
          <w:sz w:val="20"/>
          <w:szCs w:val="20"/>
          <w:color w:val="auto"/>
        </w:rPr>
      </w:pPr>
      <w:r>
        <w:rPr>
          <w:rFonts w:ascii="Arial" w:cs="Arial" w:eastAsia="Arial" w:hAnsi="Arial"/>
          <w:sz w:val="18"/>
          <w:szCs w:val="18"/>
          <w:color w:val="auto"/>
        </w:rPr>
        <w:t>impact through efforts that bring more renewable energy online.</w:t>
      </w:r>
    </w:p>
    <w:p>
      <w:pPr>
        <w:spacing w:after="0" w:line="117" w:lineRule="exact"/>
        <w:rPr>
          <w:sz w:val="20"/>
          <w:szCs w:val="20"/>
          <w:color w:val="auto"/>
        </w:rPr>
      </w:pPr>
    </w:p>
    <w:p>
      <w:pPr>
        <w:ind w:left="300" w:right="4859" w:hanging="184"/>
        <w:spacing w:after="0" w:line="236" w:lineRule="auto"/>
        <w:tabs>
          <w:tab w:leader="none" w:pos="300" w:val="left"/>
        </w:tabs>
        <w:numPr>
          <w:ilvl w:val="0"/>
          <w:numId w:val="125"/>
        </w:numPr>
        <w:rPr>
          <w:rFonts w:ascii="Arial" w:cs="Arial" w:eastAsia="Arial" w:hAnsi="Arial"/>
          <w:sz w:val="18"/>
          <w:szCs w:val="18"/>
          <w:color w:val="004876"/>
        </w:rPr>
      </w:pPr>
      <w:r>
        <w:rPr>
          <w:rFonts w:ascii="Arial" w:cs="Arial" w:eastAsia="Arial" w:hAnsi="Arial"/>
          <w:sz w:val="18"/>
          <w:szCs w:val="18"/>
          <w:color w:val="auto"/>
        </w:rPr>
        <w:t>Supporting environmental, social and governance disclosure – We have served as a member of the Task Force for Climate-related Financial Disclosures since it was established, and in 2019 we published a voluntary report about how we are addressing climate-related risks and opportunities. In 2020, we plan to complement our annual Environmental, Social and Governance (“ESG”) Report with an index that aligns to the Sustainability Accounting Standards Board (“SASB”).</w:t>
      </w:r>
    </w:p>
    <w:p>
      <w:pPr>
        <w:spacing w:after="0" w:line="113" w:lineRule="exact"/>
        <w:rPr>
          <w:rFonts w:ascii="Arial" w:cs="Arial" w:eastAsia="Arial" w:hAnsi="Arial"/>
          <w:sz w:val="18"/>
          <w:szCs w:val="18"/>
          <w:color w:val="004876"/>
        </w:rPr>
      </w:pPr>
    </w:p>
    <w:p>
      <w:pPr>
        <w:ind w:left="300" w:right="4939" w:hanging="184"/>
        <w:spacing w:after="0" w:line="238" w:lineRule="auto"/>
        <w:tabs>
          <w:tab w:leader="none" w:pos="300" w:val="left"/>
        </w:tabs>
        <w:numPr>
          <w:ilvl w:val="0"/>
          <w:numId w:val="125"/>
        </w:numPr>
        <w:rPr>
          <w:rFonts w:ascii="Arial" w:cs="Arial" w:eastAsia="Arial" w:hAnsi="Arial"/>
          <w:sz w:val="18"/>
          <w:szCs w:val="18"/>
          <w:color w:val="004876"/>
        </w:rPr>
      </w:pPr>
      <w:r>
        <w:rPr>
          <w:rFonts w:ascii="Arial" w:cs="Arial" w:eastAsia="Arial" w:hAnsi="Arial"/>
          <w:sz w:val="18"/>
          <w:szCs w:val="18"/>
          <w:color w:val="auto"/>
        </w:rPr>
        <w:t>Supporting military veterans - Since establishing the Office of Military and Veterans Affairs in 2011, our Firm has hired more than 15,000 U.S. military veterans across all lines of business and donated over 1,000 mortgage-free homes to veterans through our Military Home Awards program.</w:t>
      </w:r>
    </w:p>
    <w:p>
      <w:pPr>
        <w:spacing w:after="0" w:line="107" w:lineRule="exact"/>
        <w:rPr>
          <w:rFonts w:ascii="Arial" w:cs="Arial" w:eastAsia="Arial" w:hAnsi="Arial"/>
          <w:sz w:val="18"/>
          <w:szCs w:val="18"/>
          <w:color w:val="004876"/>
        </w:rPr>
      </w:pPr>
    </w:p>
    <w:p>
      <w:pPr>
        <w:ind w:left="300" w:right="4879" w:hanging="184"/>
        <w:spacing w:after="0" w:line="237" w:lineRule="auto"/>
        <w:tabs>
          <w:tab w:leader="none" w:pos="300" w:val="left"/>
        </w:tabs>
        <w:numPr>
          <w:ilvl w:val="0"/>
          <w:numId w:val="125"/>
        </w:numPr>
        <w:rPr>
          <w:rFonts w:ascii="Arial" w:cs="Arial" w:eastAsia="Arial" w:hAnsi="Arial"/>
          <w:sz w:val="18"/>
          <w:szCs w:val="18"/>
          <w:color w:val="004876"/>
        </w:rPr>
      </w:pPr>
      <w:r>
        <w:rPr>
          <w:rFonts w:ascii="Arial" w:cs="Arial" w:eastAsia="Arial" w:hAnsi="Arial"/>
          <w:sz w:val="18"/>
          <w:szCs w:val="18"/>
          <w:color w:val="auto"/>
        </w:rPr>
        <w:t>Providing skills and expertise - In 2019, nearly 73,000 of our employees volunteered more than 467,000 hours of their time. Through the JPMorgan Chase Service Corps, a program that leverages the energy and skills of top talent to assist nonprofit partners, 325 employee volunteers from offices in 14 countries have contributed nearly 20,000 hours to help 69 nonprofit organizations address critical needs.</w:t>
      </w:r>
    </w:p>
    <w:p>
      <w:pPr>
        <w:spacing w:after="0" w:line="203" w:lineRule="exact"/>
        <w:rPr>
          <w:sz w:val="20"/>
          <w:szCs w:val="20"/>
          <w:color w:val="auto"/>
        </w:rPr>
      </w:pPr>
    </w:p>
    <w:p>
      <w:pPr>
        <w:ind w:left="120"/>
        <w:spacing w:after="0"/>
        <w:rPr>
          <w:sz w:val="20"/>
          <w:szCs w:val="20"/>
          <w:color w:val="auto"/>
        </w:rPr>
      </w:pPr>
      <w:r>
        <w:rPr>
          <w:rFonts w:ascii="Arial" w:cs="Arial" w:eastAsia="Arial" w:hAnsi="Arial"/>
          <w:sz w:val="18"/>
          <w:szCs w:val="18"/>
          <w:color w:val="004876"/>
        </w:rPr>
        <w:t>Reporting on our efforts</w:t>
      </w:r>
    </w:p>
    <w:p>
      <w:pPr>
        <w:spacing w:after="0" w:line="36" w:lineRule="exact"/>
        <w:rPr>
          <w:sz w:val="20"/>
          <w:szCs w:val="20"/>
          <w:color w:val="auto"/>
        </w:rPr>
      </w:pPr>
    </w:p>
    <w:p>
      <w:pPr>
        <w:ind w:left="120" w:right="4819"/>
        <w:spacing w:after="0" w:line="237" w:lineRule="auto"/>
        <w:rPr>
          <w:sz w:val="20"/>
          <w:szCs w:val="20"/>
          <w:color w:val="auto"/>
        </w:rPr>
      </w:pPr>
      <w:r>
        <w:rPr>
          <w:rFonts w:ascii="Arial" w:cs="Arial" w:eastAsia="Arial" w:hAnsi="Arial"/>
          <w:sz w:val="18"/>
          <w:szCs w:val="18"/>
          <w:color w:val="auto"/>
        </w:rPr>
        <w:t>Each spring we publish a dedicated ESG Report, which summarizes our efforts and performance on ESG matters that we and our stakeholders view as among the most important to our business. This report and other resources, including our Corporate Responsibility Report, are available on our website at jpmorganchase.com/esg.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335915</wp:posOffset>
            </wp:positionV>
            <wp:extent cx="7029450" cy="19685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029450" cy="19685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left="5540"/>
        <w:spacing w:after="0"/>
        <w:rPr>
          <w:sz w:val="20"/>
          <w:szCs w:val="20"/>
          <w:color w:val="auto"/>
        </w:rPr>
      </w:pPr>
      <w:r>
        <w:rPr>
          <w:rFonts w:ascii="Arial" w:cs="Arial" w:eastAsia="Arial" w:hAnsi="Arial"/>
          <w:sz w:val="13"/>
          <w:szCs w:val="13"/>
          <w:b w:val="1"/>
          <w:bCs w:val="1"/>
          <w:color w:val="004876"/>
        </w:rPr>
        <w:t>59</w:t>
      </w:r>
    </w:p>
    <w:p>
      <w:pPr>
        <w:sectPr>
          <w:pgSz w:w="11900" w:h="16838" w:orient="portrait"/>
          <w:cols w:equalWidth="0" w:num="1">
            <w:col w:w="10139"/>
          </w:cols>
          <w:pgMar w:left="320" w:top="459" w:right="1440"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4876"/>
        </w:rPr>
        <w:t>COMPENSATION DISCUSSION AND ANALYSIS |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160655</wp:posOffset>
            </wp:positionV>
            <wp:extent cx="7029450" cy="26543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029450"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20"/>
        <w:spacing w:after="0"/>
        <w:rPr>
          <w:sz w:val="20"/>
          <w:szCs w:val="20"/>
          <w:color w:val="auto"/>
        </w:rPr>
      </w:pPr>
      <w:r>
        <w:rPr>
          <w:rFonts w:ascii="Arial" w:cs="Arial" w:eastAsia="Arial" w:hAnsi="Arial"/>
          <w:sz w:val="29"/>
          <w:szCs w:val="29"/>
          <w:color w:val="004876"/>
        </w:rPr>
        <w:t>Teamwork &amp; leadership</w:t>
      </w:r>
    </w:p>
    <w:p>
      <w:pPr>
        <w:spacing w:after="0" w:line="115" w:lineRule="exact"/>
        <w:rPr>
          <w:sz w:val="20"/>
          <w:szCs w:val="20"/>
          <w:color w:val="auto"/>
        </w:rPr>
      </w:pPr>
    </w:p>
    <w:p>
      <w:pPr>
        <w:jc w:val="both"/>
        <w:ind w:left="120" w:right="140"/>
        <w:spacing w:after="0"/>
        <w:rPr>
          <w:sz w:val="20"/>
          <w:szCs w:val="20"/>
          <w:color w:val="auto"/>
        </w:rPr>
      </w:pPr>
      <w:r>
        <w:rPr>
          <w:rFonts w:ascii="Arial" w:cs="Arial" w:eastAsia="Arial" w:hAnsi="Arial"/>
          <w:sz w:val="18"/>
          <w:szCs w:val="18"/>
          <w:color w:val="auto"/>
        </w:rPr>
        <w:t>Our employees’ effectiveness, career development and ability to adapt to a changing landscape enables continued delivery of sustained shareholder value. In order to attract and retain the highest quality talent, we develop key talent and succession plans, invest in Firmwide diversity and inclusion initiatives, and provide well-paid jobs with strong benefits and wellness programs.</w:t>
      </w:r>
    </w:p>
    <w:p>
      <w:pPr>
        <w:spacing w:after="0" w:line="200" w:lineRule="exact"/>
        <w:rPr>
          <w:sz w:val="20"/>
          <w:szCs w:val="20"/>
          <w:color w:val="auto"/>
        </w:rPr>
      </w:pPr>
    </w:p>
    <w:p>
      <w:pPr>
        <w:ind w:left="120"/>
        <w:spacing w:after="0"/>
        <w:rPr>
          <w:sz w:val="20"/>
          <w:szCs w:val="20"/>
          <w:color w:val="auto"/>
        </w:rPr>
      </w:pPr>
      <w:r>
        <w:rPr>
          <w:rFonts w:ascii="Arial" w:cs="Arial" w:eastAsia="Arial" w:hAnsi="Arial"/>
          <w:sz w:val="20"/>
          <w:szCs w:val="20"/>
          <w:color w:val="004876"/>
        </w:rPr>
        <w:t>SUCCESSION PLANNING</w:t>
      </w:r>
    </w:p>
    <w:p>
      <w:pPr>
        <w:spacing w:after="0" w:line="29" w:lineRule="exact"/>
        <w:rPr>
          <w:sz w:val="20"/>
          <w:szCs w:val="20"/>
          <w:color w:val="auto"/>
        </w:rPr>
      </w:pPr>
    </w:p>
    <w:p>
      <w:pPr>
        <w:ind w:left="120" w:right="100"/>
        <w:spacing w:after="0" w:line="238" w:lineRule="auto"/>
        <w:rPr>
          <w:sz w:val="20"/>
          <w:szCs w:val="20"/>
          <w:color w:val="auto"/>
        </w:rPr>
      </w:pPr>
      <w:r>
        <w:rPr>
          <w:rFonts w:ascii="Arial" w:cs="Arial" w:eastAsia="Arial" w:hAnsi="Arial"/>
          <w:sz w:val="18"/>
          <w:szCs w:val="18"/>
          <w:color w:val="auto"/>
        </w:rPr>
        <w:t>Succession planning is a top priority for the Board and the Firm’s senior leadership, with the objective of having a pipeline of diverse leaders for today and the future. To achieve this objective, the Board and management take a proactive approach. We have established a disciplined talent management and succession planning process at the senior level, including each OC member holding a talent review discussion with their management teams, and identifying successors to their direct reports.</w:t>
      </w:r>
    </w:p>
    <w:p>
      <w:pPr>
        <w:spacing w:after="0" w:line="97"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The CMDC reviews the succession plan for the CEO followed by discussion with the non-executive directors of the Board led by the Lead Independent Director. The CMDC also reviews the succession plan for members of the Operating Committee other than the CEO, which is then discussed by the Board of Directors. These processes enable the Board to address both long-term planned occurrences, such as retirement or change in roles, as well as short-term unexpected events. Similar processes, led by the relevant management team, occur within each LOB and function.</w:t>
      </w:r>
    </w:p>
    <w:p>
      <w:pPr>
        <w:spacing w:after="0" w:line="94" w:lineRule="exact"/>
        <w:rPr>
          <w:sz w:val="20"/>
          <w:szCs w:val="20"/>
          <w:color w:val="auto"/>
        </w:rPr>
      </w:pPr>
    </w:p>
    <w:p>
      <w:pPr>
        <w:ind w:left="120" w:right="300"/>
        <w:spacing w:after="0" w:line="274" w:lineRule="auto"/>
        <w:rPr>
          <w:sz w:val="20"/>
          <w:szCs w:val="20"/>
          <w:color w:val="auto"/>
        </w:rPr>
      </w:pPr>
      <w:r>
        <w:rPr>
          <w:rFonts w:ascii="Arial" w:cs="Arial" w:eastAsia="Arial" w:hAnsi="Arial"/>
          <w:sz w:val="17"/>
          <w:szCs w:val="17"/>
          <w:color w:val="auto"/>
        </w:rPr>
        <w:t>We have continued to enhance our talent data and reporting capabilities to drive manager engagement and accountability in processes such as identifying mobility opportunities and monitoring the promotion pipeline for Managing Directors and Executive Directors.</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20"/>
          <w:szCs w:val="20"/>
          <w:color w:val="004876"/>
        </w:rPr>
        <w:t>DIVERSITY AND INCLUSION</w:t>
      </w:r>
    </w:p>
    <w:p>
      <w:pPr>
        <w:spacing w:after="0" w:line="29" w:lineRule="exact"/>
        <w:rPr>
          <w:sz w:val="20"/>
          <w:szCs w:val="20"/>
          <w:color w:val="auto"/>
        </w:rPr>
      </w:pPr>
    </w:p>
    <w:p>
      <w:pPr>
        <w:ind w:left="120" w:right="360"/>
        <w:spacing w:after="0" w:line="238" w:lineRule="auto"/>
        <w:rPr>
          <w:sz w:val="20"/>
          <w:szCs w:val="20"/>
          <w:color w:val="auto"/>
        </w:rPr>
      </w:pPr>
      <w:r>
        <w:rPr>
          <w:rFonts w:ascii="Arial" w:cs="Arial" w:eastAsia="Arial" w:hAnsi="Arial"/>
          <w:sz w:val="18"/>
          <w:szCs w:val="18"/>
          <w:color w:val="auto"/>
        </w:rPr>
        <w:t>Diversity and inclusion are of strategic importance to the Firm. We are committed to a culture of respect and believe that all individuals should have the opportunity to succeed. We believe a diverse and inclusive environment fosters innovation, creativity and productivity, which is critical to our success. We are committed to hiring and retaining employees from all races, ethnicities, genders, sexual orientations, abilities, backgrounds, experiences and locations.</w:t>
      </w:r>
    </w:p>
    <w:p>
      <w:pPr>
        <w:spacing w:after="0" w:line="97" w:lineRule="exact"/>
        <w:rPr>
          <w:sz w:val="20"/>
          <w:szCs w:val="20"/>
          <w:color w:val="auto"/>
        </w:rPr>
      </w:pPr>
    </w:p>
    <w:p>
      <w:pPr>
        <w:ind w:left="120" w:right="260"/>
        <w:spacing w:after="0" w:line="238" w:lineRule="auto"/>
        <w:rPr>
          <w:sz w:val="20"/>
          <w:szCs w:val="20"/>
          <w:color w:val="auto"/>
        </w:rPr>
      </w:pPr>
      <w:r>
        <w:rPr>
          <w:rFonts w:ascii="Arial" w:cs="Arial" w:eastAsia="Arial" w:hAnsi="Arial"/>
          <w:sz w:val="18"/>
          <w:szCs w:val="18"/>
          <w:color w:val="auto"/>
        </w:rPr>
        <w:t>We are focused on being an employer of choice for all talent, where employees can feel like they belong. As a firm, we strive to embed diversity, inclusion and accessibility into the way we do business every day. While we are proud of the industry recognition our Firm and leaders have received, we continue to be deliberate about our investment in women, the Black community, those with disabilities, our veterans, the LGBT+ community, the Asian community and the Hispanic community.</w:t>
      </w:r>
    </w:p>
    <w:p>
      <w:pPr>
        <w:spacing w:after="0" w:line="97"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We continue to invest significant time and effort toward executing diversity and inclusion best practices Firmwide. Our Business Resource Groups (“BRGs”) are groups of employees who volunteer to advance our Firm’s position in the global marketplace and diversity and inclusion strategies by leveraging the unique perspectives of their members. Our 10 BRGs are an essential part of the foundation that helps create an inclusive environment, with approximately 43% of our employees being a member of at least one BRG. Overall, our BRGs focus on providing support for various communities:</w:t>
      </w:r>
    </w:p>
    <w:p>
      <w:pPr>
        <w:sectPr>
          <w:pgSz w:w="11900" w:h="16838" w:orient="portrait"/>
          <w:cols w:equalWidth="0" w:num="1">
            <w:col w:w="11140"/>
          </w:cols>
          <w:pgMar w:left="320" w:top="459" w:right="439" w:bottom="1440" w:gutter="0" w:footer="0" w:header="0"/>
        </w:sectPr>
      </w:pPr>
    </w:p>
    <w:p>
      <w:pPr>
        <w:spacing w:after="0" w:line="140" w:lineRule="exact"/>
        <w:rPr>
          <w:sz w:val="20"/>
          <w:szCs w:val="20"/>
          <w:color w:val="auto"/>
        </w:rPr>
      </w:pPr>
    </w:p>
    <w:p>
      <w:pPr>
        <w:ind w:left="300" w:hanging="184"/>
        <w:spacing w:after="0"/>
        <w:tabs>
          <w:tab w:leader="none" w:pos="300" w:val="left"/>
        </w:tabs>
        <w:numPr>
          <w:ilvl w:val="0"/>
          <w:numId w:val="126"/>
        </w:numPr>
        <w:rPr>
          <w:rFonts w:ascii="Arial" w:cs="Arial" w:eastAsia="Arial" w:hAnsi="Arial"/>
          <w:sz w:val="17"/>
          <w:szCs w:val="17"/>
          <w:color w:val="004876"/>
        </w:rPr>
      </w:pPr>
      <w:r>
        <w:rPr>
          <w:rFonts w:ascii="Arial" w:cs="Arial" w:eastAsia="Arial" w:hAnsi="Arial"/>
          <w:sz w:val="17"/>
          <w:szCs w:val="17"/>
          <w:b w:val="1"/>
          <w:bCs w:val="1"/>
          <w:color w:val="auto"/>
        </w:rPr>
        <w:t xml:space="preserve">Access Ability </w:t>
      </w:r>
      <w:r>
        <w:rPr>
          <w:rFonts w:ascii="Arial" w:cs="Arial" w:eastAsia="Arial" w:hAnsi="Arial"/>
          <w:sz w:val="17"/>
          <w:szCs w:val="17"/>
          <w:color w:val="auto"/>
        </w:rPr>
        <w:t>(employees with disabilities)</w:t>
      </w:r>
    </w:p>
    <w:p>
      <w:pPr>
        <w:spacing w:after="0" w:line="128" w:lineRule="exact"/>
        <w:rPr>
          <w:rFonts w:ascii="Arial" w:cs="Arial" w:eastAsia="Arial" w:hAnsi="Arial"/>
          <w:sz w:val="17"/>
          <w:szCs w:val="17"/>
          <w:color w:val="004876"/>
        </w:rPr>
      </w:pPr>
    </w:p>
    <w:p>
      <w:pPr>
        <w:ind w:left="300" w:hanging="184"/>
        <w:spacing w:after="0"/>
        <w:tabs>
          <w:tab w:leader="none" w:pos="300" w:val="left"/>
        </w:tabs>
        <w:numPr>
          <w:ilvl w:val="0"/>
          <w:numId w:val="126"/>
        </w:numPr>
        <w:rPr>
          <w:rFonts w:ascii="Arial" w:cs="Arial" w:eastAsia="Arial" w:hAnsi="Arial"/>
          <w:sz w:val="18"/>
          <w:szCs w:val="18"/>
          <w:color w:val="004876"/>
        </w:rPr>
      </w:pPr>
      <w:r>
        <w:rPr>
          <w:rFonts w:ascii="Arial" w:cs="Arial" w:eastAsia="Arial" w:hAnsi="Arial"/>
          <w:sz w:val="18"/>
          <w:szCs w:val="18"/>
          <w:b w:val="1"/>
          <w:bCs w:val="1"/>
          <w:color w:val="auto"/>
        </w:rPr>
        <w:t xml:space="preserve">Adelante </w:t>
      </w:r>
      <w:r>
        <w:rPr>
          <w:rFonts w:ascii="Arial" w:cs="Arial" w:eastAsia="Arial" w:hAnsi="Arial"/>
          <w:sz w:val="18"/>
          <w:szCs w:val="18"/>
          <w:color w:val="auto"/>
        </w:rPr>
        <w:t>(Hispanic/Latino)</w:t>
      </w:r>
    </w:p>
    <w:p>
      <w:pPr>
        <w:spacing w:after="0" w:line="117" w:lineRule="exact"/>
        <w:rPr>
          <w:rFonts w:ascii="Arial" w:cs="Arial" w:eastAsia="Arial" w:hAnsi="Arial"/>
          <w:sz w:val="18"/>
          <w:szCs w:val="18"/>
          <w:color w:val="004876"/>
        </w:rPr>
      </w:pPr>
    </w:p>
    <w:p>
      <w:pPr>
        <w:ind w:left="300" w:hanging="184"/>
        <w:spacing w:after="0"/>
        <w:tabs>
          <w:tab w:leader="none" w:pos="300" w:val="left"/>
        </w:tabs>
        <w:numPr>
          <w:ilvl w:val="0"/>
          <w:numId w:val="126"/>
        </w:numPr>
        <w:rPr>
          <w:rFonts w:ascii="Arial" w:cs="Arial" w:eastAsia="Arial" w:hAnsi="Arial"/>
          <w:sz w:val="18"/>
          <w:szCs w:val="18"/>
          <w:color w:val="004876"/>
        </w:rPr>
      </w:pPr>
      <w:r>
        <w:rPr>
          <w:rFonts w:ascii="Arial" w:cs="Arial" w:eastAsia="Arial" w:hAnsi="Arial"/>
          <w:sz w:val="18"/>
          <w:szCs w:val="18"/>
          <w:b w:val="1"/>
          <w:bCs w:val="1"/>
          <w:color w:val="auto"/>
        </w:rPr>
        <w:t xml:space="preserve">AsPIRE </w:t>
      </w:r>
      <w:r>
        <w:rPr>
          <w:rFonts w:ascii="Arial" w:cs="Arial" w:eastAsia="Arial" w:hAnsi="Arial"/>
          <w:sz w:val="18"/>
          <w:szCs w:val="18"/>
          <w:color w:val="auto"/>
        </w:rPr>
        <w:t>(Asian/Pacific Islander)</w:t>
      </w:r>
    </w:p>
    <w:p>
      <w:pPr>
        <w:spacing w:after="0" w:line="117" w:lineRule="exact"/>
        <w:rPr>
          <w:rFonts w:ascii="Arial" w:cs="Arial" w:eastAsia="Arial" w:hAnsi="Arial"/>
          <w:sz w:val="18"/>
          <w:szCs w:val="18"/>
          <w:color w:val="004876"/>
        </w:rPr>
      </w:pPr>
    </w:p>
    <w:p>
      <w:pPr>
        <w:ind w:left="300" w:hanging="184"/>
        <w:spacing w:after="0"/>
        <w:tabs>
          <w:tab w:leader="none" w:pos="300" w:val="left"/>
        </w:tabs>
        <w:numPr>
          <w:ilvl w:val="0"/>
          <w:numId w:val="126"/>
        </w:numPr>
        <w:rPr>
          <w:rFonts w:ascii="Arial" w:cs="Arial" w:eastAsia="Arial" w:hAnsi="Arial"/>
          <w:sz w:val="18"/>
          <w:szCs w:val="18"/>
          <w:color w:val="004876"/>
        </w:rPr>
      </w:pPr>
      <w:r>
        <w:rPr>
          <w:rFonts w:ascii="Arial" w:cs="Arial" w:eastAsia="Arial" w:hAnsi="Arial"/>
          <w:sz w:val="18"/>
          <w:szCs w:val="18"/>
          <w:b w:val="1"/>
          <w:bCs w:val="1"/>
          <w:color w:val="auto"/>
        </w:rPr>
        <w:t xml:space="preserve">BOLD </w:t>
      </w:r>
      <w:r>
        <w:rPr>
          <w:rFonts w:ascii="Arial" w:cs="Arial" w:eastAsia="Arial" w:hAnsi="Arial"/>
          <w:sz w:val="18"/>
          <w:szCs w:val="18"/>
          <w:color w:val="auto"/>
        </w:rPr>
        <w:t>(Black)</w:t>
      </w:r>
    </w:p>
    <w:p>
      <w:pPr>
        <w:spacing w:after="0" w:line="117" w:lineRule="exact"/>
        <w:rPr>
          <w:rFonts w:ascii="Arial" w:cs="Arial" w:eastAsia="Arial" w:hAnsi="Arial"/>
          <w:sz w:val="18"/>
          <w:szCs w:val="18"/>
          <w:color w:val="004876"/>
        </w:rPr>
      </w:pPr>
    </w:p>
    <w:p>
      <w:pPr>
        <w:ind w:left="300" w:hanging="184"/>
        <w:spacing w:after="0"/>
        <w:tabs>
          <w:tab w:leader="none" w:pos="300" w:val="left"/>
        </w:tabs>
        <w:numPr>
          <w:ilvl w:val="0"/>
          <w:numId w:val="126"/>
        </w:numPr>
        <w:rPr>
          <w:rFonts w:ascii="Arial" w:cs="Arial" w:eastAsia="Arial" w:hAnsi="Arial"/>
          <w:sz w:val="18"/>
          <w:szCs w:val="18"/>
          <w:color w:val="004876"/>
        </w:rPr>
      </w:pPr>
      <w:r>
        <w:rPr>
          <w:rFonts w:ascii="Arial" w:cs="Arial" w:eastAsia="Arial" w:hAnsi="Arial"/>
          <w:sz w:val="18"/>
          <w:szCs w:val="18"/>
          <w:b w:val="1"/>
          <w:bCs w:val="1"/>
          <w:color w:val="auto"/>
        </w:rPr>
        <w:t xml:space="preserve">NextGen </w:t>
      </w:r>
      <w:r>
        <w:rPr>
          <w:rFonts w:ascii="Arial" w:cs="Arial" w:eastAsia="Arial" w:hAnsi="Arial"/>
          <w:sz w:val="18"/>
          <w:szCs w:val="18"/>
          <w:color w:val="auto"/>
        </w:rPr>
        <w:t>(early career professionals)</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left="166" w:hanging="166"/>
        <w:spacing w:after="0"/>
        <w:tabs>
          <w:tab w:leader="none" w:pos="166" w:val="left"/>
        </w:tabs>
        <w:numPr>
          <w:ilvl w:val="0"/>
          <w:numId w:val="127"/>
        </w:numPr>
        <w:rPr>
          <w:rFonts w:ascii="Arial" w:cs="Arial" w:eastAsia="Arial" w:hAnsi="Arial"/>
          <w:sz w:val="18"/>
          <w:szCs w:val="18"/>
          <w:color w:val="004876"/>
        </w:rPr>
      </w:pPr>
      <w:r>
        <w:rPr>
          <w:rFonts w:ascii="Arial" w:cs="Arial" w:eastAsia="Arial" w:hAnsi="Arial"/>
          <w:sz w:val="18"/>
          <w:szCs w:val="18"/>
          <w:b w:val="1"/>
          <w:bCs w:val="1"/>
          <w:color w:val="auto"/>
        </w:rPr>
        <w:t xml:space="preserve">Pride </w:t>
      </w:r>
      <w:r>
        <w:rPr>
          <w:rFonts w:ascii="Arial" w:cs="Arial" w:eastAsia="Arial" w:hAnsi="Arial"/>
          <w:sz w:val="18"/>
          <w:szCs w:val="18"/>
          <w:color w:val="auto"/>
        </w:rPr>
        <w:t>(LGBT+)</w:t>
      </w:r>
    </w:p>
    <w:p>
      <w:pPr>
        <w:spacing w:after="0" w:line="117" w:lineRule="exact"/>
        <w:rPr>
          <w:rFonts w:ascii="Arial" w:cs="Arial" w:eastAsia="Arial" w:hAnsi="Arial"/>
          <w:sz w:val="18"/>
          <w:szCs w:val="18"/>
          <w:color w:val="004876"/>
        </w:rPr>
      </w:pPr>
    </w:p>
    <w:p>
      <w:pPr>
        <w:ind w:left="166" w:hanging="166"/>
        <w:spacing w:after="0"/>
        <w:tabs>
          <w:tab w:leader="none" w:pos="166" w:val="left"/>
        </w:tabs>
        <w:numPr>
          <w:ilvl w:val="0"/>
          <w:numId w:val="127"/>
        </w:numPr>
        <w:rPr>
          <w:rFonts w:ascii="Arial" w:cs="Arial" w:eastAsia="Arial" w:hAnsi="Arial"/>
          <w:sz w:val="18"/>
          <w:szCs w:val="18"/>
          <w:color w:val="004876"/>
        </w:rPr>
      </w:pPr>
      <w:r>
        <w:rPr>
          <w:rFonts w:ascii="Arial" w:cs="Arial" w:eastAsia="Arial" w:hAnsi="Arial"/>
          <w:sz w:val="18"/>
          <w:szCs w:val="18"/>
          <w:b w:val="1"/>
          <w:bCs w:val="1"/>
          <w:color w:val="auto"/>
        </w:rPr>
        <w:t xml:space="preserve">Sage </w:t>
      </w:r>
      <w:r>
        <w:rPr>
          <w:rFonts w:ascii="Arial" w:cs="Arial" w:eastAsia="Arial" w:hAnsi="Arial"/>
          <w:sz w:val="18"/>
          <w:szCs w:val="18"/>
          <w:color w:val="auto"/>
        </w:rPr>
        <w:t>(administrative professionals)</w:t>
      </w:r>
    </w:p>
    <w:p>
      <w:pPr>
        <w:spacing w:after="0" w:line="117" w:lineRule="exact"/>
        <w:rPr>
          <w:rFonts w:ascii="Arial" w:cs="Arial" w:eastAsia="Arial" w:hAnsi="Arial"/>
          <w:sz w:val="18"/>
          <w:szCs w:val="18"/>
          <w:color w:val="004876"/>
        </w:rPr>
      </w:pPr>
    </w:p>
    <w:p>
      <w:pPr>
        <w:ind w:left="166" w:hanging="166"/>
        <w:spacing w:after="0"/>
        <w:tabs>
          <w:tab w:leader="none" w:pos="166" w:val="left"/>
        </w:tabs>
        <w:numPr>
          <w:ilvl w:val="0"/>
          <w:numId w:val="127"/>
        </w:numPr>
        <w:rPr>
          <w:rFonts w:ascii="Arial" w:cs="Arial" w:eastAsia="Arial" w:hAnsi="Arial"/>
          <w:sz w:val="17"/>
          <w:szCs w:val="17"/>
          <w:color w:val="004876"/>
        </w:rPr>
      </w:pPr>
      <w:r>
        <w:rPr>
          <w:rFonts w:ascii="Arial" w:cs="Arial" w:eastAsia="Arial" w:hAnsi="Arial"/>
          <w:sz w:val="17"/>
          <w:szCs w:val="17"/>
          <w:b w:val="1"/>
          <w:bCs w:val="1"/>
          <w:color w:val="auto"/>
        </w:rPr>
        <w:t xml:space="preserve">VETS </w:t>
      </w:r>
      <w:r>
        <w:rPr>
          <w:rFonts w:ascii="Arial" w:cs="Arial" w:eastAsia="Arial" w:hAnsi="Arial"/>
          <w:sz w:val="17"/>
          <w:szCs w:val="17"/>
          <w:color w:val="auto"/>
        </w:rPr>
        <w:t>(military, veterans, and their families)</w:t>
      </w:r>
    </w:p>
    <w:p>
      <w:pPr>
        <w:spacing w:after="0" w:line="128" w:lineRule="exact"/>
        <w:rPr>
          <w:rFonts w:ascii="Arial" w:cs="Arial" w:eastAsia="Arial" w:hAnsi="Arial"/>
          <w:sz w:val="17"/>
          <w:szCs w:val="17"/>
          <w:color w:val="004876"/>
        </w:rPr>
      </w:pPr>
    </w:p>
    <w:p>
      <w:pPr>
        <w:ind w:left="166" w:hanging="166"/>
        <w:spacing w:after="0"/>
        <w:tabs>
          <w:tab w:leader="none" w:pos="166" w:val="left"/>
        </w:tabs>
        <w:numPr>
          <w:ilvl w:val="0"/>
          <w:numId w:val="127"/>
        </w:numPr>
        <w:rPr>
          <w:rFonts w:ascii="Arial" w:cs="Arial" w:eastAsia="Arial" w:hAnsi="Arial"/>
          <w:sz w:val="17"/>
          <w:szCs w:val="17"/>
          <w:color w:val="004876"/>
        </w:rPr>
      </w:pPr>
      <w:r>
        <w:rPr>
          <w:rFonts w:ascii="Arial" w:cs="Arial" w:eastAsia="Arial" w:hAnsi="Arial"/>
          <w:sz w:val="17"/>
          <w:szCs w:val="17"/>
          <w:b w:val="1"/>
          <w:bCs w:val="1"/>
          <w:color w:val="auto"/>
        </w:rPr>
        <w:t>Women on the Move Interactive Network</w:t>
      </w:r>
    </w:p>
    <w:p>
      <w:pPr>
        <w:spacing w:after="0" w:line="128" w:lineRule="exact"/>
        <w:rPr>
          <w:rFonts w:ascii="Arial" w:cs="Arial" w:eastAsia="Arial" w:hAnsi="Arial"/>
          <w:sz w:val="17"/>
          <w:szCs w:val="17"/>
          <w:color w:val="004876"/>
        </w:rPr>
      </w:pPr>
    </w:p>
    <w:p>
      <w:pPr>
        <w:ind w:left="166" w:hanging="166"/>
        <w:spacing w:after="0"/>
        <w:tabs>
          <w:tab w:leader="none" w:pos="166" w:val="left"/>
        </w:tabs>
        <w:numPr>
          <w:ilvl w:val="0"/>
          <w:numId w:val="127"/>
        </w:numPr>
        <w:rPr>
          <w:rFonts w:ascii="Arial" w:cs="Arial" w:eastAsia="Arial" w:hAnsi="Arial"/>
          <w:sz w:val="18"/>
          <w:szCs w:val="18"/>
          <w:color w:val="004876"/>
        </w:rPr>
      </w:pPr>
      <w:r>
        <w:rPr>
          <w:rFonts w:ascii="Arial" w:cs="Arial" w:eastAsia="Arial" w:hAnsi="Arial"/>
          <w:sz w:val="18"/>
          <w:szCs w:val="18"/>
          <w:b w:val="1"/>
          <w:bCs w:val="1"/>
          <w:color w:val="auto"/>
        </w:rPr>
        <w:t>Working Families Network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-3566795</wp:posOffset>
            </wp:positionH>
            <wp:positionV relativeFrom="paragraph">
              <wp:posOffset>346075</wp:posOffset>
            </wp:positionV>
            <wp:extent cx="7029450" cy="19685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029450" cy="1968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14" w:space="720"/>
            <w:col w:w="5406"/>
          </w:cols>
          <w:pgMar w:left="320" w:top="459" w:right="439" w:bottom="144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jc w:val="center"/>
        <w:ind w:right="-99"/>
        <w:spacing w:after="0"/>
        <w:rPr>
          <w:sz w:val="20"/>
          <w:szCs w:val="20"/>
          <w:color w:val="auto"/>
        </w:rPr>
      </w:pPr>
      <w:r>
        <w:rPr>
          <w:rFonts w:ascii="Arial" w:cs="Arial" w:eastAsia="Arial" w:hAnsi="Arial"/>
          <w:sz w:val="13"/>
          <w:szCs w:val="13"/>
          <w:b w:val="1"/>
          <w:bCs w:val="1"/>
          <w:color w:val="004876"/>
        </w:rPr>
        <w:t>60</w:t>
      </w:r>
    </w:p>
    <w:p>
      <w:pPr>
        <w:sectPr>
          <w:pgSz w:w="11900" w:h="16838" w:orient="portrait"/>
          <w:cols w:equalWidth="0" w:num="1">
            <w:col w:w="11140"/>
          </w:cols>
          <w:pgMar w:left="320" w:top="459" w:right="439" w:bottom="1440" w:gutter="0" w:footer="0" w:header="0"/>
          <w:type w:val="continuous"/>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04876"/>
        </w:rPr>
        <w:t>EXECUTIVE COMPENSATION | 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160655</wp:posOffset>
            </wp:positionV>
            <wp:extent cx="7029450" cy="26543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029450"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 addition to our BRGs, we have developed other strategies as well as created senior level forums to promote diversity and inclusion: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81915</wp:posOffset>
            </wp:positionV>
            <wp:extent cx="977265" cy="13544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977265" cy="13544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174" w:lineRule="exact"/>
        <w:rPr>
          <w:sz w:val="20"/>
          <w:szCs w:val="20"/>
          <w:color w:val="auto"/>
        </w:rPr>
      </w:pPr>
    </w:p>
    <w:p>
      <w:pPr>
        <w:jc w:val="right"/>
        <w:ind w:left="420"/>
        <w:spacing w:after="0" w:line="253" w:lineRule="auto"/>
        <w:rPr>
          <w:sz w:val="20"/>
          <w:szCs w:val="20"/>
          <w:color w:val="auto"/>
        </w:rPr>
      </w:pPr>
      <w:r>
        <w:rPr>
          <w:rFonts w:ascii="Arial" w:cs="Arial" w:eastAsia="Arial" w:hAnsi="Arial"/>
          <w:sz w:val="18"/>
          <w:szCs w:val="18"/>
          <w:b w:val="1"/>
          <w:bCs w:val="1"/>
          <w:color w:val="FFFFFF"/>
        </w:rPr>
        <w:t>WOMEN ON THE MOVE (“WOTM”)</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ind w:left="136" w:hanging="136"/>
        <w:spacing w:after="0"/>
        <w:tabs>
          <w:tab w:leader="none" w:pos="136" w:val="left"/>
        </w:tabs>
        <w:numPr>
          <w:ilvl w:val="0"/>
          <w:numId w:val="128"/>
        </w:numPr>
        <w:rPr>
          <w:rFonts w:ascii="Arial" w:cs="Arial" w:eastAsia="Arial" w:hAnsi="Arial"/>
          <w:sz w:val="16"/>
          <w:szCs w:val="16"/>
          <w:color w:val="004876"/>
        </w:rPr>
      </w:pPr>
      <w:r>
        <w:rPr>
          <w:rFonts w:ascii="Arial" w:cs="Arial" w:eastAsia="Arial" w:hAnsi="Arial"/>
          <w:sz w:val="16"/>
          <w:szCs w:val="16"/>
          <w:color w:val="auto"/>
        </w:rPr>
        <w:t>Our WOTM is a global, Firmwide effort designed to support women in their personal and professional lives</w:t>
      </w:r>
    </w:p>
    <w:p>
      <w:pPr>
        <w:spacing w:after="0" w:line="45" w:lineRule="exact"/>
        <w:rPr>
          <w:rFonts w:ascii="Arial" w:cs="Arial" w:eastAsia="Arial" w:hAnsi="Arial"/>
          <w:sz w:val="16"/>
          <w:szCs w:val="16"/>
          <w:color w:val="004876"/>
        </w:rPr>
      </w:pPr>
    </w:p>
    <w:p>
      <w:pPr>
        <w:ind w:left="136" w:right="400" w:hanging="136"/>
        <w:spacing w:after="0" w:line="260" w:lineRule="auto"/>
        <w:tabs>
          <w:tab w:leader="none" w:pos="129" w:val="left"/>
        </w:tabs>
        <w:numPr>
          <w:ilvl w:val="0"/>
          <w:numId w:val="128"/>
        </w:numPr>
        <w:rPr>
          <w:rFonts w:ascii="Arial" w:cs="Arial" w:eastAsia="Arial" w:hAnsi="Arial"/>
          <w:sz w:val="16"/>
          <w:szCs w:val="16"/>
          <w:color w:val="004876"/>
        </w:rPr>
      </w:pPr>
      <w:r>
        <w:rPr>
          <w:rFonts w:ascii="Arial" w:cs="Arial" w:eastAsia="Arial" w:hAnsi="Arial"/>
          <w:sz w:val="16"/>
          <w:szCs w:val="16"/>
          <w:color w:val="auto"/>
        </w:rPr>
        <w:t>We continue to focus on our three strategic pillars: expand women-run businesses, improve women’s financial health, and empower women’s career growth</w:t>
      </w:r>
    </w:p>
    <w:p>
      <w:pPr>
        <w:spacing w:after="0" w:line="19" w:lineRule="exact"/>
        <w:rPr>
          <w:rFonts w:ascii="Arial" w:cs="Arial" w:eastAsia="Arial" w:hAnsi="Arial"/>
          <w:sz w:val="16"/>
          <w:szCs w:val="16"/>
          <w:color w:val="004876"/>
        </w:rPr>
      </w:pPr>
    </w:p>
    <w:p>
      <w:pPr>
        <w:ind w:left="136" w:right="40" w:hanging="136"/>
        <w:spacing w:after="0" w:line="260" w:lineRule="auto"/>
        <w:tabs>
          <w:tab w:leader="none" w:pos="129" w:val="left"/>
        </w:tabs>
        <w:numPr>
          <w:ilvl w:val="0"/>
          <w:numId w:val="128"/>
        </w:numPr>
        <w:rPr>
          <w:rFonts w:ascii="Arial" w:cs="Arial" w:eastAsia="Arial" w:hAnsi="Arial"/>
          <w:sz w:val="16"/>
          <w:szCs w:val="16"/>
          <w:color w:val="004876"/>
        </w:rPr>
      </w:pPr>
      <w:r>
        <w:rPr>
          <w:rFonts w:ascii="Arial" w:cs="Arial" w:eastAsia="Arial" w:hAnsi="Arial"/>
          <w:sz w:val="16"/>
          <w:szCs w:val="16"/>
          <w:color w:val="auto"/>
        </w:rPr>
        <w:t>In 2019, we extended approximately $4 billion in credit to women-owned small businesses, more than a third of the way toward our goal of providing $10 billion in credit to female small business owners by the end of 2021</w:t>
      </w:r>
    </w:p>
    <w:p>
      <w:pPr>
        <w:spacing w:after="0" w:line="19" w:lineRule="exact"/>
        <w:rPr>
          <w:rFonts w:ascii="Arial" w:cs="Arial" w:eastAsia="Arial" w:hAnsi="Arial"/>
          <w:sz w:val="16"/>
          <w:szCs w:val="16"/>
          <w:color w:val="004876"/>
        </w:rPr>
      </w:pPr>
    </w:p>
    <w:p>
      <w:pPr>
        <w:ind w:left="136" w:hanging="136"/>
        <w:spacing w:after="0"/>
        <w:tabs>
          <w:tab w:leader="none" w:pos="136" w:val="left"/>
        </w:tabs>
        <w:numPr>
          <w:ilvl w:val="0"/>
          <w:numId w:val="128"/>
        </w:numPr>
        <w:rPr>
          <w:rFonts w:ascii="Arial" w:cs="Arial" w:eastAsia="Arial" w:hAnsi="Arial"/>
          <w:sz w:val="16"/>
          <w:szCs w:val="16"/>
          <w:color w:val="004876"/>
        </w:rPr>
      </w:pPr>
      <w:r>
        <w:rPr>
          <w:rFonts w:ascii="Arial" w:cs="Arial" w:eastAsia="Arial" w:hAnsi="Arial"/>
          <w:sz w:val="16"/>
          <w:szCs w:val="16"/>
          <w:color w:val="auto"/>
        </w:rPr>
        <w:t>We announced a goal to sign up 1 million women for Autosave, and we have already enrolled over 500,000 women</w:t>
      </w:r>
    </w:p>
    <w:p>
      <w:pPr>
        <w:spacing w:after="0" w:line="45" w:lineRule="exact"/>
        <w:rPr>
          <w:rFonts w:ascii="Arial" w:cs="Arial" w:eastAsia="Arial" w:hAnsi="Arial"/>
          <w:sz w:val="16"/>
          <w:szCs w:val="16"/>
          <w:color w:val="004876"/>
        </w:rPr>
      </w:pPr>
    </w:p>
    <w:p>
      <w:pPr>
        <w:ind w:left="136" w:right="380" w:hanging="136"/>
        <w:spacing w:after="0" w:line="260" w:lineRule="auto"/>
        <w:tabs>
          <w:tab w:leader="none" w:pos="129" w:val="left"/>
        </w:tabs>
        <w:numPr>
          <w:ilvl w:val="0"/>
          <w:numId w:val="128"/>
        </w:numPr>
        <w:rPr>
          <w:rFonts w:ascii="Arial" w:cs="Arial" w:eastAsia="Arial" w:hAnsi="Arial"/>
          <w:sz w:val="16"/>
          <w:szCs w:val="16"/>
          <w:color w:val="004876"/>
        </w:rPr>
      </w:pPr>
      <w:r>
        <w:rPr>
          <w:rFonts w:ascii="Arial" w:cs="Arial" w:eastAsia="Arial" w:hAnsi="Arial"/>
          <w:sz w:val="16"/>
          <w:szCs w:val="16"/>
          <w:color w:val="auto"/>
        </w:rPr>
        <w:t>We launched a national sponsorship with Girls Inc. to educate 20,000 girls in the U.S. by providing programs that focus on lifelong skills to sustain financial health</w:t>
      </w:r>
    </w:p>
    <w:p>
      <w:pPr>
        <w:spacing w:after="0" w:line="19" w:lineRule="exact"/>
        <w:rPr>
          <w:rFonts w:ascii="Arial" w:cs="Arial" w:eastAsia="Arial" w:hAnsi="Arial"/>
          <w:sz w:val="16"/>
          <w:szCs w:val="16"/>
          <w:color w:val="004876"/>
        </w:rPr>
      </w:pPr>
    </w:p>
    <w:p>
      <w:pPr>
        <w:ind w:left="136" w:right="400" w:hanging="136"/>
        <w:spacing w:after="0" w:line="260" w:lineRule="auto"/>
        <w:tabs>
          <w:tab w:leader="none" w:pos="129" w:val="left"/>
        </w:tabs>
        <w:numPr>
          <w:ilvl w:val="0"/>
          <w:numId w:val="128"/>
        </w:numPr>
        <w:rPr>
          <w:rFonts w:ascii="Arial" w:cs="Arial" w:eastAsia="Arial" w:hAnsi="Arial"/>
          <w:sz w:val="16"/>
          <w:szCs w:val="16"/>
          <w:color w:val="004876"/>
        </w:rPr>
      </w:pPr>
      <w:r>
        <w:rPr>
          <w:rFonts w:ascii="Arial" w:cs="Arial" w:eastAsia="Arial" w:hAnsi="Arial"/>
          <w:sz w:val="16"/>
          <w:szCs w:val="16"/>
          <w:color w:val="auto"/>
        </w:rPr>
        <w:t>We hosted our annual Women on the Move Leadership Day in 2019 with over 2,000 in-person attendees and over 20,000 watching remotely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-1122045</wp:posOffset>
            </wp:positionH>
            <wp:positionV relativeFrom="paragraph">
              <wp:posOffset>2540</wp:posOffset>
            </wp:positionV>
            <wp:extent cx="699516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60" w:space="424"/>
            <w:col w:w="9256"/>
          </w:cols>
          <w:pgMar w:left="320" w:top="459" w:right="439" w:bottom="1440" w:gutter="0" w:footer="0" w:header="0"/>
          <w:type w:val="continuous"/>
        </w:sectPr>
      </w:pPr>
    </w:p>
    <w:p>
      <w:pPr>
        <w:spacing w:after="0" w:line="7" w:lineRule="exact"/>
        <w:rPr>
          <w:sz w:val="20"/>
          <w:szCs w:val="20"/>
          <w:color w:val="auto"/>
        </w:rPr>
      </w:pPr>
    </w:p>
    <w:tbl>
      <w:tblPr>
        <w:tblLayout w:type="fixed"/>
        <w:tblInd w:w="120" w:type="dxa"/>
        <w:tblCellMar>
          <w:top w:w="0" w:type="dxa"/>
          <w:left w:w="0" w:type="dxa"/>
          <w:bottom w:w="0" w:type="dxa"/>
          <w:right w:w="0" w:type="dxa"/>
        </w:tblCellMar>
      </w:tblPr>
      <w:tr>
        <w:trPr>
          <w:trHeight w:val="247"/>
        </w:trPr>
        <w:tc>
          <w:tcPr>
            <w:tcW w:w="1540" w:type="dxa"/>
            <w:vAlign w:val="bottom"/>
            <w:shd w:val="clear" w:color="auto" w:fill="42683C"/>
          </w:tcPr>
          <w:p>
            <w:pPr>
              <w:jc w:val="right"/>
              <w:ind w:right="110"/>
              <w:spacing w:after="0"/>
              <w:rPr>
                <w:sz w:val="20"/>
                <w:szCs w:val="20"/>
                <w:color w:val="auto"/>
              </w:rPr>
            </w:pPr>
            <w:r>
              <w:rPr>
                <w:rFonts w:ascii="Arial" w:cs="Arial" w:eastAsia="Arial" w:hAnsi="Arial"/>
                <w:sz w:val="18"/>
                <w:szCs w:val="18"/>
                <w:b w:val="1"/>
                <w:bCs w:val="1"/>
                <w:color w:val="FFFFFF"/>
              </w:rPr>
              <w:t>ADVANCING</w:t>
            </w:r>
          </w:p>
        </w:tc>
        <w:tc>
          <w:tcPr>
            <w:tcW w:w="9480" w:type="dxa"/>
            <w:vAlign w:val="bottom"/>
            <w:gridSpan w:val="2"/>
          </w:tcPr>
          <w:p>
            <w:pPr>
              <w:ind w:left="220"/>
              <w:spacing w:after="0"/>
              <w:rPr>
                <w:sz w:val="20"/>
                <w:szCs w:val="20"/>
                <w:color w:val="auto"/>
              </w:rPr>
            </w:pPr>
            <w:r>
              <w:rPr>
                <w:rFonts w:ascii="Arial" w:cs="Arial" w:eastAsia="Arial" w:hAnsi="Arial"/>
                <w:sz w:val="16"/>
                <w:szCs w:val="16"/>
                <w:color w:val="004876"/>
              </w:rPr>
              <w:t xml:space="preserve">• </w:t>
            </w:r>
            <w:r>
              <w:rPr>
                <w:rFonts w:ascii="Arial" w:cs="Arial" w:eastAsia="Arial" w:hAnsi="Arial"/>
                <w:sz w:val="16"/>
                <w:szCs w:val="16"/>
                <w:color w:val="000000"/>
              </w:rPr>
              <w:t>Our ABL is a Firmwide commitment to increasing representation of Black talent across the Firm</w:t>
            </w:r>
          </w:p>
        </w:tc>
      </w:tr>
      <w:tr>
        <w:trPr>
          <w:trHeight w:val="203"/>
        </w:trPr>
        <w:tc>
          <w:tcPr>
            <w:tcW w:w="1540" w:type="dxa"/>
            <w:vAlign w:val="bottom"/>
            <w:shd w:val="clear" w:color="auto" w:fill="42683C"/>
          </w:tcPr>
          <w:p>
            <w:pPr>
              <w:jc w:val="right"/>
              <w:ind w:right="110"/>
              <w:spacing w:after="0" w:line="202" w:lineRule="exact"/>
              <w:rPr>
                <w:sz w:val="20"/>
                <w:szCs w:val="20"/>
                <w:color w:val="auto"/>
              </w:rPr>
            </w:pPr>
            <w:r>
              <w:rPr>
                <w:rFonts w:ascii="Arial" w:cs="Arial" w:eastAsia="Arial" w:hAnsi="Arial"/>
                <w:sz w:val="18"/>
                <w:szCs w:val="18"/>
                <w:b w:val="1"/>
                <w:bCs w:val="1"/>
                <w:color w:val="FFFFFF"/>
              </w:rPr>
              <w:t>BLACK</w:t>
            </w:r>
          </w:p>
        </w:tc>
        <w:tc>
          <w:tcPr>
            <w:tcW w:w="9480" w:type="dxa"/>
            <w:vAlign w:val="bottom"/>
            <w:gridSpan w:val="2"/>
          </w:tcPr>
          <w:p>
            <w:pPr>
              <w:ind w:left="220"/>
              <w:spacing w:after="0"/>
              <w:rPr>
                <w:sz w:val="20"/>
                <w:szCs w:val="20"/>
                <w:color w:val="auto"/>
              </w:rPr>
            </w:pPr>
            <w:r>
              <w:rPr>
                <w:rFonts w:ascii="Arial" w:cs="Arial" w:eastAsia="Arial" w:hAnsi="Arial"/>
                <w:sz w:val="16"/>
                <w:szCs w:val="16"/>
                <w:color w:val="004876"/>
              </w:rPr>
              <w:t xml:space="preserve">• </w:t>
            </w:r>
            <w:r>
              <w:rPr>
                <w:rFonts w:ascii="Arial" w:cs="Arial" w:eastAsia="Arial" w:hAnsi="Arial"/>
                <w:sz w:val="16"/>
                <w:szCs w:val="16"/>
                <w:color w:val="000000"/>
              </w:rPr>
              <w:t>We marked the best year on record of Black Managing Director promotions in 2019</w:t>
            </w:r>
          </w:p>
        </w:tc>
      </w:tr>
      <w:tr>
        <w:trPr>
          <w:trHeight w:val="202"/>
        </w:trPr>
        <w:tc>
          <w:tcPr>
            <w:tcW w:w="1540" w:type="dxa"/>
            <w:vAlign w:val="bottom"/>
            <w:shd w:val="clear" w:color="auto" w:fill="42683C"/>
          </w:tcPr>
          <w:p>
            <w:pPr>
              <w:jc w:val="right"/>
              <w:ind w:right="110"/>
              <w:spacing w:after="0" w:line="202" w:lineRule="exact"/>
              <w:rPr>
                <w:sz w:val="20"/>
                <w:szCs w:val="20"/>
                <w:color w:val="auto"/>
              </w:rPr>
            </w:pPr>
            <w:r>
              <w:rPr>
                <w:rFonts w:ascii="Arial" w:cs="Arial" w:eastAsia="Arial" w:hAnsi="Arial"/>
                <w:sz w:val="18"/>
                <w:szCs w:val="18"/>
                <w:b w:val="1"/>
                <w:bCs w:val="1"/>
                <w:color w:val="FFFFFF"/>
              </w:rPr>
              <w:t>LEADERS</w:t>
            </w:r>
          </w:p>
        </w:tc>
        <w:tc>
          <w:tcPr>
            <w:tcW w:w="9480" w:type="dxa"/>
            <w:vAlign w:val="bottom"/>
            <w:gridSpan w:val="2"/>
          </w:tcPr>
          <w:p>
            <w:pPr>
              <w:ind w:left="220"/>
              <w:spacing w:after="0"/>
              <w:rPr>
                <w:sz w:val="20"/>
                <w:szCs w:val="20"/>
                <w:color w:val="auto"/>
              </w:rPr>
            </w:pPr>
            <w:r>
              <w:rPr>
                <w:rFonts w:ascii="Arial" w:cs="Arial" w:eastAsia="Arial" w:hAnsi="Arial"/>
                <w:sz w:val="16"/>
                <w:szCs w:val="16"/>
                <w:color w:val="004876"/>
              </w:rPr>
              <w:t xml:space="preserve">• </w:t>
            </w:r>
            <w:r>
              <w:rPr>
                <w:rFonts w:ascii="Arial" w:cs="Arial" w:eastAsia="Arial" w:hAnsi="Arial"/>
                <w:sz w:val="16"/>
                <w:szCs w:val="16"/>
                <w:color w:val="000000"/>
              </w:rPr>
              <w:t>We expanded our strategy to include the EMEA region and as a result, Black Managing Director headcount in the region more</w:t>
            </w:r>
          </w:p>
        </w:tc>
      </w:tr>
      <w:tr>
        <w:trPr>
          <w:trHeight w:val="203"/>
        </w:trPr>
        <w:tc>
          <w:tcPr>
            <w:tcW w:w="1540" w:type="dxa"/>
            <w:vAlign w:val="bottom"/>
            <w:shd w:val="clear" w:color="auto" w:fill="42683C"/>
          </w:tcPr>
          <w:p>
            <w:pPr>
              <w:jc w:val="right"/>
              <w:ind w:right="110"/>
              <w:spacing w:after="0" w:line="202" w:lineRule="exact"/>
              <w:rPr>
                <w:sz w:val="20"/>
                <w:szCs w:val="20"/>
                <w:color w:val="auto"/>
              </w:rPr>
            </w:pPr>
            <w:r>
              <w:rPr>
                <w:rFonts w:ascii="Arial" w:cs="Arial" w:eastAsia="Arial" w:hAnsi="Arial"/>
                <w:sz w:val="18"/>
                <w:szCs w:val="18"/>
                <w:b w:val="1"/>
                <w:bCs w:val="1"/>
                <w:color w:val="FFFFFF"/>
              </w:rPr>
              <w:t>(“ABL”) &amp;</w:t>
            </w:r>
          </w:p>
        </w:tc>
        <w:tc>
          <w:tcPr>
            <w:tcW w:w="9480" w:type="dxa"/>
            <w:vAlign w:val="bottom"/>
            <w:gridSpan w:val="2"/>
          </w:tcPr>
          <w:p>
            <w:pPr>
              <w:ind w:left="360"/>
              <w:spacing w:after="0"/>
              <w:rPr>
                <w:sz w:val="20"/>
                <w:szCs w:val="20"/>
                <w:color w:val="auto"/>
              </w:rPr>
            </w:pPr>
            <w:r>
              <w:rPr>
                <w:rFonts w:ascii="Arial" w:cs="Arial" w:eastAsia="Arial" w:hAnsi="Arial"/>
                <w:sz w:val="16"/>
                <w:szCs w:val="16"/>
                <w:color w:val="auto"/>
              </w:rPr>
              <w:t>than doubled from 2018 to 2019</w:t>
            </w:r>
          </w:p>
        </w:tc>
      </w:tr>
      <w:tr>
        <w:trPr>
          <w:trHeight w:val="203"/>
        </w:trPr>
        <w:tc>
          <w:tcPr>
            <w:tcW w:w="1540" w:type="dxa"/>
            <w:vAlign w:val="bottom"/>
            <w:shd w:val="clear" w:color="auto" w:fill="42683C"/>
          </w:tcPr>
          <w:p>
            <w:pPr>
              <w:jc w:val="right"/>
              <w:ind w:right="110"/>
              <w:spacing w:after="0" w:line="202" w:lineRule="exact"/>
              <w:rPr>
                <w:sz w:val="20"/>
                <w:szCs w:val="20"/>
                <w:color w:val="auto"/>
              </w:rPr>
            </w:pPr>
            <w:r>
              <w:rPr>
                <w:rFonts w:ascii="Arial" w:cs="Arial" w:eastAsia="Arial" w:hAnsi="Arial"/>
                <w:sz w:val="18"/>
                <w:szCs w:val="18"/>
                <w:b w:val="1"/>
                <w:bCs w:val="1"/>
                <w:color w:val="FFFFFF"/>
              </w:rPr>
              <w:t>ADVANCING</w:t>
            </w:r>
          </w:p>
        </w:tc>
        <w:tc>
          <w:tcPr>
            <w:tcW w:w="9480" w:type="dxa"/>
            <w:vAlign w:val="bottom"/>
            <w:gridSpan w:val="2"/>
          </w:tcPr>
          <w:p>
            <w:pPr>
              <w:ind w:left="220"/>
              <w:spacing w:after="0"/>
              <w:rPr>
                <w:sz w:val="20"/>
                <w:szCs w:val="20"/>
                <w:color w:val="auto"/>
              </w:rPr>
            </w:pPr>
            <w:r>
              <w:rPr>
                <w:rFonts w:ascii="Arial" w:cs="Arial" w:eastAsia="Arial" w:hAnsi="Arial"/>
                <w:sz w:val="16"/>
                <w:szCs w:val="16"/>
                <w:color w:val="004876"/>
              </w:rPr>
              <w:t xml:space="preserve">• </w:t>
            </w:r>
            <w:r>
              <w:rPr>
                <w:rFonts w:ascii="Arial" w:cs="Arial" w:eastAsia="Arial" w:hAnsi="Arial"/>
                <w:sz w:val="16"/>
                <w:szCs w:val="16"/>
                <w:color w:val="000000"/>
              </w:rPr>
              <w:t>ABP was launched in 2019 as part of our Firm’s commitment to develop and hire Black talent, invest in Black businesses and</w:t>
            </w:r>
          </w:p>
        </w:tc>
      </w:tr>
      <w:tr>
        <w:trPr>
          <w:trHeight w:val="203"/>
        </w:trPr>
        <w:tc>
          <w:tcPr>
            <w:tcW w:w="1540" w:type="dxa"/>
            <w:vAlign w:val="bottom"/>
            <w:shd w:val="clear" w:color="auto" w:fill="42683C"/>
          </w:tcPr>
          <w:p>
            <w:pPr>
              <w:jc w:val="right"/>
              <w:ind w:right="110"/>
              <w:spacing w:after="0" w:line="202" w:lineRule="exact"/>
              <w:rPr>
                <w:sz w:val="20"/>
                <w:szCs w:val="20"/>
                <w:color w:val="auto"/>
              </w:rPr>
            </w:pPr>
            <w:r>
              <w:rPr>
                <w:rFonts w:ascii="Arial" w:cs="Arial" w:eastAsia="Arial" w:hAnsi="Arial"/>
                <w:sz w:val="18"/>
                <w:szCs w:val="18"/>
                <w:b w:val="1"/>
                <w:bCs w:val="1"/>
                <w:color w:val="FFFFFF"/>
              </w:rPr>
              <w:t>BLACK</w:t>
            </w:r>
          </w:p>
        </w:tc>
        <w:tc>
          <w:tcPr>
            <w:tcW w:w="9480" w:type="dxa"/>
            <w:vAlign w:val="bottom"/>
            <w:gridSpan w:val="2"/>
          </w:tcPr>
          <w:p>
            <w:pPr>
              <w:ind w:left="360"/>
              <w:spacing w:after="0"/>
              <w:rPr>
                <w:sz w:val="20"/>
                <w:szCs w:val="20"/>
                <w:color w:val="auto"/>
              </w:rPr>
            </w:pPr>
            <w:r>
              <w:rPr>
                <w:rFonts w:ascii="Arial" w:cs="Arial" w:eastAsia="Arial" w:hAnsi="Arial"/>
                <w:sz w:val="16"/>
                <w:szCs w:val="16"/>
                <w:color w:val="auto"/>
              </w:rPr>
              <w:t>households, and to improve the financial health of Black communities around the world</w:t>
            </w:r>
          </w:p>
        </w:tc>
      </w:tr>
      <w:tr>
        <w:trPr>
          <w:trHeight w:val="212"/>
        </w:trPr>
        <w:tc>
          <w:tcPr>
            <w:tcW w:w="1540" w:type="dxa"/>
            <w:vAlign w:val="bottom"/>
            <w:shd w:val="clear" w:color="auto" w:fill="42683C"/>
          </w:tcPr>
          <w:p>
            <w:pPr>
              <w:jc w:val="right"/>
              <w:ind w:right="110"/>
              <w:spacing w:after="0"/>
              <w:rPr>
                <w:sz w:val="20"/>
                <w:szCs w:val="20"/>
                <w:color w:val="auto"/>
              </w:rPr>
            </w:pPr>
            <w:r>
              <w:rPr>
                <w:rFonts w:ascii="Arial" w:cs="Arial" w:eastAsia="Arial" w:hAnsi="Arial"/>
                <w:sz w:val="18"/>
                <w:szCs w:val="18"/>
                <w:b w:val="1"/>
                <w:bCs w:val="1"/>
                <w:color w:val="FFFFFF"/>
              </w:rPr>
              <w:t>PATHWAYS</w:t>
            </w:r>
          </w:p>
        </w:tc>
        <w:tc>
          <w:tcPr>
            <w:tcW w:w="9480" w:type="dxa"/>
            <w:vAlign w:val="bottom"/>
            <w:gridSpan w:val="2"/>
          </w:tcPr>
          <w:p>
            <w:pPr>
              <w:ind w:left="220"/>
              <w:spacing w:after="0"/>
              <w:rPr>
                <w:sz w:val="20"/>
                <w:szCs w:val="20"/>
                <w:color w:val="auto"/>
              </w:rPr>
            </w:pPr>
            <w:r>
              <w:rPr>
                <w:rFonts w:ascii="Arial" w:cs="Arial" w:eastAsia="Arial" w:hAnsi="Arial"/>
                <w:sz w:val="16"/>
                <w:szCs w:val="16"/>
                <w:color w:val="004876"/>
              </w:rPr>
              <w:t xml:space="preserve">• </w:t>
            </w:r>
            <w:r>
              <w:rPr>
                <w:rFonts w:ascii="Arial" w:cs="Arial" w:eastAsia="Arial" w:hAnsi="Arial"/>
                <w:sz w:val="16"/>
                <w:szCs w:val="16"/>
                <w:color w:val="000000"/>
              </w:rPr>
              <w:t>ABP complements our other diversity and inclusion and corporate responsibility initiatives with a focus on three key areas:</w:t>
            </w:r>
          </w:p>
        </w:tc>
      </w:tr>
      <w:tr>
        <w:trPr>
          <w:trHeight w:val="231"/>
        </w:trPr>
        <w:tc>
          <w:tcPr>
            <w:tcW w:w="1540" w:type="dxa"/>
            <w:vAlign w:val="bottom"/>
            <w:shd w:val="clear" w:color="auto" w:fill="42683C"/>
          </w:tcPr>
          <w:p>
            <w:pPr>
              <w:jc w:val="right"/>
              <w:ind w:right="110"/>
              <w:spacing w:after="0"/>
              <w:rPr>
                <w:sz w:val="20"/>
                <w:szCs w:val="20"/>
                <w:color w:val="auto"/>
              </w:rPr>
            </w:pPr>
            <w:r>
              <w:rPr>
                <w:rFonts w:ascii="Arial" w:cs="Arial" w:eastAsia="Arial" w:hAnsi="Arial"/>
                <w:sz w:val="18"/>
                <w:szCs w:val="18"/>
                <w:b w:val="1"/>
                <w:bCs w:val="1"/>
                <w:color w:val="FFFFFF"/>
              </w:rPr>
              <w:t>(“ABP”)</w:t>
            </w:r>
          </w:p>
        </w:tc>
        <w:tc>
          <w:tcPr>
            <w:tcW w:w="9480" w:type="dxa"/>
            <w:vAlign w:val="bottom"/>
            <w:gridSpan w:val="2"/>
          </w:tcPr>
          <w:p>
            <w:pPr>
              <w:ind w:left="360"/>
              <w:spacing w:after="0"/>
              <w:rPr>
                <w:sz w:val="20"/>
                <w:szCs w:val="20"/>
                <w:color w:val="auto"/>
              </w:rPr>
            </w:pPr>
            <w:r>
              <w:rPr>
                <w:rFonts w:ascii="Arial" w:cs="Arial" w:eastAsia="Arial" w:hAnsi="Arial"/>
                <w:sz w:val="16"/>
                <w:szCs w:val="16"/>
                <w:color w:val="auto"/>
              </w:rPr>
              <w:t>wealth, education and careers; the program contributed to a strong improvement to the Firm’s consumer sentiment score,</w:t>
            </w:r>
          </w:p>
        </w:tc>
      </w:tr>
      <w:tr>
        <w:trPr>
          <w:trHeight w:val="195"/>
        </w:trPr>
        <w:tc>
          <w:tcPr>
            <w:tcW w:w="1540" w:type="dxa"/>
            <w:vAlign w:val="bottom"/>
            <w:shd w:val="clear" w:color="auto" w:fill="42683C"/>
          </w:tcPr>
          <w:p>
            <w:pPr>
              <w:spacing w:after="0"/>
              <w:rPr>
                <w:sz w:val="16"/>
                <w:szCs w:val="16"/>
                <w:color w:val="auto"/>
              </w:rPr>
            </w:pPr>
          </w:p>
        </w:tc>
        <w:tc>
          <w:tcPr>
            <w:tcW w:w="9480" w:type="dxa"/>
            <w:vAlign w:val="bottom"/>
            <w:gridSpan w:val="2"/>
          </w:tcPr>
          <w:p>
            <w:pPr>
              <w:ind w:left="360"/>
              <w:spacing w:after="0"/>
              <w:rPr>
                <w:sz w:val="20"/>
                <w:szCs w:val="20"/>
                <w:color w:val="auto"/>
              </w:rPr>
            </w:pPr>
            <w:r>
              <w:rPr>
                <w:rFonts w:ascii="Arial" w:cs="Arial" w:eastAsia="Arial" w:hAnsi="Arial"/>
                <w:sz w:val="16"/>
                <w:szCs w:val="16"/>
                <w:color w:val="auto"/>
              </w:rPr>
              <w:t>which increased by 41% following the program’s launch</w:t>
            </w:r>
          </w:p>
        </w:tc>
      </w:tr>
      <w:tr>
        <w:trPr>
          <w:trHeight w:val="229"/>
        </w:trPr>
        <w:tc>
          <w:tcPr>
            <w:tcW w:w="1540" w:type="dxa"/>
            <w:vAlign w:val="bottom"/>
            <w:shd w:val="clear" w:color="auto" w:fill="42683C"/>
          </w:tcPr>
          <w:p>
            <w:pPr>
              <w:spacing w:after="0"/>
              <w:rPr>
                <w:sz w:val="19"/>
                <w:szCs w:val="19"/>
                <w:color w:val="auto"/>
              </w:rPr>
            </w:pPr>
          </w:p>
        </w:tc>
        <w:tc>
          <w:tcPr>
            <w:tcW w:w="9480" w:type="dxa"/>
            <w:vAlign w:val="bottom"/>
            <w:gridSpan w:val="2"/>
          </w:tcPr>
          <w:p>
            <w:pPr>
              <w:ind w:left="220"/>
              <w:spacing w:after="0"/>
              <w:rPr>
                <w:sz w:val="20"/>
                <w:szCs w:val="20"/>
                <w:color w:val="auto"/>
              </w:rPr>
            </w:pPr>
            <w:r>
              <w:rPr>
                <w:rFonts w:ascii="Arial" w:cs="Arial" w:eastAsia="Arial" w:hAnsi="Arial"/>
                <w:sz w:val="16"/>
                <w:szCs w:val="16"/>
                <w:color w:val="004876"/>
              </w:rPr>
              <w:t xml:space="preserve">• </w:t>
            </w:r>
            <w:r>
              <w:rPr>
                <w:rFonts w:ascii="Arial" w:cs="Arial" w:eastAsia="Arial" w:hAnsi="Arial"/>
                <w:sz w:val="16"/>
                <w:szCs w:val="16"/>
                <w:color w:val="000000"/>
              </w:rPr>
              <w:t>Key ABP accomplishments include:</w:t>
            </w:r>
          </w:p>
        </w:tc>
      </w:tr>
      <w:tr>
        <w:trPr>
          <w:trHeight w:val="224"/>
        </w:trPr>
        <w:tc>
          <w:tcPr>
            <w:tcW w:w="1540" w:type="dxa"/>
            <w:vAlign w:val="bottom"/>
            <w:shd w:val="clear" w:color="auto" w:fill="42683C"/>
          </w:tcPr>
          <w:p>
            <w:pPr>
              <w:spacing w:after="0"/>
              <w:rPr>
                <w:sz w:val="19"/>
                <w:szCs w:val="19"/>
                <w:color w:val="auto"/>
              </w:rPr>
            </w:pPr>
          </w:p>
        </w:tc>
        <w:tc>
          <w:tcPr>
            <w:tcW w:w="460" w:type="dxa"/>
            <w:vAlign w:val="bottom"/>
          </w:tcPr>
          <w:p>
            <w:pPr>
              <w:ind w:left="360"/>
              <w:spacing w:after="0"/>
              <w:rPr>
                <w:sz w:val="20"/>
                <w:szCs w:val="20"/>
                <w:color w:val="auto"/>
              </w:rPr>
            </w:pPr>
            <w:r>
              <w:rPr>
                <w:rFonts w:ascii="Arial" w:cs="Arial" w:eastAsia="Arial" w:hAnsi="Arial"/>
                <w:sz w:val="14"/>
                <w:szCs w:val="14"/>
                <w:color w:val="auto"/>
              </w:rPr>
              <w:t>¡</w:t>
            </w:r>
          </w:p>
        </w:tc>
        <w:tc>
          <w:tcPr>
            <w:tcW w:w="9020" w:type="dxa"/>
            <w:vAlign w:val="bottom"/>
          </w:tcPr>
          <w:p>
            <w:pPr>
              <w:ind w:left="40"/>
              <w:spacing w:after="0"/>
              <w:rPr>
                <w:sz w:val="20"/>
                <w:szCs w:val="20"/>
                <w:color w:val="auto"/>
              </w:rPr>
            </w:pPr>
            <w:r>
              <w:rPr>
                <w:rFonts w:ascii="Arial" w:cs="Arial" w:eastAsia="Arial" w:hAnsi="Arial"/>
                <w:sz w:val="16"/>
                <w:szCs w:val="16"/>
                <w:color w:val="auto"/>
              </w:rPr>
              <w:t>Engaged with more than 16,000 Black women in financial health education through our Currency Conversations partnership</w:t>
            </w:r>
          </w:p>
        </w:tc>
      </w:tr>
      <w:tr>
        <w:trPr>
          <w:trHeight w:val="195"/>
        </w:trPr>
        <w:tc>
          <w:tcPr>
            <w:tcW w:w="1540" w:type="dxa"/>
            <w:vAlign w:val="bottom"/>
            <w:shd w:val="clear" w:color="auto" w:fill="42683C"/>
          </w:tcPr>
          <w:p>
            <w:pPr>
              <w:spacing w:after="0"/>
              <w:rPr>
                <w:sz w:val="16"/>
                <w:szCs w:val="16"/>
                <w:color w:val="auto"/>
              </w:rPr>
            </w:pPr>
          </w:p>
        </w:tc>
        <w:tc>
          <w:tcPr>
            <w:tcW w:w="460" w:type="dxa"/>
            <w:vAlign w:val="bottom"/>
          </w:tcPr>
          <w:p>
            <w:pPr>
              <w:spacing w:after="0"/>
              <w:rPr>
                <w:sz w:val="16"/>
                <w:szCs w:val="16"/>
                <w:color w:val="auto"/>
              </w:rPr>
            </w:pPr>
          </w:p>
        </w:tc>
        <w:tc>
          <w:tcPr>
            <w:tcW w:w="9020" w:type="dxa"/>
            <w:vAlign w:val="bottom"/>
          </w:tcPr>
          <w:p>
            <w:pPr>
              <w:ind w:left="60"/>
              <w:spacing w:after="0"/>
              <w:rPr>
                <w:sz w:val="20"/>
                <w:szCs w:val="20"/>
                <w:color w:val="auto"/>
              </w:rPr>
            </w:pPr>
            <w:r>
              <w:rPr>
                <w:rFonts w:ascii="Arial" w:cs="Arial" w:eastAsia="Arial" w:hAnsi="Arial"/>
                <w:sz w:val="16"/>
                <w:szCs w:val="16"/>
                <w:color w:val="auto"/>
              </w:rPr>
              <w:t>with Essence Communications</w:t>
            </w:r>
          </w:p>
        </w:tc>
      </w:tr>
      <w:tr>
        <w:trPr>
          <w:trHeight w:val="230"/>
        </w:trPr>
        <w:tc>
          <w:tcPr>
            <w:tcW w:w="1540" w:type="dxa"/>
            <w:vAlign w:val="bottom"/>
            <w:shd w:val="clear" w:color="auto" w:fill="42683C"/>
          </w:tcPr>
          <w:p>
            <w:pPr>
              <w:spacing w:after="0"/>
              <w:rPr>
                <w:sz w:val="19"/>
                <w:szCs w:val="19"/>
                <w:color w:val="auto"/>
              </w:rPr>
            </w:pPr>
          </w:p>
        </w:tc>
        <w:tc>
          <w:tcPr>
            <w:tcW w:w="460" w:type="dxa"/>
            <w:vAlign w:val="bottom"/>
          </w:tcPr>
          <w:p>
            <w:pPr>
              <w:ind w:left="360"/>
              <w:spacing w:after="0"/>
              <w:rPr>
                <w:sz w:val="20"/>
                <w:szCs w:val="20"/>
                <w:color w:val="auto"/>
              </w:rPr>
            </w:pPr>
            <w:r>
              <w:rPr>
                <w:rFonts w:ascii="Arial" w:cs="Arial" w:eastAsia="Arial" w:hAnsi="Arial"/>
                <w:sz w:val="14"/>
                <w:szCs w:val="14"/>
                <w:color w:val="auto"/>
              </w:rPr>
              <w:t>¡</w:t>
            </w:r>
          </w:p>
        </w:tc>
        <w:tc>
          <w:tcPr>
            <w:tcW w:w="9020" w:type="dxa"/>
            <w:vAlign w:val="bottom"/>
          </w:tcPr>
          <w:p>
            <w:pPr>
              <w:ind w:left="40"/>
              <w:spacing w:after="0"/>
              <w:rPr>
                <w:sz w:val="20"/>
                <w:szCs w:val="20"/>
                <w:color w:val="auto"/>
              </w:rPr>
            </w:pPr>
            <w:r>
              <w:rPr>
                <w:rFonts w:ascii="Arial" w:cs="Arial" w:eastAsia="Arial" w:hAnsi="Arial"/>
                <w:sz w:val="16"/>
                <w:szCs w:val="16"/>
                <w:color w:val="auto"/>
              </w:rPr>
              <w:t>Delivered mandatory financial health education to over 4,000 students, including more than 1,500 summer interns</w:t>
            </w:r>
          </w:p>
        </w:tc>
      </w:tr>
      <w:tr>
        <w:trPr>
          <w:trHeight w:val="224"/>
        </w:trPr>
        <w:tc>
          <w:tcPr>
            <w:tcW w:w="1540" w:type="dxa"/>
            <w:vAlign w:val="bottom"/>
            <w:shd w:val="clear" w:color="auto" w:fill="42683C"/>
          </w:tcPr>
          <w:p>
            <w:pPr>
              <w:spacing w:after="0"/>
              <w:rPr>
                <w:sz w:val="19"/>
                <w:szCs w:val="19"/>
                <w:color w:val="auto"/>
              </w:rPr>
            </w:pPr>
          </w:p>
        </w:tc>
        <w:tc>
          <w:tcPr>
            <w:tcW w:w="460" w:type="dxa"/>
            <w:vAlign w:val="bottom"/>
          </w:tcPr>
          <w:p>
            <w:pPr>
              <w:ind w:left="360"/>
              <w:spacing w:after="0"/>
              <w:rPr>
                <w:sz w:val="20"/>
                <w:szCs w:val="20"/>
                <w:color w:val="auto"/>
              </w:rPr>
            </w:pPr>
            <w:r>
              <w:rPr>
                <w:rFonts w:ascii="Arial" w:cs="Arial" w:eastAsia="Arial" w:hAnsi="Arial"/>
                <w:sz w:val="14"/>
                <w:szCs w:val="14"/>
                <w:color w:val="auto"/>
              </w:rPr>
              <w:t>¡</w:t>
            </w:r>
          </w:p>
        </w:tc>
        <w:tc>
          <w:tcPr>
            <w:tcW w:w="9020" w:type="dxa"/>
            <w:vAlign w:val="bottom"/>
          </w:tcPr>
          <w:p>
            <w:pPr>
              <w:ind w:left="40"/>
              <w:spacing w:after="0"/>
              <w:rPr>
                <w:sz w:val="20"/>
                <w:szCs w:val="20"/>
                <w:color w:val="auto"/>
              </w:rPr>
            </w:pPr>
            <w:r>
              <w:rPr>
                <w:rFonts w:ascii="Arial" w:cs="Arial" w:eastAsia="Arial" w:hAnsi="Arial"/>
                <w:sz w:val="16"/>
                <w:szCs w:val="16"/>
                <w:color w:val="auto"/>
              </w:rPr>
              <w:t>Launched the ABP Apprentice Program for 50 rising college sophomores and juniors to provide exposure and skills that lead</w:t>
            </w:r>
          </w:p>
        </w:tc>
      </w:tr>
      <w:tr>
        <w:trPr>
          <w:trHeight w:val="195"/>
        </w:trPr>
        <w:tc>
          <w:tcPr>
            <w:tcW w:w="1540" w:type="dxa"/>
            <w:vAlign w:val="bottom"/>
            <w:shd w:val="clear" w:color="auto" w:fill="42683C"/>
          </w:tcPr>
          <w:p>
            <w:pPr>
              <w:spacing w:after="0"/>
              <w:rPr>
                <w:sz w:val="16"/>
                <w:szCs w:val="16"/>
                <w:color w:val="auto"/>
              </w:rPr>
            </w:pPr>
          </w:p>
        </w:tc>
        <w:tc>
          <w:tcPr>
            <w:tcW w:w="460" w:type="dxa"/>
            <w:vAlign w:val="bottom"/>
          </w:tcPr>
          <w:p>
            <w:pPr>
              <w:spacing w:after="0"/>
              <w:rPr>
                <w:sz w:val="16"/>
                <w:szCs w:val="16"/>
                <w:color w:val="auto"/>
              </w:rPr>
            </w:pPr>
          </w:p>
        </w:tc>
        <w:tc>
          <w:tcPr>
            <w:tcW w:w="9020" w:type="dxa"/>
            <w:vAlign w:val="bottom"/>
          </w:tcPr>
          <w:p>
            <w:pPr>
              <w:ind w:left="60"/>
              <w:spacing w:after="0"/>
              <w:rPr>
                <w:sz w:val="20"/>
                <w:szCs w:val="20"/>
                <w:color w:val="auto"/>
              </w:rPr>
            </w:pPr>
            <w:r>
              <w:rPr>
                <w:rFonts w:ascii="Arial" w:cs="Arial" w:eastAsia="Arial" w:hAnsi="Arial"/>
                <w:sz w:val="16"/>
                <w:szCs w:val="16"/>
                <w:color w:val="auto"/>
              </w:rPr>
              <w:t>to internships and entry-level roles after graduation</w:t>
            </w:r>
          </w:p>
        </w:tc>
      </w:tr>
      <w:tr>
        <w:trPr>
          <w:trHeight w:val="224"/>
        </w:trPr>
        <w:tc>
          <w:tcPr>
            <w:tcW w:w="1540" w:type="dxa"/>
            <w:vAlign w:val="bottom"/>
            <w:shd w:val="clear" w:color="auto" w:fill="42683C"/>
          </w:tcPr>
          <w:p>
            <w:pPr>
              <w:spacing w:after="0"/>
              <w:rPr>
                <w:sz w:val="19"/>
                <w:szCs w:val="19"/>
                <w:color w:val="auto"/>
              </w:rPr>
            </w:pPr>
          </w:p>
        </w:tc>
        <w:tc>
          <w:tcPr>
            <w:tcW w:w="460" w:type="dxa"/>
            <w:vAlign w:val="bottom"/>
          </w:tcPr>
          <w:p>
            <w:pPr>
              <w:ind w:left="360"/>
              <w:spacing w:after="0"/>
              <w:rPr>
                <w:sz w:val="20"/>
                <w:szCs w:val="20"/>
                <w:color w:val="auto"/>
              </w:rPr>
            </w:pPr>
            <w:r>
              <w:rPr>
                <w:rFonts w:ascii="Arial" w:cs="Arial" w:eastAsia="Arial" w:hAnsi="Arial"/>
                <w:sz w:val="14"/>
                <w:szCs w:val="14"/>
                <w:color w:val="auto"/>
              </w:rPr>
              <w:t>¡</w:t>
            </w:r>
          </w:p>
        </w:tc>
        <w:tc>
          <w:tcPr>
            <w:tcW w:w="9020" w:type="dxa"/>
            <w:vAlign w:val="bottom"/>
          </w:tcPr>
          <w:p>
            <w:pPr>
              <w:ind w:left="40"/>
              <w:spacing w:after="0"/>
              <w:rPr>
                <w:sz w:val="20"/>
                <w:szCs w:val="20"/>
                <w:color w:val="auto"/>
              </w:rPr>
            </w:pPr>
            <w:r>
              <w:rPr>
                <w:rFonts w:ascii="Arial" w:cs="Arial" w:eastAsia="Arial" w:hAnsi="Arial"/>
                <w:sz w:val="16"/>
                <w:szCs w:val="16"/>
                <w:color w:val="auto"/>
              </w:rPr>
              <w:t>Hired over 1,000 Black students to support the target of 4,000 hires by 2024; achieving 25% of the five-year target in the first</w:t>
            </w:r>
          </w:p>
        </w:tc>
      </w:tr>
      <w:tr>
        <w:trPr>
          <w:trHeight w:val="195"/>
        </w:trPr>
        <w:tc>
          <w:tcPr>
            <w:tcW w:w="1540" w:type="dxa"/>
            <w:vAlign w:val="bottom"/>
            <w:shd w:val="clear" w:color="auto" w:fill="42683C"/>
          </w:tcPr>
          <w:p>
            <w:pPr>
              <w:spacing w:after="0"/>
              <w:rPr>
                <w:sz w:val="16"/>
                <w:szCs w:val="16"/>
                <w:color w:val="auto"/>
              </w:rPr>
            </w:pPr>
          </w:p>
        </w:tc>
        <w:tc>
          <w:tcPr>
            <w:tcW w:w="460" w:type="dxa"/>
            <w:vAlign w:val="bottom"/>
          </w:tcPr>
          <w:p>
            <w:pPr>
              <w:spacing w:after="0"/>
              <w:rPr>
                <w:sz w:val="16"/>
                <w:szCs w:val="16"/>
                <w:color w:val="auto"/>
              </w:rPr>
            </w:pPr>
          </w:p>
        </w:tc>
        <w:tc>
          <w:tcPr>
            <w:tcW w:w="9020" w:type="dxa"/>
            <w:vAlign w:val="bottom"/>
          </w:tcPr>
          <w:p>
            <w:pPr>
              <w:ind w:left="60"/>
              <w:spacing w:after="0"/>
              <w:rPr>
                <w:sz w:val="20"/>
                <w:szCs w:val="20"/>
                <w:color w:val="auto"/>
              </w:rPr>
            </w:pPr>
            <w:r>
              <w:rPr>
                <w:rFonts w:ascii="Arial" w:cs="Arial" w:eastAsia="Arial" w:hAnsi="Arial"/>
                <w:sz w:val="16"/>
                <w:szCs w:val="16"/>
                <w:color w:val="auto"/>
              </w:rPr>
              <w:t>year</w:t>
            </w:r>
          </w:p>
        </w:tc>
      </w:tr>
      <w:tr>
        <w:trPr>
          <w:trHeight w:val="224"/>
        </w:trPr>
        <w:tc>
          <w:tcPr>
            <w:tcW w:w="1540" w:type="dxa"/>
            <w:vAlign w:val="bottom"/>
            <w:shd w:val="clear" w:color="auto" w:fill="42683C"/>
          </w:tcPr>
          <w:p>
            <w:pPr>
              <w:spacing w:after="0"/>
              <w:rPr>
                <w:sz w:val="19"/>
                <w:szCs w:val="19"/>
                <w:color w:val="auto"/>
              </w:rPr>
            </w:pPr>
          </w:p>
        </w:tc>
        <w:tc>
          <w:tcPr>
            <w:tcW w:w="460" w:type="dxa"/>
            <w:vAlign w:val="bottom"/>
          </w:tcPr>
          <w:p>
            <w:pPr>
              <w:ind w:left="360"/>
              <w:spacing w:after="0"/>
              <w:rPr>
                <w:sz w:val="20"/>
                <w:szCs w:val="20"/>
                <w:color w:val="auto"/>
              </w:rPr>
            </w:pPr>
            <w:r>
              <w:rPr>
                <w:rFonts w:ascii="Arial" w:cs="Arial" w:eastAsia="Arial" w:hAnsi="Arial"/>
                <w:sz w:val="14"/>
                <w:szCs w:val="14"/>
                <w:color w:val="auto"/>
              </w:rPr>
              <w:t>¡</w:t>
            </w:r>
          </w:p>
        </w:tc>
        <w:tc>
          <w:tcPr>
            <w:tcW w:w="9020" w:type="dxa"/>
            <w:vAlign w:val="bottom"/>
          </w:tcPr>
          <w:p>
            <w:pPr>
              <w:ind w:left="40"/>
              <w:spacing w:after="0"/>
              <w:rPr>
                <w:sz w:val="20"/>
                <w:szCs w:val="20"/>
                <w:color w:val="auto"/>
              </w:rPr>
            </w:pPr>
            <w:r>
              <w:rPr>
                <w:rFonts w:ascii="Arial" w:cs="Arial" w:eastAsia="Arial" w:hAnsi="Arial"/>
                <w:sz w:val="16"/>
                <w:szCs w:val="16"/>
                <w:color w:val="auto"/>
              </w:rPr>
              <w:t>Supported the creation of the Firm’s new Financial Advisor training program for employees; 20% of whom are Black</w:t>
            </w:r>
          </w:p>
        </w:tc>
      </w:tr>
      <w:tr>
        <w:trPr>
          <w:trHeight w:val="189"/>
        </w:trPr>
        <w:tc>
          <w:tcPr>
            <w:tcW w:w="1540" w:type="dxa"/>
            <w:vAlign w:val="bottom"/>
            <w:shd w:val="clear" w:color="auto" w:fill="42683C"/>
          </w:tcPr>
          <w:p>
            <w:pPr>
              <w:spacing w:after="0"/>
              <w:rPr>
                <w:sz w:val="16"/>
                <w:szCs w:val="16"/>
                <w:color w:val="auto"/>
              </w:rPr>
            </w:pPr>
          </w:p>
        </w:tc>
        <w:tc>
          <w:tcPr>
            <w:tcW w:w="9480" w:type="dxa"/>
            <w:vAlign w:val="bottom"/>
            <w:gridSpan w:val="2"/>
          </w:tcPr>
          <w:p>
            <w:pPr>
              <w:ind w:left="220"/>
              <w:spacing w:after="0"/>
              <w:rPr>
                <w:sz w:val="20"/>
                <w:szCs w:val="20"/>
                <w:color w:val="auto"/>
              </w:rPr>
            </w:pPr>
            <w:r>
              <w:rPr>
                <w:rFonts w:ascii="Arial" w:cs="Arial" w:eastAsia="Arial" w:hAnsi="Arial"/>
                <w:sz w:val="16"/>
                <w:szCs w:val="16"/>
                <w:color w:val="004876"/>
              </w:rPr>
              <w:t xml:space="preserve">• </w:t>
            </w:r>
            <w:r>
              <w:rPr>
                <w:rFonts w:ascii="Arial" w:cs="Arial" w:eastAsia="Arial" w:hAnsi="Arial"/>
                <w:sz w:val="16"/>
                <w:szCs w:val="16"/>
                <w:color w:val="000000"/>
              </w:rPr>
              <w:t>The Black Executive Forum (“BEF”), a consortium of Managing Directors of Black heritage across all lines of businesses and</w:t>
            </w:r>
          </w:p>
        </w:tc>
      </w:tr>
      <w:tr>
        <w:trPr>
          <w:trHeight w:val="189"/>
        </w:trPr>
        <w:tc>
          <w:tcPr>
            <w:tcW w:w="1540" w:type="dxa"/>
            <w:vAlign w:val="bottom"/>
            <w:shd w:val="clear" w:color="auto" w:fill="42683C"/>
          </w:tcPr>
          <w:p>
            <w:pPr>
              <w:spacing w:after="0"/>
              <w:rPr>
                <w:sz w:val="16"/>
                <w:szCs w:val="16"/>
                <w:color w:val="auto"/>
              </w:rPr>
            </w:pPr>
          </w:p>
        </w:tc>
        <w:tc>
          <w:tcPr>
            <w:tcW w:w="9480" w:type="dxa"/>
            <w:vAlign w:val="bottom"/>
            <w:gridSpan w:val="2"/>
          </w:tcPr>
          <w:p>
            <w:pPr>
              <w:ind w:left="360"/>
              <w:spacing w:after="0"/>
              <w:rPr>
                <w:sz w:val="20"/>
                <w:szCs w:val="20"/>
                <w:color w:val="auto"/>
              </w:rPr>
            </w:pPr>
            <w:r>
              <w:rPr>
                <w:rFonts w:ascii="Arial" w:cs="Arial" w:eastAsia="Arial" w:hAnsi="Arial"/>
                <w:sz w:val="16"/>
                <w:szCs w:val="16"/>
                <w:color w:val="auto"/>
              </w:rPr>
              <w:t>functions, supports the ABL diversity strategy and ABP initiative and regularly engages with the BOLD BRG to serve as a</w:t>
            </w:r>
          </w:p>
        </w:tc>
      </w:tr>
      <w:tr>
        <w:trPr>
          <w:trHeight w:val="201"/>
        </w:trPr>
        <w:tc>
          <w:tcPr>
            <w:tcW w:w="1540" w:type="dxa"/>
            <w:vAlign w:val="bottom"/>
            <w:shd w:val="clear" w:color="auto" w:fill="42683C"/>
          </w:tcPr>
          <w:p>
            <w:pPr>
              <w:spacing w:after="0"/>
              <w:rPr>
                <w:sz w:val="17"/>
                <w:szCs w:val="17"/>
                <w:color w:val="auto"/>
              </w:rPr>
            </w:pPr>
          </w:p>
        </w:tc>
        <w:tc>
          <w:tcPr>
            <w:tcW w:w="9480" w:type="dxa"/>
            <w:vAlign w:val="bottom"/>
            <w:gridSpan w:val="2"/>
          </w:tcPr>
          <w:p>
            <w:pPr>
              <w:ind w:left="360"/>
              <w:spacing w:after="0"/>
              <w:rPr>
                <w:sz w:val="20"/>
                <w:szCs w:val="20"/>
                <w:color w:val="auto"/>
              </w:rPr>
            </w:pPr>
            <w:r>
              <w:rPr>
                <w:rFonts w:ascii="Arial" w:cs="Arial" w:eastAsia="Arial" w:hAnsi="Arial"/>
                <w:sz w:val="16"/>
                <w:szCs w:val="16"/>
                <w:color w:val="auto"/>
              </w:rPr>
              <w:t>senior collective voice for the Black community</w:t>
            </w:r>
          </w:p>
        </w:tc>
      </w:tr>
      <w:tr>
        <w:trPr>
          <w:trHeight w:val="20"/>
        </w:trPr>
        <w:tc>
          <w:tcPr>
            <w:tcW w:w="1540" w:type="dxa"/>
            <w:vAlign w:val="bottom"/>
            <w:tcBorders>
              <w:bottom w:val="single" w:sz="8" w:color="333333"/>
            </w:tcBorders>
          </w:tcPr>
          <w:p>
            <w:pPr>
              <w:spacing w:after="0" w:line="20" w:lineRule="exact"/>
              <w:rPr>
                <w:sz w:val="1"/>
                <w:szCs w:val="1"/>
                <w:color w:val="auto"/>
              </w:rPr>
            </w:pPr>
          </w:p>
        </w:tc>
        <w:tc>
          <w:tcPr>
            <w:tcW w:w="460" w:type="dxa"/>
            <w:vAlign w:val="bottom"/>
            <w:tcBorders>
              <w:bottom w:val="single" w:sz="8" w:color="333333"/>
            </w:tcBorders>
          </w:tcPr>
          <w:p>
            <w:pPr>
              <w:spacing w:after="0" w:line="20" w:lineRule="exact"/>
              <w:rPr>
                <w:sz w:val="1"/>
                <w:szCs w:val="1"/>
                <w:color w:val="auto"/>
              </w:rPr>
            </w:pPr>
          </w:p>
        </w:tc>
        <w:tc>
          <w:tcPr>
            <w:tcW w:w="9020" w:type="dxa"/>
            <w:vAlign w:val="bottom"/>
            <w:tcBorders>
              <w:bottom w:val="single" w:sz="8" w:color="333333"/>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120015</wp:posOffset>
            </wp:positionV>
            <wp:extent cx="977265" cy="82296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977265" cy="82296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p>
      <w:pPr>
        <w:spacing w:after="0" w:line="234" w:lineRule="exact"/>
        <w:rPr>
          <w:sz w:val="20"/>
          <w:szCs w:val="20"/>
          <w:color w:val="auto"/>
        </w:rPr>
      </w:pPr>
    </w:p>
    <w:p>
      <w:pPr>
        <w:jc w:val="right"/>
        <w:ind w:left="460"/>
        <w:spacing w:after="0" w:line="266" w:lineRule="auto"/>
        <w:rPr>
          <w:sz w:val="20"/>
          <w:szCs w:val="20"/>
          <w:color w:val="auto"/>
        </w:rPr>
      </w:pPr>
      <w:r>
        <w:rPr>
          <w:rFonts w:ascii="Arial" w:cs="Arial" w:eastAsia="Arial" w:hAnsi="Arial"/>
          <w:sz w:val="17"/>
          <w:szCs w:val="17"/>
          <w:b w:val="1"/>
          <w:bCs w:val="1"/>
          <w:color w:val="FFFFFF"/>
        </w:rPr>
        <w:t>OFFICE OF DISABILITY INCLUSION (“ODI”)</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left="136" w:right="300" w:hanging="136"/>
        <w:spacing w:after="0" w:line="260" w:lineRule="auto"/>
        <w:tabs>
          <w:tab w:leader="none" w:pos="129" w:val="left"/>
        </w:tabs>
        <w:numPr>
          <w:ilvl w:val="0"/>
          <w:numId w:val="129"/>
        </w:numPr>
        <w:rPr>
          <w:rFonts w:ascii="Arial" w:cs="Arial" w:eastAsia="Arial" w:hAnsi="Arial"/>
          <w:sz w:val="16"/>
          <w:szCs w:val="16"/>
          <w:color w:val="004876"/>
        </w:rPr>
      </w:pPr>
      <w:r>
        <w:rPr>
          <w:rFonts w:ascii="Arial" w:cs="Arial" w:eastAsia="Arial" w:hAnsi="Arial"/>
          <w:sz w:val="16"/>
          <w:szCs w:val="16"/>
          <w:color w:val="auto"/>
        </w:rPr>
        <w:t>Our ODI drives consistent accessibility processes and standards across the Firm so employees can receive the reasonable accommodations they need to perform their jobs</w:t>
      </w:r>
    </w:p>
    <w:p>
      <w:pPr>
        <w:spacing w:after="0" w:line="19" w:lineRule="exact"/>
        <w:rPr>
          <w:rFonts w:ascii="Arial" w:cs="Arial" w:eastAsia="Arial" w:hAnsi="Arial"/>
          <w:sz w:val="16"/>
          <w:szCs w:val="16"/>
          <w:color w:val="004876"/>
        </w:rPr>
      </w:pPr>
    </w:p>
    <w:p>
      <w:pPr>
        <w:ind w:left="136" w:right="20" w:hanging="136"/>
        <w:spacing w:after="0" w:line="260" w:lineRule="auto"/>
        <w:tabs>
          <w:tab w:leader="none" w:pos="129" w:val="left"/>
        </w:tabs>
        <w:numPr>
          <w:ilvl w:val="0"/>
          <w:numId w:val="129"/>
        </w:numPr>
        <w:rPr>
          <w:rFonts w:ascii="Arial" w:cs="Arial" w:eastAsia="Arial" w:hAnsi="Arial"/>
          <w:sz w:val="16"/>
          <w:szCs w:val="16"/>
          <w:color w:val="004876"/>
        </w:rPr>
      </w:pPr>
      <w:r>
        <w:rPr>
          <w:rFonts w:ascii="Arial" w:cs="Arial" w:eastAsia="Arial" w:hAnsi="Arial"/>
          <w:sz w:val="16"/>
          <w:szCs w:val="16"/>
          <w:color w:val="auto"/>
        </w:rPr>
        <w:t>Our centralized process - MyAccessibility Hub - handled increasingly more employee requests for reasonable accommodations in the U.S. and the Philippines in 2019, with expansion to other countries starting in 2020</w:t>
      </w:r>
    </w:p>
    <w:p>
      <w:pPr>
        <w:spacing w:after="0" w:line="19" w:lineRule="exact"/>
        <w:rPr>
          <w:rFonts w:ascii="Arial" w:cs="Arial" w:eastAsia="Arial" w:hAnsi="Arial"/>
          <w:sz w:val="16"/>
          <w:szCs w:val="16"/>
          <w:color w:val="004876"/>
        </w:rPr>
      </w:pPr>
    </w:p>
    <w:p>
      <w:pPr>
        <w:ind w:left="136" w:hanging="136"/>
        <w:spacing w:after="0"/>
        <w:tabs>
          <w:tab w:leader="none" w:pos="136" w:val="left"/>
        </w:tabs>
        <w:numPr>
          <w:ilvl w:val="0"/>
          <w:numId w:val="129"/>
        </w:numPr>
        <w:rPr>
          <w:rFonts w:ascii="Arial" w:cs="Arial" w:eastAsia="Arial" w:hAnsi="Arial"/>
          <w:sz w:val="16"/>
          <w:szCs w:val="16"/>
          <w:color w:val="004876"/>
        </w:rPr>
      </w:pPr>
      <w:r>
        <w:rPr>
          <w:rFonts w:ascii="Arial" w:cs="Arial" w:eastAsia="Arial" w:hAnsi="Arial"/>
          <w:sz w:val="16"/>
          <w:szCs w:val="16"/>
          <w:color w:val="auto"/>
        </w:rPr>
        <w:t>We provided managers and team leaders with resources to recruit, hire and advance people with disabilities</w:t>
      </w:r>
    </w:p>
    <w:p>
      <w:pPr>
        <w:spacing w:after="0" w:line="45" w:lineRule="exact"/>
        <w:rPr>
          <w:rFonts w:ascii="Arial" w:cs="Arial" w:eastAsia="Arial" w:hAnsi="Arial"/>
          <w:sz w:val="16"/>
          <w:szCs w:val="16"/>
          <w:color w:val="004876"/>
        </w:rPr>
      </w:pPr>
    </w:p>
    <w:p>
      <w:pPr>
        <w:ind w:left="136" w:hanging="136"/>
        <w:spacing w:after="0"/>
        <w:tabs>
          <w:tab w:leader="none" w:pos="136" w:val="left"/>
        </w:tabs>
        <w:numPr>
          <w:ilvl w:val="0"/>
          <w:numId w:val="129"/>
        </w:numPr>
        <w:rPr>
          <w:rFonts w:ascii="Arial" w:cs="Arial" w:eastAsia="Arial" w:hAnsi="Arial"/>
          <w:sz w:val="16"/>
          <w:szCs w:val="16"/>
          <w:color w:val="004876"/>
        </w:rPr>
      </w:pPr>
      <w:r>
        <w:rPr>
          <w:rFonts w:ascii="Arial" w:cs="Arial" w:eastAsia="Arial" w:hAnsi="Arial"/>
          <w:sz w:val="16"/>
          <w:szCs w:val="16"/>
          <w:color w:val="auto"/>
        </w:rPr>
        <w:t>We hired over 1,000 people with disabilities globally in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-1122045</wp:posOffset>
            </wp:positionH>
            <wp:positionV relativeFrom="paragraph">
              <wp:posOffset>19050</wp:posOffset>
            </wp:positionV>
            <wp:extent cx="699516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60" w:space="424"/>
            <w:col w:w="9256"/>
          </w:cols>
          <w:pgMar w:left="320" w:top="459" w:right="439" w:bottom="1440" w:gutter="0" w:footer="0" w:header="0"/>
          <w:type w:val="continuous"/>
        </w:sectPr>
      </w:pPr>
    </w:p>
    <w:p>
      <w:pPr>
        <w:spacing w:after="0" w:line="33"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1540" w:type="dxa"/>
            <w:vAlign w:val="bottom"/>
            <w:shd w:val="clear" w:color="auto" w:fill="42683C"/>
          </w:tcPr>
          <w:p>
            <w:pPr>
              <w:jc w:val="right"/>
              <w:ind w:right="110"/>
              <w:spacing w:after="0"/>
              <w:rPr>
                <w:sz w:val="20"/>
                <w:szCs w:val="20"/>
                <w:color w:val="auto"/>
              </w:rPr>
            </w:pPr>
            <w:r>
              <w:rPr>
                <w:rFonts w:ascii="Arial" w:cs="Arial" w:eastAsia="Arial" w:hAnsi="Arial"/>
                <w:sz w:val="18"/>
                <w:szCs w:val="18"/>
                <w:b w:val="1"/>
                <w:bCs w:val="1"/>
                <w:color w:val="FFFFFF"/>
              </w:rPr>
              <w:t>MILITARY</w:t>
            </w:r>
          </w:p>
        </w:tc>
        <w:tc>
          <w:tcPr>
            <w:tcW w:w="9480" w:type="dxa"/>
            <w:vAlign w:val="bottom"/>
          </w:tcPr>
          <w:p>
            <w:pPr>
              <w:ind w:left="220"/>
              <w:spacing w:after="0"/>
              <w:rPr>
                <w:sz w:val="20"/>
                <w:szCs w:val="20"/>
                <w:color w:val="auto"/>
              </w:rPr>
            </w:pPr>
            <w:r>
              <w:rPr>
                <w:rFonts w:ascii="Arial" w:cs="Arial" w:eastAsia="Arial" w:hAnsi="Arial"/>
                <w:sz w:val="16"/>
                <w:szCs w:val="16"/>
                <w:color w:val="004876"/>
              </w:rPr>
              <w:t xml:space="preserve">• </w:t>
            </w:r>
            <w:r>
              <w:rPr>
                <w:rFonts w:ascii="Arial" w:cs="Arial" w:eastAsia="Arial" w:hAnsi="Arial"/>
                <w:sz w:val="16"/>
                <w:szCs w:val="16"/>
                <w:color w:val="000000"/>
              </w:rPr>
              <w:t>Our Office of Military &amp; Veterans Affairs drives Firmwide initiatives to position veterans, service members and their families for</w:t>
            </w:r>
          </w:p>
        </w:tc>
      </w:tr>
      <w:tr>
        <w:trPr>
          <w:trHeight w:val="218"/>
        </w:trPr>
        <w:tc>
          <w:tcPr>
            <w:tcW w:w="1540" w:type="dxa"/>
            <w:vAlign w:val="bottom"/>
            <w:shd w:val="clear" w:color="auto" w:fill="42683C"/>
          </w:tcPr>
          <w:p>
            <w:pPr>
              <w:jc w:val="right"/>
              <w:ind w:right="110"/>
              <w:spacing w:after="0"/>
              <w:rPr>
                <w:sz w:val="20"/>
                <w:szCs w:val="20"/>
                <w:color w:val="auto"/>
              </w:rPr>
            </w:pPr>
            <w:r>
              <w:rPr>
                <w:rFonts w:ascii="Arial" w:cs="Arial" w:eastAsia="Arial" w:hAnsi="Arial"/>
                <w:sz w:val="18"/>
                <w:szCs w:val="18"/>
                <w:b w:val="1"/>
                <w:bCs w:val="1"/>
                <w:color w:val="FFFFFF"/>
              </w:rPr>
              <w:t>AND</w:t>
            </w:r>
          </w:p>
        </w:tc>
        <w:tc>
          <w:tcPr>
            <w:tcW w:w="9480" w:type="dxa"/>
            <w:vAlign w:val="bottom"/>
          </w:tcPr>
          <w:p>
            <w:pPr>
              <w:ind w:left="360"/>
              <w:spacing w:after="0"/>
              <w:rPr>
                <w:sz w:val="20"/>
                <w:szCs w:val="20"/>
                <w:color w:val="auto"/>
              </w:rPr>
            </w:pPr>
            <w:r>
              <w:rPr>
                <w:rFonts w:ascii="Arial" w:cs="Arial" w:eastAsia="Arial" w:hAnsi="Arial"/>
                <w:sz w:val="16"/>
                <w:szCs w:val="16"/>
                <w:color w:val="auto"/>
              </w:rPr>
              <w:t>long-term, post-military success</w:t>
            </w:r>
          </w:p>
        </w:tc>
      </w:tr>
      <w:tr>
        <w:trPr>
          <w:trHeight w:val="189"/>
        </w:trPr>
        <w:tc>
          <w:tcPr>
            <w:tcW w:w="1540" w:type="dxa"/>
            <w:vAlign w:val="bottom"/>
            <w:shd w:val="clear" w:color="auto" w:fill="42683C"/>
          </w:tcPr>
          <w:p>
            <w:pPr>
              <w:jc w:val="right"/>
              <w:ind w:right="110"/>
              <w:spacing w:after="0" w:line="189" w:lineRule="exact"/>
              <w:rPr>
                <w:sz w:val="20"/>
                <w:szCs w:val="20"/>
                <w:color w:val="auto"/>
              </w:rPr>
            </w:pPr>
            <w:r>
              <w:rPr>
                <w:rFonts w:ascii="Arial" w:cs="Arial" w:eastAsia="Arial" w:hAnsi="Arial"/>
                <w:sz w:val="18"/>
                <w:szCs w:val="18"/>
                <w:b w:val="1"/>
                <w:bCs w:val="1"/>
                <w:color w:val="FFFFFF"/>
              </w:rPr>
              <w:t>VETERANS</w:t>
            </w:r>
          </w:p>
        </w:tc>
        <w:tc>
          <w:tcPr>
            <w:tcW w:w="9480" w:type="dxa"/>
            <w:vAlign w:val="bottom"/>
          </w:tcPr>
          <w:p>
            <w:pPr>
              <w:ind w:left="220"/>
              <w:spacing w:after="0"/>
              <w:rPr>
                <w:sz w:val="20"/>
                <w:szCs w:val="20"/>
                <w:color w:val="auto"/>
              </w:rPr>
            </w:pPr>
            <w:r>
              <w:rPr>
                <w:rFonts w:ascii="Arial" w:cs="Arial" w:eastAsia="Arial" w:hAnsi="Arial"/>
                <w:sz w:val="16"/>
                <w:szCs w:val="16"/>
                <w:color w:val="004876"/>
              </w:rPr>
              <w:t xml:space="preserve">• </w:t>
            </w:r>
            <w:r>
              <w:rPr>
                <w:rFonts w:ascii="Arial" w:cs="Arial" w:eastAsia="Arial" w:hAnsi="Arial"/>
                <w:sz w:val="16"/>
                <w:szCs w:val="16"/>
                <w:color w:val="000000"/>
              </w:rPr>
              <w:t>We have hired more than 15,000 U.S. veterans since 2011, and over 1,200 in 2019 with 65% from self-identified diverse</w:t>
            </w:r>
          </w:p>
        </w:tc>
      </w:tr>
      <w:tr>
        <w:trPr>
          <w:trHeight w:val="218"/>
        </w:trPr>
        <w:tc>
          <w:tcPr>
            <w:tcW w:w="1540" w:type="dxa"/>
            <w:vAlign w:val="bottom"/>
            <w:shd w:val="clear" w:color="auto" w:fill="42683C"/>
          </w:tcPr>
          <w:p>
            <w:pPr>
              <w:jc w:val="right"/>
              <w:ind w:right="110"/>
              <w:spacing w:after="0"/>
              <w:rPr>
                <w:sz w:val="20"/>
                <w:szCs w:val="20"/>
                <w:color w:val="auto"/>
              </w:rPr>
            </w:pPr>
            <w:r>
              <w:rPr>
                <w:rFonts w:ascii="Arial" w:cs="Arial" w:eastAsia="Arial" w:hAnsi="Arial"/>
                <w:sz w:val="18"/>
                <w:szCs w:val="18"/>
                <w:b w:val="1"/>
                <w:bCs w:val="1"/>
                <w:color w:val="FFFFFF"/>
              </w:rPr>
              <w:t>AFFAIRS</w:t>
            </w:r>
          </w:p>
        </w:tc>
        <w:tc>
          <w:tcPr>
            <w:tcW w:w="9480" w:type="dxa"/>
            <w:vAlign w:val="bottom"/>
          </w:tcPr>
          <w:p>
            <w:pPr>
              <w:ind w:left="360"/>
              <w:spacing w:after="0"/>
              <w:rPr>
                <w:sz w:val="20"/>
                <w:szCs w:val="20"/>
                <w:color w:val="auto"/>
              </w:rPr>
            </w:pPr>
            <w:r>
              <w:rPr>
                <w:rFonts w:ascii="Arial" w:cs="Arial" w:eastAsia="Arial" w:hAnsi="Arial"/>
                <w:sz w:val="16"/>
                <w:szCs w:val="16"/>
                <w:color w:val="auto"/>
              </w:rPr>
              <w:t>backgrounds</w:t>
            </w:r>
          </w:p>
        </w:tc>
      </w:tr>
      <w:tr>
        <w:trPr>
          <w:trHeight w:val="200"/>
        </w:trPr>
        <w:tc>
          <w:tcPr>
            <w:tcW w:w="1540" w:type="dxa"/>
            <w:vAlign w:val="bottom"/>
            <w:shd w:val="clear" w:color="auto" w:fill="42683C"/>
          </w:tcPr>
          <w:p>
            <w:pPr>
              <w:jc w:val="right"/>
              <w:ind w:right="110"/>
              <w:spacing w:after="0" w:line="201" w:lineRule="exact"/>
              <w:rPr>
                <w:sz w:val="20"/>
                <w:szCs w:val="20"/>
                <w:color w:val="auto"/>
              </w:rPr>
            </w:pPr>
            <w:r>
              <w:rPr>
                <w:rFonts w:ascii="Arial" w:cs="Arial" w:eastAsia="Arial" w:hAnsi="Arial"/>
                <w:sz w:val="18"/>
                <w:szCs w:val="18"/>
                <w:b w:val="1"/>
                <w:bCs w:val="1"/>
                <w:color w:val="FFFFFF"/>
              </w:rPr>
              <w:t>PROGRAMS</w:t>
            </w:r>
          </w:p>
        </w:tc>
        <w:tc>
          <w:tcPr>
            <w:tcW w:w="9480" w:type="dxa"/>
            <w:vAlign w:val="bottom"/>
          </w:tcPr>
          <w:p>
            <w:pPr>
              <w:ind w:left="220"/>
              <w:spacing w:after="0"/>
              <w:rPr>
                <w:sz w:val="20"/>
                <w:szCs w:val="20"/>
                <w:color w:val="auto"/>
              </w:rPr>
            </w:pPr>
            <w:r>
              <w:rPr>
                <w:rFonts w:ascii="Arial" w:cs="Arial" w:eastAsia="Arial" w:hAnsi="Arial"/>
                <w:sz w:val="16"/>
                <w:szCs w:val="16"/>
                <w:color w:val="004876"/>
              </w:rPr>
              <w:t xml:space="preserve">• </w:t>
            </w:r>
            <w:r>
              <w:rPr>
                <w:rFonts w:ascii="Arial" w:cs="Arial" w:eastAsia="Arial" w:hAnsi="Arial"/>
                <w:sz w:val="16"/>
                <w:szCs w:val="16"/>
                <w:color w:val="000000"/>
              </w:rPr>
              <w:t>We expanded our efforts to empower the military community with access to employment and entrepreneurship opportunities</w:t>
            </w:r>
          </w:p>
        </w:tc>
      </w:tr>
      <w:tr>
        <w:trPr>
          <w:trHeight w:val="189"/>
        </w:trPr>
        <w:tc>
          <w:tcPr>
            <w:tcW w:w="1540" w:type="dxa"/>
            <w:vAlign w:val="bottom"/>
            <w:shd w:val="clear" w:color="auto" w:fill="42683C"/>
          </w:tcPr>
          <w:p>
            <w:pPr>
              <w:spacing w:after="0"/>
              <w:rPr>
                <w:sz w:val="16"/>
                <w:szCs w:val="16"/>
                <w:color w:val="auto"/>
              </w:rPr>
            </w:pPr>
          </w:p>
        </w:tc>
        <w:tc>
          <w:tcPr>
            <w:tcW w:w="9480" w:type="dxa"/>
            <w:vAlign w:val="bottom"/>
          </w:tcPr>
          <w:p>
            <w:pPr>
              <w:ind w:left="360"/>
              <w:spacing w:after="0"/>
              <w:rPr>
                <w:sz w:val="20"/>
                <w:szCs w:val="20"/>
                <w:color w:val="auto"/>
              </w:rPr>
            </w:pPr>
            <w:r>
              <w:rPr>
                <w:rFonts w:ascii="Arial" w:cs="Arial" w:eastAsia="Arial" w:hAnsi="Arial"/>
                <w:sz w:val="16"/>
                <w:szCs w:val="16"/>
                <w:color w:val="auto"/>
              </w:rPr>
              <w:t>with a continued focus on influencing the private sector on the business value of veteran talent and on driving modern</w:t>
            </w:r>
          </w:p>
        </w:tc>
      </w:tr>
      <w:tr>
        <w:trPr>
          <w:trHeight w:val="201"/>
        </w:trPr>
        <w:tc>
          <w:tcPr>
            <w:tcW w:w="1540" w:type="dxa"/>
            <w:vAlign w:val="bottom"/>
            <w:shd w:val="clear" w:color="auto" w:fill="42683C"/>
          </w:tcPr>
          <w:p>
            <w:pPr>
              <w:spacing w:after="0"/>
              <w:rPr>
                <w:sz w:val="17"/>
                <w:szCs w:val="17"/>
                <w:color w:val="auto"/>
              </w:rPr>
            </w:pPr>
          </w:p>
        </w:tc>
        <w:tc>
          <w:tcPr>
            <w:tcW w:w="9480" w:type="dxa"/>
            <w:vAlign w:val="bottom"/>
          </w:tcPr>
          <w:p>
            <w:pPr>
              <w:ind w:left="360"/>
              <w:spacing w:after="0"/>
              <w:rPr>
                <w:sz w:val="20"/>
                <w:szCs w:val="20"/>
                <w:color w:val="auto"/>
              </w:rPr>
            </w:pPr>
            <w:r>
              <w:rPr>
                <w:rFonts w:ascii="Arial" w:cs="Arial" w:eastAsia="Arial" w:hAnsi="Arial"/>
                <w:sz w:val="16"/>
                <w:szCs w:val="16"/>
                <w:color w:val="auto"/>
              </w:rPr>
              <w:t>workforce readiness for transitioning service members</w:t>
            </w:r>
          </w:p>
        </w:tc>
      </w:tr>
      <w:tr>
        <w:trPr>
          <w:trHeight w:val="20"/>
        </w:trPr>
        <w:tc>
          <w:tcPr>
            <w:tcW w:w="1540" w:type="dxa"/>
            <w:vAlign w:val="bottom"/>
            <w:tcBorders>
              <w:bottom w:val="single" w:sz="8" w:color="333333"/>
            </w:tcBorders>
          </w:tcPr>
          <w:p>
            <w:pPr>
              <w:spacing w:after="0" w:line="20" w:lineRule="exact"/>
              <w:rPr>
                <w:sz w:val="1"/>
                <w:szCs w:val="1"/>
                <w:color w:val="auto"/>
              </w:rPr>
            </w:pPr>
          </w:p>
        </w:tc>
        <w:tc>
          <w:tcPr>
            <w:tcW w:w="9480" w:type="dxa"/>
            <w:vAlign w:val="bottom"/>
            <w:tcBorders>
              <w:bottom w:val="single" w:sz="8" w:color="333333"/>
            </w:tcBorders>
          </w:tcPr>
          <w:p>
            <w:pPr>
              <w:spacing w:after="0" w:line="20" w:lineRule="exact"/>
              <w:rPr>
                <w:sz w:val="1"/>
                <w:szCs w:val="1"/>
                <w:color w:val="auto"/>
              </w:rPr>
            </w:pPr>
          </w:p>
        </w:tc>
      </w:tr>
      <w:tr>
        <w:trPr>
          <w:trHeight w:val="634"/>
        </w:trPr>
        <w:tc>
          <w:tcPr>
            <w:tcW w:w="1540" w:type="dxa"/>
            <w:vAlign w:val="bottom"/>
          </w:tcPr>
          <w:p>
            <w:pPr>
              <w:spacing w:after="0"/>
              <w:rPr>
                <w:sz w:val="24"/>
                <w:szCs w:val="24"/>
                <w:color w:val="auto"/>
              </w:rPr>
            </w:pPr>
          </w:p>
        </w:tc>
        <w:tc>
          <w:tcPr>
            <w:tcW w:w="9480" w:type="dxa"/>
            <w:vAlign w:val="bottom"/>
          </w:tcPr>
          <w:p>
            <w:pPr>
              <w:ind w:left="3880"/>
              <w:spacing w:after="0"/>
              <w:rPr>
                <w:sz w:val="20"/>
                <w:szCs w:val="20"/>
                <w:color w:val="auto"/>
              </w:rPr>
            </w:pPr>
            <w:r>
              <w:rPr>
                <w:rFonts w:ascii="Arial" w:cs="Arial" w:eastAsia="Arial" w:hAnsi="Arial"/>
                <w:sz w:val="13"/>
                <w:szCs w:val="13"/>
                <w:b w:val="1"/>
                <w:bCs w:val="1"/>
                <w:color w:val="004876"/>
              </w:rPr>
              <w:t>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-161925</wp:posOffset>
            </wp:positionV>
            <wp:extent cx="7029450" cy="19685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029450" cy="19685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4876"/>
        </w:rPr>
        <w:t>COMPENSATION DISCUSSION AND ANALYSIS |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640715</wp:posOffset>
            </wp:positionV>
            <wp:extent cx="977265" cy="183451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977265" cy="183451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160655</wp:posOffset>
            </wp:positionV>
            <wp:extent cx="7029450" cy="26543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029450" cy="26543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FFFFFF"/>
        </w:rPr>
        <w:t>LGBT+</w:t>
      </w:r>
    </w:p>
    <w:p>
      <w:pPr>
        <w:spacing w:after="0" w:line="18"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FFFFFF"/>
        </w:rPr>
        <w:t>EXECUTIVE FORUM &amp; COMMUNITY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1431925</wp:posOffset>
            </wp:positionV>
            <wp:extent cx="977265" cy="10629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977265" cy="10629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36" w:right="60" w:hanging="136"/>
        <w:spacing w:after="0" w:line="260" w:lineRule="auto"/>
        <w:tabs>
          <w:tab w:leader="none" w:pos="129" w:val="left"/>
        </w:tabs>
        <w:numPr>
          <w:ilvl w:val="0"/>
          <w:numId w:val="130"/>
        </w:numPr>
        <w:rPr>
          <w:rFonts w:ascii="Arial" w:cs="Arial" w:eastAsia="Arial" w:hAnsi="Arial"/>
          <w:sz w:val="16"/>
          <w:szCs w:val="16"/>
          <w:color w:val="004876"/>
        </w:rPr>
      </w:pPr>
      <w:r>
        <w:rPr>
          <w:rFonts w:ascii="Arial" w:cs="Arial" w:eastAsia="Arial" w:hAnsi="Arial"/>
          <w:sz w:val="16"/>
          <w:szCs w:val="16"/>
          <w:color w:val="auto"/>
        </w:rPr>
        <w:t>Our LGBT+ Executive Forum is a group of Out LGBT+ Managing Directors and Executive Directors across 13 countries to drive increased engagement and visibility of our LGBT+ senior leaders and advance important topics of our LGBT+ community</w:t>
      </w:r>
    </w:p>
    <w:p>
      <w:pPr>
        <w:spacing w:after="0" w:line="19" w:lineRule="exact"/>
        <w:rPr>
          <w:rFonts w:ascii="Arial" w:cs="Arial" w:eastAsia="Arial" w:hAnsi="Arial"/>
          <w:sz w:val="16"/>
          <w:szCs w:val="16"/>
          <w:color w:val="004876"/>
        </w:rPr>
      </w:pPr>
    </w:p>
    <w:p>
      <w:pPr>
        <w:ind w:left="136" w:hanging="136"/>
        <w:spacing w:after="0"/>
        <w:tabs>
          <w:tab w:leader="none" w:pos="136" w:val="left"/>
        </w:tabs>
        <w:numPr>
          <w:ilvl w:val="0"/>
          <w:numId w:val="130"/>
        </w:numPr>
        <w:rPr>
          <w:rFonts w:ascii="Arial" w:cs="Arial" w:eastAsia="Arial" w:hAnsi="Arial"/>
          <w:sz w:val="16"/>
          <w:szCs w:val="16"/>
          <w:color w:val="004876"/>
        </w:rPr>
      </w:pPr>
      <w:r>
        <w:rPr>
          <w:rFonts w:ascii="Arial" w:cs="Arial" w:eastAsia="Arial" w:hAnsi="Arial"/>
          <w:sz w:val="16"/>
          <w:szCs w:val="16"/>
          <w:color w:val="auto"/>
        </w:rPr>
        <w:t>Our employees who have self-identified as LGBT+ increased by more than 46% over the last year</w:t>
      </w:r>
    </w:p>
    <w:p>
      <w:pPr>
        <w:spacing w:after="0" w:line="45" w:lineRule="exact"/>
        <w:rPr>
          <w:rFonts w:ascii="Arial" w:cs="Arial" w:eastAsia="Arial" w:hAnsi="Arial"/>
          <w:sz w:val="16"/>
          <w:szCs w:val="16"/>
          <w:color w:val="004876"/>
        </w:rPr>
      </w:pPr>
    </w:p>
    <w:p>
      <w:pPr>
        <w:ind w:left="136" w:right="100" w:hanging="136"/>
        <w:spacing w:after="0" w:line="260" w:lineRule="auto"/>
        <w:tabs>
          <w:tab w:leader="none" w:pos="129" w:val="left"/>
        </w:tabs>
        <w:numPr>
          <w:ilvl w:val="0"/>
          <w:numId w:val="130"/>
        </w:numPr>
        <w:rPr>
          <w:rFonts w:ascii="Arial" w:cs="Arial" w:eastAsia="Arial" w:hAnsi="Arial"/>
          <w:sz w:val="16"/>
          <w:szCs w:val="16"/>
          <w:color w:val="004876"/>
        </w:rPr>
      </w:pPr>
      <w:r>
        <w:rPr>
          <w:rFonts w:ascii="Arial" w:cs="Arial" w:eastAsia="Arial" w:hAnsi="Arial"/>
          <w:sz w:val="16"/>
          <w:szCs w:val="16"/>
          <w:color w:val="auto"/>
        </w:rPr>
        <w:t>Our global PRIDE BRG has nearly 24,000 employees (9% of all employees globally) and grew by approximately 35% over the last year</w:t>
      </w:r>
    </w:p>
    <w:p>
      <w:pPr>
        <w:spacing w:after="0" w:line="19" w:lineRule="exact"/>
        <w:rPr>
          <w:rFonts w:ascii="Arial" w:cs="Arial" w:eastAsia="Arial" w:hAnsi="Arial"/>
          <w:sz w:val="16"/>
          <w:szCs w:val="16"/>
          <w:color w:val="004876"/>
        </w:rPr>
      </w:pPr>
    </w:p>
    <w:p>
      <w:pPr>
        <w:ind w:left="136" w:right="260" w:hanging="136"/>
        <w:spacing w:after="0" w:line="251" w:lineRule="auto"/>
        <w:tabs>
          <w:tab w:leader="none" w:pos="129" w:val="left"/>
        </w:tabs>
        <w:numPr>
          <w:ilvl w:val="0"/>
          <w:numId w:val="130"/>
        </w:numPr>
        <w:rPr>
          <w:rFonts w:ascii="Arial" w:cs="Arial" w:eastAsia="Arial" w:hAnsi="Arial"/>
          <w:sz w:val="16"/>
          <w:szCs w:val="16"/>
          <w:color w:val="004876"/>
        </w:rPr>
      </w:pPr>
      <w:r>
        <w:rPr>
          <w:rFonts w:ascii="Arial" w:cs="Arial" w:eastAsia="Arial" w:hAnsi="Arial"/>
          <w:sz w:val="16"/>
          <w:szCs w:val="16"/>
          <w:color w:val="auto"/>
        </w:rPr>
        <w:t>In 2019, we signed public statements in support of marriage equality in Japan and Hong Kong, signed onto a pledge in Singapore that HIV status alone is not grounds for a person’s dismissal from employment, signed onto a United States Supreme Court amicus brief in support of LGBT+ workers seeking to be protected from discrimination under existing federal civil rights laws, and signed a charter in Warsaw, Poland, to reaffirm our commitment to LGBT+ equality and acceptance</w:t>
      </w:r>
    </w:p>
    <w:p>
      <w:pPr>
        <w:spacing w:after="0" w:line="26" w:lineRule="exact"/>
        <w:rPr>
          <w:rFonts w:ascii="Arial" w:cs="Arial" w:eastAsia="Arial" w:hAnsi="Arial"/>
          <w:sz w:val="16"/>
          <w:szCs w:val="16"/>
          <w:color w:val="004876"/>
        </w:rPr>
      </w:pPr>
    </w:p>
    <w:p>
      <w:pPr>
        <w:ind w:left="136" w:right="180" w:hanging="136"/>
        <w:spacing w:after="0" w:line="253" w:lineRule="auto"/>
        <w:tabs>
          <w:tab w:leader="none" w:pos="129" w:val="left"/>
        </w:tabs>
        <w:numPr>
          <w:ilvl w:val="0"/>
          <w:numId w:val="130"/>
        </w:numPr>
        <w:rPr>
          <w:rFonts w:ascii="Arial" w:cs="Arial" w:eastAsia="Arial" w:hAnsi="Arial"/>
          <w:sz w:val="16"/>
          <w:szCs w:val="16"/>
          <w:color w:val="004876"/>
        </w:rPr>
      </w:pPr>
      <w:r>
        <w:rPr>
          <w:rFonts w:ascii="Arial" w:cs="Arial" w:eastAsia="Arial" w:hAnsi="Arial"/>
          <w:sz w:val="16"/>
          <w:szCs w:val="16"/>
          <w:color w:val="auto"/>
        </w:rPr>
        <w:t>We have taken strides to improve LGBT+ family planning benefits and medical benefits for transgender employees (including gender reassignment surgery coverage in India), rolled out same-sex partner benefits, and formed a global transgender working group with employee representatives from the U.S., United Kingdom and the Philippines</w:t>
      </w:r>
    </w:p>
    <w:p>
      <w:pPr>
        <w:spacing w:after="0" w:line="25" w:lineRule="exact"/>
        <w:rPr>
          <w:rFonts w:ascii="Arial" w:cs="Arial" w:eastAsia="Arial" w:hAnsi="Arial"/>
          <w:sz w:val="16"/>
          <w:szCs w:val="16"/>
          <w:color w:val="004876"/>
        </w:rPr>
      </w:pPr>
    </w:p>
    <w:p>
      <w:pPr>
        <w:ind w:left="136" w:right="360" w:hanging="136"/>
        <w:spacing w:after="0" w:line="260" w:lineRule="auto"/>
        <w:tabs>
          <w:tab w:leader="none" w:pos="129" w:val="left"/>
        </w:tabs>
        <w:numPr>
          <w:ilvl w:val="0"/>
          <w:numId w:val="130"/>
        </w:numPr>
        <w:rPr>
          <w:rFonts w:ascii="Arial" w:cs="Arial" w:eastAsia="Arial" w:hAnsi="Arial"/>
          <w:sz w:val="16"/>
          <w:szCs w:val="16"/>
          <w:color w:val="004876"/>
        </w:rPr>
      </w:pPr>
      <w:r>
        <w:rPr>
          <w:rFonts w:ascii="Arial" w:cs="Arial" w:eastAsia="Arial" w:hAnsi="Arial"/>
          <w:sz w:val="16"/>
          <w:szCs w:val="16"/>
          <w:color w:val="auto"/>
        </w:rPr>
        <w:t>We are also engaged with external LGBT+ organizations, evidenced by our financial support of 22 LGBT+ focused not-for-profit organizations across 5 countries, with a number of these relationships dating back two decades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-1122045</wp:posOffset>
            </wp:positionH>
            <wp:positionV relativeFrom="paragraph">
              <wp:posOffset>2540</wp:posOffset>
            </wp:positionV>
            <wp:extent cx="699516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3" w:lineRule="exact"/>
        <w:rPr>
          <w:sz w:val="20"/>
          <w:szCs w:val="20"/>
          <w:color w:val="auto"/>
        </w:rPr>
      </w:pPr>
    </w:p>
    <w:p>
      <w:pPr>
        <w:sectPr>
          <w:pgSz w:w="11900" w:h="16838" w:orient="portrait"/>
          <w:cols w:equalWidth="0" w:num="2">
            <w:col w:w="1460" w:space="424"/>
            <w:col w:w="9256"/>
          </w:cols>
          <w:pgMar w:left="320" w:top="459" w:right="439" w:bottom="1440" w:gutter="0" w:footer="0" w:header="0"/>
          <w:type w:val="continuous"/>
        </w:sectPr>
      </w:pPr>
    </w:p>
    <w:p>
      <w:pPr>
        <w:ind w:left="900"/>
        <w:spacing w:after="0"/>
        <w:tabs>
          <w:tab w:leader="none" w:pos="1860" w:val="left"/>
        </w:tabs>
        <w:rPr>
          <w:sz w:val="20"/>
          <w:szCs w:val="20"/>
          <w:color w:val="auto"/>
        </w:rPr>
      </w:pPr>
      <w:r>
        <w:rPr>
          <w:rFonts w:ascii="Arial" w:cs="Arial" w:eastAsia="Arial" w:hAnsi="Arial"/>
          <w:sz w:val="18"/>
          <w:szCs w:val="18"/>
          <w:b w:val="1"/>
          <w:bCs w:val="1"/>
          <w:color w:val="FFFFFF"/>
        </w:rPr>
        <w:t>ASIAN</w:t>
      </w:r>
      <w:r>
        <w:rPr>
          <w:sz w:val="20"/>
          <w:szCs w:val="20"/>
          <w:color w:val="auto"/>
        </w:rPr>
        <w:tab/>
      </w:r>
      <w:r>
        <w:rPr>
          <w:rFonts w:ascii="Arial" w:cs="Arial" w:eastAsia="Arial" w:hAnsi="Arial"/>
          <w:sz w:val="16"/>
          <w:szCs w:val="16"/>
          <w:color w:val="004876"/>
        </w:rPr>
        <w:t xml:space="preserve">• </w:t>
      </w:r>
      <w:r>
        <w:rPr>
          <w:rFonts w:ascii="Arial" w:cs="Arial" w:eastAsia="Arial" w:hAnsi="Arial"/>
          <w:sz w:val="16"/>
          <w:szCs w:val="16"/>
          <w:color w:val="000000"/>
        </w:rPr>
        <w:t>Our AEF is a consortium of Managing Directors of Asian heritage across all lines of business and functions to represent the</w:t>
      </w:r>
    </w:p>
    <w:p>
      <w:pPr>
        <w:spacing w:after="0" w:line="12" w:lineRule="exact"/>
        <w:rPr>
          <w:sz w:val="20"/>
          <w:szCs w:val="20"/>
          <w:color w:val="auto"/>
        </w:rPr>
      </w:pPr>
    </w:p>
    <w:p>
      <w:pPr>
        <w:ind w:left="440"/>
        <w:spacing w:after="0"/>
        <w:tabs>
          <w:tab w:leader="none" w:pos="2000" w:val="left"/>
        </w:tabs>
        <w:rPr>
          <w:sz w:val="20"/>
          <w:szCs w:val="20"/>
          <w:color w:val="auto"/>
        </w:rPr>
      </w:pPr>
      <w:r>
        <w:rPr>
          <w:rFonts w:ascii="Arial" w:cs="Arial" w:eastAsia="Arial" w:hAnsi="Arial"/>
          <w:sz w:val="18"/>
          <w:szCs w:val="18"/>
          <w:b w:val="1"/>
          <w:bCs w:val="1"/>
          <w:color w:val="FFFFFF"/>
        </w:rPr>
        <w:t>EXECUTIVE</w:t>
      </w:r>
      <w:r>
        <w:rPr>
          <w:sz w:val="20"/>
          <w:szCs w:val="20"/>
          <w:color w:val="auto"/>
        </w:rPr>
        <w:tab/>
      </w:r>
      <w:r>
        <w:rPr>
          <w:rFonts w:ascii="Arial" w:cs="Arial" w:eastAsia="Arial" w:hAnsi="Arial"/>
          <w:sz w:val="16"/>
          <w:szCs w:val="16"/>
          <w:color w:val="auto"/>
        </w:rPr>
        <w:t>Firm’s strong commitment to the promotion and advancement of Asian Americans and Pacific Islanders</w:t>
      </w:r>
    </w:p>
    <w:p>
      <w:pPr>
        <w:ind w:left="800"/>
        <w:spacing w:after="0" w:line="237" w:lineRule="auto"/>
        <w:tabs>
          <w:tab w:leader="none" w:pos="1860" w:val="left"/>
        </w:tabs>
        <w:rPr>
          <w:sz w:val="20"/>
          <w:szCs w:val="20"/>
          <w:color w:val="auto"/>
        </w:rPr>
      </w:pPr>
      <w:r>
        <w:rPr>
          <w:rFonts w:ascii="Arial" w:cs="Arial" w:eastAsia="Arial" w:hAnsi="Arial"/>
          <w:sz w:val="18"/>
          <w:szCs w:val="18"/>
          <w:b w:val="1"/>
          <w:bCs w:val="1"/>
          <w:color w:val="FFFFFF"/>
        </w:rPr>
        <w:t>FORUM</w:t>
      </w:r>
      <w:r>
        <w:rPr>
          <w:sz w:val="20"/>
          <w:szCs w:val="20"/>
          <w:color w:val="auto"/>
        </w:rPr>
        <w:tab/>
      </w:r>
      <w:r>
        <w:rPr>
          <w:rFonts w:ascii="Arial" w:cs="Arial" w:eastAsia="Arial" w:hAnsi="Arial"/>
          <w:sz w:val="16"/>
          <w:szCs w:val="16"/>
          <w:color w:val="004876"/>
        </w:rPr>
        <w:t xml:space="preserve">• </w:t>
      </w:r>
      <w:r>
        <w:rPr>
          <w:rFonts w:ascii="Arial" w:cs="Arial" w:eastAsia="Arial" w:hAnsi="Arial"/>
          <w:sz w:val="16"/>
          <w:szCs w:val="16"/>
          <w:color w:val="000000"/>
        </w:rPr>
        <w:t>We launched an ‘Adopt-a-Chapter’ initiative to understand and address any issues to ensure the AsPIRE BRG leadership</w:t>
      </w:r>
    </w:p>
    <w:p>
      <w:pPr>
        <w:spacing w:after="0" w:line="12" w:lineRule="exact"/>
        <w:rPr>
          <w:sz w:val="20"/>
          <w:szCs w:val="20"/>
          <w:color w:val="auto"/>
        </w:rPr>
      </w:pPr>
    </w:p>
    <w:p>
      <w:pPr>
        <w:ind w:left="620"/>
        <w:spacing w:after="0"/>
        <w:tabs>
          <w:tab w:leader="none" w:pos="2000" w:val="left"/>
        </w:tabs>
        <w:rPr>
          <w:sz w:val="20"/>
          <w:szCs w:val="20"/>
          <w:color w:val="auto"/>
        </w:rPr>
      </w:pPr>
      <w:r>
        <w:rPr>
          <w:rFonts w:ascii="Arial" w:cs="Arial" w:eastAsia="Arial" w:hAnsi="Arial"/>
          <w:sz w:val="18"/>
          <w:szCs w:val="18"/>
          <w:b w:val="1"/>
          <w:bCs w:val="1"/>
          <w:color w:val="FFFFFF"/>
        </w:rPr>
        <w:t>(“AEF”) &amp;</w:t>
      </w:r>
      <w:r>
        <w:rPr>
          <w:sz w:val="20"/>
          <w:szCs w:val="20"/>
          <w:color w:val="auto"/>
        </w:rPr>
        <w:tab/>
      </w:r>
      <w:r>
        <w:rPr>
          <w:rFonts w:ascii="Arial" w:cs="Arial" w:eastAsia="Arial" w:hAnsi="Arial"/>
          <w:sz w:val="16"/>
          <w:szCs w:val="16"/>
          <w:color w:val="auto"/>
        </w:rPr>
        <w:t>teams are set up for growth and stability and increased Managing Director membership and participation in the AsPIRE BRG</w:t>
      </w:r>
    </w:p>
    <w:p>
      <w:pPr>
        <w:ind w:left="1880" w:right="240" w:hanging="1679"/>
        <w:spacing w:after="0" w:line="260" w:lineRule="auto"/>
        <w:tabs>
          <w:tab w:leader="none" w:pos="1860" w:val="left"/>
        </w:tabs>
        <w:rPr>
          <w:sz w:val="20"/>
          <w:szCs w:val="20"/>
          <w:color w:val="auto"/>
        </w:rPr>
      </w:pPr>
      <w:r>
        <w:rPr>
          <w:rFonts w:ascii="Arial" w:cs="Arial" w:eastAsia="Arial" w:hAnsi="Arial"/>
          <w:sz w:val="18"/>
          <w:szCs w:val="18"/>
          <w:b w:val="1"/>
          <w:bCs w:val="1"/>
          <w:color w:val="FFFFFF"/>
        </w:rPr>
        <w:t>COMMUNITY</w:t>
      </w:r>
      <w:r>
        <w:rPr>
          <w:sz w:val="20"/>
          <w:szCs w:val="20"/>
          <w:color w:val="auto"/>
        </w:rPr>
        <w:tab/>
      </w:r>
      <w:r>
        <w:rPr>
          <w:rFonts w:ascii="Arial" w:cs="Arial" w:eastAsia="Arial" w:hAnsi="Arial"/>
          <w:sz w:val="16"/>
          <w:szCs w:val="16"/>
          <w:color w:val="004876"/>
        </w:rPr>
        <w:t xml:space="preserve">• </w:t>
      </w:r>
      <w:r>
        <w:rPr>
          <w:rFonts w:ascii="Arial" w:cs="Arial" w:eastAsia="Arial" w:hAnsi="Arial"/>
          <w:sz w:val="16"/>
          <w:szCs w:val="16"/>
          <w:color w:val="000000"/>
        </w:rPr>
        <w:t>We provide support to newly promoted or hired Asian Managing Directors by establishing an immediate sense of community</w:t>
      </w:r>
      <w:r>
        <w:rPr>
          <w:rFonts w:ascii="Arial" w:cs="Arial" w:eastAsia="Arial" w:hAnsi="Arial"/>
          <w:sz w:val="16"/>
          <w:szCs w:val="16"/>
          <w:color w:val="004876"/>
        </w:rPr>
        <w:t xml:space="preserve"> </w:t>
      </w:r>
      <w:r>
        <w:rPr>
          <w:rFonts w:ascii="Arial" w:cs="Arial" w:eastAsia="Arial" w:hAnsi="Arial"/>
          <w:sz w:val="16"/>
          <w:szCs w:val="16"/>
          <w:color w:val="000000"/>
        </w:rPr>
        <w:t>and providing a solid network of professionally diverse peers</w:t>
      </w:r>
    </w:p>
    <w:p>
      <w:pPr>
        <w:spacing w:after="0" w:line="50" w:lineRule="exact"/>
        <w:rPr>
          <w:sz w:val="20"/>
          <w:szCs w:val="20"/>
          <w:color w:val="auto"/>
        </w:rPr>
      </w:pPr>
    </w:p>
    <w:p>
      <w:pPr>
        <w:ind w:left="2020" w:right="840" w:hanging="136"/>
        <w:spacing w:after="0" w:line="260" w:lineRule="auto"/>
        <w:tabs>
          <w:tab w:leader="none" w:pos="2013" w:val="left"/>
        </w:tabs>
        <w:numPr>
          <w:ilvl w:val="0"/>
          <w:numId w:val="131"/>
        </w:numPr>
        <w:rPr>
          <w:rFonts w:ascii="Arial" w:cs="Arial" w:eastAsia="Arial" w:hAnsi="Arial"/>
          <w:sz w:val="16"/>
          <w:szCs w:val="16"/>
          <w:color w:val="004876"/>
        </w:rPr>
      </w:pPr>
      <w:r>
        <w:rPr>
          <w:rFonts w:ascii="Arial" w:cs="Arial" w:eastAsia="Arial" w:hAnsi="Arial"/>
          <w:sz w:val="16"/>
          <w:szCs w:val="16"/>
          <w:color w:val="auto"/>
        </w:rPr>
        <w:t>We mentor and develop rising Asian talent through professional skills development, career guidance and leadership development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2540</wp:posOffset>
            </wp:positionV>
            <wp:extent cx="699516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7"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540" w:type="dxa"/>
            <w:vAlign w:val="bottom"/>
            <w:shd w:val="clear" w:color="auto" w:fill="42683C"/>
          </w:tcPr>
          <w:p>
            <w:pPr>
              <w:jc w:val="right"/>
              <w:ind w:right="110"/>
              <w:spacing w:after="0"/>
              <w:rPr>
                <w:sz w:val="20"/>
                <w:szCs w:val="20"/>
                <w:color w:val="auto"/>
              </w:rPr>
            </w:pPr>
            <w:r>
              <w:rPr>
                <w:rFonts w:ascii="Arial" w:cs="Arial" w:eastAsia="Arial" w:hAnsi="Arial"/>
                <w:sz w:val="18"/>
                <w:szCs w:val="18"/>
                <w:b w:val="1"/>
                <w:bCs w:val="1"/>
                <w:color w:val="FFFFFF"/>
              </w:rPr>
              <w:t>HISPANIC</w:t>
            </w:r>
          </w:p>
        </w:tc>
        <w:tc>
          <w:tcPr>
            <w:tcW w:w="9480" w:type="dxa"/>
            <w:vAlign w:val="bottom"/>
          </w:tcPr>
          <w:p>
            <w:pPr>
              <w:ind w:left="220"/>
              <w:spacing w:after="0"/>
              <w:rPr>
                <w:sz w:val="20"/>
                <w:szCs w:val="20"/>
                <w:color w:val="auto"/>
              </w:rPr>
            </w:pPr>
            <w:r>
              <w:rPr>
                <w:rFonts w:ascii="Arial" w:cs="Arial" w:eastAsia="Arial" w:hAnsi="Arial"/>
                <w:sz w:val="16"/>
                <w:szCs w:val="16"/>
                <w:color w:val="004876"/>
              </w:rPr>
              <w:t xml:space="preserve">• </w:t>
            </w:r>
            <w:r>
              <w:rPr>
                <w:rFonts w:ascii="Arial" w:cs="Arial" w:eastAsia="Arial" w:hAnsi="Arial"/>
                <w:sz w:val="16"/>
                <w:szCs w:val="16"/>
                <w:color w:val="000000"/>
              </w:rPr>
              <w:t>Our HEF is a group of Managing Directors of Hispanic and Latino heritage across all lines of businesses and functions, and</w:t>
            </w:r>
          </w:p>
        </w:tc>
      </w:tr>
      <w:tr>
        <w:trPr>
          <w:trHeight w:val="200"/>
        </w:trPr>
        <w:tc>
          <w:tcPr>
            <w:tcW w:w="1540" w:type="dxa"/>
            <w:vAlign w:val="bottom"/>
            <w:shd w:val="clear" w:color="auto" w:fill="42683C"/>
          </w:tcPr>
          <w:p>
            <w:pPr>
              <w:jc w:val="right"/>
              <w:ind w:right="110"/>
              <w:spacing w:after="0" w:line="201" w:lineRule="exact"/>
              <w:rPr>
                <w:sz w:val="20"/>
                <w:szCs w:val="20"/>
                <w:color w:val="auto"/>
              </w:rPr>
            </w:pPr>
            <w:r>
              <w:rPr>
                <w:rFonts w:ascii="Arial" w:cs="Arial" w:eastAsia="Arial" w:hAnsi="Arial"/>
                <w:sz w:val="18"/>
                <w:szCs w:val="18"/>
                <w:b w:val="1"/>
                <w:bCs w:val="1"/>
                <w:color w:val="FFFFFF"/>
              </w:rPr>
              <w:t>EXECUTIVE</w:t>
            </w:r>
          </w:p>
        </w:tc>
        <w:tc>
          <w:tcPr>
            <w:tcW w:w="9480" w:type="dxa"/>
            <w:vAlign w:val="bottom"/>
          </w:tcPr>
          <w:p>
            <w:pPr>
              <w:ind w:left="360"/>
              <w:spacing w:after="0"/>
              <w:rPr>
                <w:sz w:val="20"/>
                <w:szCs w:val="20"/>
                <w:color w:val="auto"/>
              </w:rPr>
            </w:pPr>
            <w:r>
              <w:rPr>
                <w:rFonts w:ascii="Arial" w:cs="Arial" w:eastAsia="Arial" w:hAnsi="Arial"/>
                <w:sz w:val="16"/>
                <w:szCs w:val="16"/>
                <w:color w:val="auto"/>
              </w:rPr>
              <w:t>serves as a senior collective voice for the community and regularly engages with the Adelante BRG and other Hispanic</w:t>
            </w:r>
          </w:p>
        </w:tc>
      </w:tr>
      <w:tr>
        <w:trPr>
          <w:trHeight w:val="205"/>
        </w:trPr>
        <w:tc>
          <w:tcPr>
            <w:tcW w:w="1540" w:type="dxa"/>
            <w:vAlign w:val="bottom"/>
            <w:shd w:val="clear" w:color="auto" w:fill="42683C"/>
          </w:tcPr>
          <w:p>
            <w:pPr>
              <w:jc w:val="right"/>
              <w:ind w:right="110"/>
              <w:spacing w:after="0" w:line="205" w:lineRule="exact"/>
              <w:rPr>
                <w:sz w:val="20"/>
                <w:szCs w:val="20"/>
                <w:color w:val="auto"/>
              </w:rPr>
            </w:pPr>
            <w:r>
              <w:rPr>
                <w:rFonts w:ascii="Arial" w:cs="Arial" w:eastAsia="Arial" w:hAnsi="Arial"/>
                <w:sz w:val="18"/>
                <w:szCs w:val="18"/>
                <w:b w:val="1"/>
                <w:bCs w:val="1"/>
                <w:color w:val="FFFFFF"/>
              </w:rPr>
              <w:t>FORUM</w:t>
            </w:r>
          </w:p>
        </w:tc>
        <w:tc>
          <w:tcPr>
            <w:tcW w:w="9480" w:type="dxa"/>
            <w:vAlign w:val="bottom"/>
          </w:tcPr>
          <w:p>
            <w:pPr>
              <w:ind w:left="360"/>
              <w:spacing w:after="0"/>
              <w:rPr>
                <w:sz w:val="20"/>
                <w:szCs w:val="20"/>
                <w:color w:val="auto"/>
              </w:rPr>
            </w:pPr>
            <w:r>
              <w:rPr>
                <w:rFonts w:ascii="Arial" w:cs="Arial" w:eastAsia="Arial" w:hAnsi="Arial"/>
                <w:sz w:val="16"/>
                <w:szCs w:val="16"/>
                <w:color w:val="auto"/>
              </w:rPr>
              <w:t>leadership forums across the Firm</w:t>
            </w:r>
          </w:p>
        </w:tc>
      </w:tr>
      <w:tr>
        <w:trPr>
          <w:trHeight w:val="203"/>
        </w:trPr>
        <w:tc>
          <w:tcPr>
            <w:tcW w:w="1540" w:type="dxa"/>
            <w:vAlign w:val="bottom"/>
            <w:shd w:val="clear" w:color="auto" w:fill="42683C"/>
          </w:tcPr>
          <w:p>
            <w:pPr>
              <w:jc w:val="right"/>
              <w:ind w:right="110"/>
              <w:spacing w:after="0" w:line="202" w:lineRule="exact"/>
              <w:rPr>
                <w:sz w:val="20"/>
                <w:szCs w:val="20"/>
                <w:color w:val="auto"/>
              </w:rPr>
            </w:pPr>
            <w:r>
              <w:rPr>
                <w:rFonts w:ascii="Arial" w:cs="Arial" w:eastAsia="Arial" w:hAnsi="Arial"/>
                <w:sz w:val="18"/>
                <w:szCs w:val="18"/>
                <w:b w:val="1"/>
                <w:bCs w:val="1"/>
                <w:color w:val="FFFFFF"/>
              </w:rPr>
              <w:t>(“HEF”) &amp;</w:t>
            </w:r>
          </w:p>
        </w:tc>
        <w:tc>
          <w:tcPr>
            <w:tcW w:w="9480" w:type="dxa"/>
            <w:vAlign w:val="bottom"/>
          </w:tcPr>
          <w:p>
            <w:pPr>
              <w:ind w:left="220"/>
              <w:spacing w:after="0"/>
              <w:rPr>
                <w:sz w:val="20"/>
                <w:szCs w:val="20"/>
                <w:color w:val="auto"/>
              </w:rPr>
            </w:pPr>
            <w:r>
              <w:rPr>
                <w:rFonts w:ascii="Arial" w:cs="Arial" w:eastAsia="Arial" w:hAnsi="Arial"/>
                <w:sz w:val="16"/>
                <w:szCs w:val="16"/>
                <w:color w:val="004876"/>
              </w:rPr>
              <w:t xml:space="preserve">• </w:t>
            </w:r>
            <w:r>
              <w:rPr>
                <w:rFonts w:ascii="Arial" w:cs="Arial" w:eastAsia="Arial" w:hAnsi="Arial"/>
                <w:sz w:val="16"/>
                <w:szCs w:val="16"/>
                <w:color w:val="000000"/>
              </w:rPr>
              <w:t>Our HEF engagement has led to an increase in Managing Director membership and participation in the Adelante BRG as well</w:t>
            </w:r>
          </w:p>
        </w:tc>
      </w:tr>
      <w:tr>
        <w:trPr>
          <w:trHeight w:val="239"/>
        </w:trPr>
        <w:tc>
          <w:tcPr>
            <w:tcW w:w="1540" w:type="dxa"/>
            <w:vAlign w:val="bottom"/>
            <w:shd w:val="clear" w:color="auto" w:fill="42683C"/>
          </w:tcPr>
          <w:p>
            <w:pPr>
              <w:jc w:val="right"/>
              <w:ind w:right="110"/>
              <w:spacing w:after="0"/>
              <w:rPr>
                <w:sz w:val="20"/>
                <w:szCs w:val="20"/>
                <w:color w:val="auto"/>
              </w:rPr>
            </w:pPr>
            <w:r>
              <w:rPr>
                <w:rFonts w:ascii="Arial" w:cs="Arial" w:eastAsia="Arial" w:hAnsi="Arial"/>
                <w:sz w:val="18"/>
                <w:szCs w:val="18"/>
                <w:b w:val="1"/>
                <w:bCs w:val="1"/>
                <w:color w:val="FFFFFF"/>
              </w:rPr>
              <w:t>COMMUNITY</w:t>
            </w:r>
          </w:p>
        </w:tc>
        <w:tc>
          <w:tcPr>
            <w:tcW w:w="9480" w:type="dxa"/>
            <w:vAlign w:val="bottom"/>
          </w:tcPr>
          <w:p>
            <w:pPr>
              <w:ind w:left="360"/>
              <w:spacing w:after="0"/>
              <w:rPr>
                <w:sz w:val="20"/>
                <w:szCs w:val="20"/>
                <w:color w:val="auto"/>
              </w:rPr>
            </w:pPr>
            <w:r>
              <w:rPr>
                <w:rFonts w:ascii="Arial" w:cs="Arial" w:eastAsia="Arial" w:hAnsi="Arial"/>
                <w:sz w:val="16"/>
                <w:szCs w:val="16"/>
                <w:color w:val="auto"/>
              </w:rPr>
              <w:t>as enhanced partnerships with other Hispanic and Latino organizations</w:t>
            </w:r>
          </w:p>
        </w:tc>
      </w:tr>
      <w:tr>
        <w:trPr>
          <w:trHeight w:val="191"/>
        </w:trPr>
        <w:tc>
          <w:tcPr>
            <w:tcW w:w="1540" w:type="dxa"/>
            <w:vAlign w:val="bottom"/>
            <w:shd w:val="clear" w:color="auto" w:fill="42683C"/>
          </w:tcPr>
          <w:p>
            <w:pPr>
              <w:spacing w:after="0"/>
              <w:rPr>
                <w:sz w:val="16"/>
                <w:szCs w:val="16"/>
                <w:color w:val="auto"/>
              </w:rPr>
            </w:pPr>
          </w:p>
        </w:tc>
        <w:tc>
          <w:tcPr>
            <w:tcW w:w="9480" w:type="dxa"/>
            <w:vAlign w:val="bottom"/>
          </w:tcPr>
          <w:p>
            <w:pPr>
              <w:ind w:left="220"/>
              <w:spacing w:after="0"/>
              <w:rPr>
                <w:sz w:val="20"/>
                <w:szCs w:val="20"/>
                <w:color w:val="auto"/>
              </w:rPr>
            </w:pPr>
            <w:r>
              <w:rPr>
                <w:rFonts w:ascii="Arial" w:cs="Arial" w:eastAsia="Arial" w:hAnsi="Arial"/>
                <w:sz w:val="16"/>
                <w:szCs w:val="16"/>
                <w:color w:val="004876"/>
              </w:rPr>
              <w:t xml:space="preserve">• </w:t>
            </w:r>
            <w:r>
              <w:rPr>
                <w:rFonts w:ascii="Arial" w:cs="Arial" w:eastAsia="Arial" w:hAnsi="Arial"/>
                <w:sz w:val="16"/>
                <w:szCs w:val="16"/>
                <w:color w:val="000000"/>
              </w:rPr>
              <w:t>We reach out to newly promoted or hired Hispanic and Latino Managing Directors to enhance their experience in their new</w:t>
            </w:r>
          </w:p>
        </w:tc>
      </w:tr>
      <w:tr>
        <w:trPr>
          <w:trHeight w:val="195"/>
        </w:trPr>
        <w:tc>
          <w:tcPr>
            <w:tcW w:w="1540" w:type="dxa"/>
            <w:vAlign w:val="bottom"/>
            <w:shd w:val="clear" w:color="auto" w:fill="42683C"/>
          </w:tcPr>
          <w:p>
            <w:pPr>
              <w:spacing w:after="0"/>
              <w:rPr>
                <w:sz w:val="16"/>
                <w:szCs w:val="16"/>
                <w:color w:val="auto"/>
              </w:rPr>
            </w:pPr>
          </w:p>
        </w:tc>
        <w:tc>
          <w:tcPr>
            <w:tcW w:w="9480" w:type="dxa"/>
            <w:vAlign w:val="bottom"/>
          </w:tcPr>
          <w:p>
            <w:pPr>
              <w:ind w:left="360"/>
              <w:spacing w:after="0"/>
              <w:rPr>
                <w:sz w:val="20"/>
                <w:szCs w:val="20"/>
                <w:color w:val="auto"/>
              </w:rPr>
            </w:pPr>
            <w:r>
              <w:rPr>
                <w:rFonts w:ascii="Arial" w:cs="Arial" w:eastAsia="Arial" w:hAnsi="Arial"/>
                <w:sz w:val="16"/>
                <w:szCs w:val="16"/>
                <w:color w:val="auto"/>
              </w:rPr>
              <w:t>roles, establish an immediate sense of community and provide a solid network of professionally diverse peers</w:t>
            </w:r>
          </w:p>
        </w:tc>
      </w:tr>
      <w:tr>
        <w:trPr>
          <w:trHeight w:val="224"/>
        </w:trPr>
        <w:tc>
          <w:tcPr>
            <w:tcW w:w="1540" w:type="dxa"/>
            <w:vAlign w:val="bottom"/>
            <w:shd w:val="clear" w:color="auto" w:fill="42683C"/>
          </w:tcPr>
          <w:p>
            <w:pPr>
              <w:spacing w:after="0"/>
              <w:rPr>
                <w:sz w:val="19"/>
                <w:szCs w:val="19"/>
                <w:color w:val="auto"/>
              </w:rPr>
            </w:pPr>
          </w:p>
        </w:tc>
        <w:tc>
          <w:tcPr>
            <w:tcW w:w="9480" w:type="dxa"/>
            <w:vAlign w:val="bottom"/>
          </w:tcPr>
          <w:p>
            <w:pPr>
              <w:ind w:left="220"/>
              <w:spacing w:after="0"/>
              <w:rPr>
                <w:sz w:val="20"/>
                <w:szCs w:val="20"/>
                <w:color w:val="auto"/>
              </w:rPr>
            </w:pPr>
            <w:r>
              <w:rPr>
                <w:rFonts w:ascii="Arial" w:cs="Arial" w:eastAsia="Arial" w:hAnsi="Arial"/>
                <w:sz w:val="16"/>
                <w:szCs w:val="16"/>
                <w:color w:val="004876"/>
              </w:rPr>
              <w:t xml:space="preserve">• </w:t>
            </w:r>
            <w:r>
              <w:rPr>
                <w:rFonts w:ascii="Arial" w:cs="Arial" w:eastAsia="Arial" w:hAnsi="Arial"/>
                <w:sz w:val="16"/>
                <w:szCs w:val="16"/>
                <w:color w:val="000000"/>
              </w:rPr>
              <w:t>We have high participation of HEF representatives who volunteer in the Firm’s Hispanic recruiting programs as well as mentor</w:t>
            </w:r>
          </w:p>
        </w:tc>
      </w:tr>
      <w:tr>
        <w:trPr>
          <w:trHeight w:val="201"/>
        </w:trPr>
        <w:tc>
          <w:tcPr>
            <w:tcW w:w="1540" w:type="dxa"/>
            <w:vAlign w:val="bottom"/>
            <w:shd w:val="clear" w:color="auto" w:fill="42683C"/>
          </w:tcPr>
          <w:p>
            <w:pPr>
              <w:spacing w:after="0"/>
              <w:rPr>
                <w:sz w:val="17"/>
                <w:szCs w:val="17"/>
                <w:color w:val="auto"/>
              </w:rPr>
            </w:pPr>
          </w:p>
        </w:tc>
        <w:tc>
          <w:tcPr>
            <w:tcW w:w="9480" w:type="dxa"/>
            <w:vAlign w:val="bottom"/>
          </w:tcPr>
          <w:p>
            <w:pPr>
              <w:ind w:left="360"/>
              <w:spacing w:after="0"/>
              <w:rPr>
                <w:sz w:val="20"/>
                <w:szCs w:val="20"/>
                <w:color w:val="auto"/>
              </w:rPr>
            </w:pPr>
            <w:r>
              <w:rPr>
                <w:rFonts w:ascii="Arial" w:cs="Arial" w:eastAsia="Arial" w:hAnsi="Arial"/>
                <w:sz w:val="16"/>
                <w:szCs w:val="16"/>
                <w:color w:val="auto"/>
              </w:rPr>
              <w:t>Hispanic summer interns</w:t>
            </w:r>
          </w:p>
        </w:tc>
      </w:tr>
      <w:tr>
        <w:trPr>
          <w:trHeight w:val="20"/>
        </w:trPr>
        <w:tc>
          <w:tcPr>
            <w:tcW w:w="1540" w:type="dxa"/>
            <w:vAlign w:val="bottom"/>
            <w:tcBorders>
              <w:bottom w:val="single" w:sz="8" w:color="333333"/>
            </w:tcBorders>
          </w:tcPr>
          <w:p>
            <w:pPr>
              <w:spacing w:after="0" w:line="20" w:lineRule="exact"/>
              <w:rPr>
                <w:sz w:val="1"/>
                <w:szCs w:val="1"/>
                <w:color w:val="auto"/>
              </w:rPr>
            </w:pPr>
          </w:p>
        </w:tc>
        <w:tc>
          <w:tcPr>
            <w:tcW w:w="9480" w:type="dxa"/>
            <w:vAlign w:val="bottom"/>
            <w:tcBorders>
              <w:bottom w:val="single" w:sz="8" w:color="333333"/>
            </w:tcBorders>
          </w:tcPr>
          <w:p>
            <w:pPr>
              <w:spacing w:after="0" w:line="20" w:lineRule="exact"/>
              <w:rPr>
                <w:sz w:val="1"/>
                <w:szCs w:val="1"/>
                <w:color w:val="auto"/>
              </w:rPr>
            </w:pPr>
          </w:p>
        </w:tc>
      </w:tr>
      <w:tr>
        <w:trPr>
          <w:trHeight w:val="634"/>
        </w:trPr>
        <w:tc>
          <w:tcPr>
            <w:tcW w:w="1540" w:type="dxa"/>
            <w:vAlign w:val="bottom"/>
          </w:tcPr>
          <w:p>
            <w:pPr>
              <w:spacing w:after="0"/>
              <w:rPr>
                <w:sz w:val="24"/>
                <w:szCs w:val="24"/>
                <w:color w:val="auto"/>
              </w:rPr>
            </w:pPr>
          </w:p>
        </w:tc>
        <w:tc>
          <w:tcPr>
            <w:tcW w:w="9480" w:type="dxa"/>
            <w:vAlign w:val="bottom"/>
          </w:tcPr>
          <w:p>
            <w:pPr>
              <w:ind w:left="3880"/>
              <w:spacing w:after="0"/>
              <w:rPr>
                <w:sz w:val="20"/>
                <w:szCs w:val="20"/>
                <w:color w:val="auto"/>
              </w:rPr>
            </w:pPr>
            <w:r>
              <w:rPr>
                <w:rFonts w:ascii="Arial" w:cs="Arial" w:eastAsia="Arial" w:hAnsi="Arial"/>
                <w:sz w:val="13"/>
                <w:szCs w:val="13"/>
                <w:b w:val="1"/>
                <w:bCs w:val="1"/>
                <w:color w:val="004876"/>
              </w:rPr>
              <w:t>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-161925</wp:posOffset>
            </wp:positionV>
            <wp:extent cx="7029450" cy="19685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029450" cy="19685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04876"/>
        </w:rPr>
        <w:t>EXECUTIVE COMPENSATION | 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160655</wp:posOffset>
            </wp:positionV>
            <wp:extent cx="7029450" cy="26543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029450"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20"/>
        <w:spacing w:after="0"/>
        <w:rPr>
          <w:sz w:val="20"/>
          <w:szCs w:val="20"/>
          <w:color w:val="auto"/>
        </w:rPr>
      </w:pPr>
      <w:r>
        <w:rPr>
          <w:rFonts w:ascii="Arial" w:cs="Arial" w:eastAsia="Arial" w:hAnsi="Arial"/>
          <w:sz w:val="18"/>
          <w:szCs w:val="18"/>
          <w:color w:val="004876"/>
        </w:rPr>
        <w:t>External recognition</w:t>
      </w:r>
    </w:p>
    <w:p>
      <w:pPr>
        <w:spacing w:after="0" w:line="3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are proud of the external recognition we received in 2019, some of which is listed below:</w:t>
      </w:r>
    </w:p>
    <w:p>
      <w:pPr>
        <w:spacing w:after="0" w:line="117" w:lineRule="exact"/>
        <w:rPr>
          <w:sz w:val="20"/>
          <w:szCs w:val="20"/>
          <w:color w:val="auto"/>
        </w:rPr>
      </w:pPr>
    </w:p>
    <w:p>
      <w:pPr>
        <w:ind w:left="340" w:hanging="224"/>
        <w:spacing w:after="0"/>
        <w:tabs>
          <w:tab w:leader="none" w:pos="340" w:val="left"/>
        </w:tabs>
        <w:numPr>
          <w:ilvl w:val="0"/>
          <w:numId w:val="132"/>
        </w:numPr>
        <w:rPr>
          <w:rFonts w:ascii="Arial" w:cs="Arial" w:eastAsia="Arial" w:hAnsi="Arial"/>
          <w:sz w:val="18"/>
          <w:szCs w:val="18"/>
          <w:color w:val="004876"/>
        </w:rPr>
      </w:pPr>
      <w:r>
        <w:rPr>
          <w:rFonts w:ascii="Arial" w:cs="Arial" w:eastAsia="Arial" w:hAnsi="Arial"/>
          <w:sz w:val="18"/>
          <w:szCs w:val="18"/>
          <w:color w:val="auto"/>
        </w:rPr>
        <w:t>Aequales: Best Financial Institution with Gender Equality initiatives</w:t>
      </w:r>
    </w:p>
    <w:p>
      <w:pPr>
        <w:spacing w:after="0" w:line="117" w:lineRule="exact"/>
        <w:rPr>
          <w:rFonts w:ascii="Arial" w:cs="Arial" w:eastAsia="Arial" w:hAnsi="Arial"/>
          <w:sz w:val="18"/>
          <w:szCs w:val="18"/>
          <w:color w:val="004876"/>
        </w:rPr>
      </w:pPr>
    </w:p>
    <w:p>
      <w:pPr>
        <w:ind w:left="340" w:hanging="224"/>
        <w:spacing w:after="0"/>
        <w:tabs>
          <w:tab w:leader="none" w:pos="340" w:val="left"/>
        </w:tabs>
        <w:numPr>
          <w:ilvl w:val="0"/>
          <w:numId w:val="132"/>
        </w:numPr>
        <w:rPr>
          <w:rFonts w:ascii="Arial" w:cs="Arial" w:eastAsia="Arial" w:hAnsi="Arial"/>
          <w:sz w:val="18"/>
          <w:szCs w:val="18"/>
          <w:color w:val="004876"/>
        </w:rPr>
      </w:pPr>
      <w:r>
        <w:rPr>
          <w:rFonts w:ascii="Arial" w:cs="Arial" w:eastAsia="Arial" w:hAnsi="Arial"/>
          <w:sz w:val="18"/>
          <w:szCs w:val="18"/>
          <w:color w:val="auto"/>
        </w:rPr>
        <w:t>Black Enterprise Magazine: 50 Best Companies for Diversity</w:t>
      </w:r>
    </w:p>
    <w:p>
      <w:pPr>
        <w:spacing w:after="0" w:line="117" w:lineRule="exact"/>
        <w:rPr>
          <w:rFonts w:ascii="Arial" w:cs="Arial" w:eastAsia="Arial" w:hAnsi="Arial"/>
          <w:sz w:val="18"/>
          <w:szCs w:val="18"/>
          <w:color w:val="004876"/>
        </w:rPr>
      </w:pPr>
    </w:p>
    <w:p>
      <w:pPr>
        <w:ind w:left="340" w:hanging="224"/>
        <w:spacing w:after="0"/>
        <w:tabs>
          <w:tab w:leader="none" w:pos="340" w:val="left"/>
        </w:tabs>
        <w:numPr>
          <w:ilvl w:val="0"/>
          <w:numId w:val="132"/>
        </w:numPr>
        <w:rPr>
          <w:rFonts w:ascii="Arial" w:cs="Arial" w:eastAsia="Arial" w:hAnsi="Arial"/>
          <w:sz w:val="18"/>
          <w:szCs w:val="18"/>
          <w:color w:val="004876"/>
        </w:rPr>
      </w:pPr>
      <w:r>
        <w:rPr>
          <w:rFonts w:ascii="Arial" w:cs="Arial" w:eastAsia="Arial" w:hAnsi="Arial"/>
          <w:sz w:val="18"/>
          <w:szCs w:val="18"/>
          <w:color w:val="auto"/>
        </w:rPr>
        <w:t>CAREERS &amp; the disABLED: Top 50 Employer (ranked #2)</w:t>
      </w:r>
    </w:p>
    <w:p>
      <w:pPr>
        <w:spacing w:after="0" w:line="117" w:lineRule="exact"/>
        <w:rPr>
          <w:rFonts w:ascii="Arial" w:cs="Arial" w:eastAsia="Arial" w:hAnsi="Arial"/>
          <w:sz w:val="18"/>
          <w:szCs w:val="18"/>
          <w:color w:val="004876"/>
        </w:rPr>
      </w:pPr>
    </w:p>
    <w:p>
      <w:pPr>
        <w:ind w:left="340" w:hanging="224"/>
        <w:spacing w:after="0"/>
        <w:tabs>
          <w:tab w:leader="none" w:pos="340" w:val="left"/>
        </w:tabs>
        <w:numPr>
          <w:ilvl w:val="0"/>
          <w:numId w:val="132"/>
        </w:numPr>
        <w:rPr>
          <w:rFonts w:ascii="Arial" w:cs="Arial" w:eastAsia="Arial" w:hAnsi="Arial"/>
          <w:sz w:val="18"/>
          <w:szCs w:val="18"/>
          <w:color w:val="004876"/>
        </w:rPr>
      </w:pPr>
      <w:r>
        <w:rPr>
          <w:rFonts w:ascii="Arial" w:cs="Arial" w:eastAsia="Arial" w:hAnsi="Arial"/>
          <w:sz w:val="18"/>
          <w:szCs w:val="18"/>
          <w:color w:val="auto"/>
        </w:rPr>
        <w:t>Community Business on LGBT+ (Asia Pacific): Gold Standard status on Inclusion Index</w:t>
      </w:r>
    </w:p>
    <w:p>
      <w:pPr>
        <w:spacing w:after="0" w:line="117" w:lineRule="exact"/>
        <w:rPr>
          <w:rFonts w:ascii="Arial" w:cs="Arial" w:eastAsia="Arial" w:hAnsi="Arial"/>
          <w:sz w:val="18"/>
          <w:szCs w:val="18"/>
          <w:color w:val="004876"/>
        </w:rPr>
      </w:pPr>
    </w:p>
    <w:p>
      <w:pPr>
        <w:ind w:left="340" w:hanging="224"/>
        <w:spacing w:after="0"/>
        <w:tabs>
          <w:tab w:leader="none" w:pos="340" w:val="left"/>
        </w:tabs>
        <w:numPr>
          <w:ilvl w:val="0"/>
          <w:numId w:val="132"/>
        </w:numPr>
        <w:rPr>
          <w:rFonts w:ascii="Arial" w:cs="Arial" w:eastAsia="Arial" w:hAnsi="Arial"/>
          <w:sz w:val="18"/>
          <w:szCs w:val="18"/>
          <w:color w:val="004876"/>
        </w:rPr>
      </w:pPr>
      <w:r>
        <w:rPr>
          <w:rFonts w:ascii="Arial" w:cs="Arial" w:eastAsia="Arial" w:hAnsi="Arial"/>
          <w:sz w:val="18"/>
          <w:szCs w:val="18"/>
          <w:color w:val="auto"/>
        </w:rPr>
        <w:t>Dave Thomas Foundation for Adoption: 100 Best Adoption Friendly Workplace</w:t>
      </w:r>
    </w:p>
    <w:p>
      <w:pPr>
        <w:spacing w:after="0" w:line="117" w:lineRule="exact"/>
        <w:rPr>
          <w:rFonts w:ascii="Arial" w:cs="Arial" w:eastAsia="Arial" w:hAnsi="Arial"/>
          <w:sz w:val="18"/>
          <w:szCs w:val="18"/>
          <w:color w:val="004876"/>
        </w:rPr>
      </w:pPr>
    </w:p>
    <w:p>
      <w:pPr>
        <w:ind w:left="340" w:hanging="224"/>
        <w:spacing w:after="0"/>
        <w:tabs>
          <w:tab w:leader="none" w:pos="340" w:val="left"/>
        </w:tabs>
        <w:numPr>
          <w:ilvl w:val="0"/>
          <w:numId w:val="132"/>
        </w:numPr>
        <w:rPr>
          <w:rFonts w:ascii="Arial" w:cs="Arial" w:eastAsia="Arial" w:hAnsi="Arial"/>
          <w:sz w:val="18"/>
          <w:szCs w:val="18"/>
          <w:color w:val="004876"/>
        </w:rPr>
      </w:pPr>
      <w:r>
        <w:rPr>
          <w:rFonts w:ascii="Arial" w:cs="Arial" w:eastAsia="Arial" w:hAnsi="Arial"/>
          <w:sz w:val="18"/>
          <w:szCs w:val="18"/>
          <w:color w:val="auto"/>
        </w:rPr>
        <w:t>Disability Equality Index: A Best Place to work for Disability Inclusion</w:t>
      </w:r>
    </w:p>
    <w:p>
      <w:pPr>
        <w:spacing w:after="0" w:line="117" w:lineRule="exact"/>
        <w:rPr>
          <w:rFonts w:ascii="Arial" w:cs="Arial" w:eastAsia="Arial" w:hAnsi="Arial"/>
          <w:sz w:val="18"/>
          <w:szCs w:val="18"/>
          <w:color w:val="004876"/>
        </w:rPr>
      </w:pPr>
    </w:p>
    <w:p>
      <w:pPr>
        <w:ind w:left="340" w:hanging="224"/>
        <w:spacing w:after="0"/>
        <w:tabs>
          <w:tab w:leader="none" w:pos="340" w:val="left"/>
        </w:tabs>
        <w:numPr>
          <w:ilvl w:val="0"/>
          <w:numId w:val="132"/>
        </w:numPr>
        <w:rPr>
          <w:rFonts w:ascii="Arial" w:cs="Arial" w:eastAsia="Arial" w:hAnsi="Arial"/>
          <w:sz w:val="18"/>
          <w:szCs w:val="18"/>
          <w:color w:val="004876"/>
        </w:rPr>
      </w:pPr>
      <w:r>
        <w:rPr>
          <w:rFonts w:ascii="Arial" w:cs="Arial" w:eastAsia="Arial" w:hAnsi="Arial"/>
          <w:sz w:val="18"/>
          <w:szCs w:val="18"/>
          <w:color w:val="auto"/>
        </w:rPr>
        <w:t>Fortune Magazine: Change the World; World’s Most Admired Companies</w:t>
      </w:r>
    </w:p>
    <w:p>
      <w:pPr>
        <w:spacing w:after="0" w:line="114" w:lineRule="exact"/>
        <w:rPr>
          <w:rFonts w:ascii="Arial" w:cs="Arial" w:eastAsia="Arial" w:hAnsi="Arial"/>
          <w:sz w:val="18"/>
          <w:szCs w:val="18"/>
          <w:color w:val="004876"/>
        </w:rPr>
      </w:pPr>
    </w:p>
    <w:p>
      <w:pPr>
        <w:ind w:left="340" w:hanging="224"/>
        <w:spacing w:after="0"/>
        <w:tabs>
          <w:tab w:leader="none" w:pos="340" w:val="left"/>
        </w:tabs>
        <w:numPr>
          <w:ilvl w:val="0"/>
          <w:numId w:val="132"/>
        </w:numPr>
        <w:rPr>
          <w:rFonts w:ascii="Arial" w:cs="Arial" w:eastAsia="Arial" w:hAnsi="Arial"/>
          <w:sz w:val="18"/>
          <w:szCs w:val="18"/>
          <w:color w:val="004876"/>
        </w:rPr>
      </w:pPr>
      <w:r>
        <w:rPr>
          <w:rFonts w:ascii="Arial" w:cs="Arial" w:eastAsia="Arial" w:hAnsi="Arial"/>
          <w:sz w:val="18"/>
          <w:szCs w:val="18"/>
          <w:color w:val="auto"/>
        </w:rPr>
        <w:t>Human Rights Campaign: Perfect score on Corporate Equality Index (for 17</w:t>
      </w:r>
      <w:r>
        <w:rPr>
          <w:rFonts w:ascii="Arial" w:cs="Arial" w:eastAsia="Arial" w:hAnsi="Arial"/>
          <w:sz w:val="15"/>
          <w:szCs w:val="15"/>
          <w:color w:val="auto"/>
        </w:rPr>
        <w:t>th</w:t>
      </w:r>
      <w:r>
        <w:rPr>
          <w:rFonts w:ascii="Arial" w:cs="Arial" w:eastAsia="Arial" w:hAnsi="Arial"/>
          <w:sz w:val="18"/>
          <w:szCs w:val="18"/>
          <w:color w:val="auto"/>
        </w:rPr>
        <w:t xml:space="preserve"> year)</w:t>
      </w:r>
    </w:p>
    <w:p>
      <w:pPr>
        <w:spacing w:after="0" w:line="119" w:lineRule="exact"/>
        <w:rPr>
          <w:rFonts w:ascii="Arial" w:cs="Arial" w:eastAsia="Arial" w:hAnsi="Arial"/>
          <w:sz w:val="18"/>
          <w:szCs w:val="18"/>
          <w:color w:val="004876"/>
        </w:rPr>
      </w:pPr>
    </w:p>
    <w:p>
      <w:pPr>
        <w:ind w:left="340" w:hanging="224"/>
        <w:spacing w:after="0"/>
        <w:tabs>
          <w:tab w:leader="none" w:pos="340" w:val="left"/>
        </w:tabs>
        <w:numPr>
          <w:ilvl w:val="0"/>
          <w:numId w:val="132"/>
        </w:numPr>
        <w:rPr>
          <w:rFonts w:ascii="Arial" w:cs="Arial" w:eastAsia="Arial" w:hAnsi="Arial"/>
          <w:sz w:val="18"/>
          <w:szCs w:val="18"/>
          <w:color w:val="004876"/>
        </w:rPr>
      </w:pPr>
      <w:r>
        <w:rPr>
          <w:rFonts w:ascii="Arial" w:cs="Arial" w:eastAsia="Arial" w:hAnsi="Arial"/>
          <w:sz w:val="18"/>
          <w:szCs w:val="18"/>
          <w:color w:val="auto"/>
        </w:rPr>
        <w:t>Latina Style 50: Top 50 Best Companies for Latinas to Work for in the U.S. (ranked #2)</w:t>
      </w:r>
    </w:p>
    <w:p>
      <w:pPr>
        <w:spacing w:after="0" w:line="117" w:lineRule="exact"/>
        <w:rPr>
          <w:rFonts w:ascii="Arial" w:cs="Arial" w:eastAsia="Arial" w:hAnsi="Arial"/>
          <w:sz w:val="18"/>
          <w:szCs w:val="18"/>
          <w:color w:val="004876"/>
        </w:rPr>
      </w:pPr>
    </w:p>
    <w:p>
      <w:pPr>
        <w:ind w:left="340" w:hanging="224"/>
        <w:spacing w:after="0"/>
        <w:tabs>
          <w:tab w:leader="none" w:pos="340" w:val="left"/>
        </w:tabs>
        <w:numPr>
          <w:ilvl w:val="0"/>
          <w:numId w:val="132"/>
        </w:numPr>
        <w:rPr>
          <w:rFonts w:ascii="Arial" w:cs="Arial" w:eastAsia="Arial" w:hAnsi="Arial"/>
          <w:sz w:val="18"/>
          <w:szCs w:val="18"/>
          <w:color w:val="004876"/>
        </w:rPr>
      </w:pPr>
      <w:r>
        <w:rPr>
          <w:rFonts w:ascii="Arial" w:cs="Arial" w:eastAsia="Arial" w:hAnsi="Arial"/>
          <w:sz w:val="18"/>
          <w:szCs w:val="18"/>
          <w:color w:val="auto"/>
        </w:rPr>
        <w:t>Military Times: Best for Vets</w:t>
      </w:r>
    </w:p>
    <w:p>
      <w:pPr>
        <w:spacing w:after="0" w:line="117" w:lineRule="exact"/>
        <w:rPr>
          <w:rFonts w:ascii="Arial" w:cs="Arial" w:eastAsia="Arial" w:hAnsi="Arial"/>
          <w:sz w:val="18"/>
          <w:szCs w:val="18"/>
          <w:color w:val="004876"/>
        </w:rPr>
      </w:pPr>
    </w:p>
    <w:p>
      <w:pPr>
        <w:ind w:left="340" w:hanging="224"/>
        <w:spacing w:after="0"/>
        <w:tabs>
          <w:tab w:leader="none" w:pos="340" w:val="left"/>
        </w:tabs>
        <w:numPr>
          <w:ilvl w:val="0"/>
          <w:numId w:val="132"/>
        </w:numPr>
        <w:rPr>
          <w:rFonts w:ascii="Arial" w:cs="Arial" w:eastAsia="Arial" w:hAnsi="Arial"/>
          <w:sz w:val="18"/>
          <w:szCs w:val="18"/>
          <w:color w:val="004876"/>
        </w:rPr>
      </w:pPr>
      <w:r>
        <w:rPr>
          <w:rFonts w:ascii="Arial" w:cs="Arial" w:eastAsia="Arial" w:hAnsi="Arial"/>
          <w:sz w:val="18"/>
          <w:szCs w:val="18"/>
          <w:color w:val="auto"/>
        </w:rPr>
        <w:t>National Business Inclusion Consortium/National LGBT Chamber of Commerce: Best of the Best</w:t>
      </w:r>
    </w:p>
    <w:p>
      <w:pPr>
        <w:spacing w:after="0" w:line="117" w:lineRule="exact"/>
        <w:rPr>
          <w:rFonts w:ascii="Arial" w:cs="Arial" w:eastAsia="Arial" w:hAnsi="Arial"/>
          <w:sz w:val="18"/>
          <w:szCs w:val="18"/>
          <w:color w:val="004876"/>
        </w:rPr>
      </w:pPr>
    </w:p>
    <w:p>
      <w:pPr>
        <w:ind w:left="340" w:hanging="224"/>
        <w:spacing w:after="0"/>
        <w:tabs>
          <w:tab w:leader="none" w:pos="340" w:val="left"/>
        </w:tabs>
        <w:numPr>
          <w:ilvl w:val="0"/>
          <w:numId w:val="132"/>
        </w:numPr>
        <w:rPr>
          <w:rFonts w:ascii="Arial" w:cs="Arial" w:eastAsia="Arial" w:hAnsi="Arial"/>
          <w:sz w:val="18"/>
          <w:szCs w:val="18"/>
          <w:color w:val="004876"/>
        </w:rPr>
      </w:pPr>
      <w:r>
        <w:rPr>
          <w:rFonts w:ascii="Arial" w:cs="Arial" w:eastAsia="Arial" w:hAnsi="Arial"/>
          <w:sz w:val="18"/>
          <w:szCs w:val="18"/>
          <w:color w:val="auto"/>
        </w:rPr>
        <w:t>Springboard Consulting (European Conference): Disability Matters Award</w:t>
      </w:r>
    </w:p>
    <w:p>
      <w:pPr>
        <w:spacing w:after="0" w:line="117" w:lineRule="exact"/>
        <w:rPr>
          <w:rFonts w:ascii="Arial" w:cs="Arial" w:eastAsia="Arial" w:hAnsi="Arial"/>
          <w:sz w:val="18"/>
          <w:szCs w:val="18"/>
          <w:color w:val="004876"/>
        </w:rPr>
      </w:pPr>
    </w:p>
    <w:p>
      <w:pPr>
        <w:ind w:left="340" w:hanging="224"/>
        <w:spacing w:after="0"/>
        <w:tabs>
          <w:tab w:leader="none" w:pos="340" w:val="left"/>
        </w:tabs>
        <w:numPr>
          <w:ilvl w:val="0"/>
          <w:numId w:val="132"/>
        </w:numPr>
        <w:rPr>
          <w:rFonts w:ascii="Arial" w:cs="Arial" w:eastAsia="Arial" w:hAnsi="Arial"/>
          <w:sz w:val="18"/>
          <w:szCs w:val="18"/>
          <w:color w:val="004876"/>
        </w:rPr>
      </w:pPr>
      <w:r>
        <w:rPr>
          <w:rFonts w:ascii="Arial" w:cs="Arial" w:eastAsia="Arial" w:hAnsi="Arial"/>
          <w:sz w:val="18"/>
          <w:szCs w:val="18"/>
          <w:color w:val="auto"/>
        </w:rPr>
        <w:t>United Negro College: Keepers of the Flame Legacy Award</w:t>
      </w:r>
    </w:p>
    <w:p>
      <w:pPr>
        <w:spacing w:after="0" w:line="117" w:lineRule="exact"/>
        <w:rPr>
          <w:rFonts w:ascii="Arial" w:cs="Arial" w:eastAsia="Arial" w:hAnsi="Arial"/>
          <w:sz w:val="18"/>
          <w:szCs w:val="18"/>
          <w:color w:val="004876"/>
        </w:rPr>
      </w:pPr>
    </w:p>
    <w:p>
      <w:pPr>
        <w:ind w:left="340" w:hanging="224"/>
        <w:spacing w:after="0"/>
        <w:tabs>
          <w:tab w:leader="none" w:pos="340" w:val="left"/>
        </w:tabs>
        <w:numPr>
          <w:ilvl w:val="0"/>
          <w:numId w:val="132"/>
        </w:numPr>
        <w:rPr>
          <w:rFonts w:ascii="Arial" w:cs="Arial" w:eastAsia="Arial" w:hAnsi="Arial"/>
          <w:sz w:val="18"/>
          <w:szCs w:val="18"/>
          <w:color w:val="004876"/>
        </w:rPr>
      </w:pPr>
      <w:r>
        <w:rPr>
          <w:rFonts w:ascii="Arial" w:cs="Arial" w:eastAsia="Arial" w:hAnsi="Arial"/>
          <w:sz w:val="18"/>
          <w:szCs w:val="18"/>
          <w:color w:val="auto"/>
        </w:rPr>
        <w:t>Women’s Business Enterprise National Council: America’s Top Corporations for Women’s Business Enterprises</w:t>
      </w:r>
    </w:p>
    <w:p>
      <w:pPr>
        <w:spacing w:after="0" w:line="117" w:lineRule="exact"/>
        <w:rPr>
          <w:rFonts w:ascii="Arial" w:cs="Arial" w:eastAsia="Arial" w:hAnsi="Arial"/>
          <w:sz w:val="18"/>
          <w:szCs w:val="18"/>
          <w:color w:val="004876"/>
        </w:rPr>
      </w:pPr>
    </w:p>
    <w:p>
      <w:pPr>
        <w:ind w:left="340" w:hanging="224"/>
        <w:spacing w:after="0"/>
        <w:tabs>
          <w:tab w:leader="none" w:pos="340" w:val="left"/>
        </w:tabs>
        <w:numPr>
          <w:ilvl w:val="0"/>
          <w:numId w:val="132"/>
        </w:numPr>
        <w:rPr>
          <w:rFonts w:ascii="Arial" w:cs="Arial" w:eastAsia="Arial" w:hAnsi="Arial"/>
          <w:sz w:val="18"/>
          <w:szCs w:val="18"/>
          <w:color w:val="004876"/>
        </w:rPr>
      </w:pPr>
      <w:r>
        <w:rPr>
          <w:rFonts w:ascii="Arial" w:cs="Arial" w:eastAsia="Arial" w:hAnsi="Arial"/>
          <w:sz w:val="18"/>
          <w:szCs w:val="18"/>
          <w:color w:val="auto"/>
        </w:rPr>
        <w:t>Working Mother Media: Best Company for Multicultural Women</w:t>
      </w:r>
    </w:p>
    <w:p>
      <w:pPr>
        <w:spacing w:after="0" w:line="117" w:lineRule="exact"/>
        <w:rPr>
          <w:rFonts w:ascii="Arial" w:cs="Arial" w:eastAsia="Arial" w:hAnsi="Arial"/>
          <w:sz w:val="18"/>
          <w:szCs w:val="18"/>
          <w:color w:val="004876"/>
        </w:rPr>
      </w:pPr>
    </w:p>
    <w:p>
      <w:pPr>
        <w:ind w:left="340" w:hanging="224"/>
        <w:spacing w:after="0"/>
        <w:tabs>
          <w:tab w:leader="none" w:pos="340" w:val="left"/>
        </w:tabs>
        <w:numPr>
          <w:ilvl w:val="0"/>
          <w:numId w:val="132"/>
        </w:numPr>
        <w:rPr>
          <w:rFonts w:ascii="Arial" w:cs="Arial" w:eastAsia="Arial" w:hAnsi="Arial"/>
          <w:sz w:val="18"/>
          <w:szCs w:val="18"/>
          <w:color w:val="004876"/>
        </w:rPr>
      </w:pPr>
      <w:r>
        <w:rPr>
          <w:rFonts w:ascii="Arial" w:cs="Arial" w:eastAsia="Arial" w:hAnsi="Arial"/>
          <w:sz w:val="18"/>
          <w:szCs w:val="18"/>
          <w:color w:val="auto"/>
        </w:rPr>
        <w:t>Year Up: Dedicated Partner Award</w:t>
      </w:r>
    </w:p>
    <w:p>
      <w:pPr>
        <w:spacing w:after="0" w:line="209" w:lineRule="exact"/>
        <w:rPr>
          <w:sz w:val="20"/>
          <w:szCs w:val="20"/>
          <w:color w:val="auto"/>
        </w:rPr>
      </w:pPr>
    </w:p>
    <w:p>
      <w:pPr>
        <w:ind w:left="120"/>
        <w:spacing w:after="0"/>
        <w:rPr>
          <w:sz w:val="20"/>
          <w:szCs w:val="20"/>
          <w:color w:val="auto"/>
        </w:rPr>
      </w:pPr>
      <w:r>
        <w:rPr>
          <w:rFonts w:ascii="Arial" w:cs="Arial" w:eastAsia="Arial" w:hAnsi="Arial"/>
          <w:sz w:val="20"/>
          <w:szCs w:val="20"/>
          <w:color w:val="004876"/>
        </w:rPr>
        <w:t>EMPLOYEE GROWTH</w:t>
      </w:r>
    </w:p>
    <w:p>
      <w:pPr>
        <w:spacing w:after="0" w:line="29" w:lineRule="exact"/>
        <w:rPr>
          <w:sz w:val="20"/>
          <w:szCs w:val="20"/>
          <w:color w:val="auto"/>
        </w:rPr>
      </w:pPr>
    </w:p>
    <w:p>
      <w:pPr>
        <w:ind w:left="120" w:right="80"/>
        <w:spacing w:after="0"/>
        <w:rPr>
          <w:sz w:val="20"/>
          <w:szCs w:val="20"/>
          <w:color w:val="auto"/>
        </w:rPr>
      </w:pPr>
      <w:r>
        <w:rPr>
          <w:rFonts w:ascii="Arial" w:cs="Arial" w:eastAsia="Arial" w:hAnsi="Arial"/>
          <w:sz w:val="18"/>
          <w:szCs w:val="18"/>
          <w:color w:val="auto"/>
        </w:rPr>
        <w:t>We are dedicated to a culture that enables leaders and their teams to grow and succeed throughout their careers while encouraging them to uphold a standard of excellence. To do so, we make substantial investments in tools and training programs to help employees build their knowledge, skills and experience, and to guide their career advancement.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69215</wp:posOffset>
            </wp:positionV>
            <wp:extent cx="1208405" cy="95123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208405" cy="951230"/>
                    </a:xfrm>
                    <a:prstGeom prst="rect">
                      <a:avLst/>
                    </a:prstGeom>
                    <a:noFill/>
                  </pic:spPr>
                </pic:pic>
              </a:graphicData>
            </a:graphic>
          </wp:anchor>
        </w:drawing>
      </w:r>
    </w:p>
    <w:p>
      <w:pPr>
        <w:sectPr>
          <w:pgSz w:w="11900" w:h="16838" w:orient="portrait"/>
          <w:cols w:equalWidth="0" w:num="1">
            <w:col w:w="11120"/>
          </w:cols>
          <w:pgMar w:left="320" w:top="459" w:right="459" w:bottom="1440" w:gutter="0" w:footer="0" w:header="0"/>
        </w:sectPr>
      </w:pPr>
    </w:p>
    <w:p>
      <w:pPr>
        <w:spacing w:after="0" w:line="154" w:lineRule="exact"/>
        <w:rPr>
          <w:sz w:val="20"/>
          <w:szCs w:val="20"/>
          <w:color w:val="auto"/>
        </w:rPr>
      </w:pPr>
    </w:p>
    <w:p>
      <w:pPr>
        <w:ind w:left="460" w:firstLine="213"/>
        <w:spacing w:after="0" w:line="301" w:lineRule="auto"/>
        <w:rPr>
          <w:sz w:val="20"/>
          <w:szCs w:val="20"/>
          <w:color w:val="auto"/>
        </w:rPr>
      </w:pPr>
      <w:r>
        <w:rPr>
          <w:rFonts w:ascii="Arial" w:cs="Arial" w:eastAsia="Arial" w:hAnsi="Arial"/>
          <w:sz w:val="17"/>
          <w:szCs w:val="17"/>
          <w:b w:val="1"/>
          <w:bCs w:val="1"/>
          <w:color w:val="FFFFFF"/>
        </w:rPr>
        <w:t>LEADERSHIP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749300</wp:posOffset>
            </wp:positionV>
            <wp:extent cx="1208405" cy="80581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208405" cy="8058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ind w:left="153" w:hanging="153"/>
        <w:spacing w:after="0" w:line="253" w:lineRule="auto"/>
        <w:tabs>
          <w:tab w:leader="none" w:pos="146" w:val="left"/>
        </w:tabs>
        <w:numPr>
          <w:ilvl w:val="0"/>
          <w:numId w:val="133"/>
        </w:numPr>
        <w:rPr>
          <w:rFonts w:ascii="Arial" w:cs="Arial" w:eastAsia="Arial" w:hAnsi="Arial"/>
          <w:sz w:val="16"/>
          <w:szCs w:val="16"/>
          <w:color w:val="004876"/>
        </w:rPr>
      </w:pPr>
      <w:r>
        <w:rPr>
          <w:rFonts w:ascii="Arial" w:cs="Arial" w:eastAsia="Arial" w:hAnsi="Arial"/>
          <w:sz w:val="16"/>
          <w:szCs w:val="16"/>
          <w:color w:val="auto"/>
        </w:rPr>
        <w:t>Our global leadership development program, Leadership Edge, enables leaders at all levels to grow and succeed through their careers. Leaders are expected to set clear expectations and standards for their teams and further embed our Business Principles</w:t>
      </w:r>
    </w:p>
    <w:p>
      <w:pPr>
        <w:spacing w:after="0" w:line="25" w:lineRule="exact"/>
        <w:rPr>
          <w:rFonts w:ascii="Arial" w:cs="Arial" w:eastAsia="Arial" w:hAnsi="Arial"/>
          <w:sz w:val="16"/>
          <w:szCs w:val="16"/>
          <w:color w:val="004876"/>
        </w:rPr>
      </w:pPr>
    </w:p>
    <w:p>
      <w:pPr>
        <w:ind w:left="133" w:hanging="133"/>
        <w:spacing w:after="0"/>
        <w:tabs>
          <w:tab w:leader="none" w:pos="133" w:val="left"/>
        </w:tabs>
        <w:numPr>
          <w:ilvl w:val="0"/>
          <w:numId w:val="133"/>
        </w:numPr>
        <w:rPr>
          <w:rFonts w:ascii="Arial" w:cs="Arial" w:eastAsia="Arial" w:hAnsi="Arial"/>
          <w:sz w:val="16"/>
          <w:szCs w:val="16"/>
          <w:color w:val="004876"/>
        </w:rPr>
      </w:pPr>
      <w:r>
        <w:rPr>
          <w:rFonts w:ascii="Arial" w:cs="Arial" w:eastAsia="Arial" w:hAnsi="Arial"/>
          <w:sz w:val="16"/>
          <w:szCs w:val="16"/>
          <w:color w:val="auto"/>
        </w:rPr>
        <w:t>Most of our current managers have attended at least one Leadership Edge program since its inception in May 2015</w:t>
      </w:r>
    </w:p>
    <w:p>
      <w:pPr>
        <w:spacing w:after="0" w:line="45" w:lineRule="exact"/>
        <w:rPr>
          <w:rFonts w:ascii="Arial" w:cs="Arial" w:eastAsia="Arial" w:hAnsi="Arial"/>
          <w:sz w:val="16"/>
          <w:szCs w:val="16"/>
          <w:color w:val="004876"/>
        </w:rPr>
      </w:pPr>
    </w:p>
    <w:p>
      <w:pPr>
        <w:ind w:left="133" w:hanging="133"/>
        <w:spacing w:after="0"/>
        <w:tabs>
          <w:tab w:leader="none" w:pos="133" w:val="left"/>
        </w:tabs>
        <w:numPr>
          <w:ilvl w:val="0"/>
          <w:numId w:val="133"/>
        </w:numPr>
        <w:rPr>
          <w:rFonts w:ascii="Arial" w:cs="Arial" w:eastAsia="Arial" w:hAnsi="Arial"/>
          <w:sz w:val="16"/>
          <w:szCs w:val="16"/>
          <w:color w:val="004876"/>
        </w:rPr>
      </w:pPr>
      <w:r>
        <w:rPr>
          <w:rFonts w:ascii="Arial" w:cs="Arial" w:eastAsia="Arial" w:hAnsi="Arial"/>
          <w:sz w:val="16"/>
          <w:szCs w:val="16"/>
          <w:color w:val="auto"/>
        </w:rPr>
        <w:t>We achieved global attendance of nearly 22,000 across Leadership Edge programs in 2019</w:t>
      </w:r>
    </w:p>
    <w:p>
      <w:pPr>
        <w:spacing w:after="0" w:line="45" w:lineRule="exact"/>
        <w:rPr>
          <w:rFonts w:ascii="Arial" w:cs="Arial" w:eastAsia="Arial" w:hAnsi="Arial"/>
          <w:sz w:val="16"/>
          <w:szCs w:val="16"/>
          <w:color w:val="004876"/>
        </w:rPr>
      </w:pPr>
    </w:p>
    <w:p>
      <w:pPr>
        <w:ind w:left="153" w:right="40" w:hanging="153"/>
        <w:spacing w:after="0" w:line="260" w:lineRule="auto"/>
        <w:tabs>
          <w:tab w:leader="none" w:pos="146" w:val="left"/>
        </w:tabs>
        <w:numPr>
          <w:ilvl w:val="0"/>
          <w:numId w:val="133"/>
        </w:numPr>
        <w:rPr>
          <w:rFonts w:ascii="Arial" w:cs="Arial" w:eastAsia="Arial" w:hAnsi="Arial"/>
          <w:sz w:val="16"/>
          <w:szCs w:val="16"/>
          <w:color w:val="004876"/>
        </w:rPr>
      </w:pPr>
      <w:r>
        <w:rPr>
          <w:rFonts w:ascii="Arial" w:cs="Arial" w:eastAsia="Arial" w:hAnsi="Arial"/>
          <w:sz w:val="16"/>
          <w:szCs w:val="16"/>
          <w:color w:val="auto"/>
        </w:rPr>
        <w:t>Over 4,000 managers attended our 24-hour global leadership event (LEAD24) in 2019, which focused on the importance of fighting bureaucracy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-1276350</wp:posOffset>
            </wp:positionH>
            <wp:positionV relativeFrom="paragraph">
              <wp:posOffset>11430</wp:posOffset>
            </wp:positionV>
            <wp:extent cx="699516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20" w:space="307"/>
            <w:col w:w="8993"/>
          </w:cols>
          <w:pgMar w:left="320" w:top="459" w:right="459" w:bottom="1440" w:gutter="0" w:footer="0" w:header="0"/>
          <w:type w:val="continuous"/>
        </w:sectPr>
      </w:pPr>
    </w:p>
    <w:p>
      <w:pPr>
        <w:spacing w:after="0" w:line="65" w:lineRule="exact"/>
        <w:rPr>
          <w:sz w:val="20"/>
          <w:szCs w:val="20"/>
          <w:color w:val="auto"/>
        </w:rPr>
      </w:pPr>
    </w:p>
    <w:p>
      <w:pPr>
        <w:ind w:left="820"/>
        <w:spacing w:after="0"/>
        <w:rPr>
          <w:sz w:val="20"/>
          <w:szCs w:val="20"/>
          <w:color w:val="auto"/>
        </w:rPr>
      </w:pPr>
      <w:r>
        <w:rPr>
          <w:rFonts w:ascii="Arial" w:cs="Arial" w:eastAsia="Arial" w:hAnsi="Arial"/>
          <w:sz w:val="17"/>
          <w:szCs w:val="17"/>
          <w:b w:val="1"/>
          <w:bCs w:val="1"/>
          <w:color w:val="FFFFFF"/>
        </w:rPr>
        <w:t>EMPLOYEE</w:t>
      </w:r>
    </w:p>
    <w:p>
      <w:pPr>
        <w:spacing w:after="0" w:line="29"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FFFFFF"/>
        </w:rPr>
        <w:t>LEARNING</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ind w:left="153" w:right="820" w:hanging="153"/>
        <w:spacing w:after="0" w:line="260" w:lineRule="auto"/>
        <w:tabs>
          <w:tab w:leader="none" w:pos="146" w:val="left"/>
        </w:tabs>
        <w:numPr>
          <w:ilvl w:val="0"/>
          <w:numId w:val="134"/>
        </w:numPr>
        <w:rPr>
          <w:rFonts w:ascii="Arial" w:cs="Arial" w:eastAsia="Arial" w:hAnsi="Arial"/>
          <w:sz w:val="16"/>
          <w:szCs w:val="16"/>
          <w:color w:val="004876"/>
        </w:rPr>
      </w:pPr>
      <w:r>
        <w:rPr>
          <w:rFonts w:ascii="Arial" w:cs="Arial" w:eastAsia="Arial" w:hAnsi="Arial"/>
          <w:sz w:val="16"/>
          <w:szCs w:val="16"/>
          <w:color w:val="auto"/>
        </w:rPr>
        <w:t>Our learning agenda is designed to enable our employees to succeed in their careers while navigating the digital transformation occurring in our economy</w:t>
      </w:r>
    </w:p>
    <w:p>
      <w:pPr>
        <w:spacing w:after="0" w:line="19" w:lineRule="exact"/>
        <w:rPr>
          <w:rFonts w:ascii="Arial" w:cs="Arial" w:eastAsia="Arial" w:hAnsi="Arial"/>
          <w:sz w:val="16"/>
          <w:szCs w:val="16"/>
          <w:color w:val="004876"/>
        </w:rPr>
      </w:pPr>
    </w:p>
    <w:p>
      <w:pPr>
        <w:ind w:left="133" w:hanging="133"/>
        <w:spacing w:after="0"/>
        <w:tabs>
          <w:tab w:leader="none" w:pos="133" w:val="left"/>
        </w:tabs>
        <w:numPr>
          <w:ilvl w:val="0"/>
          <w:numId w:val="134"/>
        </w:numPr>
        <w:rPr>
          <w:rFonts w:ascii="Arial" w:cs="Arial" w:eastAsia="Arial" w:hAnsi="Arial"/>
          <w:sz w:val="16"/>
          <w:szCs w:val="16"/>
          <w:color w:val="004876"/>
        </w:rPr>
      </w:pPr>
      <w:r>
        <w:rPr>
          <w:rFonts w:ascii="Arial" w:cs="Arial" w:eastAsia="Arial" w:hAnsi="Arial"/>
          <w:sz w:val="16"/>
          <w:szCs w:val="16"/>
          <w:color w:val="auto"/>
        </w:rPr>
        <w:t>Over 9.9 million hours of training were delivered in 2019 across our global organization</w:t>
      </w:r>
    </w:p>
    <w:p>
      <w:pPr>
        <w:spacing w:after="0" w:line="45" w:lineRule="exact"/>
        <w:rPr>
          <w:rFonts w:ascii="Arial" w:cs="Arial" w:eastAsia="Arial" w:hAnsi="Arial"/>
          <w:sz w:val="16"/>
          <w:szCs w:val="16"/>
          <w:color w:val="004876"/>
        </w:rPr>
      </w:pPr>
    </w:p>
    <w:p>
      <w:pPr>
        <w:ind w:left="153" w:right="160" w:hanging="153"/>
        <w:spacing w:after="0" w:line="246" w:lineRule="auto"/>
        <w:tabs>
          <w:tab w:leader="none" w:pos="146" w:val="left"/>
        </w:tabs>
        <w:numPr>
          <w:ilvl w:val="0"/>
          <w:numId w:val="134"/>
        </w:numPr>
        <w:rPr>
          <w:rFonts w:ascii="Arial" w:cs="Arial" w:eastAsia="Arial" w:hAnsi="Arial"/>
          <w:sz w:val="16"/>
          <w:szCs w:val="16"/>
          <w:color w:val="004876"/>
        </w:rPr>
      </w:pPr>
      <w:r>
        <w:rPr>
          <w:rFonts w:ascii="Arial" w:cs="Arial" w:eastAsia="Arial" w:hAnsi="Arial"/>
          <w:sz w:val="16"/>
          <w:szCs w:val="16"/>
          <w:color w:val="auto"/>
        </w:rPr>
        <w:t>We provide a culture of continuous learning by training our employees on emerging topics such as Agile, Robotic Process Automation and Machine Learning in an effort to further</w:t>
      </w:r>
    </w:p>
    <w:p>
      <w:pPr>
        <w:ind w:left="153"/>
        <w:spacing w:after="0"/>
        <w:rPr>
          <w:rFonts w:ascii="Arial" w:cs="Arial" w:eastAsia="Arial" w:hAnsi="Arial"/>
          <w:sz w:val="16"/>
          <w:szCs w:val="16"/>
          <w:color w:val="004876"/>
        </w:rPr>
      </w:pPr>
      <w:r>
        <w:rPr>
          <w:rFonts w:ascii="Arial" w:cs="Arial" w:eastAsia="Arial" w:hAnsi="Arial"/>
          <w:sz w:val="16"/>
          <w:szCs w:val="16"/>
          <w:color w:val="auto"/>
        </w:rPr>
        <w:t>accelerate digital fluency and enhance how we serve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-1276350</wp:posOffset>
            </wp:positionH>
            <wp:positionV relativeFrom="paragraph">
              <wp:posOffset>27940</wp:posOffset>
            </wp:positionV>
            <wp:extent cx="699516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-1276350</wp:posOffset>
            </wp:positionH>
            <wp:positionV relativeFrom="paragraph">
              <wp:posOffset>405130</wp:posOffset>
            </wp:positionV>
            <wp:extent cx="7029450" cy="19748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029450" cy="1974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20" w:space="307"/>
            <w:col w:w="8993"/>
          </w:cols>
          <w:pgMar w:left="320" w:top="459" w:right="459" w:bottom="1440" w:gutter="0" w:footer="0" w:header="0"/>
          <w:type w:val="continuous"/>
        </w:sectPr>
      </w:pPr>
    </w:p>
    <w:p>
      <w:pPr>
        <w:spacing w:after="0" w:line="200" w:lineRule="exact"/>
        <w:rPr>
          <w:sz w:val="20"/>
          <w:szCs w:val="20"/>
          <w:color w:val="auto"/>
        </w:rPr>
      </w:pPr>
    </w:p>
    <w:p>
      <w:pPr>
        <w:spacing w:after="0" w:line="315" w:lineRule="exact"/>
        <w:rPr>
          <w:sz w:val="20"/>
          <w:szCs w:val="20"/>
          <w:color w:val="auto"/>
        </w:rPr>
      </w:pPr>
    </w:p>
    <w:p>
      <w:pPr>
        <w:jc w:val="center"/>
        <w:ind w:right="-119"/>
        <w:spacing w:after="0"/>
        <w:rPr>
          <w:sz w:val="20"/>
          <w:szCs w:val="20"/>
          <w:color w:val="auto"/>
        </w:rPr>
      </w:pPr>
      <w:r>
        <w:rPr>
          <w:rFonts w:ascii="Arial" w:cs="Arial" w:eastAsia="Arial" w:hAnsi="Arial"/>
          <w:sz w:val="13"/>
          <w:szCs w:val="13"/>
          <w:b w:val="1"/>
          <w:bCs w:val="1"/>
          <w:color w:val="004876"/>
        </w:rPr>
        <w:t>63</w:t>
      </w:r>
    </w:p>
    <w:p>
      <w:pPr>
        <w:sectPr>
          <w:pgSz w:w="11900" w:h="16838" w:orient="portrait"/>
          <w:cols w:equalWidth="0" w:num="1">
            <w:col w:w="11120"/>
          </w:cols>
          <w:pgMar w:left="320" w:top="459" w:right="459" w:bottom="1440" w:gutter="0" w:footer="0" w:header="0"/>
          <w:type w:val="continuous"/>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4876"/>
        </w:rPr>
        <w:t>COMPENSATION DISCUSSION AND ANALYSIS |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160655</wp:posOffset>
            </wp:positionV>
            <wp:extent cx="7029450" cy="26543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029450"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20"/>
        <w:spacing w:after="0"/>
        <w:rPr>
          <w:sz w:val="20"/>
          <w:szCs w:val="20"/>
          <w:color w:val="auto"/>
        </w:rPr>
      </w:pPr>
      <w:r>
        <w:rPr>
          <w:rFonts w:ascii="Arial" w:cs="Arial" w:eastAsia="Arial" w:hAnsi="Arial"/>
          <w:sz w:val="20"/>
          <w:szCs w:val="20"/>
          <w:color w:val="004876"/>
        </w:rPr>
        <w:t>EMPLOYEE BENEFITS &amp; WELLNESS</w:t>
      </w:r>
    </w:p>
    <w:p>
      <w:pPr>
        <w:spacing w:after="0" w:line="29" w:lineRule="exact"/>
        <w:rPr>
          <w:sz w:val="20"/>
          <w:szCs w:val="20"/>
          <w:color w:val="auto"/>
        </w:rPr>
      </w:pPr>
    </w:p>
    <w:p>
      <w:pPr>
        <w:ind w:left="120" w:right="80"/>
        <w:spacing w:after="0"/>
        <w:rPr>
          <w:sz w:val="20"/>
          <w:szCs w:val="20"/>
          <w:color w:val="auto"/>
        </w:rPr>
      </w:pPr>
      <w:r>
        <w:rPr>
          <w:rFonts w:ascii="Arial" w:cs="Arial" w:eastAsia="Arial" w:hAnsi="Arial"/>
          <w:sz w:val="18"/>
          <w:szCs w:val="18"/>
          <w:color w:val="auto"/>
        </w:rPr>
        <w:t>We are committed to providing compensation and benefits programs and policies that support the needs and lifestyles of our employees and their families. Our benefits and wellness strategy is based on three key components: Health (physical well-being), Balance (emotional well-being and social connectedness) and Finances (financial well-being).</w:t>
      </w:r>
    </w:p>
    <w:p>
      <w:pPr>
        <w:spacing w:after="0" w:line="95" w:lineRule="exact"/>
        <w:rPr>
          <w:sz w:val="20"/>
          <w:szCs w:val="20"/>
          <w:color w:val="auto"/>
        </w:rPr>
      </w:pPr>
    </w:p>
    <w:p>
      <w:pPr>
        <w:ind w:left="120" w:right="80"/>
        <w:spacing w:after="0"/>
        <w:rPr>
          <w:sz w:val="20"/>
          <w:szCs w:val="20"/>
          <w:color w:val="auto"/>
        </w:rPr>
      </w:pPr>
      <w:r>
        <w:rPr>
          <w:rFonts w:ascii="Arial" w:cs="Arial" w:eastAsia="Arial" w:hAnsi="Arial"/>
          <w:sz w:val="18"/>
          <w:szCs w:val="18"/>
          <w:color w:val="auto"/>
        </w:rPr>
        <w:t>We offer a comprehensive benefits and wellness package to our employees and their families, including healthcare coverage, retirement benefits, life and disability insurance, on-site health and wellness centers, employee assistance programs, competitive vacation and leave policies, backup child care arrangements, tuition reimbursement programs and more.</w:t>
      </w:r>
    </w:p>
    <w:p>
      <w:pPr>
        <w:ind w:left="760"/>
        <w:spacing w:after="0" w:line="185" w:lineRule="auto"/>
        <w:tabs>
          <w:tab w:leader="none" w:pos="1780" w:val="left"/>
        </w:tabs>
        <w:rPr>
          <w:sz w:val="20"/>
          <w:szCs w:val="20"/>
          <w:color w:val="auto"/>
        </w:rPr>
      </w:pPr>
      <w:r>
        <w:rPr>
          <w:rFonts w:ascii="Arial" w:cs="Arial" w:eastAsia="Arial" w:hAnsi="Arial"/>
          <w:sz w:val="22"/>
          <w:szCs w:val="22"/>
          <w:b w:val="1"/>
          <w:bCs w:val="1"/>
          <w:color w:val="FFFFFF"/>
          <w:vertAlign w:val="subscript"/>
        </w:rPr>
        <w:t>HEALTH</w:t>
      </w:r>
      <w:r>
        <w:rPr>
          <w:sz w:val="20"/>
          <w:szCs w:val="20"/>
          <w:color w:val="auto"/>
        </w:rPr>
        <w:tab/>
      </w:r>
      <w:r>
        <w:rPr>
          <w:rFonts w:ascii="Arial" w:cs="Arial" w:eastAsia="Arial" w:hAnsi="Arial"/>
          <w:sz w:val="12"/>
          <w:szCs w:val="12"/>
          <w:color w:val="004876"/>
        </w:rPr>
        <w:t xml:space="preserve">• </w:t>
      </w:r>
      <w:r>
        <w:rPr>
          <w:rFonts w:ascii="Arial" w:cs="Arial" w:eastAsia="Arial" w:hAnsi="Arial"/>
          <w:sz w:val="12"/>
          <w:szCs w:val="12"/>
          <w:color w:val="000000"/>
        </w:rPr>
        <w:t>Our U.S. medical plan covers over 293,000 individuals, including 137,000 employees, 105,000 children and 51,000 spouses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994410" cy="10629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994410" cy="1062990"/>
                    </a:xfrm>
                    <a:prstGeom prst="rect">
                      <a:avLst/>
                    </a:prstGeom>
                    <a:noFill/>
                  </pic:spPr>
                </pic:pic>
              </a:graphicData>
            </a:graphic>
          </wp:anchor>
        </w:drawing>
      </w:r>
    </w:p>
    <w:p>
      <w:pPr>
        <w:spacing w:after="0" w:line="152" w:lineRule="exact"/>
        <w:rPr>
          <w:sz w:val="20"/>
          <w:szCs w:val="20"/>
          <w:color w:val="auto"/>
        </w:rPr>
      </w:pPr>
    </w:p>
    <w:p>
      <w:pPr>
        <w:ind w:left="1940" w:right="200" w:hanging="150"/>
        <w:spacing w:after="0" w:line="260" w:lineRule="auto"/>
        <w:tabs>
          <w:tab w:leader="none" w:pos="1934" w:val="left"/>
        </w:tabs>
        <w:numPr>
          <w:ilvl w:val="0"/>
          <w:numId w:val="135"/>
        </w:numPr>
        <w:rPr>
          <w:rFonts w:ascii="Arial" w:cs="Arial" w:eastAsia="Arial" w:hAnsi="Arial"/>
          <w:sz w:val="16"/>
          <w:szCs w:val="16"/>
          <w:color w:val="004876"/>
        </w:rPr>
      </w:pPr>
      <w:r>
        <w:rPr>
          <w:rFonts w:ascii="Arial" w:cs="Arial" w:eastAsia="Arial" w:hAnsi="Arial"/>
          <w:sz w:val="16"/>
          <w:szCs w:val="16"/>
          <w:color w:val="auto"/>
        </w:rPr>
        <w:t>We have an integrated wellness program with a focus on biometric wellness screenings, with approximately 550 onsite events across the U.S. and 87% employee engagement</w:t>
      </w:r>
    </w:p>
    <w:p>
      <w:pPr>
        <w:spacing w:after="0" w:line="19" w:lineRule="exact"/>
        <w:rPr>
          <w:rFonts w:ascii="Arial" w:cs="Arial" w:eastAsia="Arial" w:hAnsi="Arial"/>
          <w:sz w:val="16"/>
          <w:szCs w:val="16"/>
          <w:color w:val="004876"/>
        </w:rPr>
      </w:pPr>
    </w:p>
    <w:p>
      <w:pPr>
        <w:ind w:left="1940" w:right="60" w:hanging="150"/>
        <w:spacing w:after="0" w:line="251" w:lineRule="auto"/>
        <w:tabs>
          <w:tab w:leader="none" w:pos="1934" w:val="left"/>
        </w:tabs>
        <w:numPr>
          <w:ilvl w:val="0"/>
          <w:numId w:val="135"/>
        </w:numPr>
        <w:rPr>
          <w:rFonts w:ascii="Arial" w:cs="Arial" w:eastAsia="Arial" w:hAnsi="Arial"/>
          <w:sz w:val="16"/>
          <w:szCs w:val="16"/>
          <w:color w:val="004876"/>
        </w:rPr>
      </w:pPr>
      <w:r>
        <w:rPr>
          <w:rFonts w:ascii="Arial" w:cs="Arial" w:eastAsia="Arial" w:hAnsi="Arial"/>
          <w:sz w:val="16"/>
          <w:szCs w:val="16"/>
          <w:color w:val="auto"/>
        </w:rPr>
        <w:t>We introduced a Simplified Medical Plan and Simplified Wellness Program for 2020 to employees living in select locations in the U.S. The plan was developed with goals of being simpler and easier to understand, displaying and resulting in predictable prices, simplifying and personalizing wellness incentives, and incentivizing for high-value care, such as primary care and mental health care</w:t>
      </w:r>
    </w:p>
    <w:p>
      <w:pPr>
        <w:spacing w:after="0" w:line="26" w:lineRule="exact"/>
        <w:rPr>
          <w:rFonts w:ascii="Arial" w:cs="Arial" w:eastAsia="Arial" w:hAnsi="Arial"/>
          <w:sz w:val="16"/>
          <w:szCs w:val="16"/>
          <w:color w:val="004876"/>
        </w:rPr>
      </w:pPr>
    </w:p>
    <w:p>
      <w:pPr>
        <w:ind w:left="1920" w:hanging="130"/>
        <w:spacing w:after="0"/>
        <w:tabs>
          <w:tab w:leader="none" w:pos="1920" w:val="left"/>
        </w:tabs>
        <w:numPr>
          <w:ilvl w:val="0"/>
          <w:numId w:val="135"/>
        </w:numPr>
        <w:rPr>
          <w:rFonts w:ascii="Arial" w:cs="Arial" w:eastAsia="Arial" w:hAnsi="Arial"/>
          <w:sz w:val="16"/>
          <w:szCs w:val="16"/>
          <w:color w:val="004876"/>
        </w:rPr>
      </w:pPr>
      <w:r>
        <w:rPr>
          <w:rFonts w:ascii="Arial" w:cs="Arial" w:eastAsia="Arial" w:hAnsi="Arial"/>
          <w:sz w:val="16"/>
          <w:szCs w:val="16"/>
          <w:color w:val="auto"/>
        </w:rPr>
        <w:t>We introduced a pilot to provide direct access to convenient primary care to employees in a select location in the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147955</wp:posOffset>
            </wp:positionV>
            <wp:extent cx="994410" cy="82296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994410" cy="82296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19050</wp:posOffset>
            </wp:positionV>
            <wp:extent cx="699516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7" w:lineRule="exact"/>
        <w:rPr>
          <w:sz w:val="20"/>
          <w:szCs w:val="20"/>
          <w:color w:val="auto"/>
        </w:rPr>
      </w:pPr>
    </w:p>
    <w:p>
      <w:pPr>
        <w:ind w:left="1800" w:right="100" w:hanging="1331"/>
        <w:spacing w:after="0" w:line="260" w:lineRule="auto"/>
        <w:tabs>
          <w:tab w:leader="none" w:pos="1780" w:val="left"/>
        </w:tabs>
        <w:rPr>
          <w:sz w:val="20"/>
          <w:szCs w:val="20"/>
          <w:color w:val="auto"/>
        </w:rPr>
      </w:pPr>
      <w:r>
        <w:rPr>
          <w:rFonts w:ascii="Arial" w:cs="Arial" w:eastAsia="Arial" w:hAnsi="Arial"/>
          <w:sz w:val="18"/>
          <w:szCs w:val="18"/>
          <w:b w:val="1"/>
          <w:bCs w:val="1"/>
          <w:color w:val="FFFFFF"/>
        </w:rPr>
        <w:t>BALANCE</w:t>
      </w:r>
      <w:r>
        <w:rPr>
          <w:sz w:val="20"/>
          <w:szCs w:val="20"/>
          <w:color w:val="auto"/>
        </w:rPr>
        <w:tab/>
      </w:r>
      <w:r>
        <w:rPr>
          <w:rFonts w:ascii="Arial" w:cs="Arial" w:eastAsia="Arial" w:hAnsi="Arial"/>
          <w:sz w:val="16"/>
          <w:szCs w:val="16"/>
          <w:color w:val="004876"/>
        </w:rPr>
        <w:t xml:space="preserve">• </w:t>
      </w:r>
      <w:r>
        <w:rPr>
          <w:rFonts w:ascii="Arial" w:cs="Arial" w:eastAsia="Arial" w:hAnsi="Arial"/>
          <w:sz w:val="16"/>
          <w:szCs w:val="16"/>
          <w:color w:val="000000"/>
        </w:rPr>
        <w:t>We increased the amount of paid leave provided to non-primary parental caregivers following the birth or adoption placement of</w:t>
      </w:r>
      <w:r>
        <w:rPr>
          <w:rFonts w:ascii="Arial" w:cs="Arial" w:eastAsia="Arial" w:hAnsi="Arial"/>
          <w:sz w:val="16"/>
          <w:szCs w:val="16"/>
          <w:color w:val="004876"/>
        </w:rPr>
        <w:t xml:space="preserve"> </w:t>
      </w:r>
      <w:r>
        <w:rPr>
          <w:rFonts w:ascii="Arial" w:cs="Arial" w:eastAsia="Arial" w:hAnsi="Arial"/>
          <w:sz w:val="16"/>
          <w:szCs w:val="16"/>
          <w:color w:val="000000"/>
        </w:rPr>
        <w:t>a child, to a minimum of six weeks, up from two weeks (primary parental caregivers receive 16 weeks)</w:t>
      </w:r>
    </w:p>
    <w:p>
      <w:pPr>
        <w:spacing w:after="0" w:line="45" w:lineRule="exact"/>
        <w:rPr>
          <w:sz w:val="20"/>
          <w:szCs w:val="20"/>
          <w:color w:val="auto"/>
        </w:rPr>
      </w:pPr>
    </w:p>
    <w:p>
      <w:pPr>
        <w:ind w:left="1940" w:right="160" w:hanging="150"/>
        <w:spacing w:after="0" w:line="260" w:lineRule="auto"/>
        <w:tabs>
          <w:tab w:leader="none" w:pos="1934" w:val="left"/>
        </w:tabs>
        <w:numPr>
          <w:ilvl w:val="0"/>
          <w:numId w:val="136"/>
        </w:numPr>
        <w:rPr>
          <w:rFonts w:ascii="Arial" w:cs="Arial" w:eastAsia="Arial" w:hAnsi="Arial"/>
          <w:sz w:val="16"/>
          <w:szCs w:val="16"/>
          <w:color w:val="004876"/>
        </w:rPr>
      </w:pPr>
      <w:r>
        <w:rPr>
          <w:rFonts w:ascii="Arial" w:cs="Arial" w:eastAsia="Arial" w:hAnsi="Arial"/>
          <w:sz w:val="16"/>
          <w:szCs w:val="16"/>
          <w:color w:val="auto"/>
        </w:rPr>
        <w:t>We expanded fertility benefits in the U.S. to individuals without a medical diagnosis of infertility, in recognition of the diversity of our workforce and our commitment to helping our employees build families in a variety of ways</w:t>
      </w:r>
    </w:p>
    <w:p>
      <w:pPr>
        <w:spacing w:after="0" w:line="19" w:lineRule="exact"/>
        <w:rPr>
          <w:rFonts w:ascii="Arial" w:cs="Arial" w:eastAsia="Arial" w:hAnsi="Arial"/>
          <w:sz w:val="16"/>
          <w:szCs w:val="16"/>
          <w:color w:val="004876"/>
        </w:rPr>
      </w:pPr>
    </w:p>
    <w:p>
      <w:pPr>
        <w:ind w:left="1940" w:right="120" w:hanging="150"/>
        <w:spacing w:after="0" w:line="260" w:lineRule="auto"/>
        <w:tabs>
          <w:tab w:leader="none" w:pos="1934" w:val="left"/>
        </w:tabs>
        <w:numPr>
          <w:ilvl w:val="0"/>
          <w:numId w:val="136"/>
        </w:numPr>
        <w:rPr>
          <w:rFonts w:ascii="Arial" w:cs="Arial" w:eastAsia="Arial" w:hAnsi="Arial"/>
          <w:sz w:val="16"/>
          <w:szCs w:val="16"/>
          <w:color w:val="004876"/>
        </w:rPr>
      </w:pPr>
      <w:r>
        <w:rPr>
          <w:rFonts w:ascii="Arial" w:cs="Arial" w:eastAsia="Arial" w:hAnsi="Arial"/>
          <w:sz w:val="16"/>
          <w:szCs w:val="16"/>
          <w:color w:val="auto"/>
        </w:rPr>
        <w:t>We continued to focus on mental health by expanding the “This is Me - A Dialogue on Mental Health” campaign, which features employees sharing their experiences on how they are dealing with and overcoming mental health issues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2540</wp:posOffset>
            </wp:positionV>
            <wp:extent cx="699516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7" w:lineRule="exact"/>
        <w:rPr>
          <w:sz w:val="20"/>
          <w:szCs w:val="20"/>
          <w:color w:val="auto"/>
        </w:rPr>
      </w:pPr>
    </w:p>
    <w:tbl>
      <w:tblPr>
        <w:tblLayout w:type="fixed"/>
        <w:tblInd w:w="120" w:type="dxa"/>
        <w:tblCellMar>
          <w:top w:w="0" w:type="dxa"/>
          <w:left w:w="0" w:type="dxa"/>
          <w:bottom w:w="0" w:type="dxa"/>
          <w:right w:w="0" w:type="dxa"/>
        </w:tblCellMar>
      </w:tblPr>
      <w:tr>
        <w:trPr>
          <w:trHeight w:val="231"/>
        </w:trPr>
        <w:tc>
          <w:tcPr>
            <w:tcW w:w="1560" w:type="dxa"/>
            <w:vAlign w:val="bottom"/>
            <w:shd w:val="clear" w:color="auto" w:fill="42683C"/>
          </w:tcPr>
          <w:p>
            <w:pPr>
              <w:ind w:left="440"/>
              <w:spacing w:after="0"/>
              <w:rPr>
                <w:sz w:val="20"/>
                <w:szCs w:val="20"/>
                <w:color w:val="auto"/>
              </w:rPr>
            </w:pPr>
            <w:r>
              <w:rPr>
                <w:rFonts w:ascii="Arial" w:cs="Arial" w:eastAsia="Arial" w:hAnsi="Arial"/>
                <w:sz w:val="18"/>
                <w:szCs w:val="18"/>
                <w:b w:val="1"/>
                <w:bCs w:val="1"/>
                <w:color w:val="FFFFFF"/>
              </w:rPr>
              <w:t>FINANCES</w:t>
            </w:r>
          </w:p>
        </w:tc>
        <w:tc>
          <w:tcPr>
            <w:tcW w:w="9460" w:type="dxa"/>
            <w:vAlign w:val="bottom"/>
          </w:tcPr>
          <w:p>
            <w:pPr>
              <w:ind w:left="120"/>
              <w:spacing w:after="0"/>
              <w:rPr>
                <w:sz w:val="20"/>
                <w:szCs w:val="20"/>
                <w:color w:val="auto"/>
              </w:rPr>
            </w:pPr>
            <w:r>
              <w:rPr>
                <w:rFonts w:ascii="Arial" w:cs="Arial" w:eastAsia="Arial" w:hAnsi="Arial"/>
                <w:sz w:val="16"/>
                <w:szCs w:val="16"/>
                <w:color w:val="004876"/>
              </w:rPr>
              <w:t xml:space="preserve">• </w:t>
            </w:r>
            <w:r>
              <w:rPr>
                <w:rFonts w:ascii="Arial" w:cs="Arial" w:eastAsia="Arial" w:hAnsi="Arial"/>
                <w:sz w:val="16"/>
                <w:szCs w:val="16"/>
                <w:color w:val="000000"/>
              </w:rPr>
              <w:t>Our minimum wage for U.S.-based overtime-eligible employees ranges from $15 to $18 per hour depending on the local cost of</w:t>
            </w:r>
          </w:p>
        </w:tc>
      </w:tr>
      <w:tr>
        <w:trPr>
          <w:trHeight w:val="195"/>
        </w:trPr>
        <w:tc>
          <w:tcPr>
            <w:tcW w:w="1560" w:type="dxa"/>
            <w:vAlign w:val="bottom"/>
            <w:shd w:val="clear" w:color="auto" w:fill="42683C"/>
          </w:tcPr>
          <w:p>
            <w:pPr>
              <w:spacing w:after="0"/>
              <w:rPr>
                <w:sz w:val="16"/>
                <w:szCs w:val="16"/>
                <w:color w:val="auto"/>
              </w:rPr>
            </w:pPr>
          </w:p>
        </w:tc>
        <w:tc>
          <w:tcPr>
            <w:tcW w:w="9460" w:type="dxa"/>
            <w:vAlign w:val="bottom"/>
          </w:tcPr>
          <w:p>
            <w:pPr>
              <w:ind w:left="260"/>
              <w:spacing w:after="0"/>
              <w:rPr>
                <w:sz w:val="20"/>
                <w:szCs w:val="20"/>
                <w:color w:val="auto"/>
              </w:rPr>
            </w:pPr>
            <w:r>
              <w:rPr>
                <w:rFonts w:ascii="Arial" w:cs="Arial" w:eastAsia="Arial" w:hAnsi="Arial"/>
                <w:sz w:val="16"/>
                <w:szCs w:val="16"/>
                <w:color w:val="auto"/>
              </w:rPr>
              <w:t>living</w:t>
            </w:r>
          </w:p>
        </w:tc>
      </w:tr>
      <w:tr>
        <w:trPr>
          <w:trHeight w:val="224"/>
        </w:trPr>
        <w:tc>
          <w:tcPr>
            <w:tcW w:w="1560" w:type="dxa"/>
            <w:vAlign w:val="bottom"/>
            <w:shd w:val="clear" w:color="auto" w:fill="42683C"/>
          </w:tcPr>
          <w:p>
            <w:pPr>
              <w:spacing w:after="0"/>
              <w:rPr>
                <w:sz w:val="19"/>
                <w:szCs w:val="19"/>
                <w:color w:val="auto"/>
              </w:rPr>
            </w:pPr>
          </w:p>
        </w:tc>
        <w:tc>
          <w:tcPr>
            <w:tcW w:w="9460" w:type="dxa"/>
            <w:vAlign w:val="bottom"/>
          </w:tcPr>
          <w:p>
            <w:pPr>
              <w:ind w:left="120"/>
              <w:spacing w:after="0"/>
              <w:rPr>
                <w:sz w:val="20"/>
                <w:szCs w:val="20"/>
                <w:color w:val="auto"/>
              </w:rPr>
            </w:pPr>
            <w:r>
              <w:rPr>
                <w:rFonts w:ascii="Arial" w:cs="Arial" w:eastAsia="Arial" w:hAnsi="Arial"/>
                <w:sz w:val="16"/>
                <w:szCs w:val="16"/>
                <w:color w:val="004876"/>
              </w:rPr>
              <w:t xml:space="preserve">• </w:t>
            </w:r>
            <w:r>
              <w:rPr>
                <w:rFonts w:ascii="Arial" w:cs="Arial" w:eastAsia="Arial" w:hAnsi="Arial"/>
                <w:sz w:val="16"/>
                <w:szCs w:val="16"/>
                <w:color w:val="000000"/>
              </w:rPr>
              <w:t>We provide comprehensive retirement benefits in the U.S., including a competitive 5% dollar-for-dollar 401(k) match plus</w:t>
            </w:r>
          </w:p>
        </w:tc>
      </w:tr>
      <w:tr>
        <w:trPr>
          <w:trHeight w:val="195"/>
        </w:trPr>
        <w:tc>
          <w:tcPr>
            <w:tcW w:w="1560" w:type="dxa"/>
            <w:vAlign w:val="bottom"/>
            <w:shd w:val="clear" w:color="auto" w:fill="42683C"/>
          </w:tcPr>
          <w:p>
            <w:pPr>
              <w:spacing w:after="0"/>
              <w:rPr>
                <w:sz w:val="16"/>
                <w:szCs w:val="16"/>
                <w:color w:val="auto"/>
              </w:rPr>
            </w:pPr>
          </w:p>
        </w:tc>
        <w:tc>
          <w:tcPr>
            <w:tcW w:w="9460" w:type="dxa"/>
            <w:vAlign w:val="bottom"/>
          </w:tcPr>
          <w:p>
            <w:pPr>
              <w:ind w:left="260"/>
              <w:spacing w:after="0"/>
              <w:rPr>
                <w:sz w:val="20"/>
                <w:szCs w:val="20"/>
                <w:color w:val="auto"/>
              </w:rPr>
            </w:pPr>
            <w:r>
              <w:rPr>
                <w:rFonts w:ascii="Arial" w:cs="Arial" w:eastAsia="Arial" w:hAnsi="Arial"/>
                <w:sz w:val="16"/>
                <w:szCs w:val="16"/>
                <w:color w:val="auto"/>
              </w:rPr>
              <w:t>additional non-matching retirement contributions of 3% - 5% of pay</w:t>
            </w:r>
          </w:p>
        </w:tc>
      </w:tr>
      <w:tr>
        <w:trPr>
          <w:trHeight w:val="224"/>
        </w:trPr>
        <w:tc>
          <w:tcPr>
            <w:tcW w:w="1560" w:type="dxa"/>
            <w:vAlign w:val="bottom"/>
            <w:shd w:val="clear" w:color="auto" w:fill="42683C"/>
          </w:tcPr>
          <w:p>
            <w:pPr>
              <w:spacing w:after="0"/>
              <w:rPr>
                <w:sz w:val="19"/>
                <w:szCs w:val="19"/>
                <w:color w:val="auto"/>
              </w:rPr>
            </w:pPr>
          </w:p>
        </w:tc>
        <w:tc>
          <w:tcPr>
            <w:tcW w:w="9460" w:type="dxa"/>
            <w:vAlign w:val="bottom"/>
          </w:tcPr>
          <w:p>
            <w:pPr>
              <w:ind w:left="120"/>
              <w:spacing w:after="0"/>
              <w:rPr>
                <w:sz w:val="20"/>
                <w:szCs w:val="20"/>
                <w:color w:val="auto"/>
              </w:rPr>
            </w:pPr>
            <w:r>
              <w:rPr>
                <w:rFonts w:ascii="Arial" w:cs="Arial" w:eastAsia="Arial" w:hAnsi="Arial"/>
                <w:sz w:val="16"/>
                <w:szCs w:val="16"/>
                <w:color w:val="004876"/>
              </w:rPr>
              <w:t xml:space="preserve">• </w:t>
            </w:r>
            <w:r>
              <w:rPr>
                <w:rFonts w:ascii="Arial" w:cs="Arial" w:eastAsia="Arial" w:hAnsi="Arial"/>
                <w:sz w:val="16"/>
                <w:szCs w:val="16"/>
                <w:color w:val="000000"/>
              </w:rPr>
              <w:t>We made a $750 special award to employees earning less than $60,000 through 401(k) contributions in the U.S. and cash</w:t>
            </w:r>
          </w:p>
        </w:tc>
      </w:tr>
      <w:tr>
        <w:trPr>
          <w:trHeight w:val="195"/>
        </w:trPr>
        <w:tc>
          <w:tcPr>
            <w:tcW w:w="1560" w:type="dxa"/>
            <w:vAlign w:val="bottom"/>
            <w:shd w:val="clear" w:color="auto" w:fill="42683C"/>
          </w:tcPr>
          <w:p>
            <w:pPr>
              <w:spacing w:after="0"/>
              <w:rPr>
                <w:sz w:val="16"/>
                <w:szCs w:val="16"/>
                <w:color w:val="auto"/>
              </w:rPr>
            </w:pPr>
          </w:p>
        </w:tc>
        <w:tc>
          <w:tcPr>
            <w:tcW w:w="9460" w:type="dxa"/>
            <w:vAlign w:val="bottom"/>
          </w:tcPr>
          <w:p>
            <w:pPr>
              <w:ind w:left="260"/>
              <w:spacing w:after="0"/>
              <w:rPr>
                <w:sz w:val="20"/>
                <w:szCs w:val="20"/>
                <w:color w:val="auto"/>
              </w:rPr>
            </w:pPr>
            <w:r>
              <w:rPr>
                <w:rFonts w:ascii="Arial" w:cs="Arial" w:eastAsia="Arial" w:hAnsi="Arial"/>
                <w:sz w:val="16"/>
                <w:szCs w:val="16"/>
                <w:color w:val="auto"/>
              </w:rPr>
              <w:t>awards outside of the U.S.</w:t>
            </w:r>
          </w:p>
        </w:tc>
      </w:tr>
      <w:tr>
        <w:trPr>
          <w:trHeight w:val="236"/>
        </w:trPr>
        <w:tc>
          <w:tcPr>
            <w:tcW w:w="1560" w:type="dxa"/>
            <w:vAlign w:val="bottom"/>
            <w:shd w:val="clear" w:color="auto" w:fill="42683C"/>
          </w:tcPr>
          <w:p>
            <w:pPr>
              <w:spacing w:after="0"/>
              <w:rPr>
                <w:sz w:val="20"/>
                <w:szCs w:val="20"/>
                <w:color w:val="auto"/>
              </w:rPr>
            </w:pPr>
          </w:p>
        </w:tc>
        <w:tc>
          <w:tcPr>
            <w:tcW w:w="9460" w:type="dxa"/>
            <w:vAlign w:val="bottom"/>
          </w:tcPr>
          <w:p>
            <w:pPr>
              <w:ind w:left="120"/>
              <w:spacing w:after="0"/>
              <w:rPr>
                <w:sz w:val="20"/>
                <w:szCs w:val="20"/>
                <w:color w:val="auto"/>
              </w:rPr>
            </w:pPr>
            <w:r>
              <w:rPr>
                <w:rFonts w:ascii="Arial" w:cs="Arial" w:eastAsia="Arial" w:hAnsi="Arial"/>
                <w:sz w:val="16"/>
                <w:szCs w:val="16"/>
                <w:color w:val="004876"/>
              </w:rPr>
              <w:t xml:space="preserve">• </w:t>
            </w:r>
            <w:r>
              <w:rPr>
                <w:rFonts w:ascii="Arial" w:cs="Arial" w:eastAsia="Arial" w:hAnsi="Arial"/>
                <w:sz w:val="16"/>
                <w:szCs w:val="16"/>
                <w:color w:val="000000"/>
              </w:rPr>
              <w:t>We expanded National Savings Week to National Savings Month, and from a U.S.-based campaign to a global campaign</w:t>
            </w:r>
          </w:p>
        </w:tc>
      </w:tr>
      <w:tr>
        <w:trPr>
          <w:trHeight w:val="20"/>
        </w:trPr>
        <w:tc>
          <w:tcPr>
            <w:tcW w:w="1560" w:type="dxa"/>
            <w:vAlign w:val="bottom"/>
            <w:tcBorders>
              <w:bottom w:val="single" w:sz="8" w:color="333333"/>
            </w:tcBorders>
          </w:tcPr>
          <w:p>
            <w:pPr>
              <w:spacing w:after="0" w:line="20" w:lineRule="exact"/>
              <w:rPr>
                <w:sz w:val="1"/>
                <w:szCs w:val="1"/>
                <w:color w:val="auto"/>
              </w:rPr>
            </w:pPr>
          </w:p>
        </w:tc>
        <w:tc>
          <w:tcPr>
            <w:tcW w:w="9460" w:type="dxa"/>
            <w:vAlign w:val="bottom"/>
            <w:tcBorders>
              <w:bottom w:val="single" w:sz="8" w:color="333333"/>
            </w:tcBorders>
          </w:tcPr>
          <w:p>
            <w:pPr>
              <w:spacing w:after="0" w:line="20" w:lineRule="exact"/>
              <w:rPr>
                <w:sz w:val="1"/>
                <w:szCs w:val="1"/>
                <w:color w:val="auto"/>
              </w:rPr>
            </w:pPr>
          </w:p>
        </w:tc>
      </w:tr>
      <w:tr>
        <w:trPr>
          <w:trHeight w:val="823"/>
        </w:trPr>
        <w:tc>
          <w:tcPr>
            <w:tcW w:w="1560" w:type="dxa"/>
            <w:vAlign w:val="bottom"/>
          </w:tcPr>
          <w:p>
            <w:pPr>
              <w:spacing w:after="0"/>
              <w:rPr>
                <w:sz w:val="24"/>
                <w:szCs w:val="24"/>
                <w:color w:val="auto"/>
              </w:rPr>
            </w:pPr>
          </w:p>
        </w:tc>
        <w:tc>
          <w:tcPr>
            <w:tcW w:w="9460" w:type="dxa"/>
            <w:vAlign w:val="bottom"/>
          </w:tcPr>
          <w:p>
            <w:pPr>
              <w:ind w:left="3860"/>
              <w:spacing w:after="0"/>
              <w:rPr>
                <w:sz w:val="20"/>
                <w:szCs w:val="20"/>
                <w:color w:val="auto"/>
              </w:rPr>
            </w:pPr>
            <w:r>
              <w:rPr>
                <w:rFonts w:ascii="Arial" w:cs="Arial" w:eastAsia="Arial" w:hAnsi="Arial"/>
                <w:sz w:val="13"/>
                <w:szCs w:val="13"/>
                <w:b w:val="1"/>
                <w:bCs w:val="1"/>
                <w:color w:val="004876"/>
              </w:rPr>
              <w:t>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-161925</wp:posOffset>
            </wp:positionV>
            <wp:extent cx="7029450" cy="19685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029450" cy="19685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04876"/>
        </w:rPr>
        <w:t>EXECUTIVE COMPENSATION | 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94297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6995160" cy="942975"/>
                    </a:xfrm>
                    <a:prstGeom prst="rect">
                      <a:avLst/>
                    </a:prstGeom>
                    <a:noFill/>
                  </pic:spPr>
                </pic:pic>
              </a:graphicData>
            </a:graphic>
          </wp:anchor>
        </w:drawing>
      </w:r>
    </w:p>
    <w:p>
      <w:pPr>
        <w:spacing w:after="0" w:line="239" w:lineRule="exact"/>
        <w:rPr>
          <w:sz w:val="20"/>
          <w:szCs w:val="20"/>
          <w:color w:val="auto"/>
        </w:rPr>
      </w:pPr>
    </w:p>
    <w:p>
      <w:pPr>
        <w:ind w:left="2340"/>
        <w:spacing w:after="0"/>
        <w:rPr>
          <w:sz w:val="20"/>
          <w:szCs w:val="20"/>
          <w:color w:val="auto"/>
        </w:rPr>
      </w:pPr>
      <w:r>
        <w:rPr>
          <w:rFonts w:ascii="Arial" w:cs="Arial" w:eastAsia="Arial" w:hAnsi="Arial"/>
          <w:sz w:val="40"/>
          <w:szCs w:val="40"/>
          <w:color w:val="004876"/>
        </w:rPr>
        <w:t>How performance determined pay in 2019</w:t>
      </w:r>
    </w:p>
    <w:p>
      <w:pPr>
        <w:spacing w:after="0" w:line="96" w:lineRule="exact"/>
        <w:rPr>
          <w:sz w:val="20"/>
          <w:szCs w:val="20"/>
          <w:color w:val="auto"/>
        </w:rPr>
      </w:pPr>
    </w:p>
    <w:p>
      <w:pPr>
        <w:ind w:left="2340" w:right="20"/>
        <w:spacing w:after="0" w:line="245" w:lineRule="auto"/>
        <w:rPr>
          <w:sz w:val="20"/>
          <w:szCs w:val="20"/>
          <w:color w:val="auto"/>
        </w:rPr>
      </w:pPr>
      <w:r>
        <w:rPr>
          <w:rFonts w:ascii="Arial" w:cs="Arial" w:eastAsia="Arial" w:hAnsi="Arial"/>
          <w:sz w:val="18"/>
          <w:szCs w:val="18"/>
          <w:i w:val="1"/>
          <w:iCs w:val="1"/>
          <w:color w:val="004876"/>
        </w:rPr>
        <w:t>CEO pay is strongly aligned to the Firm’s short-, medium- and long-term performance, with approximately 83% of the CEO’s variable pay deferred into equity, of which 100% is in at-risk PSUs. Other NEO pay is also strongly aligned to Firm and LOB performance, with a majority of their variable pay deferred into equity, of which 50% is in at-risk PSUs.</w:t>
      </w:r>
    </w:p>
    <w:p>
      <w:pPr>
        <w:spacing w:after="0" w:line="212" w:lineRule="exact"/>
        <w:rPr>
          <w:sz w:val="20"/>
          <w:szCs w:val="20"/>
          <w:color w:val="auto"/>
        </w:rPr>
      </w:pPr>
    </w:p>
    <w:p>
      <w:pPr>
        <w:ind w:left="120" w:right="800"/>
        <w:spacing w:after="0" w:line="246" w:lineRule="auto"/>
        <w:rPr>
          <w:sz w:val="20"/>
          <w:szCs w:val="20"/>
          <w:color w:val="auto"/>
        </w:rPr>
      </w:pPr>
      <w:r>
        <w:rPr>
          <w:rFonts w:ascii="Arial" w:cs="Arial" w:eastAsia="Arial" w:hAnsi="Arial"/>
          <w:sz w:val="18"/>
          <w:szCs w:val="18"/>
          <w:color w:val="auto"/>
        </w:rPr>
        <w:t>The table below sets forth salary and incentive compensation awarded to our NEOs for 2019 performance. The pages that follow summarize the performance of individual NEOs that drove the CMDC’s 2019 pay decisions.</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29"/>
          <w:szCs w:val="29"/>
          <w:color w:val="004876"/>
        </w:rPr>
        <w:t>NEO compensation table</w:t>
      </w:r>
    </w:p>
    <w:p>
      <w:pPr>
        <w:spacing w:after="0" w:line="91"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33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40" w:type="dxa"/>
            <w:vAlign w:val="bottom"/>
            <w:tcBorders>
              <w:bottom w:val="single" w:sz="8" w:color="333333"/>
            </w:tcBorders>
          </w:tcPr>
          <w:p>
            <w:pPr>
              <w:spacing w:after="0"/>
              <w:rPr>
                <w:sz w:val="16"/>
                <w:szCs w:val="16"/>
                <w:color w:val="auto"/>
              </w:rPr>
            </w:pPr>
          </w:p>
        </w:tc>
        <w:tc>
          <w:tcPr>
            <w:tcW w:w="3720" w:type="dxa"/>
            <w:vAlign w:val="bottom"/>
            <w:tcBorders>
              <w:bottom w:val="single" w:sz="8" w:color="333333"/>
            </w:tcBorders>
            <w:gridSpan w:val="5"/>
          </w:tcPr>
          <w:p>
            <w:pPr>
              <w:jc w:val="right"/>
              <w:ind w:right="68"/>
              <w:spacing w:after="0"/>
              <w:rPr>
                <w:sz w:val="20"/>
                <w:szCs w:val="20"/>
                <w:color w:val="auto"/>
              </w:rPr>
            </w:pPr>
            <w:r>
              <w:rPr>
                <w:rFonts w:ascii="Arial" w:cs="Arial" w:eastAsia="Arial" w:hAnsi="Arial"/>
                <w:sz w:val="16"/>
                <w:szCs w:val="16"/>
                <w:color w:val="auto"/>
              </w:rPr>
              <w:t>Annual Compensation (For Performance Year)</w:t>
            </w:r>
          </w:p>
        </w:tc>
        <w:tc>
          <w:tcPr>
            <w:tcW w:w="1340" w:type="dxa"/>
            <w:vAlign w:val="bottom"/>
            <w:tcBorders>
              <w:bottom w:val="single" w:sz="8" w:color="333333"/>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3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760" w:type="dxa"/>
            <w:vAlign w:val="bottom"/>
            <w:tcBorders>
              <w:bottom w:val="single" w:sz="8" w:color="333333"/>
            </w:tcBorders>
            <w:gridSpan w:val="4"/>
          </w:tcPr>
          <w:p>
            <w:pPr>
              <w:jc w:val="right"/>
              <w:spacing w:after="0" w:line="183" w:lineRule="exact"/>
              <w:rPr>
                <w:sz w:val="20"/>
                <w:szCs w:val="20"/>
                <w:color w:val="auto"/>
              </w:rPr>
            </w:pPr>
            <w:r>
              <w:rPr>
                <w:rFonts w:ascii="Arial" w:cs="Arial" w:eastAsia="Arial" w:hAnsi="Arial"/>
                <w:sz w:val="16"/>
                <w:szCs w:val="16"/>
                <w:color w:val="auto"/>
              </w:rPr>
              <w:t>Incentive Compensation</w:t>
            </w:r>
          </w:p>
        </w:tc>
        <w:tc>
          <w:tcPr>
            <w:tcW w:w="960" w:type="dxa"/>
            <w:vAlign w:val="bottom"/>
            <w:tcBorders>
              <w:bottom w:val="single" w:sz="8" w:color="333333"/>
            </w:tcBorders>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380" w:type="dxa"/>
            <w:vAlign w:val="bottom"/>
            <w:tcBorders>
              <w:bottom w:val="single" w:sz="8" w:color="333333"/>
            </w:tcBorders>
          </w:tcPr>
          <w:p>
            <w:pPr>
              <w:ind w:left="60"/>
              <w:spacing w:after="0" w:line="183" w:lineRule="exact"/>
              <w:rPr>
                <w:sz w:val="20"/>
                <w:szCs w:val="20"/>
                <w:color w:val="auto"/>
              </w:rPr>
            </w:pPr>
            <w:r>
              <w:rPr>
                <w:rFonts w:ascii="Arial" w:cs="Arial" w:eastAsia="Arial" w:hAnsi="Arial"/>
                <w:sz w:val="16"/>
                <w:szCs w:val="16"/>
                <w:color w:val="004876"/>
              </w:rPr>
              <w:t>Name and principal position</w:t>
            </w:r>
          </w:p>
        </w:tc>
        <w:tc>
          <w:tcPr>
            <w:tcW w:w="1340" w:type="dxa"/>
            <w:vAlign w:val="bottom"/>
            <w:tcBorders>
              <w:bottom w:val="single" w:sz="8" w:color="333333"/>
            </w:tcBorders>
          </w:tcPr>
          <w:p>
            <w:pPr>
              <w:jc w:val="right"/>
              <w:ind w:right="28"/>
              <w:spacing w:after="0" w:line="183" w:lineRule="exact"/>
              <w:rPr>
                <w:sz w:val="20"/>
                <w:szCs w:val="20"/>
                <w:color w:val="auto"/>
              </w:rPr>
            </w:pPr>
            <w:r>
              <w:rPr>
                <w:rFonts w:ascii="Arial" w:cs="Arial" w:eastAsia="Arial" w:hAnsi="Arial"/>
                <w:sz w:val="16"/>
                <w:szCs w:val="16"/>
                <w:color w:val="004876"/>
              </w:rPr>
              <w:t>Year</w:t>
            </w:r>
          </w:p>
        </w:tc>
        <w:tc>
          <w:tcPr>
            <w:tcW w:w="1240" w:type="dxa"/>
            <w:vAlign w:val="bottom"/>
            <w:tcBorders>
              <w:bottom w:val="single" w:sz="8" w:color="333333"/>
            </w:tcBorders>
          </w:tcPr>
          <w:p>
            <w:pPr>
              <w:jc w:val="right"/>
              <w:ind w:right="288"/>
              <w:spacing w:after="0" w:line="183" w:lineRule="exact"/>
              <w:rPr>
                <w:sz w:val="20"/>
                <w:szCs w:val="20"/>
                <w:color w:val="auto"/>
              </w:rPr>
            </w:pPr>
            <w:r>
              <w:rPr>
                <w:rFonts w:ascii="Arial" w:cs="Arial" w:eastAsia="Arial" w:hAnsi="Arial"/>
                <w:sz w:val="16"/>
                <w:szCs w:val="16"/>
                <w:color w:val="004876"/>
              </w:rPr>
              <w:t>Salary</w:t>
            </w:r>
          </w:p>
        </w:tc>
        <w:tc>
          <w:tcPr>
            <w:tcW w:w="1240" w:type="dxa"/>
            <w:vAlign w:val="bottom"/>
            <w:tcBorders>
              <w:bottom w:val="single" w:sz="8" w:color="333333"/>
            </w:tcBorders>
          </w:tcPr>
          <w:p>
            <w:pPr>
              <w:jc w:val="right"/>
              <w:ind w:right="327"/>
              <w:spacing w:after="0" w:line="183" w:lineRule="exact"/>
              <w:rPr>
                <w:sz w:val="20"/>
                <w:szCs w:val="20"/>
                <w:color w:val="auto"/>
              </w:rPr>
            </w:pPr>
            <w:r>
              <w:rPr>
                <w:rFonts w:ascii="Arial" w:cs="Arial" w:eastAsia="Arial" w:hAnsi="Arial"/>
                <w:sz w:val="16"/>
                <w:szCs w:val="16"/>
                <w:color w:val="004876"/>
              </w:rPr>
              <w:t>Cash</w:t>
            </w:r>
          </w:p>
        </w:tc>
        <w:tc>
          <w:tcPr>
            <w:tcW w:w="300" w:type="dxa"/>
            <w:vAlign w:val="bottom"/>
            <w:tcBorders>
              <w:bottom w:val="single" w:sz="8" w:color="333333"/>
            </w:tcBorders>
          </w:tcPr>
          <w:p>
            <w:pPr>
              <w:spacing w:after="0"/>
              <w:rPr>
                <w:sz w:val="15"/>
                <w:szCs w:val="15"/>
                <w:color w:val="auto"/>
              </w:rPr>
            </w:pPr>
          </w:p>
        </w:tc>
        <w:tc>
          <w:tcPr>
            <w:tcW w:w="860" w:type="dxa"/>
            <w:vAlign w:val="bottom"/>
            <w:tcBorders>
              <w:bottom w:val="single" w:sz="8" w:color="333333"/>
            </w:tcBorders>
          </w:tcPr>
          <w:p>
            <w:pPr>
              <w:jc w:val="right"/>
              <w:ind w:right="248"/>
              <w:spacing w:after="0" w:line="183" w:lineRule="exact"/>
              <w:rPr>
                <w:sz w:val="20"/>
                <w:szCs w:val="20"/>
                <w:color w:val="auto"/>
              </w:rPr>
            </w:pPr>
            <w:r>
              <w:rPr>
                <w:rFonts w:ascii="Arial" w:cs="Arial" w:eastAsia="Arial" w:hAnsi="Arial"/>
                <w:sz w:val="16"/>
                <w:szCs w:val="16"/>
                <w:color w:val="004876"/>
              </w:rPr>
              <w:t>RSUs</w:t>
            </w:r>
          </w:p>
        </w:tc>
        <w:tc>
          <w:tcPr>
            <w:tcW w:w="360" w:type="dxa"/>
            <w:vAlign w:val="bottom"/>
            <w:tcBorders>
              <w:bottom w:val="single" w:sz="8" w:color="333333"/>
            </w:tcBorders>
          </w:tcPr>
          <w:p>
            <w:pPr>
              <w:spacing w:after="0"/>
              <w:rPr>
                <w:sz w:val="15"/>
                <w:szCs w:val="15"/>
                <w:color w:val="auto"/>
              </w:rPr>
            </w:pPr>
          </w:p>
        </w:tc>
        <w:tc>
          <w:tcPr>
            <w:tcW w:w="960" w:type="dxa"/>
            <w:vAlign w:val="bottom"/>
            <w:tcBorders>
              <w:bottom w:val="single" w:sz="8" w:color="333333"/>
            </w:tcBorders>
          </w:tcPr>
          <w:p>
            <w:pPr>
              <w:jc w:val="right"/>
              <w:ind w:right="308"/>
              <w:spacing w:after="0" w:line="183" w:lineRule="exact"/>
              <w:rPr>
                <w:sz w:val="20"/>
                <w:szCs w:val="20"/>
                <w:color w:val="auto"/>
              </w:rPr>
            </w:pPr>
            <w:r>
              <w:rPr>
                <w:rFonts w:ascii="Arial" w:cs="Arial" w:eastAsia="Arial" w:hAnsi="Arial"/>
                <w:sz w:val="13"/>
                <w:szCs w:val="13"/>
                <w:color w:val="004876"/>
              </w:rPr>
              <w:t>PSUs</w:t>
            </w:r>
            <w:r>
              <w:rPr>
                <w:rFonts w:ascii="Arial" w:cs="Arial" w:eastAsia="Arial" w:hAnsi="Arial"/>
                <w:sz w:val="21"/>
                <w:szCs w:val="21"/>
                <w:color w:val="004876"/>
                <w:vertAlign w:val="superscript"/>
              </w:rPr>
              <w:t>1</w:t>
            </w:r>
          </w:p>
        </w:tc>
        <w:tc>
          <w:tcPr>
            <w:tcW w:w="1340" w:type="dxa"/>
            <w:vAlign w:val="bottom"/>
            <w:tcBorders>
              <w:bottom w:val="single" w:sz="8" w:color="333333"/>
            </w:tcBorders>
          </w:tcPr>
          <w:p>
            <w:pPr>
              <w:jc w:val="right"/>
              <w:ind w:right="388"/>
              <w:spacing w:after="0" w:line="183" w:lineRule="exact"/>
              <w:rPr>
                <w:sz w:val="20"/>
                <w:szCs w:val="20"/>
                <w:color w:val="auto"/>
              </w:rPr>
            </w:pPr>
            <w:r>
              <w:rPr>
                <w:rFonts w:ascii="Arial" w:cs="Arial" w:eastAsia="Arial" w:hAnsi="Arial"/>
                <w:sz w:val="16"/>
                <w:szCs w:val="16"/>
                <w:color w:val="004876"/>
              </w:rPr>
              <w:t>Total</w:t>
            </w:r>
          </w:p>
        </w:tc>
        <w:tc>
          <w:tcPr>
            <w:tcW w:w="0" w:type="dxa"/>
            <w:vAlign w:val="bottom"/>
          </w:tcPr>
          <w:p>
            <w:pPr>
              <w:spacing w:after="0"/>
              <w:rPr>
                <w:sz w:val="1"/>
                <w:szCs w:val="1"/>
                <w:color w:val="auto"/>
              </w:rPr>
            </w:pPr>
          </w:p>
        </w:tc>
      </w:tr>
      <w:tr>
        <w:trPr>
          <w:trHeight w:val="238"/>
        </w:trPr>
        <w:tc>
          <w:tcPr>
            <w:tcW w:w="3380" w:type="dxa"/>
            <w:vAlign w:val="bottom"/>
          </w:tcPr>
          <w:p>
            <w:pPr>
              <w:ind w:left="60"/>
              <w:spacing w:after="0"/>
              <w:rPr>
                <w:sz w:val="20"/>
                <w:szCs w:val="20"/>
                <w:color w:val="auto"/>
              </w:rPr>
            </w:pPr>
            <w:r>
              <w:rPr>
                <w:rFonts w:ascii="Arial" w:cs="Arial" w:eastAsia="Arial" w:hAnsi="Arial"/>
                <w:sz w:val="14"/>
                <w:szCs w:val="14"/>
                <w:b w:val="1"/>
                <w:bCs w:val="1"/>
                <w:color w:val="auto"/>
              </w:rPr>
              <w:t>James Dimon</w:t>
            </w:r>
          </w:p>
        </w:tc>
        <w:tc>
          <w:tcPr>
            <w:tcW w:w="1340" w:type="dxa"/>
            <w:vAlign w:val="bottom"/>
          </w:tcPr>
          <w:p>
            <w:pPr>
              <w:jc w:val="right"/>
              <w:ind w:right="28"/>
              <w:spacing w:after="0"/>
              <w:rPr>
                <w:sz w:val="20"/>
                <w:szCs w:val="20"/>
                <w:color w:val="auto"/>
              </w:rPr>
            </w:pPr>
            <w:r>
              <w:rPr>
                <w:rFonts w:ascii="Arial" w:cs="Arial" w:eastAsia="Arial" w:hAnsi="Arial"/>
                <w:sz w:val="14"/>
                <w:szCs w:val="14"/>
                <w:b w:val="1"/>
                <w:bCs w:val="1"/>
                <w:color w:val="auto"/>
              </w:rPr>
              <w:t>2019</w:t>
            </w:r>
          </w:p>
        </w:tc>
        <w:tc>
          <w:tcPr>
            <w:tcW w:w="1240" w:type="dxa"/>
            <w:vAlign w:val="bottom"/>
          </w:tcPr>
          <w:p>
            <w:pPr>
              <w:jc w:val="right"/>
              <w:ind w:right="148"/>
              <w:spacing w:after="0"/>
              <w:rPr>
                <w:sz w:val="20"/>
                <w:szCs w:val="20"/>
                <w:color w:val="auto"/>
              </w:rPr>
            </w:pPr>
            <w:r>
              <w:rPr>
                <w:rFonts w:ascii="Arial" w:cs="Arial" w:eastAsia="Arial" w:hAnsi="Arial"/>
                <w:sz w:val="14"/>
                <w:szCs w:val="14"/>
                <w:b w:val="1"/>
                <w:bCs w:val="1"/>
                <w:color w:val="auto"/>
              </w:rPr>
              <w:t>$ 1,500,000</w:t>
            </w:r>
          </w:p>
        </w:tc>
        <w:tc>
          <w:tcPr>
            <w:tcW w:w="1240" w:type="dxa"/>
            <w:vAlign w:val="bottom"/>
          </w:tcPr>
          <w:p>
            <w:pPr>
              <w:jc w:val="right"/>
              <w:ind w:right="147"/>
              <w:spacing w:after="0"/>
              <w:rPr>
                <w:sz w:val="20"/>
                <w:szCs w:val="20"/>
                <w:color w:val="auto"/>
              </w:rPr>
            </w:pPr>
            <w:r>
              <w:rPr>
                <w:rFonts w:ascii="Arial" w:cs="Arial" w:eastAsia="Arial" w:hAnsi="Arial"/>
                <w:sz w:val="14"/>
                <w:szCs w:val="14"/>
                <w:b w:val="1"/>
                <w:bCs w:val="1"/>
                <w:color w:val="auto"/>
              </w:rPr>
              <w:t>$ 5,000,000</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128"/>
              <w:spacing w:after="0"/>
              <w:rPr>
                <w:sz w:val="20"/>
                <w:szCs w:val="20"/>
                <w:color w:val="auto"/>
              </w:rPr>
            </w:pPr>
            <w:r>
              <w:rPr>
                <w:rFonts w:ascii="Arial" w:cs="Arial" w:eastAsia="Arial" w:hAnsi="Arial"/>
                <w:sz w:val="14"/>
                <w:szCs w:val="14"/>
                <w:b w:val="1"/>
                <w:bCs w:val="1"/>
                <w:color w:val="auto"/>
              </w:rPr>
              <w:t>25,000,000</w:t>
            </w:r>
          </w:p>
        </w:tc>
        <w:tc>
          <w:tcPr>
            <w:tcW w:w="1340" w:type="dxa"/>
            <w:vAlign w:val="bottom"/>
          </w:tcPr>
          <w:p>
            <w:pPr>
              <w:jc w:val="right"/>
              <w:ind w:right="148"/>
              <w:spacing w:after="0"/>
              <w:rPr>
                <w:sz w:val="20"/>
                <w:szCs w:val="20"/>
                <w:color w:val="auto"/>
              </w:rPr>
            </w:pPr>
            <w:r>
              <w:rPr>
                <w:rFonts w:ascii="Arial" w:cs="Arial" w:eastAsia="Arial" w:hAnsi="Arial"/>
                <w:sz w:val="14"/>
                <w:szCs w:val="14"/>
                <w:b w:val="1"/>
                <w:bCs w:val="1"/>
                <w:color w:val="auto"/>
              </w:rPr>
              <w:t>$ 31,500,000</w:t>
            </w:r>
          </w:p>
        </w:tc>
        <w:tc>
          <w:tcPr>
            <w:tcW w:w="0" w:type="dxa"/>
            <w:vAlign w:val="bottom"/>
          </w:tcPr>
          <w:p>
            <w:pPr>
              <w:spacing w:after="0"/>
              <w:rPr>
                <w:sz w:val="1"/>
                <w:szCs w:val="1"/>
                <w:color w:val="auto"/>
              </w:rPr>
            </w:pPr>
          </w:p>
        </w:tc>
      </w:tr>
      <w:tr>
        <w:trPr>
          <w:trHeight w:val="243"/>
        </w:trPr>
        <w:tc>
          <w:tcPr>
            <w:tcW w:w="3380" w:type="dxa"/>
            <w:vAlign w:val="bottom"/>
          </w:tcPr>
          <w:p>
            <w:pPr>
              <w:ind w:left="60"/>
              <w:spacing w:after="0"/>
              <w:rPr>
                <w:sz w:val="20"/>
                <w:szCs w:val="20"/>
                <w:color w:val="auto"/>
              </w:rPr>
            </w:pPr>
            <w:r>
              <w:rPr>
                <w:rFonts w:ascii="Arial" w:cs="Arial" w:eastAsia="Arial" w:hAnsi="Arial"/>
                <w:sz w:val="14"/>
                <w:szCs w:val="14"/>
                <w:color w:val="auto"/>
              </w:rPr>
              <w:t>Chairman and Chief Executive Officer</w:t>
            </w: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2018</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1,500,000</w:t>
            </w:r>
          </w:p>
        </w:tc>
        <w:tc>
          <w:tcPr>
            <w:tcW w:w="1240" w:type="dxa"/>
            <w:vAlign w:val="bottom"/>
          </w:tcPr>
          <w:p>
            <w:pPr>
              <w:jc w:val="right"/>
              <w:ind w:right="147"/>
              <w:spacing w:after="0"/>
              <w:rPr>
                <w:sz w:val="20"/>
                <w:szCs w:val="20"/>
                <w:color w:val="auto"/>
              </w:rPr>
            </w:pPr>
            <w:r>
              <w:rPr>
                <w:rFonts w:ascii="Arial" w:cs="Arial" w:eastAsia="Arial" w:hAnsi="Arial"/>
                <w:sz w:val="14"/>
                <w:szCs w:val="14"/>
                <w:color w:val="auto"/>
              </w:rPr>
              <w:t>5,000,000</w:t>
            </w:r>
          </w:p>
        </w:tc>
        <w:tc>
          <w:tcPr>
            <w:tcW w:w="300" w:type="dxa"/>
            <w:vAlign w:val="bottom"/>
          </w:tcPr>
          <w:p>
            <w:pPr>
              <w:spacing w:after="0"/>
              <w:rPr>
                <w:sz w:val="21"/>
                <w:szCs w:val="21"/>
                <w:color w:val="auto"/>
              </w:rPr>
            </w:pP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1"/>
                <w:szCs w:val="21"/>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24,500,000</w:t>
            </w:r>
          </w:p>
        </w:tc>
        <w:tc>
          <w:tcPr>
            <w:tcW w:w="1340" w:type="dxa"/>
            <w:vAlign w:val="bottom"/>
          </w:tcPr>
          <w:p>
            <w:pPr>
              <w:jc w:val="right"/>
              <w:ind w:right="148"/>
              <w:spacing w:after="0"/>
              <w:rPr>
                <w:sz w:val="20"/>
                <w:szCs w:val="20"/>
                <w:color w:val="auto"/>
              </w:rPr>
            </w:pPr>
            <w:r>
              <w:rPr>
                <w:rFonts w:ascii="Arial" w:cs="Arial" w:eastAsia="Arial" w:hAnsi="Arial"/>
                <w:sz w:val="14"/>
                <w:szCs w:val="14"/>
                <w:color w:val="auto"/>
              </w:rPr>
              <w:t>31,000,000</w:t>
            </w:r>
          </w:p>
        </w:tc>
        <w:tc>
          <w:tcPr>
            <w:tcW w:w="0" w:type="dxa"/>
            <w:vAlign w:val="bottom"/>
          </w:tcPr>
          <w:p>
            <w:pPr>
              <w:spacing w:after="0"/>
              <w:rPr>
                <w:sz w:val="1"/>
                <w:szCs w:val="1"/>
                <w:color w:val="auto"/>
              </w:rPr>
            </w:pPr>
          </w:p>
        </w:tc>
      </w:tr>
      <w:tr>
        <w:trPr>
          <w:trHeight w:val="243"/>
        </w:trPr>
        <w:tc>
          <w:tcPr>
            <w:tcW w:w="3380" w:type="dxa"/>
            <w:vAlign w:val="bottom"/>
          </w:tcPr>
          <w:p>
            <w:pPr>
              <w:spacing w:after="0"/>
              <w:rPr>
                <w:sz w:val="21"/>
                <w:szCs w:val="21"/>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2017</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1,500,000</w:t>
            </w:r>
          </w:p>
        </w:tc>
        <w:tc>
          <w:tcPr>
            <w:tcW w:w="1240" w:type="dxa"/>
            <w:vAlign w:val="bottom"/>
          </w:tcPr>
          <w:p>
            <w:pPr>
              <w:jc w:val="right"/>
              <w:ind w:right="147"/>
              <w:spacing w:after="0"/>
              <w:rPr>
                <w:sz w:val="20"/>
                <w:szCs w:val="20"/>
                <w:color w:val="auto"/>
              </w:rPr>
            </w:pPr>
            <w:r>
              <w:rPr>
                <w:rFonts w:ascii="Arial" w:cs="Arial" w:eastAsia="Arial" w:hAnsi="Arial"/>
                <w:sz w:val="14"/>
                <w:szCs w:val="14"/>
                <w:color w:val="auto"/>
              </w:rPr>
              <w:t>5,000,000</w:t>
            </w:r>
          </w:p>
        </w:tc>
        <w:tc>
          <w:tcPr>
            <w:tcW w:w="300" w:type="dxa"/>
            <w:vAlign w:val="bottom"/>
          </w:tcPr>
          <w:p>
            <w:pPr>
              <w:spacing w:after="0"/>
              <w:rPr>
                <w:sz w:val="21"/>
                <w:szCs w:val="21"/>
                <w:color w:val="auto"/>
              </w:rPr>
            </w:pP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1"/>
                <w:szCs w:val="21"/>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23,000,000</w:t>
            </w:r>
          </w:p>
        </w:tc>
        <w:tc>
          <w:tcPr>
            <w:tcW w:w="1340" w:type="dxa"/>
            <w:vAlign w:val="bottom"/>
          </w:tcPr>
          <w:p>
            <w:pPr>
              <w:jc w:val="right"/>
              <w:ind w:right="148"/>
              <w:spacing w:after="0"/>
              <w:rPr>
                <w:sz w:val="20"/>
                <w:szCs w:val="20"/>
                <w:color w:val="auto"/>
              </w:rPr>
            </w:pPr>
            <w:r>
              <w:rPr>
                <w:rFonts w:ascii="Arial" w:cs="Arial" w:eastAsia="Arial" w:hAnsi="Arial"/>
                <w:sz w:val="14"/>
                <w:szCs w:val="14"/>
                <w:color w:val="auto"/>
              </w:rPr>
              <w:t>29,500,000</w:t>
            </w:r>
          </w:p>
        </w:tc>
        <w:tc>
          <w:tcPr>
            <w:tcW w:w="0" w:type="dxa"/>
            <w:vAlign w:val="bottom"/>
          </w:tcPr>
          <w:p>
            <w:pPr>
              <w:spacing w:after="0"/>
              <w:rPr>
                <w:sz w:val="1"/>
                <w:szCs w:val="1"/>
                <w:color w:val="auto"/>
              </w:rPr>
            </w:pPr>
          </w:p>
        </w:tc>
      </w:tr>
      <w:tr>
        <w:trPr>
          <w:trHeight w:val="66"/>
        </w:trPr>
        <w:tc>
          <w:tcPr>
            <w:tcW w:w="3380" w:type="dxa"/>
            <w:vAlign w:val="bottom"/>
            <w:tcBorders>
              <w:bottom w:val="single" w:sz="8" w:color="333333"/>
            </w:tcBorders>
          </w:tcPr>
          <w:p>
            <w:pPr>
              <w:spacing w:after="0"/>
              <w:rPr>
                <w:sz w:val="5"/>
                <w:szCs w:val="5"/>
                <w:color w:val="auto"/>
              </w:rPr>
            </w:pPr>
          </w:p>
        </w:tc>
        <w:tc>
          <w:tcPr>
            <w:tcW w:w="1340" w:type="dxa"/>
            <w:vAlign w:val="bottom"/>
            <w:tcBorders>
              <w:bottom w:val="single" w:sz="8" w:color="333333"/>
            </w:tcBorders>
          </w:tcPr>
          <w:p>
            <w:pPr>
              <w:spacing w:after="0"/>
              <w:rPr>
                <w:sz w:val="5"/>
                <w:szCs w:val="5"/>
                <w:color w:val="auto"/>
              </w:rPr>
            </w:pPr>
          </w:p>
        </w:tc>
        <w:tc>
          <w:tcPr>
            <w:tcW w:w="1240" w:type="dxa"/>
            <w:vAlign w:val="bottom"/>
            <w:tcBorders>
              <w:bottom w:val="single" w:sz="8" w:color="333333"/>
            </w:tcBorders>
          </w:tcPr>
          <w:p>
            <w:pPr>
              <w:spacing w:after="0"/>
              <w:rPr>
                <w:sz w:val="5"/>
                <w:szCs w:val="5"/>
                <w:color w:val="auto"/>
              </w:rPr>
            </w:pPr>
          </w:p>
        </w:tc>
        <w:tc>
          <w:tcPr>
            <w:tcW w:w="1240" w:type="dxa"/>
            <w:vAlign w:val="bottom"/>
            <w:tcBorders>
              <w:bottom w:val="single" w:sz="8" w:color="333333"/>
            </w:tcBorders>
          </w:tcPr>
          <w:p>
            <w:pPr>
              <w:spacing w:after="0"/>
              <w:rPr>
                <w:sz w:val="5"/>
                <w:szCs w:val="5"/>
                <w:color w:val="auto"/>
              </w:rPr>
            </w:pPr>
          </w:p>
        </w:tc>
        <w:tc>
          <w:tcPr>
            <w:tcW w:w="300" w:type="dxa"/>
            <w:vAlign w:val="bottom"/>
            <w:tcBorders>
              <w:bottom w:val="single" w:sz="8" w:color="333333"/>
            </w:tcBorders>
          </w:tcPr>
          <w:p>
            <w:pPr>
              <w:spacing w:after="0"/>
              <w:rPr>
                <w:sz w:val="5"/>
                <w:szCs w:val="5"/>
                <w:color w:val="auto"/>
              </w:rPr>
            </w:pPr>
          </w:p>
        </w:tc>
        <w:tc>
          <w:tcPr>
            <w:tcW w:w="860" w:type="dxa"/>
            <w:vAlign w:val="bottom"/>
            <w:tcBorders>
              <w:bottom w:val="single" w:sz="8" w:color="333333"/>
            </w:tcBorders>
          </w:tcPr>
          <w:p>
            <w:pPr>
              <w:spacing w:after="0"/>
              <w:rPr>
                <w:sz w:val="5"/>
                <w:szCs w:val="5"/>
                <w:color w:val="auto"/>
              </w:rPr>
            </w:pPr>
          </w:p>
        </w:tc>
        <w:tc>
          <w:tcPr>
            <w:tcW w:w="360" w:type="dxa"/>
            <w:vAlign w:val="bottom"/>
            <w:tcBorders>
              <w:bottom w:val="single" w:sz="8" w:color="333333"/>
            </w:tcBorders>
          </w:tcPr>
          <w:p>
            <w:pPr>
              <w:spacing w:after="0"/>
              <w:rPr>
                <w:sz w:val="5"/>
                <w:szCs w:val="5"/>
                <w:color w:val="auto"/>
              </w:rPr>
            </w:pPr>
          </w:p>
        </w:tc>
        <w:tc>
          <w:tcPr>
            <w:tcW w:w="960" w:type="dxa"/>
            <w:vAlign w:val="bottom"/>
            <w:tcBorders>
              <w:bottom w:val="single" w:sz="8" w:color="333333"/>
            </w:tcBorders>
          </w:tcPr>
          <w:p>
            <w:pPr>
              <w:spacing w:after="0"/>
              <w:rPr>
                <w:sz w:val="5"/>
                <w:szCs w:val="5"/>
                <w:color w:val="auto"/>
              </w:rPr>
            </w:pPr>
          </w:p>
        </w:tc>
        <w:tc>
          <w:tcPr>
            <w:tcW w:w="1340" w:type="dxa"/>
            <w:vAlign w:val="bottom"/>
            <w:tcBorders>
              <w:bottom w:val="single" w:sz="8" w:color="333333"/>
            </w:tcBorders>
          </w:tcPr>
          <w:p>
            <w:pPr>
              <w:spacing w:after="0"/>
              <w:rPr>
                <w:sz w:val="5"/>
                <w:szCs w:val="5"/>
                <w:color w:val="auto"/>
              </w:rPr>
            </w:pPr>
          </w:p>
        </w:tc>
        <w:tc>
          <w:tcPr>
            <w:tcW w:w="0" w:type="dxa"/>
            <w:vAlign w:val="bottom"/>
          </w:tcPr>
          <w:p>
            <w:pPr>
              <w:spacing w:after="0"/>
              <w:rPr>
                <w:sz w:val="1"/>
                <w:szCs w:val="1"/>
                <w:color w:val="auto"/>
              </w:rPr>
            </w:pPr>
          </w:p>
        </w:tc>
      </w:tr>
      <w:tr>
        <w:trPr>
          <w:trHeight w:val="295"/>
        </w:trPr>
        <w:tc>
          <w:tcPr>
            <w:tcW w:w="3380" w:type="dxa"/>
            <w:vAlign w:val="bottom"/>
          </w:tcPr>
          <w:p>
            <w:pPr>
              <w:ind w:left="60"/>
              <w:spacing w:after="0"/>
              <w:rPr>
                <w:sz w:val="20"/>
                <w:szCs w:val="20"/>
                <w:color w:val="auto"/>
              </w:rPr>
            </w:pPr>
            <w:r>
              <w:rPr>
                <w:rFonts w:ascii="Arial" w:cs="Arial" w:eastAsia="Arial" w:hAnsi="Arial"/>
                <w:sz w:val="14"/>
                <w:szCs w:val="14"/>
                <w:b w:val="1"/>
                <w:bCs w:val="1"/>
                <w:color w:val="auto"/>
              </w:rPr>
              <w:t>Daniel Pinto</w:t>
            </w:r>
            <w:r>
              <w:rPr>
                <w:rFonts w:ascii="Arial" w:cs="Arial" w:eastAsia="Arial" w:hAnsi="Arial"/>
                <w:sz w:val="24"/>
                <w:szCs w:val="24"/>
                <w:b w:val="1"/>
                <w:bCs w:val="1"/>
                <w:color w:val="auto"/>
                <w:vertAlign w:val="superscript"/>
              </w:rPr>
              <w:t>2</w:t>
            </w:r>
          </w:p>
        </w:tc>
        <w:tc>
          <w:tcPr>
            <w:tcW w:w="1340" w:type="dxa"/>
            <w:vAlign w:val="bottom"/>
          </w:tcPr>
          <w:p>
            <w:pPr>
              <w:jc w:val="right"/>
              <w:ind w:right="28"/>
              <w:spacing w:after="0"/>
              <w:rPr>
                <w:sz w:val="20"/>
                <w:szCs w:val="20"/>
                <w:color w:val="auto"/>
              </w:rPr>
            </w:pPr>
            <w:r>
              <w:rPr>
                <w:rFonts w:ascii="Arial" w:cs="Arial" w:eastAsia="Arial" w:hAnsi="Arial"/>
                <w:sz w:val="14"/>
                <w:szCs w:val="14"/>
                <w:b w:val="1"/>
                <w:bCs w:val="1"/>
                <w:color w:val="auto"/>
              </w:rPr>
              <w:t>2019</w:t>
            </w:r>
          </w:p>
        </w:tc>
        <w:tc>
          <w:tcPr>
            <w:tcW w:w="1240" w:type="dxa"/>
            <w:vAlign w:val="bottom"/>
          </w:tcPr>
          <w:p>
            <w:pPr>
              <w:jc w:val="right"/>
              <w:ind w:right="148"/>
              <w:spacing w:after="0"/>
              <w:rPr>
                <w:sz w:val="20"/>
                <w:szCs w:val="20"/>
                <w:color w:val="auto"/>
              </w:rPr>
            </w:pPr>
            <w:r>
              <w:rPr>
                <w:rFonts w:ascii="Arial" w:cs="Arial" w:eastAsia="Arial" w:hAnsi="Arial"/>
                <w:sz w:val="14"/>
                <w:szCs w:val="14"/>
                <w:b w:val="1"/>
                <w:bCs w:val="1"/>
                <w:color w:val="auto"/>
              </w:rPr>
              <w:t>8,239,222</w:t>
            </w:r>
          </w:p>
        </w:tc>
        <w:tc>
          <w:tcPr>
            <w:tcW w:w="1240" w:type="dxa"/>
            <w:vAlign w:val="bottom"/>
          </w:tcPr>
          <w:p>
            <w:pPr>
              <w:jc w:val="right"/>
              <w:ind w:right="147"/>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4"/>
                <w:szCs w:val="24"/>
                <w:color w:val="auto"/>
              </w:rPr>
            </w:pPr>
          </w:p>
        </w:tc>
        <w:tc>
          <w:tcPr>
            <w:tcW w:w="860" w:type="dxa"/>
            <w:vAlign w:val="bottom"/>
          </w:tcPr>
          <w:p>
            <w:pPr>
              <w:jc w:val="right"/>
              <w:ind w:right="128"/>
              <w:spacing w:after="0"/>
              <w:rPr>
                <w:sz w:val="20"/>
                <w:szCs w:val="20"/>
                <w:color w:val="auto"/>
              </w:rPr>
            </w:pPr>
            <w:r>
              <w:rPr>
                <w:rFonts w:ascii="Arial" w:cs="Arial" w:eastAsia="Arial" w:hAnsi="Arial"/>
                <w:sz w:val="14"/>
                <w:szCs w:val="14"/>
                <w:b w:val="1"/>
                <w:bCs w:val="1"/>
                <w:color w:val="auto"/>
              </w:rPr>
              <w:t>7,130,389</w:t>
            </w:r>
          </w:p>
        </w:tc>
        <w:tc>
          <w:tcPr>
            <w:tcW w:w="360" w:type="dxa"/>
            <w:vAlign w:val="bottom"/>
          </w:tcPr>
          <w:p>
            <w:pPr>
              <w:spacing w:after="0"/>
              <w:rPr>
                <w:sz w:val="24"/>
                <w:szCs w:val="24"/>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b w:val="1"/>
                <w:bCs w:val="1"/>
                <w:color w:val="auto"/>
              </w:rPr>
              <w:t>7,130,389</w:t>
            </w:r>
          </w:p>
        </w:tc>
        <w:tc>
          <w:tcPr>
            <w:tcW w:w="1340" w:type="dxa"/>
            <w:vAlign w:val="bottom"/>
          </w:tcPr>
          <w:p>
            <w:pPr>
              <w:jc w:val="right"/>
              <w:ind w:right="148"/>
              <w:spacing w:after="0"/>
              <w:rPr>
                <w:sz w:val="20"/>
                <w:szCs w:val="20"/>
                <w:color w:val="auto"/>
              </w:rPr>
            </w:pPr>
            <w:r>
              <w:rPr>
                <w:rFonts w:ascii="Arial" w:cs="Arial" w:eastAsia="Arial" w:hAnsi="Arial"/>
                <w:sz w:val="14"/>
                <w:szCs w:val="14"/>
                <w:b w:val="1"/>
                <w:bCs w:val="1"/>
                <w:color w:val="auto"/>
              </w:rPr>
              <w:t>22,500,000</w:t>
            </w:r>
          </w:p>
        </w:tc>
        <w:tc>
          <w:tcPr>
            <w:tcW w:w="0" w:type="dxa"/>
            <w:vAlign w:val="bottom"/>
          </w:tcPr>
          <w:p>
            <w:pPr>
              <w:spacing w:after="0"/>
              <w:rPr>
                <w:sz w:val="1"/>
                <w:szCs w:val="1"/>
                <w:color w:val="auto"/>
              </w:rPr>
            </w:pPr>
          </w:p>
        </w:tc>
      </w:tr>
      <w:tr>
        <w:trPr>
          <w:trHeight w:val="162"/>
        </w:trPr>
        <w:tc>
          <w:tcPr>
            <w:tcW w:w="3380" w:type="dxa"/>
            <w:vAlign w:val="bottom"/>
          </w:tcPr>
          <w:p>
            <w:pPr>
              <w:ind w:left="60"/>
              <w:spacing w:after="0"/>
              <w:rPr>
                <w:sz w:val="20"/>
                <w:szCs w:val="20"/>
                <w:color w:val="auto"/>
              </w:rPr>
            </w:pPr>
            <w:r>
              <w:rPr>
                <w:rFonts w:ascii="Arial" w:cs="Arial" w:eastAsia="Arial" w:hAnsi="Arial"/>
                <w:sz w:val="14"/>
                <w:szCs w:val="14"/>
                <w:color w:val="auto"/>
              </w:rPr>
              <w:t>Co-President and Co-Chief Operating</w:t>
            </w: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2018</w:t>
            </w:r>
          </w:p>
        </w:tc>
        <w:tc>
          <w:tcPr>
            <w:tcW w:w="1240" w:type="dxa"/>
            <w:vAlign w:val="bottom"/>
            <w:vMerge w:val="restart"/>
          </w:tcPr>
          <w:p>
            <w:pPr>
              <w:jc w:val="right"/>
              <w:ind w:right="148"/>
              <w:spacing w:after="0"/>
              <w:rPr>
                <w:sz w:val="20"/>
                <w:szCs w:val="20"/>
                <w:color w:val="auto"/>
              </w:rPr>
            </w:pPr>
            <w:r>
              <w:rPr>
                <w:rFonts w:ascii="Arial" w:cs="Arial" w:eastAsia="Arial" w:hAnsi="Arial"/>
                <w:sz w:val="14"/>
                <w:szCs w:val="14"/>
                <w:color w:val="auto"/>
              </w:rPr>
              <w:t>8,276,026</w:t>
            </w:r>
          </w:p>
        </w:tc>
        <w:tc>
          <w:tcPr>
            <w:tcW w:w="1240" w:type="dxa"/>
            <w:vAlign w:val="bottom"/>
            <w:vMerge w:val="restart"/>
          </w:tcPr>
          <w:p>
            <w:pPr>
              <w:jc w:val="right"/>
              <w:ind w:right="147"/>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860" w:type="dxa"/>
            <w:vAlign w:val="bottom"/>
            <w:vMerge w:val="restart"/>
          </w:tcPr>
          <w:p>
            <w:pPr>
              <w:jc w:val="right"/>
              <w:ind w:right="128"/>
              <w:spacing w:after="0"/>
              <w:rPr>
                <w:sz w:val="20"/>
                <w:szCs w:val="20"/>
                <w:color w:val="auto"/>
              </w:rPr>
            </w:pPr>
            <w:r>
              <w:rPr>
                <w:rFonts w:ascii="Arial" w:cs="Arial" w:eastAsia="Arial" w:hAnsi="Arial"/>
                <w:sz w:val="14"/>
                <w:szCs w:val="14"/>
                <w:color w:val="auto"/>
              </w:rPr>
              <w:t>6,861,987</w:t>
            </w:r>
          </w:p>
        </w:tc>
        <w:tc>
          <w:tcPr>
            <w:tcW w:w="360" w:type="dxa"/>
            <w:vAlign w:val="bottom"/>
          </w:tcPr>
          <w:p>
            <w:pPr>
              <w:spacing w:after="0"/>
              <w:rPr>
                <w:sz w:val="14"/>
                <w:szCs w:val="14"/>
                <w:color w:val="auto"/>
              </w:rPr>
            </w:pPr>
          </w:p>
        </w:tc>
        <w:tc>
          <w:tcPr>
            <w:tcW w:w="960" w:type="dxa"/>
            <w:vAlign w:val="bottom"/>
            <w:vMerge w:val="restart"/>
          </w:tcPr>
          <w:p>
            <w:pPr>
              <w:jc w:val="right"/>
              <w:ind w:right="128"/>
              <w:spacing w:after="0"/>
              <w:rPr>
                <w:sz w:val="20"/>
                <w:szCs w:val="20"/>
                <w:color w:val="auto"/>
              </w:rPr>
            </w:pPr>
            <w:r>
              <w:rPr>
                <w:rFonts w:ascii="Arial" w:cs="Arial" w:eastAsia="Arial" w:hAnsi="Arial"/>
                <w:sz w:val="14"/>
                <w:szCs w:val="14"/>
                <w:color w:val="auto"/>
              </w:rPr>
              <w:t>6,861,987</w:t>
            </w:r>
          </w:p>
        </w:tc>
        <w:tc>
          <w:tcPr>
            <w:tcW w:w="1340" w:type="dxa"/>
            <w:vAlign w:val="bottom"/>
            <w:vMerge w:val="restart"/>
          </w:tcPr>
          <w:p>
            <w:pPr>
              <w:jc w:val="right"/>
              <w:ind w:right="148"/>
              <w:spacing w:after="0"/>
              <w:rPr>
                <w:sz w:val="20"/>
                <w:szCs w:val="20"/>
                <w:color w:val="auto"/>
              </w:rPr>
            </w:pPr>
            <w:r>
              <w:rPr>
                <w:rFonts w:ascii="Arial" w:cs="Arial" w:eastAsia="Arial" w:hAnsi="Arial"/>
                <w:sz w:val="14"/>
                <w:szCs w:val="14"/>
                <w:color w:val="auto"/>
              </w:rPr>
              <w:t>22,000,000</w:t>
            </w:r>
          </w:p>
        </w:tc>
        <w:tc>
          <w:tcPr>
            <w:tcW w:w="0" w:type="dxa"/>
            <w:vAlign w:val="bottom"/>
          </w:tcPr>
          <w:p>
            <w:pPr>
              <w:spacing w:after="0"/>
              <w:rPr>
                <w:sz w:val="1"/>
                <w:szCs w:val="1"/>
                <w:color w:val="auto"/>
              </w:rPr>
            </w:pPr>
          </w:p>
        </w:tc>
      </w:tr>
      <w:tr>
        <w:trPr>
          <w:trHeight w:val="78"/>
        </w:trPr>
        <w:tc>
          <w:tcPr>
            <w:tcW w:w="3380" w:type="dxa"/>
            <w:vAlign w:val="bottom"/>
            <w:vMerge w:val="restart"/>
          </w:tcPr>
          <w:p>
            <w:pPr>
              <w:ind w:left="60"/>
              <w:spacing w:after="0"/>
              <w:rPr>
                <w:sz w:val="20"/>
                <w:szCs w:val="20"/>
                <w:color w:val="auto"/>
              </w:rPr>
            </w:pPr>
            <w:r>
              <w:rPr>
                <w:rFonts w:ascii="Arial" w:cs="Arial" w:eastAsia="Arial" w:hAnsi="Arial"/>
                <w:sz w:val="14"/>
                <w:szCs w:val="14"/>
                <w:color w:val="auto"/>
              </w:rPr>
              <w:t>Officer; Chief Executive Officer</w:t>
            </w:r>
          </w:p>
        </w:tc>
        <w:tc>
          <w:tcPr>
            <w:tcW w:w="1340" w:type="dxa"/>
            <w:vAlign w:val="bottom"/>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4"/>
        </w:trPr>
        <w:tc>
          <w:tcPr>
            <w:tcW w:w="3380" w:type="dxa"/>
            <w:vAlign w:val="bottom"/>
            <w:vMerge w:val="continue"/>
          </w:tcPr>
          <w:p>
            <w:pPr>
              <w:spacing w:after="0"/>
              <w:rPr>
                <w:sz w:val="7"/>
                <w:szCs w:val="7"/>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2017</w:t>
            </w:r>
          </w:p>
        </w:tc>
        <w:tc>
          <w:tcPr>
            <w:tcW w:w="1240" w:type="dxa"/>
            <w:vAlign w:val="bottom"/>
            <w:vMerge w:val="restart"/>
          </w:tcPr>
          <w:p>
            <w:pPr>
              <w:jc w:val="right"/>
              <w:ind w:right="148"/>
              <w:spacing w:after="0"/>
              <w:rPr>
                <w:sz w:val="20"/>
                <w:szCs w:val="20"/>
                <w:color w:val="auto"/>
              </w:rPr>
            </w:pPr>
            <w:r>
              <w:rPr>
                <w:rFonts w:ascii="Arial" w:cs="Arial" w:eastAsia="Arial" w:hAnsi="Arial"/>
                <w:sz w:val="14"/>
                <w:szCs w:val="14"/>
                <w:color w:val="auto"/>
              </w:rPr>
              <w:t>8,238,628</w:t>
            </w:r>
          </w:p>
        </w:tc>
        <w:tc>
          <w:tcPr>
            <w:tcW w:w="1240" w:type="dxa"/>
            <w:vAlign w:val="bottom"/>
            <w:vMerge w:val="restart"/>
          </w:tcPr>
          <w:p>
            <w:pPr>
              <w:jc w:val="right"/>
              <w:ind w:right="147"/>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7"/>
                <w:szCs w:val="7"/>
                <w:color w:val="auto"/>
              </w:rPr>
            </w:pPr>
          </w:p>
        </w:tc>
        <w:tc>
          <w:tcPr>
            <w:tcW w:w="860" w:type="dxa"/>
            <w:vAlign w:val="bottom"/>
            <w:vMerge w:val="restart"/>
          </w:tcPr>
          <w:p>
            <w:pPr>
              <w:jc w:val="right"/>
              <w:ind w:right="128"/>
              <w:spacing w:after="0"/>
              <w:rPr>
                <w:sz w:val="20"/>
                <w:szCs w:val="20"/>
                <w:color w:val="auto"/>
              </w:rPr>
            </w:pPr>
            <w:r>
              <w:rPr>
                <w:rFonts w:ascii="Arial" w:cs="Arial" w:eastAsia="Arial" w:hAnsi="Arial"/>
                <w:sz w:val="14"/>
                <w:szCs w:val="14"/>
                <w:color w:val="auto"/>
              </w:rPr>
              <w:t>6,380,686</w:t>
            </w:r>
          </w:p>
        </w:tc>
        <w:tc>
          <w:tcPr>
            <w:tcW w:w="360" w:type="dxa"/>
            <w:vAlign w:val="bottom"/>
          </w:tcPr>
          <w:p>
            <w:pPr>
              <w:spacing w:after="0"/>
              <w:rPr>
                <w:sz w:val="7"/>
                <w:szCs w:val="7"/>
                <w:color w:val="auto"/>
              </w:rPr>
            </w:pPr>
          </w:p>
        </w:tc>
        <w:tc>
          <w:tcPr>
            <w:tcW w:w="960" w:type="dxa"/>
            <w:vAlign w:val="bottom"/>
            <w:vMerge w:val="restart"/>
          </w:tcPr>
          <w:p>
            <w:pPr>
              <w:jc w:val="right"/>
              <w:ind w:right="128"/>
              <w:spacing w:after="0"/>
              <w:rPr>
                <w:sz w:val="20"/>
                <w:szCs w:val="20"/>
                <w:color w:val="auto"/>
              </w:rPr>
            </w:pPr>
            <w:r>
              <w:rPr>
                <w:rFonts w:ascii="Arial" w:cs="Arial" w:eastAsia="Arial" w:hAnsi="Arial"/>
                <w:sz w:val="14"/>
                <w:szCs w:val="14"/>
                <w:color w:val="auto"/>
              </w:rPr>
              <w:t>6,380,686</w:t>
            </w:r>
          </w:p>
        </w:tc>
        <w:tc>
          <w:tcPr>
            <w:tcW w:w="1340" w:type="dxa"/>
            <w:vAlign w:val="bottom"/>
            <w:vMerge w:val="restart"/>
          </w:tcPr>
          <w:p>
            <w:pPr>
              <w:jc w:val="right"/>
              <w:ind w:right="148"/>
              <w:spacing w:after="0"/>
              <w:rPr>
                <w:sz w:val="20"/>
                <w:szCs w:val="20"/>
                <w:color w:val="auto"/>
              </w:rPr>
            </w:pPr>
            <w:r>
              <w:rPr>
                <w:rFonts w:ascii="Arial" w:cs="Arial" w:eastAsia="Arial" w:hAnsi="Arial"/>
                <w:sz w:val="14"/>
                <w:szCs w:val="14"/>
                <w:color w:val="auto"/>
              </w:rPr>
              <w:t>21,000,000</w:t>
            </w:r>
          </w:p>
        </w:tc>
        <w:tc>
          <w:tcPr>
            <w:tcW w:w="0" w:type="dxa"/>
            <w:vAlign w:val="bottom"/>
          </w:tcPr>
          <w:p>
            <w:pPr>
              <w:spacing w:after="0"/>
              <w:rPr>
                <w:sz w:val="1"/>
                <w:szCs w:val="1"/>
                <w:color w:val="auto"/>
              </w:rPr>
            </w:pPr>
          </w:p>
        </w:tc>
      </w:tr>
      <w:tr>
        <w:trPr>
          <w:trHeight w:val="172"/>
        </w:trPr>
        <w:tc>
          <w:tcPr>
            <w:tcW w:w="3380" w:type="dxa"/>
            <w:vAlign w:val="bottom"/>
          </w:tcPr>
          <w:p>
            <w:pPr>
              <w:ind w:left="60"/>
              <w:spacing w:after="0"/>
              <w:rPr>
                <w:sz w:val="20"/>
                <w:szCs w:val="20"/>
                <w:color w:val="auto"/>
              </w:rPr>
            </w:pPr>
            <w:r>
              <w:rPr>
                <w:rFonts w:ascii="Arial" w:cs="Arial" w:eastAsia="Arial" w:hAnsi="Arial"/>
                <w:sz w:val="14"/>
                <w:szCs w:val="14"/>
                <w:color w:val="auto"/>
              </w:rPr>
              <w:t>Corporate &amp; Investment Bank</w:t>
            </w:r>
          </w:p>
        </w:tc>
        <w:tc>
          <w:tcPr>
            <w:tcW w:w="134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3380" w:type="dxa"/>
            <w:vAlign w:val="bottom"/>
            <w:tcBorders>
              <w:bottom w:val="single" w:sz="8" w:color="333333"/>
            </w:tcBorders>
          </w:tcPr>
          <w:p>
            <w:pPr>
              <w:spacing w:after="0"/>
              <w:rPr>
                <w:sz w:val="6"/>
                <w:szCs w:val="6"/>
                <w:color w:val="auto"/>
              </w:rPr>
            </w:pPr>
          </w:p>
        </w:tc>
        <w:tc>
          <w:tcPr>
            <w:tcW w:w="1340" w:type="dxa"/>
            <w:vAlign w:val="bottom"/>
            <w:tcBorders>
              <w:bottom w:val="single" w:sz="8" w:color="333333"/>
            </w:tcBorders>
          </w:tcPr>
          <w:p>
            <w:pPr>
              <w:spacing w:after="0"/>
              <w:rPr>
                <w:sz w:val="6"/>
                <w:szCs w:val="6"/>
                <w:color w:val="auto"/>
              </w:rPr>
            </w:pPr>
          </w:p>
        </w:tc>
        <w:tc>
          <w:tcPr>
            <w:tcW w:w="1240" w:type="dxa"/>
            <w:vAlign w:val="bottom"/>
            <w:tcBorders>
              <w:bottom w:val="single" w:sz="8" w:color="333333"/>
            </w:tcBorders>
          </w:tcPr>
          <w:p>
            <w:pPr>
              <w:spacing w:after="0"/>
              <w:rPr>
                <w:sz w:val="6"/>
                <w:szCs w:val="6"/>
                <w:color w:val="auto"/>
              </w:rPr>
            </w:pPr>
          </w:p>
        </w:tc>
        <w:tc>
          <w:tcPr>
            <w:tcW w:w="1240" w:type="dxa"/>
            <w:vAlign w:val="bottom"/>
            <w:tcBorders>
              <w:bottom w:val="single" w:sz="8" w:color="333333"/>
            </w:tcBorders>
          </w:tcPr>
          <w:p>
            <w:pPr>
              <w:spacing w:after="0"/>
              <w:rPr>
                <w:sz w:val="6"/>
                <w:szCs w:val="6"/>
                <w:color w:val="auto"/>
              </w:rPr>
            </w:pPr>
          </w:p>
        </w:tc>
        <w:tc>
          <w:tcPr>
            <w:tcW w:w="300" w:type="dxa"/>
            <w:vAlign w:val="bottom"/>
            <w:tcBorders>
              <w:bottom w:val="single" w:sz="8" w:color="333333"/>
            </w:tcBorders>
          </w:tcPr>
          <w:p>
            <w:pPr>
              <w:spacing w:after="0"/>
              <w:rPr>
                <w:sz w:val="6"/>
                <w:szCs w:val="6"/>
                <w:color w:val="auto"/>
              </w:rPr>
            </w:pPr>
          </w:p>
        </w:tc>
        <w:tc>
          <w:tcPr>
            <w:tcW w:w="860" w:type="dxa"/>
            <w:vAlign w:val="bottom"/>
            <w:tcBorders>
              <w:bottom w:val="single" w:sz="8" w:color="333333"/>
            </w:tcBorders>
          </w:tcPr>
          <w:p>
            <w:pPr>
              <w:spacing w:after="0"/>
              <w:rPr>
                <w:sz w:val="6"/>
                <w:szCs w:val="6"/>
                <w:color w:val="auto"/>
              </w:rPr>
            </w:pPr>
          </w:p>
        </w:tc>
        <w:tc>
          <w:tcPr>
            <w:tcW w:w="360" w:type="dxa"/>
            <w:vAlign w:val="bottom"/>
            <w:tcBorders>
              <w:bottom w:val="single" w:sz="8" w:color="333333"/>
            </w:tcBorders>
          </w:tcPr>
          <w:p>
            <w:pPr>
              <w:spacing w:after="0"/>
              <w:rPr>
                <w:sz w:val="6"/>
                <w:szCs w:val="6"/>
                <w:color w:val="auto"/>
              </w:rPr>
            </w:pPr>
          </w:p>
        </w:tc>
        <w:tc>
          <w:tcPr>
            <w:tcW w:w="960" w:type="dxa"/>
            <w:vAlign w:val="bottom"/>
            <w:tcBorders>
              <w:bottom w:val="single" w:sz="8" w:color="333333"/>
            </w:tcBorders>
          </w:tcPr>
          <w:p>
            <w:pPr>
              <w:spacing w:after="0"/>
              <w:rPr>
                <w:sz w:val="6"/>
                <w:szCs w:val="6"/>
                <w:color w:val="auto"/>
              </w:rPr>
            </w:pPr>
          </w:p>
        </w:tc>
        <w:tc>
          <w:tcPr>
            <w:tcW w:w="1340" w:type="dxa"/>
            <w:vAlign w:val="bottom"/>
            <w:tcBorders>
              <w:bottom w:val="single" w:sz="8" w:color="333333"/>
            </w:tcBorders>
          </w:tcPr>
          <w:p>
            <w:pPr>
              <w:spacing w:after="0"/>
              <w:rPr>
                <w:sz w:val="6"/>
                <w:szCs w:val="6"/>
                <w:color w:val="auto"/>
              </w:rPr>
            </w:pPr>
          </w:p>
        </w:tc>
        <w:tc>
          <w:tcPr>
            <w:tcW w:w="0" w:type="dxa"/>
            <w:vAlign w:val="bottom"/>
          </w:tcPr>
          <w:p>
            <w:pPr>
              <w:spacing w:after="0"/>
              <w:rPr>
                <w:sz w:val="1"/>
                <w:szCs w:val="1"/>
                <w:color w:val="auto"/>
              </w:rPr>
            </w:pPr>
          </w:p>
        </w:tc>
      </w:tr>
      <w:tr>
        <w:trPr>
          <w:trHeight w:val="265"/>
        </w:trPr>
        <w:tc>
          <w:tcPr>
            <w:tcW w:w="3380" w:type="dxa"/>
            <w:vAlign w:val="bottom"/>
          </w:tcPr>
          <w:p>
            <w:pPr>
              <w:ind w:left="60"/>
              <w:spacing w:after="0"/>
              <w:rPr>
                <w:sz w:val="20"/>
                <w:szCs w:val="20"/>
                <w:color w:val="auto"/>
              </w:rPr>
            </w:pPr>
            <w:r>
              <w:rPr>
                <w:rFonts w:ascii="Arial" w:cs="Arial" w:eastAsia="Arial" w:hAnsi="Arial"/>
                <w:sz w:val="14"/>
                <w:szCs w:val="14"/>
                <w:b w:val="1"/>
                <w:bCs w:val="1"/>
                <w:color w:val="auto"/>
              </w:rPr>
              <w:t>Gordon Smith</w:t>
            </w:r>
          </w:p>
        </w:tc>
        <w:tc>
          <w:tcPr>
            <w:tcW w:w="1340" w:type="dxa"/>
            <w:vAlign w:val="bottom"/>
          </w:tcPr>
          <w:p>
            <w:pPr>
              <w:jc w:val="right"/>
              <w:ind w:right="28"/>
              <w:spacing w:after="0"/>
              <w:rPr>
                <w:sz w:val="20"/>
                <w:szCs w:val="20"/>
                <w:color w:val="auto"/>
              </w:rPr>
            </w:pPr>
            <w:r>
              <w:rPr>
                <w:rFonts w:ascii="Arial" w:cs="Arial" w:eastAsia="Arial" w:hAnsi="Arial"/>
                <w:sz w:val="14"/>
                <w:szCs w:val="14"/>
                <w:b w:val="1"/>
                <w:bCs w:val="1"/>
                <w:color w:val="auto"/>
              </w:rPr>
              <w:t>2019</w:t>
            </w:r>
          </w:p>
        </w:tc>
        <w:tc>
          <w:tcPr>
            <w:tcW w:w="1240" w:type="dxa"/>
            <w:vAlign w:val="bottom"/>
          </w:tcPr>
          <w:p>
            <w:pPr>
              <w:jc w:val="right"/>
              <w:ind w:right="148"/>
              <w:spacing w:after="0"/>
              <w:rPr>
                <w:sz w:val="20"/>
                <w:szCs w:val="20"/>
                <w:color w:val="auto"/>
              </w:rPr>
            </w:pPr>
            <w:r>
              <w:rPr>
                <w:rFonts w:ascii="Arial" w:cs="Arial" w:eastAsia="Arial" w:hAnsi="Arial"/>
                <w:sz w:val="14"/>
                <w:szCs w:val="14"/>
                <w:b w:val="1"/>
                <w:bCs w:val="1"/>
                <w:color w:val="auto"/>
              </w:rPr>
              <w:t>750,000</w:t>
            </w:r>
          </w:p>
        </w:tc>
        <w:tc>
          <w:tcPr>
            <w:tcW w:w="1240" w:type="dxa"/>
            <w:vAlign w:val="bottom"/>
          </w:tcPr>
          <w:p>
            <w:pPr>
              <w:jc w:val="right"/>
              <w:ind w:right="147"/>
              <w:spacing w:after="0"/>
              <w:rPr>
                <w:sz w:val="20"/>
                <w:szCs w:val="20"/>
                <w:color w:val="auto"/>
              </w:rPr>
            </w:pPr>
            <w:r>
              <w:rPr>
                <w:rFonts w:ascii="Arial" w:cs="Arial" w:eastAsia="Arial" w:hAnsi="Arial"/>
                <w:sz w:val="14"/>
                <w:szCs w:val="14"/>
                <w:b w:val="1"/>
                <w:bCs w:val="1"/>
                <w:color w:val="auto"/>
              </w:rPr>
              <w:t>8,700,000</w:t>
            </w:r>
          </w:p>
        </w:tc>
        <w:tc>
          <w:tcPr>
            <w:tcW w:w="300" w:type="dxa"/>
            <w:vAlign w:val="bottom"/>
          </w:tcPr>
          <w:p>
            <w:pPr>
              <w:spacing w:after="0"/>
              <w:rPr>
                <w:sz w:val="23"/>
                <w:szCs w:val="23"/>
                <w:color w:val="auto"/>
              </w:rPr>
            </w:pPr>
          </w:p>
        </w:tc>
        <w:tc>
          <w:tcPr>
            <w:tcW w:w="860" w:type="dxa"/>
            <w:vAlign w:val="bottom"/>
          </w:tcPr>
          <w:p>
            <w:pPr>
              <w:jc w:val="right"/>
              <w:ind w:right="128"/>
              <w:spacing w:after="0"/>
              <w:rPr>
                <w:sz w:val="20"/>
                <w:szCs w:val="20"/>
                <w:color w:val="auto"/>
              </w:rPr>
            </w:pPr>
            <w:r>
              <w:rPr>
                <w:rFonts w:ascii="Arial" w:cs="Arial" w:eastAsia="Arial" w:hAnsi="Arial"/>
                <w:sz w:val="14"/>
                <w:szCs w:val="14"/>
                <w:b w:val="1"/>
                <w:bCs w:val="1"/>
                <w:color w:val="auto"/>
              </w:rPr>
              <w:t>6,525,000</w:t>
            </w:r>
          </w:p>
        </w:tc>
        <w:tc>
          <w:tcPr>
            <w:tcW w:w="36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b w:val="1"/>
                <w:bCs w:val="1"/>
                <w:color w:val="auto"/>
              </w:rPr>
              <w:t>6,525,000</w:t>
            </w:r>
          </w:p>
        </w:tc>
        <w:tc>
          <w:tcPr>
            <w:tcW w:w="1340" w:type="dxa"/>
            <w:vAlign w:val="bottom"/>
          </w:tcPr>
          <w:p>
            <w:pPr>
              <w:jc w:val="right"/>
              <w:ind w:right="148"/>
              <w:spacing w:after="0"/>
              <w:rPr>
                <w:sz w:val="20"/>
                <w:szCs w:val="20"/>
                <w:color w:val="auto"/>
              </w:rPr>
            </w:pPr>
            <w:r>
              <w:rPr>
                <w:rFonts w:ascii="Arial" w:cs="Arial" w:eastAsia="Arial" w:hAnsi="Arial"/>
                <w:sz w:val="14"/>
                <w:szCs w:val="14"/>
                <w:b w:val="1"/>
                <w:bCs w:val="1"/>
                <w:color w:val="auto"/>
              </w:rPr>
              <w:t>22,500,000</w:t>
            </w:r>
          </w:p>
        </w:tc>
        <w:tc>
          <w:tcPr>
            <w:tcW w:w="0" w:type="dxa"/>
            <w:vAlign w:val="bottom"/>
          </w:tcPr>
          <w:p>
            <w:pPr>
              <w:spacing w:after="0"/>
              <w:rPr>
                <w:sz w:val="1"/>
                <w:szCs w:val="1"/>
                <w:color w:val="auto"/>
              </w:rPr>
            </w:pPr>
          </w:p>
        </w:tc>
      </w:tr>
      <w:tr>
        <w:trPr>
          <w:trHeight w:val="192"/>
        </w:trPr>
        <w:tc>
          <w:tcPr>
            <w:tcW w:w="3380" w:type="dxa"/>
            <w:vAlign w:val="bottom"/>
          </w:tcPr>
          <w:p>
            <w:pPr>
              <w:ind w:left="60"/>
              <w:spacing w:after="0"/>
              <w:rPr>
                <w:sz w:val="20"/>
                <w:szCs w:val="20"/>
                <w:color w:val="auto"/>
              </w:rPr>
            </w:pPr>
            <w:r>
              <w:rPr>
                <w:rFonts w:ascii="Arial" w:cs="Arial" w:eastAsia="Arial" w:hAnsi="Arial"/>
                <w:sz w:val="14"/>
                <w:szCs w:val="14"/>
                <w:color w:val="auto"/>
              </w:rPr>
              <w:t>Co-President and Co-Chief Operating</w:t>
            </w: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2018</w:t>
            </w:r>
          </w:p>
        </w:tc>
        <w:tc>
          <w:tcPr>
            <w:tcW w:w="1240" w:type="dxa"/>
            <w:vAlign w:val="bottom"/>
            <w:vMerge w:val="restart"/>
          </w:tcPr>
          <w:p>
            <w:pPr>
              <w:jc w:val="right"/>
              <w:ind w:right="148"/>
              <w:spacing w:after="0"/>
              <w:rPr>
                <w:sz w:val="20"/>
                <w:szCs w:val="20"/>
                <w:color w:val="auto"/>
              </w:rPr>
            </w:pPr>
            <w:r>
              <w:rPr>
                <w:rFonts w:ascii="Arial" w:cs="Arial" w:eastAsia="Arial" w:hAnsi="Arial"/>
                <w:sz w:val="14"/>
                <w:szCs w:val="14"/>
                <w:color w:val="auto"/>
              </w:rPr>
              <w:t>750,000</w:t>
            </w:r>
          </w:p>
        </w:tc>
        <w:tc>
          <w:tcPr>
            <w:tcW w:w="1240" w:type="dxa"/>
            <w:vAlign w:val="bottom"/>
            <w:vMerge w:val="restart"/>
          </w:tcPr>
          <w:p>
            <w:pPr>
              <w:jc w:val="right"/>
              <w:ind w:right="147"/>
              <w:spacing w:after="0"/>
              <w:rPr>
                <w:sz w:val="20"/>
                <w:szCs w:val="20"/>
                <w:color w:val="auto"/>
              </w:rPr>
            </w:pPr>
            <w:r>
              <w:rPr>
                <w:rFonts w:ascii="Arial" w:cs="Arial" w:eastAsia="Arial" w:hAnsi="Arial"/>
                <w:sz w:val="14"/>
                <w:szCs w:val="14"/>
                <w:color w:val="auto"/>
              </w:rPr>
              <w:t>8,500,000</w:t>
            </w:r>
          </w:p>
        </w:tc>
        <w:tc>
          <w:tcPr>
            <w:tcW w:w="300" w:type="dxa"/>
            <w:vAlign w:val="bottom"/>
          </w:tcPr>
          <w:p>
            <w:pPr>
              <w:spacing w:after="0"/>
              <w:rPr>
                <w:sz w:val="16"/>
                <w:szCs w:val="16"/>
                <w:color w:val="auto"/>
              </w:rPr>
            </w:pPr>
          </w:p>
        </w:tc>
        <w:tc>
          <w:tcPr>
            <w:tcW w:w="860" w:type="dxa"/>
            <w:vAlign w:val="bottom"/>
            <w:vMerge w:val="restart"/>
          </w:tcPr>
          <w:p>
            <w:pPr>
              <w:jc w:val="right"/>
              <w:ind w:right="128"/>
              <w:spacing w:after="0"/>
              <w:rPr>
                <w:sz w:val="20"/>
                <w:szCs w:val="20"/>
                <w:color w:val="auto"/>
              </w:rPr>
            </w:pPr>
            <w:r>
              <w:rPr>
                <w:rFonts w:ascii="Arial" w:cs="Arial" w:eastAsia="Arial" w:hAnsi="Arial"/>
                <w:sz w:val="14"/>
                <w:szCs w:val="14"/>
                <w:color w:val="auto"/>
              </w:rPr>
              <w:t>6,375,000</w:t>
            </w:r>
          </w:p>
        </w:tc>
        <w:tc>
          <w:tcPr>
            <w:tcW w:w="360" w:type="dxa"/>
            <w:vAlign w:val="bottom"/>
          </w:tcPr>
          <w:p>
            <w:pPr>
              <w:spacing w:after="0"/>
              <w:rPr>
                <w:sz w:val="16"/>
                <w:szCs w:val="16"/>
                <w:color w:val="auto"/>
              </w:rPr>
            </w:pPr>
          </w:p>
        </w:tc>
        <w:tc>
          <w:tcPr>
            <w:tcW w:w="960" w:type="dxa"/>
            <w:vAlign w:val="bottom"/>
            <w:vMerge w:val="restart"/>
          </w:tcPr>
          <w:p>
            <w:pPr>
              <w:jc w:val="right"/>
              <w:ind w:right="128"/>
              <w:spacing w:after="0"/>
              <w:rPr>
                <w:sz w:val="20"/>
                <w:szCs w:val="20"/>
                <w:color w:val="auto"/>
              </w:rPr>
            </w:pPr>
            <w:r>
              <w:rPr>
                <w:rFonts w:ascii="Arial" w:cs="Arial" w:eastAsia="Arial" w:hAnsi="Arial"/>
                <w:sz w:val="14"/>
                <w:szCs w:val="14"/>
                <w:color w:val="auto"/>
              </w:rPr>
              <w:t>6,375,000</w:t>
            </w:r>
          </w:p>
        </w:tc>
        <w:tc>
          <w:tcPr>
            <w:tcW w:w="1340" w:type="dxa"/>
            <w:vAlign w:val="bottom"/>
            <w:vMerge w:val="restart"/>
          </w:tcPr>
          <w:p>
            <w:pPr>
              <w:jc w:val="right"/>
              <w:ind w:right="148"/>
              <w:spacing w:after="0"/>
              <w:rPr>
                <w:sz w:val="20"/>
                <w:szCs w:val="20"/>
                <w:color w:val="auto"/>
              </w:rPr>
            </w:pPr>
            <w:r>
              <w:rPr>
                <w:rFonts w:ascii="Arial" w:cs="Arial" w:eastAsia="Arial" w:hAnsi="Arial"/>
                <w:sz w:val="14"/>
                <w:szCs w:val="14"/>
                <w:color w:val="auto"/>
              </w:rPr>
              <w:t>22,000,000</w:t>
            </w:r>
          </w:p>
        </w:tc>
        <w:tc>
          <w:tcPr>
            <w:tcW w:w="0" w:type="dxa"/>
            <w:vAlign w:val="bottom"/>
          </w:tcPr>
          <w:p>
            <w:pPr>
              <w:spacing w:after="0"/>
              <w:rPr>
                <w:sz w:val="1"/>
                <w:szCs w:val="1"/>
                <w:color w:val="auto"/>
              </w:rPr>
            </w:pPr>
          </w:p>
        </w:tc>
      </w:tr>
      <w:tr>
        <w:trPr>
          <w:trHeight w:val="78"/>
        </w:trPr>
        <w:tc>
          <w:tcPr>
            <w:tcW w:w="3380" w:type="dxa"/>
            <w:vAlign w:val="bottom"/>
            <w:vMerge w:val="restart"/>
          </w:tcPr>
          <w:p>
            <w:pPr>
              <w:ind w:left="60"/>
              <w:spacing w:after="0"/>
              <w:rPr>
                <w:sz w:val="20"/>
                <w:szCs w:val="20"/>
                <w:color w:val="auto"/>
              </w:rPr>
            </w:pPr>
            <w:r>
              <w:rPr>
                <w:rFonts w:ascii="Arial" w:cs="Arial" w:eastAsia="Arial" w:hAnsi="Arial"/>
                <w:sz w:val="14"/>
                <w:szCs w:val="14"/>
                <w:color w:val="auto"/>
              </w:rPr>
              <w:t>Officer; Chief Executive Officer</w:t>
            </w:r>
          </w:p>
        </w:tc>
        <w:tc>
          <w:tcPr>
            <w:tcW w:w="1340" w:type="dxa"/>
            <w:vAlign w:val="bottom"/>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4"/>
        </w:trPr>
        <w:tc>
          <w:tcPr>
            <w:tcW w:w="3380" w:type="dxa"/>
            <w:vAlign w:val="bottom"/>
            <w:vMerge w:val="continue"/>
          </w:tcPr>
          <w:p>
            <w:pPr>
              <w:spacing w:after="0"/>
              <w:rPr>
                <w:sz w:val="7"/>
                <w:szCs w:val="7"/>
                <w:color w:val="auto"/>
              </w:rPr>
            </w:pPr>
          </w:p>
        </w:tc>
        <w:tc>
          <w:tcPr>
            <w:tcW w:w="1340" w:type="dxa"/>
            <w:vAlign w:val="bottom"/>
          </w:tcPr>
          <w:p>
            <w:pPr>
              <w:spacing w:after="0"/>
              <w:rPr>
                <w:sz w:val="7"/>
                <w:szCs w:val="7"/>
                <w:color w:val="auto"/>
              </w:rPr>
            </w:pPr>
          </w:p>
        </w:tc>
        <w:tc>
          <w:tcPr>
            <w:tcW w:w="1240" w:type="dxa"/>
            <w:vAlign w:val="bottom"/>
            <w:vMerge w:val="restart"/>
          </w:tcPr>
          <w:p>
            <w:pPr>
              <w:jc w:val="right"/>
              <w:ind w:right="148"/>
              <w:spacing w:after="0"/>
              <w:rPr>
                <w:sz w:val="20"/>
                <w:szCs w:val="20"/>
                <w:color w:val="auto"/>
              </w:rPr>
            </w:pPr>
            <w:r>
              <w:rPr>
                <w:rFonts w:ascii="Arial" w:cs="Arial" w:eastAsia="Arial" w:hAnsi="Arial"/>
                <w:sz w:val="14"/>
                <w:szCs w:val="14"/>
                <w:color w:val="auto"/>
              </w:rPr>
              <w:t>750,000</w:t>
            </w:r>
          </w:p>
        </w:tc>
        <w:tc>
          <w:tcPr>
            <w:tcW w:w="1240" w:type="dxa"/>
            <w:vAlign w:val="bottom"/>
            <w:vMerge w:val="restart"/>
          </w:tcPr>
          <w:p>
            <w:pPr>
              <w:jc w:val="right"/>
              <w:ind w:right="147"/>
              <w:spacing w:after="0"/>
              <w:rPr>
                <w:sz w:val="20"/>
                <w:szCs w:val="20"/>
                <w:color w:val="auto"/>
              </w:rPr>
            </w:pPr>
            <w:r>
              <w:rPr>
                <w:rFonts w:ascii="Arial" w:cs="Arial" w:eastAsia="Arial" w:hAnsi="Arial"/>
                <w:sz w:val="14"/>
                <w:szCs w:val="14"/>
                <w:color w:val="auto"/>
              </w:rPr>
              <w:t>7,700,000</w:t>
            </w:r>
          </w:p>
        </w:tc>
        <w:tc>
          <w:tcPr>
            <w:tcW w:w="300" w:type="dxa"/>
            <w:vAlign w:val="bottom"/>
          </w:tcPr>
          <w:p>
            <w:pPr>
              <w:spacing w:after="0"/>
              <w:rPr>
                <w:sz w:val="7"/>
                <w:szCs w:val="7"/>
                <w:color w:val="auto"/>
              </w:rPr>
            </w:pPr>
          </w:p>
        </w:tc>
        <w:tc>
          <w:tcPr>
            <w:tcW w:w="860" w:type="dxa"/>
            <w:vAlign w:val="bottom"/>
            <w:vMerge w:val="restart"/>
          </w:tcPr>
          <w:p>
            <w:pPr>
              <w:jc w:val="right"/>
              <w:ind w:right="128"/>
              <w:spacing w:after="0"/>
              <w:rPr>
                <w:sz w:val="20"/>
                <w:szCs w:val="20"/>
                <w:color w:val="auto"/>
              </w:rPr>
            </w:pPr>
            <w:r>
              <w:rPr>
                <w:rFonts w:ascii="Arial" w:cs="Arial" w:eastAsia="Arial" w:hAnsi="Arial"/>
                <w:sz w:val="14"/>
                <w:szCs w:val="14"/>
                <w:color w:val="auto"/>
              </w:rPr>
              <w:t>5,775,000</w:t>
            </w:r>
          </w:p>
        </w:tc>
        <w:tc>
          <w:tcPr>
            <w:tcW w:w="360" w:type="dxa"/>
            <w:vAlign w:val="bottom"/>
          </w:tcPr>
          <w:p>
            <w:pPr>
              <w:spacing w:after="0"/>
              <w:rPr>
                <w:sz w:val="7"/>
                <w:szCs w:val="7"/>
                <w:color w:val="auto"/>
              </w:rPr>
            </w:pPr>
          </w:p>
        </w:tc>
        <w:tc>
          <w:tcPr>
            <w:tcW w:w="960" w:type="dxa"/>
            <w:vAlign w:val="bottom"/>
            <w:vMerge w:val="restart"/>
          </w:tcPr>
          <w:p>
            <w:pPr>
              <w:jc w:val="right"/>
              <w:ind w:right="128"/>
              <w:spacing w:after="0"/>
              <w:rPr>
                <w:sz w:val="20"/>
                <w:szCs w:val="20"/>
                <w:color w:val="auto"/>
              </w:rPr>
            </w:pPr>
            <w:r>
              <w:rPr>
                <w:rFonts w:ascii="Arial" w:cs="Arial" w:eastAsia="Arial" w:hAnsi="Arial"/>
                <w:sz w:val="14"/>
                <w:szCs w:val="14"/>
                <w:color w:val="auto"/>
              </w:rPr>
              <w:t>5,775,000</w:t>
            </w:r>
          </w:p>
        </w:tc>
        <w:tc>
          <w:tcPr>
            <w:tcW w:w="1340" w:type="dxa"/>
            <w:vAlign w:val="bottom"/>
            <w:vMerge w:val="restart"/>
          </w:tcPr>
          <w:p>
            <w:pPr>
              <w:jc w:val="right"/>
              <w:ind w:right="148"/>
              <w:spacing w:after="0"/>
              <w:rPr>
                <w:sz w:val="20"/>
                <w:szCs w:val="20"/>
                <w:color w:val="auto"/>
              </w:rPr>
            </w:pPr>
            <w:r>
              <w:rPr>
                <w:rFonts w:ascii="Arial" w:cs="Arial" w:eastAsia="Arial" w:hAnsi="Arial"/>
                <w:sz w:val="14"/>
                <w:szCs w:val="14"/>
                <w:color w:val="auto"/>
              </w:rPr>
              <w:t>20,000,000</w:t>
            </w:r>
          </w:p>
        </w:tc>
        <w:tc>
          <w:tcPr>
            <w:tcW w:w="0" w:type="dxa"/>
            <w:vAlign w:val="bottom"/>
          </w:tcPr>
          <w:p>
            <w:pPr>
              <w:spacing w:after="0"/>
              <w:rPr>
                <w:sz w:val="1"/>
                <w:szCs w:val="1"/>
                <w:color w:val="auto"/>
              </w:rPr>
            </w:pPr>
          </w:p>
        </w:tc>
      </w:tr>
      <w:tr>
        <w:trPr>
          <w:trHeight w:val="186"/>
        </w:trPr>
        <w:tc>
          <w:tcPr>
            <w:tcW w:w="3380" w:type="dxa"/>
            <w:vAlign w:val="bottom"/>
          </w:tcPr>
          <w:p>
            <w:pPr>
              <w:ind w:left="60"/>
              <w:spacing w:after="0"/>
              <w:rPr>
                <w:sz w:val="20"/>
                <w:szCs w:val="20"/>
                <w:color w:val="auto"/>
              </w:rPr>
            </w:pPr>
            <w:r>
              <w:rPr>
                <w:rFonts w:ascii="Arial" w:cs="Arial" w:eastAsia="Arial" w:hAnsi="Arial"/>
                <w:sz w:val="14"/>
                <w:szCs w:val="14"/>
                <w:color w:val="auto"/>
              </w:rPr>
              <w:t>Consumer &amp; Community Banking</w:t>
            </w: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2017</w:t>
            </w:r>
          </w:p>
        </w:tc>
        <w:tc>
          <w:tcPr>
            <w:tcW w:w="124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3380" w:type="dxa"/>
            <w:vAlign w:val="bottom"/>
            <w:tcBorders>
              <w:bottom w:val="single" w:sz="8" w:color="333333"/>
            </w:tcBorders>
          </w:tcPr>
          <w:p>
            <w:pPr>
              <w:spacing w:after="0"/>
              <w:rPr>
                <w:sz w:val="5"/>
                <w:szCs w:val="5"/>
                <w:color w:val="auto"/>
              </w:rPr>
            </w:pPr>
          </w:p>
        </w:tc>
        <w:tc>
          <w:tcPr>
            <w:tcW w:w="1340" w:type="dxa"/>
            <w:vAlign w:val="bottom"/>
            <w:tcBorders>
              <w:bottom w:val="single" w:sz="8" w:color="333333"/>
            </w:tcBorders>
          </w:tcPr>
          <w:p>
            <w:pPr>
              <w:spacing w:after="0"/>
              <w:rPr>
                <w:sz w:val="5"/>
                <w:szCs w:val="5"/>
                <w:color w:val="auto"/>
              </w:rPr>
            </w:pPr>
          </w:p>
        </w:tc>
        <w:tc>
          <w:tcPr>
            <w:tcW w:w="1240" w:type="dxa"/>
            <w:vAlign w:val="bottom"/>
            <w:tcBorders>
              <w:bottom w:val="single" w:sz="8" w:color="333333"/>
            </w:tcBorders>
          </w:tcPr>
          <w:p>
            <w:pPr>
              <w:spacing w:after="0"/>
              <w:rPr>
                <w:sz w:val="5"/>
                <w:szCs w:val="5"/>
                <w:color w:val="auto"/>
              </w:rPr>
            </w:pPr>
          </w:p>
        </w:tc>
        <w:tc>
          <w:tcPr>
            <w:tcW w:w="1240" w:type="dxa"/>
            <w:vAlign w:val="bottom"/>
            <w:tcBorders>
              <w:bottom w:val="single" w:sz="8" w:color="333333"/>
            </w:tcBorders>
          </w:tcPr>
          <w:p>
            <w:pPr>
              <w:spacing w:after="0"/>
              <w:rPr>
                <w:sz w:val="5"/>
                <w:szCs w:val="5"/>
                <w:color w:val="auto"/>
              </w:rPr>
            </w:pPr>
          </w:p>
        </w:tc>
        <w:tc>
          <w:tcPr>
            <w:tcW w:w="300" w:type="dxa"/>
            <w:vAlign w:val="bottom"/>
            <w:tcBorders>
              <w:bottom w:val="single" w:sz="8" w:color="333333"/>
            </w:tcBorders>
          </w:tcPr>
          <w:p>
            <w:pPr>
              <w:spacing w:after="0"/>
              <w:rPr>
                <w:sz w:val="5"/>
                <w:szCs w:val="5"/>
                <w:color w:val="auto"/>
              </w:rPr>
            </w:pPr>
          </w:p>
        </w:tc>
        <w:tc>
          <w:tcPr>
            <w:tcW w:w="860" w:type="dxa"/>
            <w:vAlign w:val="bottom"/>
            <w:tcBorders>
              <w:bottom w:val="single" w:sz="8" w:color="333333"/>
            </w:tcBorders>
          </w:tcPr>
          <w:p>
            <w:pPr>
              <w:spacing w:after="0"/>
              <w:rPr>
                <w:sz w:val="5"/>
                <w:szCs w:val="5"/>
                <w:color w:val="auto"/>
              </w:rPr>
            </w:pPr>
          </w:p>
        </w:tc>
        <w:tc>
          <w:tcPr>
            <w:tcW w:w="360" w:type="dxa"/>
            <w:vAlign w:val="bottom"/>
            <w:tcBorders>
              <w:bottom w:val="single" w:sz="8" w:color="333333"/>
            </w:tcBorders>
          </w:tcPr>
          <w:p>
            <w:pPr>
              <w:spacing w:after="0"/>
              <w:rPr>
                <w:sz w:val="5"/>
                <w:szCs w:val="5"/>
                <w:color w:val="auto"/>
              </w:rPr>
            </w:pPr>
          </w:p>
        </w:tc>
        <w:tc>
          <w:tcPr>
            <w:tcW w:w="960" w:type="dxa"/>
            <w:vAlign w:val="bottom"/>
            <w:tcBorders>
              <w:bottom w:val="single" w:sz="8" w:color="333333"/>
            </w:tcBorders>
          </w:tcPr>
          <w:p>
            <w:pPr>
              <w:spacing w:after="0"/>
              <w:rPr>
                <w:sz w:val="5"/>
                <w:szCs w:val="5"/>
                <w:color w:val="auto"/>
              </w:rPr>
            </w:pPr>
          </w:p>
        </w:tc>
        <w:tc>
          <w:tcPr>
            <w:tcW w:w="1340" w:type="dxa"/>
            <w:vAlign w:val="bottom"/>
            <w:tcBorders>
              <w:bottom w:val="single" w:sz="8" w:color="333333"/>
            </w:tcBorders>
          </w:tcPr>
          <w:p>
            <w:pPr>
              <w:spacing w:after="0"/>
              <w:rPr>
                <w:sz w:val="5"/>
                <w:szCs w:val="5"/>
                <w:color w:val="auto"/>
              </w:rPr>
            </w:pPr>
          </w:p>
        </w:tc>
        <w:tc>
          <w:tcPr>
            <w:tcW w:w="0" w:type="dxa"/>
            <w:vAlign w:val="bottom"/>
          </w:tcPr>
          <w:p>
            <w:pPr>
              <w:spacing w:after="0"/>
              <w:rPr>
                <w:sz w:val="1"/>
                <w:szCs w:val="1"/>
                <w:color w:val="auto"/>
              </w:rPr>
            </w:pPr>
          </w:p>
        </w:tc>
      </w:tr>
      <w:tr>
        <w:trPr>
          <w:trHeight w:val="238"/>
        </w:trPr>
        <w:tc>
          <w:tcPr>
            <w:tcW w:w="3380" w:type="dxa"/>
            <w:vAlign w:val="bottom"/>
          </w:tcPr>
          <w:p>
            <w:pPr>
              <w:ind w:left="60"/>
              <w:spacing w:after="0"/>
              <w:rPr>
                <w:sz w:val="20"/>
                <w:szCs w:val="20"/>
                <w:color w:val="auto"/>
              </w:rPr>
            </w:pPr>
            <w:r>
              <w:rPr>
                <w:rFonts w:ascii="Arial" w:cs="Arial" w:eastAsia="Arial" w:hAnsi="Arial"/>
                <w:sz w:val="14"/>
                <w:szCs w:val="14"/>
                <w:b w:val="1"/>
                <w:bCs w:val="1"/>
                <w:color w:val="auto"/>
              </w:rPr>
              <w:t>Mary Callahan Erdoes</w:t>
            </w:r>
          </w:p>
        </w:tc>
        <w:tc>
          <w:tcPr>
            <w:tcW w:w="1340" w:type="dxa"/>
            <w:vAlign w:val="bottom"/>
          </w:tcPr>
          <w:p>
            <w:pPr>
              <w:jc w:val="right"/>
              <w:ind w:right="28"/>
              <w:spacing w:after="0"/>
              <w:rPr>
                <w:sz w:val="20"/>
                <w:szCs w:val="20"/>
                <w:color w:val="auto"/>
              </w:rPr>
            </w:pPr>
            <w:r>
              <w:rPr>
                <w:rFonts w:ascii="Arial" w:cs="Arial" w:eastAsia="Arial" w:hAnsi="Arial"/>
                <w:sz w:val="14"/>
                <w:szCs w:val="14"/>
                <w:b w:val="1"/>
                <w:bCs w:val="1"/>
                <w:color w:val="auto"/>
              </w:rPr>
              <w:t>2019</w:t>
            </w:r>
          </w:p>
        </w:tc>
        <w:tc>
          <w:tcPr>
            <w:tcW w:w="1240" w:type="dxa"/>
            <w:vAlign w:val="bottom"/>
          </w:tcPr>
          <w:p>
            <w:pPr>
              <w:jc w:val="right"/>
              <w:ind w:right="148"/>
              <w:spacing w:after="0"/>
              <w:rPr>
                <w:sz w:val="20"/>
                <w:szCs w:val="20"/>
                <w:color w:val="auto"/>
              </w:rPr>
            </w:pPr>
            <w:r>
              <w:rPr>
                <w:rFonts w:ascii="Arial" w:cs="Arial" w:eastAsia="Arial" w:hAnsi="Arial"/>
                <w:sz w:val="14"/>
                <w:szCs w:val="14"/>
                <w:b w:val="1"/>
                <w:bCs w:val="1"/>
                <w:color w:val="auto"/>
              </w:rPr>
              <w:t>750,000</w:t>
            </w:r>
          </w:p>
        </w:tc>
        <w:tc>
          <w:tcPr>
            <w:tcW w:w="1240" w:type="dxa"/>
            <w:vAlign w:val="bottom"/>
          </w:tcPr>
          <w:p>
            <w:pPr>
              <w:jc w:val="right"/>
              <w:ind w:right="147"/>
              <w:spacing w:after="0"/>
              <w:rPr>
                <w:sz w:val="20"/>
                <w:szCs w:val="20"/>
                <w:color w:val="auto"/>
              </w:rPr>
            </w:pPr>
            <w:r>
              <w:rPr>
                <w:rFonts w:ascii="Arial" w:cs="Arial" w:eastAsia="Arial" w:hAnsi="Arial"/>
                <w:sz w:val="14"/>
                <w:szCs w:val="14"/>
                <w:b w:val="1"/>
                <w:bCs w:val="1"/>
                <w:color w:val="auto"/>
              </w:rPr>
              <w:t>8,100,000</w:t>
            </w:r>
          </w:p>
        </w:tc>
        <w:tc>
          <w:tcPr>
            <w:tcW w:w="300" w:type="dxa"/>
            <w:vAlign w:val="bottom"/>
          </w:tcPr>
          <w:p>
            <w:pPr>
              <w:spacing w:after="0"/>
              <w:rPr>
                <w:sz w:val="20"/>
                <w:szCs w:val="20"/>
                <w:color w:val="auto"/>
              </w:rPr>
            </w:pPr>
          </w:p>
        </w:tc>
        <w:tc>
          <w:tcPr>
            <w:tcW w:w="860" w:type="dxa"/>
            <w:vAlign w:val="bottom"/>
          </w:tcPr>
          <w:p>
            <w:pPr>
              <w:jc w:val="right"/>
              <w:ind w:right="128"/>
              <w:spacing w:after="0"/>
              <w:rPr>
                <w:sz w:val="20"/>
                <w:szCs w:val="20"/>
                <w:color w:val="auto"/>
              </w:rPr>
            </w:pPr>
            <w:r>
              <w:rPr>
                <w:rFonts w:ascii="Arial" w:cs="Arial" w:eastAsia="Arial" w:hAnsi="Arial"/>
                <w:sz w:val="14"/>
                <w:szCs w:val="14"/>
                <w:b w:val="1"/>
                <w:bCs w:val="1"/>
                <w:color w:val="auto"/>
              </w:rPr>
              <w:t>6,075,000</w:t>
            </w:r>
          </w:p>
        </w:tc>
        <w:tc>
          <w:tcPr>
            <w:tcW w:w="360" w:type="dxa"/>
            <w:vAlign w:val="bottom"/>
          </w:tcPr>
          <w:p>
            <w:pPr>
              <w:spacing w:after="0"/>
              <w:rPr>
                <w:sz w:val="20"/>
                <w:szCs w:val="20"/>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b w:val="1"/>
                <w:bCs w:val="1"/>
                <w:color w:val="auto"/>
              </w:rPr>
              <w:t>6,075,000</w:t>
            </w:r>
          </w:p>
        </w:tc>
        <w:tc>
          <w:tcPr>
            <w:tcW w:w="1340" w:type="dxa"/>
            <w:vAlign w:val="bottom"/>
          </w:tcPr>
          <w:p>
            <w:pPr>
              <w:jc w:val="right"/>
              <w:ind w:right="148"/>
              <w:spacing w:after="0"/>
              <w:rPr>
                <w:sz w:val="20"/>
                <w:szCs w:val="20"/>
                <w:color w:val="auto"/>
              </w:rPr>
            </w:pPr>
            <w:r>
              <w:rPr>
                <w:rFonts w:ascii="Arial" w:cs="Arial" w:eastAsia="Arial" w:hAnsi="Arial"/>
                <w:sz w:val="14"/>
                <w:szCs w:val="14"/>
                <w:b w:val="1"/>
                <w:bCs w:val="1"/>
                <w:color w:val="auto"/>
              </w:rPr>
              <w:t>21,000,000</w:t>
            </w:r>
          </w:p>
        </w:tc>
        <w:tc>
          <w:tcPr>
            <w:tcW w:w="0" w:type="dxa"/>
            <w:vAlign w:val="bottom"/>
          </w:tcPr>
          <w:p>
            <w:pPr>
              <w:spacing w:after="0"/>
              <w:rPr>
                <w:sz w:val="1"/>
                <w:szCs w:val="1"/>
                <w:color w:val="auto"/>
              </w:rPr>
            </w:pPr>
          </w:p>
        </w:tc>
      </w:tr>
      <w:tr>
        <w:trPr>
          <w:trHeight w:val="219"/>
        </w:trPr>
        <w:tc>
          <w:tcPr>
            <w:tcW w:w="3380" w:type="dxa"/>
            <w:vAlign w:val="bottom"/>
          </w:tcPr>
          <w:p>
            <w:pPr>
              <w:ind w:left="60"/>
              <w:spacing w:after="0"/>
              <w:rPr>
                <w:sz w:val="20"/>
                <w:szCs w:val="20"/>
                <w:color w:val="auto"/>
              </w:rPr>
            </w:pPr>
            <w:r>
              <w:rPr>
                <w:rFonts w:ascii="Arial" w:cs="Arial" w:eastAsia="Arial" w:hAnsi="Arial"/>
                <w:sz w:val="14"/>
                <w:szCs w:val="14"/>
                <w:color w:val="auto"/>
              </w:rPr>
              <w:t>Chief Executive Officer</w:t>
            </w: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2018</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750,000</w:t>
            </w:r>
          </w:p>
        </w:tc>
        <w:tc>
          <w:tcPr>
            <w:tcW w:w="1240" w:type="dxa"/>
            <w:vAlign w:val="bottom"/>
          </w:tcPr>
          <w:p>
            <w:pPr>
              <w:jc w:val="right"/>
              <w:ind w:right="147"/>
              <w:spacing w:after="0"/>
              <w:rPr>
                <w:sz w:val="20"/>
                <w:szCs w:val="20"/>
                <w:color w:val="auto"/>
              </w:rPr>
            </w:pPr>
            <w:r>
              <w:rPr>
                <w:rFonts w:ascii="Arial" w:cs="Arial" w:eastAsia="Arial" w:hAnsi="Arial"/>
                <w:sz w:val="14"/>
                <w:szCs w:val="14"/>
                <w:color w:val="auto"/>
              </w:rPr>
              <w:t>7,900,000</w:t>
            </w:r>
          </w:p>
        </w:tc>
        <w:tc>
          <w:tcPr>
            <w:tcW w:w="300" w:type="dxa"/>
            <w:vAlign w:val="bottom"/>
          </w:tcPr>
          <w:p>
            <w:pPr>
              <w:spacing w:after="0"/>
              <w:rPr>
                <w:sz w:val="19"/>
                <w:szCs w:val="19"/>
                <w:color w:val="auto"/>
              </w:rPr>
            </w:pP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5,925,000</w:t>
            </w:r>
          </w:p>
        </w:tc>
        <w:tc>
          <w:tcPr>
            <w:tcW w:w="360" w:type="dxa"/>
            <w:vAlign w:val="bottom"/>
          </w:tcPr>
          <w:p>
            <w:pPr>
              <w:spacing w:after="0"/>
              <w:rPr>
                <w:sz w:val="19"/>
                <w:szCs w:val="19"/>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5,925,000</w:t>
            </w:r>
          </w:p>
        </w:tc>
        <w:tc>
          <w:tcPr>
            <w:tcW w:w="1340" w:type="dxa"/>
            <w:vAlign w:val="bottom"/>
          </w:tcPr>
          <w:p>
            <w:pPr>
              <w:jc w:val="right"/>
              <w:ind w:right="148"/>
              <w:spacing w:after="0"/>
              <w:rPr>
                <w:sz w:val="20"/>
                <w:szCs w:val="20"/>
                <w:color w:val="auto"/>
              </w:rPr>
            </w:pPr>
            <w:r>
              <w:rPr>
                <w:rFonts w:ascii="Arial" w:cs="Arial" w:eastAsia="Arial" w:hAnsi="Arial"/>
                <w:sz w:val="14"/>
                <w:szCs w:val="14"/>
                <w:color w:val="auto"/>
              </w:rPr>
              <w:t>20,500,000</w:t>
            </w:r>
          </w:p>
        </w:tc>
        <w:tc>
          <w:tcPr>
            <w:tcW w:w="0" w:type="dxa"/>
            <w:vAlign w:val="bottom"/>
          </w:tcPr>
          <w:p>
            <w:pPr>
              <w:spacing w:after="0"/>
              <w:rPr>
                <w:sz w:val="1"/>
                <w:szCs w:val="1"/>
                <w:color w:val="auto"/>
              </w:rPr>
            </w:pPr>
          </w:p>
        </w:tc>
      </w:tr>
      <w:tr>
        <w:trPr>
          <w:trHeight w:val="172"/>
        </w:trPr>
        <w:tc>
          <w:tcPr>
            <w:tcW w:w="3380" w:type="dxa"/>
            <w:vAlign w:val="bottom"/>
          </w:tcPr>
          <w:p>
            <w:pPr>
              <w:ind w:left="60"/>
              <w:spacing w:after="0"/>
              <w:rPr>
                <w:sz w:val="20"/>
                <w:szCs w:val="20"/>
                <w:color w:val="auto"/>
              </w:rPr>
            </w:pPr>
            <w:r>
              <w:rPr>
                <w:rFonts w:ascii="Arial" w:cs="Arial" w:eastAsia="Arial" w:hAnsi="Arial"/>
                <w:sz w:val="14"/>
                <w:szCs w:val="14"/>
                <w:color w:val="auto"/>
              </w:rPr>
              <w:t>Asset &amp; Wealth Management</w:t>
            </w: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2017</w:t>
            </w:r>
          </w:p>
        </w:tc>
        <w:tc>
          <w:tcPr>
            <w:tcW w:w="1240" w:type="dxa"/>
            <w:vAlign w:val="bottom"/>
            <w:vMerge w:val="restart"/>
          </w:tcPr>
          <w:p>
            <w:pPr>
              <w:jc w:val="right"/>
              <w:ind w:right="148"/>
              <w:spacing w:after="0"/>
              <w:rPr>
                <w:sz w:val="20"/>
                <w:szCs w:val="20"/>
                <w:color w:val="auto"/>
              </w:rPr>
            </w:pPr>
            <w:r>
              <w:rPr>
                <w:rFonts w:ascii="Arial" w:cs="Arial" w:eastAsia="Arial" w:hAnsi="Arial"/>
                <w:sz w:val="14"/>
                <w:szCs w:val="14"/>
                <w:color w:val="auto"/>
              </w:rPr>
              <w:t>750,000</w:t>
            </w:r>
          </w:p>
        </w:tc>
        <w:tc>
          <w:tcPr>
            <w:tcW w:w="1240" w:type="dxa"/>
            <w:vAlign w:val="bottom"/>
            <w:vMerge w:val="restart"/>
          </w:tcPr>
          <w:p>
            <w:pPr>
              <w:jc w:val="right"/>
              <w:ind w:right="147"/>
              <w:spacing w:after="0"/>
              <w:rPr>
                <w:sz w:val="20"/>
                <w:szCs w:val="20"/>
                <w:color w:val="auto"/>
              </w:rPr>
            </w:pPr>
            <w:r>
              <w:rPr>
                <w:rFonts w:ascii="Arial" w:cs="Arial" w:eastAsia="Arial" w:hAnsi="Arial"/>
                <w:sz w:val="14"/>
                <w:szCs w:val="14"/>
                <w:color w:val="auto"/>
              </w:rPr>
              <w:t>7,500,000</w:t>
            </w:r>
          </w:p>
        </w:tc>
        <w:tc>
          <w:tcPr>
            <w:tcW w:w="300" w:type="dxa"/>
            <w:vAlign w:val="bottom"/>
          </w:tcPr>
          <w:p>
            <w:pPr>
              <w:spacing w:after="0"/>
              <w:rPr>
                <w:sz w:val="14"/>
                <w:szCs w:val="14"/>
                <w:color w:val="auto"/>
              </w:rPr>
            </w:pPr>
          </w:p>
        </w:tc>
        <w:tc>
          <w:tcPr>
            <w:tcW w:w="860" w:type="dxa"/>
            <w:vAlign w:val="bottom"/>
            <w:vMerge w:val="restart"/>
          </w:tcPr>
          <w:p>
            <w:pPr>
              <w:jc w:val="right"/>
              <w:ind w:right="128"/>
              <w:spacing w:after="0"/>
              <w:rPr>
                <w:sz w:val="20"/>
                <w:szCs w:val="20"/>
                <w:color w:val="auto"/>
              </w:rPr>
            </w:pPr>
            <w:r>
              <w:rPr>
                <w:rFonts w:ascii="Arial" w:cs="Arial" w:eastAsia="Arial" w:hAnsi="Arial"/>
                <w:sz w:val="14"/>
                <w:szCs w:val="14"/>
                <w:color w:val="auto"/>
              </w:rPr>
              <w:t>5,625,000</w:t>
            </w:r>
          </w:p>
        </w:tc>
        <w:tc>
          <w:tcPr>
            <w:tcW w:w="360" w:type="dxa"/>
            <w:vAlign w:val="bottom"/>
          </w:tcPr>
          <w:p>
            <w:pPr>
              <w:spacing w:after="0"/>
              <w:rPr>
                <w:sz w:val="14"/>
                <w:szCs w:val="14"/>
                <w:color w:val="auto"/>
              </w:rPr>
            </w:pPr>
          </w:p>
        </w:tc>
        <w:tc>
          <w:tcPr>
            <w:tcW w:w="960" w:type="dxa"/>
            <w:vAlign w:val="bottom"/>
            <w:vMerge w:val="restart"/>
          </w:tcPr>
          <w:p>
            <w:pPr>
              <w:jc w:val="right"/>
              <w:ind w:right="128"/>
              <w:spacing w:after="0"/>
              <w:rPr>
                <w:sz w:val="20"/>
                <w:szCs w:val="20"/>
                <w:color w:val="auto"/>
              </w:rPr>
            </w:pPr>
            <w:r>
              <w:rPr>
                <w:rFonts w:ascii="Arial" w:cs="Arial" w:eastAsia="Arial" w:hAnsi="Arial"/>
                <w:sz w:val="14"/>
                <w:szCs w:val="14"/>
                <w:color w:val="auto"/>
              </w:rPr>
              <w:t>5,625,000</w:t>
            </w:r>
          </w:p>
        </w:tc>
        <w:tc>
          <w:tcPr>
            <w:tcW w:w="1340" w:type="dxa"/>
            <w:vAlign w:val="bottom"/>
            <w:vMerge w:val="restart"/>
          </w:tcPr>
          <w:p>
            <w:pPr>
              <w:jc w:val="right"/>
              <w:ind w:right="148"/>
              <w:spacing w:after="0"/>
              <w:rPr>
                <w:sz w:val="20"/>
                <w:szCs w:val="20"/>
                <w:color w:val="auto"/>
              </w:rPr>
            </w:pPr>
            <w:r>
              <w:rPr>
                <w:rFonts w:ascii="Arial" w:cs="Arial" w:eastAsia="Arial" w:hAnsi="Arial"/>
                <w:sz w:val="14"/>
                <w:szCs w:val="14"/>
                <w:color w:val="auto"/>
              </w:rPr>
              <w:t>19,500,000</w:t>
            </w:r>
          </w:p>
        </w:tc>
        <w:tc>
          <w:tcPr>
            <w:tcW w:w="0" w:type="dxa"/>
            <w:vAlign w:val="bottom"/>
          </w:tcPr>
          <w:p>
            <w:pPr>
              <w:spacing w:after="0"/>
              <w:rPr>
                <w:sz w:val="1"/>
                <w:szCs w:val="1"/>
                <w:color w:val="auto"/>
              </w:rPr>
            </w:pPr>
          </w:p>
        </w:tc>
      </w:tr>
      <w:tr>
        <w:trPr>
          <w:trHeight w:val="95"/>
        </w:trPr>
        <w:tc>
          <w:tcPr>
            <w:tcW w:w="3380" w:type="dxa"/>
            <w:vAlign w:val="bottom"/>
          </w:tcPr>
          <w:p>
            <w:pPr>
              <w:spacing w:after="0"/>
              <w:rPr>
                <w:sz w:val="8"/>
                <w:szCs w:val="8"/>
                <w:color w:val="auto"/>
              </w:rPr>
            </w:pPr>
          </w:p>
        </w:tc>
        <w:tc>
          <w:tcPr>
            <w:tcW w:w="134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3380" w:type="dxa"/>
            <w:vAlign w:val="bottom"/>
            <w:tcBorders>
              <w:bottom w:val="single" w:sz="8" w:color="333333"/>
            </w:tcBorders>
          </w:tcPr>
          <w:p>
            <w:pPr>
              <w:spacing w:after="0"/>
              <w:rPr>
                <w:sz w:val="5"/>
                <w:szCs w:val="5"/>
                <w:color w:val="auto"/>
              </w:rPr>
            </w:pPr>
          </w:p>
        </w:tc>
        <w:tc>
          <w:tcPr>
            <w:tcW w:w="1340" w:type="dxa"/>
            <w:vAlign w:val="bottom"/>
            <w:tcBorders>
              <w:bottom w:val="single" w:sz="8" w:color="333333"/>
            </w:tcBorders>
          </w:tcPr>
          <w:p>
            <w:pPr>
              <w:spacing w:after="0"/>
              <w:rPr>
                <w:sz w:val="5"/>
                <w:szCs w:val="5"/>
                <w:color w:val="auto"/>
              </w:rPr>
            </w:pPr>
          </w:p>
        </w:tc>
        <w:tc>
          <w:tcPr>
            <w:tcW w:w="1240" w:type="dxa"/>
            <w:vAlign w:val="bottom"/>
            <w:tcBorders>
              <w:bottom w:val="single" w:sz="8" w:color="333333"/>
            </w:tcBorders>
          </w:tcPr>
          <w:p>
            <w:pPr>
              <w:spacing w:after="0"/>
              <w:rPr>
                <w:sz w:val="5"/>
                <w:szCs w:val="5"/>
                <w:color w:val="auto"/>
              </w:rPr>
            </w:pPr>
          </w:p>
        </w:tc>
        <w:tc>
          <w:tcPr>
            <w:tcW w:w="1240" w:type="dxa"/>
            <w:vAlign w:val="bottom"/>
            <w:tcBorders>
              <w:bottom w:val="single" w:sz="8" w:color="333333"/>
            </w:tcBorders>
          </w:tcPr>
          <w:p>
            <w:pPr>
              <w:spacing w:after="0"/>
              <w:rPr>
                <w:sz w:val="5"/>
                <w:szCs w:val="5"/>
                <w:color w:val="auto"/>
              </w:rPr>
            </w:pPr>
          </w:p>
        </w:tc>
        <w:tc>
          <w:tcPr>
            <w:tcW w:w="300" w:type="dxa"/>
            <w:vAlign w:val="bottom"/>
            <w:tcBorders>
              <w:bottom w:val="single" w:sz="8" w:color="333333"/>
            </w:tcBorders>
          </w:tcPr>
          <w:p>
            <w:pPr>
              <w:spacing w:after="0"/>
              <w:rPr>
                <w:sz w:val="5"/>
                <w:szCs w:val="5"/>
                <w:color w:val="auto"/>
              </w:rPr>
            </w:pPr>
          </w:p>
        </w:tc>
        <w:tc>
          <w:tcPr>
            <w:tcW w:w="860" w:type="dxa"/>
            <w:vAlign w:val="bottom"/>
            <w:tcBorders>
              <w:bottom w:val="single" w:sz="8" w:color="333333"/>
            </w:tcBorders>
          </w:tcPr>
          <w:p>
            <w:pPr>
              <w:spacing w:after="0"/>
              <w:rPr>
                <w:sz w:val="5"/>
                <w:szCs w:val="5"/>
                <w:color w:val="auto"/>
              </w:rPr>
            </w:pPr>
          </w:p>
        </w:tc>
        <w:tc>
          <w:tcPr>
            <w:tcW w:w="360" w:type="dxa"/>
            <w:vAlign w:val="bottom"/>
            <w:tcBorders>
              <w:bottom w:val="single" w:sz="8" w:color="333333"/>
            </w:tcBorders>
          </w:tcPr>
          <w:p>
            <w:pPr>
              <w:spacing w:after="0"/>
              <w:rPr>
                <w:sz w:val="5"/>
                <w:szCs w:val="5"/>
                <w:color w:val="auto"/>
              </w:rPr>
            </w:pPr>
          </w:p>
        </w:tc>
        <w:tc>
          <w:tcPr>
            <w:tcW w:w="960" w:type="dxa"/>
            <w:vAlign w:val="bottom"/>
            <w:tcBorders>
              <w:bottom w:val="single" w:sz="8" w:color="333333"/>
            </w:tcBorders>
          </w:tcPr>
          <w:p>
            <w:pPr>
              <w:spacing w:after="0"/>
              <w:rPr>
                <w:sz w:val="5"/>
                <w:szCs w:val="5"/>
                <w:color w:val="auto"/>
              </w:rPr>
            </w:pPr>
          </w:p>
        </w:tc>
        <w:tc>
          <w:tcPr>
            <w:tcW w:w="1340" w:type="dxa"/>
            <w:vAlign w:val="bottom"/>
            <w:tcBorders>
              <w:bottom w:val="single" w:sz="8" w:color="333333"/>
            </w:tcBorders>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3380" w:type="dxa"/>
            <w:vAlign w:val="bottom"/>
          </w:tcPr>
          <w:p>
            <w:pPr>
              <w:ind w:left="60"/>
              <w:spacing w:after="0"/>
              <w:rPr>
                <w:sz w:val="20"/>
                <w:szCs w:val="20"/>
                <w:color w:val="auto"/>
              </w:rPr>
            </w:pPr>
            <w:r>
              <w:rPr>
                <w:rFonts w:ascii="Arial" w:cs="Arial" w:eastAsia="Arial" w:hAnsi="Arial"/>
                <w:sz w:val="14"/>
                <w:szCs w:val="14"/>
                <w:b w:val="1"/>
                <w:bCs w:val="1"/>
                <w:color w:val="auto"/>
              </w:rPr>
              <w:t>Marianne Lake</w:t>
            </w:r>
          </w:p>
        </w:tc>
        <w:tc>
          <w:tcPr>
            <w:tcW w:w="1340" w:type="dxa"/>
            <w:vAlign w:val="bottom"/>
          </w:tcPr>
          <w:p>
            <w:pPr>
              <w:jc w:val="right"/>
              <w:ind w:right="28"/>
              <w:spacing w:after="0"/>
              <w:rPr>
                <w:sz w:val="20"/>
                <w:szCs w:val="20"/>
                <w:color w:val="auto"/>
              </w:rPr>
            </w:pPr>
            <w:r>
              <w:rPr>
                <w:rFonts w:ascii="Arial" w:cs="Arial" w:eastAsia="Arial" w:hAnsi="Arial"/>
                <w:sz w:val="14"/>
                <w:szCs w:val="14"/>
                <w:b w:val="1"/>
                <w:bCs w:val="1"/>
                <w:color w:val="auto"/>
              </w:rPr>
              <w:t>2019</w:t>
            </w:r>
          </w:p>
        </w:tc>
        <w:tc>
          <w:tcPr>
            <w:tcW w:w="1240" w:type="dxa"/>
            <w:vAlign w:val="bottom"/>
          </w:tcPr>
          <w:p>
            <w:pPr>
              <w:jc w:val="right"/>
              <w:ind w:right="148"/>
              <w:spacing w:after="0"/>
              <w:rPr>
                <w:sz w:val="20"/>
                <w:szCs w:val="20"/>
                <w:color w:val="auto"/>
              </w:rPr>
            </w:pPr>
            <w:r>
              <w:rPr>
                <w:rFonts w:ascii="Arial" w:cs="Arial" w:eastAsia="Arial" w:hAnsi="Arial"/>
                <w:sz w:val="14"/>
                <w:szCs w:val="14"/>
                <w:b w:val="1"/>
                <w:bCs w:val="1"/>
                <w:color w:val="auto"/>
              </w:rPr>
              <w:t>750,000</w:t>
            </w:r>
          </w:p>
        </w:tc>
        <w:tc>
          <w:tcPr>
            <w:tcW w:w="1240" w:type="dxa"/>
            <w:vAlign w:val="bottom"/>
          </w:tcPr>
          <w:p>
            <w:pPr>
              <w:jc w:val="right"/>
              <w:ind w:right="147"/>
              <w:spacing w:after="0"/>
              <w:rPr>
                <w:sz w:val="20"/>
                <w:szCs w:val="20"/>
                <w:color w:val="auto"/>
              </w:rPr>
            </w:pPr>
            <w:r>
              <w:rPr>
                <w:rFonts w:ascii="Arial" w:cs="Arial" w:eastAsia="Arial" w:hAnsi="Arial"/>
                <w:sz w:val="14"/>
                <w:szCs w:val="14"/>
                <w:b w:val="1"/>
                <w:bCs w:val="1"/>
                <w:color w:val="auto"/>
              </w:rPr>
              <w:t>5,840,000</w:t>
            </w:r>
          </w:p>
        </w:tc>
        <w:tc>
          <w:tcPr>
            <w:tcW w:w="300" w:type="dxa"/>
            <w:vAlign w:val="bottom"/>
          </w:tcPr>
          <w:p>
            <w:pPr>
              <w:spacing w:after="0"/>
              <w:rPr>
                <w:sz w:val="23"/>
                <w:szCs w:val="23"/>
                <w:color w:val="auto"/>
              </w:rPr>
            </w:pPr>
          </w:p>
        </w:tc>
        <w:tc>
          <w:tcPr>
            <w:tcW w:w="860" w:type="dxa"/>
            <w:vAlign w:val="bottom"/>
          </w:tcPr>
          <w:p>
            <w:pPr>
              <w:jc w:val="right"/>
              <w:ind w:right="128"/>
              <w:spacing w:after="0"/>
              <w:rPr>
                <w:sz w:val="20"/>
                <w:szCs w:val="20"/>
                <w:color w:val="auto"/>
              </w:rPr>
            </w:pPr>
            <w:r>
              <w:rPr>
                <w:rFonts w:ascii="Arial" w:cs="Arial" w:eastAsia="Arial" w:hAnsi="Arial"/>
                <w:sz w:val="14"/>
                <w:szCs w:val="14"/>
                <w:b w:val="1"/>
                <w:bCs w:val="1"/>
                <w:color w:val="auto"/>
              </w:rPr>
              <w:t>4,380,000</w:t>
            </w:r>
          </w:p>
        </w:tc>
        <w:tc>
          <w:tcPr>
            <w:tcW w:w="360" w:type="dxa"/>
            <w:vAlign w:val="bottom"/>
          </w:tcPr>
          <w:p>
            <w:pPr>
              <w:spacing w:after="0"/>
              <w:rPr>
                <w:sz w:val="23"/>
                <w:szCs w:val="23"/>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b w:val="1"/>
                <w:bCs w:val="1"/>
                <w:color w:val="auto"/>
              </w:rPr>
              <w:t>4,380,000</w:t>
            </w:r>
          </w:p>
        </w:tc>
        <w:tc>
          <w:tcPr>
            <w:tcW w:w="1340" w:type="dxa"/>
            <w:vAlign w:val="bottom"/>
          </w:tcPr>
          <w:p>
            <w:pPr>
              <w:jc w:val="right"/>
              <w:ind w:right="148"/>
              <w:spacing w:after="0"/>
              <w:rPr>
                <w:sz w:val="20"/>
                <w:szCs w:val="20"/>
                <w:color w:val="auto"/>
              </w:rPr>
            </w:pPr>
            <w:r>
              <w:rPr>
                <w:rFonts w:ascii="Arial" w:cs="Arial" w:eastAsia="Arial" w:hAnsi="Arial"/>
                <w:sz w:val="14"/>
                <w:szCs w:val="14"/>
                <w:b w:val="1"/>
                <w:bCs w:val="1"/>
                <w:color w:val="auto"/>
              </w:rPr>
              <w:t>15,350,000</w:t>
            </w:r>
          </w:p>
        </w:tc>
        <w:tc>
          <w:tcPr>
            <w:tcW w:w="0" w:type="dxa"/>
            <w:vAlign w:val="bottom"/>
          </w:tcPr>
          <w:p>
            <w:pPr>
              <w:spacing w:after="0"/>
              <w:rPr>
                <w:sz w:val="1"/>
                <w:szCs w:val="1"/>
                <w:color w:val="auto"/>
              </w:rPr>
            </w:pPr>
          </w:p>
        </w:tc>
      </w:tr>
      <w:tr>
        <w:trPr>
          <w:trHeight w:val="192"/>
        </w:trPr>
        <w:tc>
          <w:tcPr>
            <w:tcW w:w="3380" w:type="dxa"/>
            <w:vAlign w:val="bottom"/>
          </w:tcPr>
          <w:p>
            <w:pPr>
              <w:ind w:left="60"/>
              <w:spacing w:after="0"/>
              <w:rPr>
                <w:sz w:val="20"/>
                <w:szCs w:val="20"/>
                <w:color w:val="auto"/>
              </w:rPr>
            </w:pPr>
            <w:r>
              <w:rPr>
                <w:rFonts w:ascii="Arial" w:cs="Arial" w:eastAsia="Arial" w:hAnsi="Arial"/>
                <w:sz w:val="14"/>
                <w:szCs w:val="14"/>
                <w:color w:val="auto"/>
              </w:rPr>
              <w:t>Chief Executive Officer</w:t>
            </w: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2018</w:t>
            </w:r>
          </w:p>
        </w:tc>
        <w:tc>
          <w:tcPr>
            <w:tcW w:w="1240" w:type="dxa"/>
            <w:vAlign w:val="bottom"/>
            <w:vMerge w:val="restart"/>
          </w:tcPr>
          <w:p>
            <w:pPr>
              <w:jc w:val="right"/>
              <w:ind w:right="148"/>
              <w:spacing w:after="0"/>
              <w:rPr>
                <w:sz w:val="20"/>
                <w:szCs w:val="20"/>
                <w:color w:val="auto"/>
              </w:rPr>
            </w:pPr>
            <w:r>
              <w:rPr>
                <w:rFonts w:ascii="Arial" w:cs="Arial" w:eastAsia="Arial" w:hAnsi="Arial"/>
                <w:sz w:val="14"/>
                <w:szCs w:val="14"/>
                <w:color w:val="auto"/>
              </w:rPr>
              <w:t>750,000</w:t>
            </w:r>
          </w:p>
        </w:tc>
        <w:tc>
          <w:tcPr>
            <w:tcW w:w="1240" w:type="dxa"/>
            <w:vAlign w:val="bottom"/>
            <w:vMerge w:val="restart"/>
          </w:tcPr>
          <w:p>
            <w:pPr>
              <w:jc w:val="right"/>
              <w:ind w:right="147"/>
              <w:spacing w:after="0"/>
              <w:rPr>
                <w:sz w:val="20"/>
                <w:szCs w:val="20"/>
                <w:color w:val="auto"/>
              </w:rPr>
            </w:pPr>
            <w:r>
              <w:rPr>
                <w:rFonts w:ascii="Arial" w:cs="Arial" w:eastAsia="Arial" w:hAnsi="Arial"/>
                <w:sz w:val="14"/>
                <w:szCs w:val="14"/>
                <w:color w:val="auto"/>
              </w:rPr>
              <w:t>5,700,000</w:t>
            </w:r>
          </w:p>
        </w:tc>
        <w:tc>
          <w:tcPr>
            <w:tcW w:w="300" w:type="dxa"/>
            <w:vAlign w:val="bottom"/>
          </w:tcPr>
          <w:p>
            <w:pPr>
              <w:spacing w:after="0"/>
              <w:rPr>
                <w:sz w:val="16"/>
                <w:szCs w:val="16"/>
                <w:color w:val="auto"/>
              </w:rPr>
            </w:pPr>
          </w:p>
        </w:tc>
        <w:tc>
          <w:tcPr>
            <w:tcW w:w="860" w:type="dxa"/>
            <w:vAlign w:val="bottom"/>
            <w:vMerge w:val="restart"/>
          </w:tcPr>
          <w:p>
            <w:pPr>
              <w:jc w:val="right"/>
              <w:ind w:right="128"/>
              <w:spacing w:after="0"/>
              <w:rPr>
                <w:sz w:val="20"/>
                <w:szCs w:val="20"/>
                <w:color w:val="auto"/>
              </w:rPr>
            </w:pPr>
            <w:r>
              <w:rPr>
                <w:rFonts w:ascii="Arial" w:cs="Arial" w:eastAsia="Arial" w:hAnsi="Arial"/>
                <w:sz w:val="14"/>
                <w:szCs w:val="14"/>
                <w:color w:val="auto"/>
              </w:rPr>
              <w:t>4,275,000</w:t>
            </w:r>
          </w:p>
        </w:tc>
        <w:tc>
          <w:tcPr>
            <w:tcW w:w="360" w:type="dxa"/>
            <w:vAlign w:val="bottom"/>
          </w:tcPr>
          <w:p>
            <w:pPr>
              <w:spacing w:after="0"/>
              <w:rPr>
                <w:sz w:val="16"/>
                <w:szCs w:val="16"/>
                <w:color w:val="auto"/>
              </w:rPr>
            </w:pPr>
          </w:p>
        </w:tc>
        <w:tc>
          <w:tcPr>
            <w:tcW w:w="960" w:type="dxa"/>
            <w:vAlign w:val="bottom"/>
            <w:vMerge w:val="restart"/>
          </w:tcPr>
          <w:p>
            <w:pPr>
              <w:jc w:val="right"/>
              <w:ind w:right="128"/>
              <w:spacing w:after="0"/>
              <w:rPr>
                <w:sz w:val="20"/>
                <w:szCs w:val="20"/>
                <w:color w:val="auto"/>
              </w:rPr>
            </w:pPr>
            <w:r>
              <w:rPr>
                <w:rFonts w:ascii="Arial" w:cs="Arial" w:eastAsia="Arial" w:hAnsi="Arial"/>
                <w:sz w:val="14"/>
                <w:szCs w:val="14"/>
                <w:color w:val="auto"/>
              </w:rPr>
              <w:t>4,275,000</w:t>
            </w:r>
          </w:p>
        </w:tc>
        <w:tc>
          <w:tcPr>
            <w:tcW w:w="1340" w:type="dxa"/>
            <w:vAlign w:val="bottom"/>
            <w:vMerge w:val="restart"/>
          </w:tcPr>
          <w:p>
            <w:pPr>
              <w:jc w:val="right"/>
              <w:ind w:right="148"/>
              <w:spacing w:after="0"/>
              <w:rPr>
                <w:sz w:val="20"/>
                <w:szCs w:val="20"/>
                <w:color w:val="auto"/>
              </w:rPr>
            </w:pPr>
            <w:r>
              <w:rPr>
                <w:rFonts w:ascii="Arial" w:cs="Arial" w:eastAsia="Arial" w:hAnsi="Arial"/>
                <w:sz w:val="14"/>
                <w:szCs w:val="14"/>
                <w:color w:val="auto"/>
              </w:rPr>
              <w:t>15,000,000</w:t>
            </w:r>
          </w:p>
        </w:tc>
        <w:tc>
          <w:tcPr>
            <w:tcW w:w="0" w:type="dxa"/>
            <w:vAlign w:val="bottom"/>
          </w:tcPr>
          <w:p>
            <w:pPr>
              <w:spacing w:after="0"/>
              <w:rPr>
                <w:sz w:val="1"/>
                <w:szCs w:val="1"/>
                <w:color w:val="auto"/>
              </w:rPr>
            </w:pPr>
          </w:p>
        </w:tc>
      </w:tr>
      <w:tr>
        <w:trPr>
          <w:trHeight w:val="78"/>
        </w:trPr>
        <w:tc>
          <w:tcPr>
            <w:tcW w:w="3380" w:type="dxa"/>
            <w:vAlign w:val="bottom"/>
            <w:vMerge w:val="restart"/>
          </w:tcPr>
          <w:p>
            <w:pPr>
              <w:ind w:left="60"/>
              <w:spacing w:after="0"/>
              <w:rPr>
                <w:sz w:val="20"/>
                <w:szCs w:val="20"/>
                <w:color w:val="auto"/>
              </w:rPr>
            </w:pPr>
            <w:r>
              <w:rPr>
                <w:rFonts w:ascii="Arial" w:cs="Arial" w:eastAsia="Arial" w:hAnsi="Arial"/>
                <w:sz w:val="14"/>
                <w:szCs w:val="14"/>
                <w:color w:val="auto"/>
              </w:rPr>
              <w:t>Consumer Lending;</w:t>
            </w:r>
          </w:p>
        </w:tc>
        <w:tc>
          <w:tcPr>
            <w:tcW w:w="1340" w:type="dxa"/>
            <w:vAlign w:val="bottom"/>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4"/>
        </w:trPr>
        <w:tc>
          <w:tcPr>
            <w:tcW w:w="3380" w:type="dxa"/>
            <w:vAlign w:val="bottom"/>
            <w:vMerge w:val="continue"/>
          </w:tcPr>
          <w:p>
            <w:pPr>
              <w:spacing w:after="0"/>
              <w:rPr>
                <w:sz w:val="7"/>
                <w:szCs w:val="7"/>
                <w:color w:val="auto"/>
              </w:rPr>
            </w:pPr>
          </w:p>
        </w:tc>
        <w:tc>
          <w:tcPr>
            <w:tcW w:w="1340" w:type="dxa"/>
            <w:vAlign w:val="bottom"/>
          </w:tcPr>
          <w:p>
            <w:pPr>
              <w:spacing w:after="0"/>
              <w:rPr>
                <w:sz w:val="7"/>
                <w:szCs w:val="7"/>
                <w:color w:val="auto"/>
              </w:rPr>
            </w:pPr>
          </w:p>
        </w:tc>
        <w:tc>
          <w:tcPr>
            <w:tcW w:w="1240" w:type="dxa"/>
            <w:vAlign w:val="bottom"/>
            <w:vMerge w:val="restart"/>
          </w:tcPr>
          <w:p>
            <w:pPr>
              <w:jc w:val="right"/>
              <w:ind w:right="148"/>
              <w:spacing w:after="0"/>
              <w:rPr>
                <w:sz w:val="20"/>
                <w:szCs w:val="20"/>
                <w:color w:val="auto"/>
              </w:rPr>
            </w:pPr>
            <w:r>
              <w:rPr>
                <w:rFonts w:ascii="Arial" w:cs="Arial" w:eastAsia="Arial" w:hAnsi="Arial"/>
                <w:sz w:val="14"/>
                <w:szCs w:val="14"/>
                <w:color w:val="auto"/>
              </w:rPr>
              <w:t>750,000</w:t>
            </w:r>
          </w:p>
        </w:tc>
        <w:tc>
          <w:tcPr>
            <w:tcW w:w="1240" w:type="dxa"/>
            <w:vAlign w:val="bottom"/>
            <w:vMerge w:val="restart"/>
          </w:tcPr>
          <w:p>
            <w:pPr>
              <w:jc w:val="right"/>
              <w:ind w:right="147"/>
              <w:spacing w:after="0"/>
              <w:rPr>
                <w:sz w:val="20"/>
                <w:szCs w:val="20"/>
                <w:color w:val="auto"/>
              </w:rPr>
            </w:pPr>
            <w:r>
              <w:rPr>
                <w:rFonts w:ascii="Arial" w:cs="Arial" w:eastAsia="Arial" w:hAnsi="Arial"/>
                <w:sz w:val="14"/>
                <w:szCs w:val="14"/>
                <w:color w:val="auto"/>
              </w:rPr>
              <w:t>5,100,000</w:t>
            </w:r>
          </w:p>
        </w:tc>
        <w:tc>
          <w:tcPr>
            <w:tcW w:w="300" w:type="dxa"/>
            <w:vAlign w:val="bottom"/>
          </w:tcPr>
          <w:p>
            <w:pPr>
              <w:spacing w:after="0"/>
              <w:rPr>
                <w:sz w:val="7"/>
                <w:szCs w:val="7"/>
                <w:color w:val="auto"/>
              </w:rPr>
            </w:pPr>
          </w:p>
        </w:tc>
        <w:tc>
          <w:tcPr>
            <w:tcW w:w="860" w:type="dxa"/>
            <w:vAlign w:val="bottom"/>
            <w:vMerge w:val="restart"/>
          </w:tcPr>
          <w:p>
            <w:pPr>
              <w:jc w:val="right"/>
              <w:ind w:right="128"/>
              <w:spacing w:after="0"/>
              <w:rPr>
                <w:sz w:val="20"/>
                <w:szCs w:val="20"/>
                <w:color w:val="auto"/>
              </w:rPr>
            </w:pPr>
            <w:r>
              <w:rPr>
                <w:rFonts w:ascii="Arial" w:cs="Arial" w:eastAsia="Arial" w:hAnsi="Arial"/>
                <w:sz w:val="14"/>
                <w:szCs w:val="14"/>
                <w:color w:val="auto"/>
              </w:rPr>
              <w:t>3,825,000</w:t>
            </w:r>
          </w:p>
        </w:tc>
        <w:tc>
          <w:tcPr>
            <w:tcW w:w="360" w:type="dxa"/>
            <w:vAlign w:val="bottom"/>
          </w:tcPr>
          <w:p>
            <w:pPr>
              <w:spacing w:after="0"/>
              <w:rPr>
                <w:sz w:val="7"/>
                <w:szCs w:val="7"/>
                <w:color w:val="auto"/>
              </w:rPr>
            </w:pPr>
          </w:p>
        </w:tc>
        <w:tc>
          <w:tcPr>
            <w:tcW w:w="960" w:type="dxa"/>
            <w:vAlign w:val="bottom"/>
            <w:vMerge w:val="restart"/>
          </w:tcPr>
          <w:p>
            <w:pPr>
              <w:jc w:val="right"/>
              <w:ind w:right="128"/>
              <w:spacing w:after="0"/>
              <w:rPr>
                <w:sz w:val="20"/>
                <w:szCs w:val="20"/>
                <w:color w:val="auto"/>
              </w:rPr>
            </w:pPr>
            <w:r>
              <w:rPr>
                <w:rFonts w:ascii="Arial" w:cs="Arial" w:eastAsia="Arial" w:hAnsi="Arial"/>
                <w:sz w:val="14"/>
                <w:szCs w:val="14"/>
                <w:color w:val="auto"/>
              </w:rPr>
              <w:t>3,825,000</w:t>
            </w:r>
          </w:p>
        </w:tc>
        <w:tc>
          <w:tcPr>
            <w:tcW w:w="1340" w:type="dxa"/>
            <w:vAlign w:val="bottom"/>
            <w:vMerge w:val="restart"/>
          </w:tcPr>
          <w:p>
            <w:pPr>
              <w:jc w:val="right"/>
              <w:ind w:right="148"/>
              <w:spacing w:after="0"/>
              <w:rPr>
                <w:sz w:val="20"/>
                <w:szCs w:val="20"/>
                <w:color w:val="auto"/>
              </w:rPr>
            </w:pPr>
            <w:r>
              <w:rPr>
                <w:rFonts w:ascii="Arial" w:cs="Arial" w:eastAsia="Arial" w:hAnsi="Arial"/>
                <w:sz w:val="14"/>
                <w:szCs w:val="14"/>
                <w:color w:val="auto"/>
              </w:rPr>
              <w:t>13,500,000</w:t>
            </w:r>
          </w:p>
        </w:tc>
        <w:tc>
          <w:tcPr>
            <w:tcW w:w="0" w:type="dxa"/>
            <w:vAlign w:val="bottom"/>
          </w:tcPr>
          <w:p>
            <w:pPr>
              <w:spacing w:after="0"/>
              <w:rPr>
                <w:sz w:val="1"/>
                <w:szCs w:val="1"/>
                <w:color w:val="auto"/>
              </w:rPr>
            </w:pPr>
          </w:p>
        </w:tc>
      </w:tr>
      <w:tr>
        <w:trPr>
          <w:trHeight w:val="186"/>
        </w:trPr>
        <w:tc>
          <w:tcPr>
            <w:tcW w:w="3380" w:type="dxa"/>
            <w:vAlign w:val="bottom"/>
          </w:tcPr>
          <w:p>
            <w:pPr>
              <w:ind w:left="60"/>
              <w:spacing w:after="0"/>
              <w:rPr>
                <w:sz w:val="20"/>
                <w:szCs w:val="20"/>
                <w:color w:val="auto"/>
              </w:rPr>
            </w:pPr>
            <w:r>
              <w:rPr>
                <w:rFonts w:ascii="Arial" w:cs="Arial" w:eastAsia="Arial" w:hAnsi="Arial"/>
                <w:sz w:val="14"/>
                <w:szCs w:val="14"/>
                <w:color w:val="auto"/>
              </w:rPr>
              <w:t>Former Chief Financial Officer</w:t>
            </w: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2017</w:t>
            </w:r>
          </w:p>
        </w:tc>
        <w:tc>
          <w:tcPr>
            <w:tcW w:w="124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3380" w:type="dxa"/>
            <w:vAlign w:val="bottom"/>
            <w:tcBorders>
              <w:bottom w:val="single" w:sz="8" w:color="333333"/>
            </w:tcBorders>
          </w:tcPr>
          <w:p>
            <w:pPr>
              <w:spacing w:after="0"/>
              <w:rPr>
                <w:sz w:val="5"/>
                <w:szCs w:val="5"/>
                <w:color w:val="auto"/>
              </w:rPr>
            </w:pPr>
          </w:p>
        </w:tc>
        <w:tc>
          <w:tcPr>
            <w:tcW w:w="1340" w:type="dxa"/>
            <w:vAlign w:val="bottom"/>
            <w:tcBorders>
              <w:bottom w:val="single" w:sz="8" w:color="333333"/>
            </w:tcBorders>
          </w:tcPr>
          <w:p>
            <w:pPr>
              <w:spacing w:after="0"/>
              <w:rPr>
                <w:sz w:val="5"/>
                <w:szCs w:val="5"/>
                <w:color w:val="auto"/>
              </w:rPr>
            </w:pPr>
          </w:p>
        </w:tc>
        <w:tc>
          <w:tcPr>
            <w:tcW w:w="1240" w:type="dxa"/>
            <w:vAlign w:val="bottom"/>
            <w:tcBorders>
              <w:bottom w:val="single" w:sz="8" w:color="333333"/>
            </w:tcBorders>
          </w:tcPr>
          <w:p>
            <w:pPr>
              <w:spacing w:after="0"/>
              <w:rPr>
                <w:sz w:val="5"/>
                <w:szCs w:val="5"/>
                <w:color w:val="auto"/>
              </w:rPr>
            </w:pPr>
          </w:p>
        </w:tc>
        <w:tc>
          <w:tcPr>
            <w:tcW w:w="1240" w:type="dxa"/>
            <w:vAlign w:val="bottom"/>
            <w:tcBorders>
              <w:bottom w:val="single" w:sz="8" w:color="333333"/>
            </w:tcBorders>
          </w:tcPr>
          <w:p>
            <w:pPr>
              <w:spacing w:after="0"/>
              <w:rPr>
                <w:sz w:val="5"/>
                <w:szCs w:val="5"/>
                <w:color w:val="auto"/>
              </w:rPr>
            </w:pPr>
          </w:p>
        </w:tc>
        <w:tc>
          <w:tcPr>
            <w:tcW w:w="300" w:type="dxa"/>
            <w:vAlign w:val="bottom"/>
            <w:tcBorders>
              <w:bottom w:val="single" w:sz="8" w:color="333333"/>
            </w:tcBorders>
          </w:tcPr>
          <w:p>
            <w:pPr>
              <w:spacing w:after="0"/>
              <w:rPr>
                <w:sz w:val="5"/>
                <w:szCs w:val="5"/>
                <w:color w:val="auto"/>
              </w:rPr>
            </w:pPr>
          </w:p>
        </w:tc>
        <w:tc>
          <w:tcPr>
            <w:tcW w:w="860" w:type="dxa"/>
            <w:vAlign w:val="bottom"/>
            <w:tcBorders>
              <w:bottom w:val="single" w:sz="8" w:color="333333"/>
            </w:tcBorders>
          </w:tcPr>
          <w:p>
            <w:pPr>
              <w:spacing w:after="0"/>
              <w:rPr>
                <w:sz w:val="5"/>
                <w:szCs w:val="5"/>
                <w:color w:val="auto"/>
              </w:rPr>
            </w:pPr>
          </w:p>
        </w:tc>
        <w:tc>
          <w:tcPr>
            <w:tcW w:w="360" w:type="dxa"/>
            <w:vAlign w:val="bottom"/>
            <w:tcBorders>
              <w:bottom w:val="single" w:sz="8" w:color="333333"/>
            </w:tcBorders>
          </w:tcPr>
          <w:p>
            <w:pPr>
              <w:spacing w:after="0"/>
              <w:rPr>
                <w:sz w:val="5"/>
                <w:szCs w:val="5"/>
                <w:color w:val="auto"/>
              </w:rPr>
            </w:pPr>
          </w:p>
        </w:tc>
        <w:tc>
          <w:tcPr>
            <w:tcW w:w="960" w:type="dxa"/>
            <w:vAlign w:val="bottom"/>
            <w:tcBorders>
              <w:bottom w:val="single" w:sz="8" w:color="333333"/>
            </w:tcBorders>
          </w:tcPr>
          <w:p>
            <w:pPr>
              <w:spacing w:after="0"/>
              <w:rPr>
                <w:sz w:val="5"/>
                <w:szCs w:val="5"/>
                <w:color w:val="auto"/>
              </w:rPr>
            </w:pPr>
          </w:p>
        </w:tc>
        <w:tc>
          <w:tcPr>
            <w:tcW w:w="1340" w:type="dxa"/>
            <w:vAlign w:val="bottom"/>
            <w:tcBorders>
              <w:bottom w:val="single" w:sz="8" w:color="333333"/>
            </w:tcBorders>
          </w:tcPr>
          <w:p>
            <w:pPr>
              <w:spacing w:after="0"/>
              <w:rPr>
                <w:sz w:val="5"/>
                <w:szCs w:val="5"/>
                <w:color w:val="auto"/>
              </w:rPr>
            </w:pPr>
          </w:p>
        </w:tc>
        <w:tc>
          <w:tcPr>
            <w:tcW w:w="0" w:type="dxa"/>
            <w:vAlign w:val="bottom"/>
          </w:tcPr>
          <w:p>
            <w:pPr>
              <w:spacing w:after="0"/>
              <w:rPr>
                <w:sz w:val="1"/>
                <w:szCs w:val="1"/>
                <w:color w:val="auto"/>
              </w:rPr>
            </w:pPr>
          </w:p>
        </w:tc>
      </w:tr>
      <w:tr>
        <w:trPr>
          <w:trHeight w:val="295"/>
        </w:trPr>
        <w:tc>
          <w:tcPr>
            <w:tcW w:w="3380" w:type="dxa"/>
            <w:vAlign w:val="bottom"/>
          </w:tcPr>
          <w:p>
            <w:pPr>
              <w:ind w:left="60"/>
              <w:spacing w:after="0"/>
              <w:rPr>
                <w:sz w:val="20"/>
                <w:szCs w:val="20"/>
                <w:color w:val="auto"/>
              </w:rPr>
            </w:pPr>
            <w:r>
              <w:rPr>
                <w:rFonts w:ascii="Arial" w:cs="Arial" w:eastAsia="Arial" w:hAnsi="Arial"/>
                <w:sz w:val="14"/>
                <w:szCs w:val="14"/>
                <w:b w:val="1"/>
                <w:bCs w:val="1"/>
                <w:color w:val="auto"/>
              </w:rPr>
              <w:t>Jennifer Piepszak</w:t>
            </w:r>
            <w:r>
              <w:rPr>
                <w:rFonts w:ascii="Arial" w:cs="Arial" w:eastAsia="Arial" w:hAnsi="Arial"/>
                <w:sz w:val="24"/>
                <w:szCs w:val="24"/>
                <w:b w:val="1"/>
                <w:bCs w:val="1"/>
                <w:color w:val="auto"/>
                <w:vertAlign w:val="superscript"/>
              </w:rPr>
              <w:t>3</w:t>
            </w:r>
          </w:p>
        </w:tc>
        <w:tc>
          <w:tcPr>
            <w:tcW w:w="1340" w:type="dxa"/>
            <w:vAlign w:val="bottom"/>
          </w:tcPr>
          <w:p>
            <w:pPr>
              <w:jc w:val="right"/>
              <w:ind w:right="28"/>
              <w:spacing w:after="0"/>
              <w:rPr>
                <w:sz w:val="20"/>
                <w:szCs w:val="20"/>
                <w:color w:val="auto"/>
              </w:rPr>
            </w:pPr>
            <w:r>
              <w:rPr>
                <w:rFonts w:ascii="Arial" w:cs="Arial" w:eastAsia="Arial" w:hAnsi="Arial"/>
                <w:sz w:val="14"/>
                <w:szCs w:val="14"/>
                <w:b w:val="1"/>
                <w:bCs w:val="1"/>
                <w:color w:val="auto"/>
              </w:rPr>
              <w:t>2019</w:t>
            </w:r>
          </w:p>
        </w:tc>
        <w:tc>
          <w:tcPr>
            <w:tcW w:w="1240" w:type="dxa"/>
            <w:vAlign w:val="bottom"/>
          </w:tcPr>
          <w:p>
            <w:pPr>
              <w:jc w:val="right"/>
              <w:ind w:right="148"/>
              <w:spacing w:after="0"/>
              <w:rPr>
                <w:sz w:val="20"/>
                <w:szCs w:val="20"/>
                <w:color w:val="auto"/>
              </w:rPr>
            </w:pPr>
            <w:r>
              <w:rPr>
                <w:rFonts w:ascii="Arial" w:cs="Arial" w:eastAsia="Arial" w:hAnsi="Arial"/>
                <w:sz w:val="14"/>
                <w:szCs w:val="14"/>
                <w:b w:val="1"/>
                <w:bCs w:val="1"/>
                <w:color w:val="auto"/>
              </w:rPr>
              <w:t>666,667</w:t>
            </w:r>
          </w:p>
        </w:tc>
        <w:tc>
          <w:tcPr>
            <w:tcW w:w="1240" w:type="dxa"/>
            <w:vAlign w:val="bottom"/>
          </w:tcPr>
          <w:p>
            <w:pPr>
              <w:jc w:val="right"/>
              <w:ind w:right="147"/>
              <w:spacing w:after="0"/>
              <w:rPr>
                <w:sz w:val="20"/>
                <w:szCs w:val="20"/>
                <w:color w:val="auto"/>
              </w:rPr>
            </w:pPr>
            <w:r>
              <w:rPr>
                <w:rFonts w:ascii="Arial" w:cs="Arial" w:eastAsia="Arial" w:hAnsi="Arial"/>
                <w:sz w:val="14"/>
                <w:szCs w:val="14"/>
                <w:b w:val="1"/>
                <w:bCs w:val="1"/>
                <w:color w:val="auto"/>
              </w:rPr>
              <w:t>3,733,333</w:t>
            </w:r>
          </w:p>
        </w:tc>
        <w:tc>
          <w:tcPr>
            <w:tcW w:w="300" w:type="dxa"/>
            <w:vAlign w:val="bottom"/>
          </w:tcPr>
          <w:p>
            <w:pPr>
              <w:spacing w:after="0"/>
              <w:rPr>
                <w:sz w:val="24"/>
                <w:szCs w:val="24"/>
                <w:color w:val="auto"/>
              </w:rPr>
            </w:pPr>
          </w:p>
        </w:tc>
        <w:tc>
          <w:tcPr>
            <w:tcW w:w="860" w:type="dxa"/>
            <w:vAlign w:val="bottom"/>
          </w:tcPr>
          <w:p>
            <w:pPr>
              <w:jc w:val="right"/>
              <w:ind w:right="128"/>
              <w:spacing w:after="0"/>
              <w:rPr>
                <w:sz w:val="20"/>
                <w:szCs w:val="20"/>
                <w:color w:val="auto"/>
              </w:rPr>
            </w:pPr>
            <w:r>
              <w:rPr>
                <w:rFonts w:ascii="Arial" w:cs="Arial" w:eastAsia="Arial" w:hAnsi="Arial"/>
                <w:sz w:val="14"/>
                <w:szCs w:val="14"/>
                <w:b w:val="1"/>
                <w:bCs w:val="1"/>
                <w:color w:val="auto"/>
              </w:rPr>
              <w:t>2,800,000</w:t>
            </w:r>
          </w:p>
        </w:tc>
        <w:tc>
          <w:tcPr>
            <w:tcW w:w="360" w:type="dxa"/>
            <w:vAlign w:val="bottom"/>
          </w:tcPr>
          <w:p>
            <w:pPr>
              <w:spacing w:after="0"/>
              <w:rPr>
                <w:sz w:val="24"/>
                <w:szCs w:val="24"/>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b w:val="1"/>
                <w:bCs w:val="1"/>
                <w:color w:val="auto"/>
              </w:rPr>
              <w:t>2,800,000</w:t>
            </w:r>
          </w:p>
        </w:tc>
        <w:tc>
          <w:tcPr>
            <w:tcW w:w="1340" w:type="dxa"/>
            <w:vAlign w:val="bottom"/>
          </w:tcPr>
          <w:p>
            <w:pPr>
              <w:jc w:val="right"/>
              <w:ind w:right="148"/>
              <w:spacing w:after="0"/>
              <w:rPr>
                <w:sz w:val="20"/>
                <w:szCs w:val="20"/>
                <w:color w:val="auto"/>
              </w:rPr>
            </w:pPr>
            <w:r>
              <w:rPr>
                <w:rFonts w:ascii="Arial" w:cs="Arial" w:eastAsia="Arial" w:hAnsi="Arial"/>
                <w:sz w:val="14"/>
                <w:szCs w:val="14"/>
                <w:b w:val="1"/>
                <w:bCs w:val="1"/>
                <w:color w:val="auto"/>
              </w:rPr>
              <w:t>10,000,000</w:t>
            </w:r>
          </w:p>
        </w:tc>
        <w:tc>
          <w:tcPr>
            <w:tcW w:w="0" w:type="dxa"/>
            <w:vAlign w:val="bottom"/>
          </w:tcPr>
          <w:p>
            <w:pPr>
              <w:spacing w:after="0"/>
              <w:rPr>
                <w:sz w:val="1"/>
                <w:szCs w:val="1"/>
                <w:color w:val="auto"/>
              </w:rPr>
            </w:pPr>
          </w:p>
        </w:tc>
      </w:tr>
      <w:tr>
        <w:trPr>
          <w:trHeight w:val="172"/>
        </w:trPr>
        <w:tc>
          <w:tcPr>
            <w:tcW w:w="3380" w:type="dxa"/>
            <w:vAlign w:val="bottom"/>
          </w:tcPr>
          <w:p>
            <w:pPr>
              <w:ind w:left="60"/>
              <w:spacing w:after="0"/>
              <w:rPr>
                <w:sz w:val="20"/>
                <w:szCs w:val="20"/>
                <w:color w:val="auto"/>
              </w:rPr>
            </w:pPr>
            <w:r>
              <w:rPr>
                <w:rFonts w:ascii="Arial" w:cs="Arial" w:eastAsia="Arial" w:hAnsi="Arial"/>
                <w:sz w:val="14"/>
                <w:szCs w:val="14"/>
                <w:color w:val="auto"/>
              </w:rPr>
              <w:t>Chief Financial Officer</w:t>
            </w:r>
          </w:p>
        </w:tc>
        <w:tc>
          <w:tcPr>
            <w:tcW w:w="1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50800</wp:posOffset>
            </wp:positionV>
            <wp:extent cx="699516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48" w:lineRule="exact"/>
        <w:rPr>
          <w:sz w:val="20"/>
          <w:szCs w:val="20"/>
          <w:color w:val="auto"/>
        </w:rPr>
      </w:pPr>
    </w:p>
    <w:p>
      <w:pPr>
        <w:ind w:left="340" w:right="120" w:hanging="175"/>
        <w:spacing w:after="0" w:line="216" w:lineRule="auto"/>
        <w:tabs>
          <w:tab w:leader="none" w:pos="340" w:val="left"/>
        </w:tabs>
        <w:numPr>
          <w:ilvl w:val="0"/>
          <w:numId w:val="137"/>
        </w:numPr>
        <w:rPr>
          <w:rFonts w:ascii="Arial" w:cs="Arial" w:eastAsia="Arial" w:hAnsi="Arial"/>
          <w:sz w:val="11"/>
          <w:szCs w:val="11"/>
          <w:color w:val="auto"/>
        </w:rPr>
      </w:pPr>
      <w:r>
        <w:rPr>
          <w:rFonts w:ascii="Arial" w:cs="Arial" w:eastAsia="Arial" w:hAnsi="Arial"/>
          <w:sz w:val="13"/>
          <w:szCs w:val="13"/>
          <w:color w:val="auto"/>
        </w:rPr>
        <w:t>Reflects the grant date fair value. Actual amounts of PSUs received by NEOs upon vesting may range from 0% to 150% of the target shares (excluding accrued dividends), depending upon the Firm’s performance.</w:t>
      </w:r>
    </w:p>
    <w:p>
      <w:pPr>
        <w:spacing w:after="0" w:line="1" w:lineRule="exact"/>
        <w:rPr>
          <w:sz w:val="20"/>
          <w:szCs w:val="20"/>
          <w:color w:val="auto"/>
        </w:rPr>
      </w:pPr>
    </w:p>
    <w:p>
      <w:pPr>
        <w:ind w:left="340" w:right="100" w:hanging="175"/>
        <w:spacing w:after="0" w:line="216" w:lineRule="auto"/>
        <w:tabs>
          <w:tab w:leader="none" w:pos="340" w:val="left"/>
        </w:tabs>
        <w:numPr>
          <w:ilvl w:val="0"/>
          <w:numId w:val="138"/>
        </w:numPr>
        <w:rPr>
          <w:rFonts w:ascii="Arial" w:cs="Arial" w:eastAsia="Arial" w:hAnsi="Arial"/>
          <w:sz w:val="11"/>
          <w:szCs w:val="11"/>
          <w:color w:val="auto"/>
        </w:rPr>
      </w:pPr>
      <w:r>
        <w:rPr>
          <w:rFonts w:ascii="Arial" w:cs="Arial" w:eastAsia="Arial" w:hAnsi="Arial"/>
          <w:sz w:val="13"/>
          <w:szCs w:val="13"/>
          <w:color w:val="auto"/>
        </w:rPr>
        <w:t>Mr. Pinto’s fixed allowance of $7,635,000, which is paid in British pound sterling, and his salary of £475,000 are both unchanged from 2018 to 2019. For the purposes of determining the number of RSUs and PSUs granted to Mr. Pinto in 2020 for 2019 performance, the Firm established a grant date fair value per unit that takes into account that these awards do not carry the right to dividends or dividend equivalents prior to vesting, in accordance with local regulations.</w:t>
      </w:r>
    </w:p>
    <w:p>
      <w:pPr>
        <w:spacing w:after="0" w:line="1" w:lineRule="exact"/>
        <w:rPr>
          <w:sz w:val="20"/>
          <w:szCs w:val="20"/>
          <w:color w:val="auto"/>
        </w:rPr>
      </w:pPr>
    </w:p>
    <w:p>
      <w:pPr>
        <w:ind w:left="340" w:hanging="175"/>
        <w:spacing w:after="0"/>
        <w:tabs>
          <w:tab w:leader="none" w:pos="340" w:val="left"/>
        </w:tabs>
        <w:numPr>
          <w:ilvl w:val="0"/>
          <w:numId w:val="139"/>
        </w:numPr>
        <w:rPr>
          <w:rFonts w:ascii="Arial" w:cs="Arial" w:eastAsia="Arial" w:hAnsi="Arial"/>
          <w:sz w:val="11"/>
          <w:szCs w:val="11"/>
          <w:color w:val="auto"/>
        </w:rPr>
      </w:pPr>
      <w:r>
        <w:rPr>
          <w:rFonts w:ascii="Arial" w:cs="Arial" w:eastAsia="Arial" w:hAnsi="Arial"/>
          <w:sz w:val="13"/>
          <w:szCs w:val="13"/>
          <w:color w:val="auto"/>
        </w:rPr>
        <w:t>Ms. Piepszak was not a NEO in 2017 and 2018.</w:t>
      </w:r>
    </w:p>
    <w:p>
      <w:pPr>
        <w:spacing w:after="0" w:line="220" w:lineRule="exact"/>
        <w:rPr>
          <w:sz w:val="20"/>
          <w:szCs w:val="20"/>
          <w:color w:val="auto"/>
        </w:rPr>
      </w:pPr>
    </w:p>
    <w:p>
      <w:pPr>
        <w:ind w:left="120"/>
        <w:spacing w:after="0"/>
        <w:rPr>
          <w:sz w:val="20"/>
          <w:szCs w:val="20"/>
          <w:color w:val="auto"/>
        </w:rPr>
      </w:pPr>
      <w:r>
        <w:rPr>
          <w:rFonts w:ascii="Arial" w:cs="Arial" w:eastAsia="Arial" w:hAnsi="Arial"/>
          <w:sz w:val="20"/>
          <w:szCs w:val="20"/>
          <w:color w:val="004876"/>
        </w:rPr>
        <w:t>INTERPRETING 2019 NEO COMPENSATION</w:t>
      </w:r>
    </w:p>
    <w:p>
      <w:pPr>
        <w:jc w:val="both"/>
        <w:ind w:left="120" w:right="20"/>
        <w:spacing w:after="0"/>
        <w:rPr>
          <w:sz w:val="20"/>
          <w:szCs w:val="20"/>
          <w:color w:val="auto"/>
        </w:rPr>
      </w:pPr>
      <w:r>
        <w:rPr>
          <w:rFonts w:ascii="Arial" w:cs="Arial" w:eastAsia="Arial" w:hAnsi="Arial"/>
          <w:sz w:val="18"/>
          <w:szCs w:val="18"/>
          <w:color w:val="auto"/>
        </w:rPr>
        <w:t>The table above is presented to show how the CMDC and Board viewed compensation awarded for 2019 performance. It differs from how compensation is reported in the “Summary Compensation Table” (“SCT”) on page 73, which is required by the SEC, and is not intended as a substitute for the SCT. There are two principal differences between the SCT and the table above:</w:t>
      </w:r>
    </w:p>
    <w:p>
      <w:pPr>
        <w:spacing w:after="0" w:line="108" w:lineRule="exact"/>
        <w:rPr>
          <w:sz w:val="20"/>
          <w:szCs w:val="20"/>
          <w:color w:val="auto"/>
        </w:rPr>
      </w:pPr>
    </w:p>
    <w:p>
      <w:pPr>
        <w:ind w:left="440" w:right="120" w:hanging="324"/>
        <w:spacing w:after="0" w:line="238" w:lineRule="auto"/>
        <w:tabs>
          <w:tab w:leader="none" w:pos="4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Firm grants both cash and equity incentive compensation after a performance year is completed. In both the table above and the SCT, cash incentive compensation paid in 2020 for 2019 performance is shown as 2019 compensation. In the table above, the equity awards (RSUs and PSUs) granted in 2020 for 2019 performance are shown as 2019 compensation. In contrast, the SCT reports the value of equity awards in the year in which they are granted. As a result, awards granted in 2019 for 2018 performance are shown in the SCT as 2019 compensation.</w:t>
      </w:r>
    </w:p>
    <w:p>
      <w:pPr>
        <w:spacing w:after="0" w:line="107" w:lineRule="exact"/>
        <w:rPr>
          <w:rFonts w:ascii="Arial" w:cs="Arial" w:eastAsia="Arial" w:hAnsi="Arial"/>
          <w:sz w:val="18"/>
          <w:szCs w:val="18"/>
          <w:color w:val="auto"/>
        </w:rPr>
      </w:pPr>
    </w:p>
    <w:p>
      <w:pPr>
        <w:ind w:left="440" w:right="260" w:hanging="324"/>
        <w:spacing w:after="0" w:line="246" w:lineRule="auto"/>
        <w:tabs>
          <w:tab w:leader="none" w:pos="4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SCT reports the change in pension value and nonqualified deferred compensation and all other compensation. These amounts are not shown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236855</wp:posOffset>
            </wp:positionV>
            <wp:extent cx="7029450" cy="19685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029450" cy="19685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51" w:lineRule="exact"/>
        <w:rPr>
          <w:sz w:val="20"/>
          <w:szCs w:val="20"/>
          <w:color w:val="auto"/>
        </w:rPr>
      </w:pPr>
    </w:p>
    <w:p>
      <w:pPr>
        <w:jc w:val="center"/>
        <w:ind w:right="-99"/>
        <w:spacing w:after="0"/>
        <w:rPr>
          <w:sz w:val="20"/>
          <w:szCs w:val="20"/>
          <w:color w:val="auto"/>
        </w:rPr>
      </w:pPr>
      <w:r>
        <w:rPr>
          <w:rFonts w:ascii="Arial" w:cs="Arial" w:eastAsia="Arial" w:hAnsi="Arial"/>
          <w:sz w:val="13"/>
          <w:szCs w:val="13"/>
          <w:b w:val="1"/>
          <w:bCs w:val="1"/>
          <w:color w:val="004876"/>
        </w:rPr>
        <w:t>65</w:t>
      </w:r>
    </w:p>
    <w:p>
      <w:pPr>
        <w:sectPr>
          <w:pgSz w:w="11900" w:h="16838" w:orient="portrait"/>
          <w:cols w:equalWidth="0" w:num="1">
            <w:col w:w="11140"/>
          </w:cols>
          <w:pgMar w:left="320" w:top="459" w:right="439" w:bottom="1440" w:gutter="0" w:footer="0" w:header="0"/>
          <w:type w:val="continuous"/>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4876"/>
        </w:rPr>
        <w:t>COMPENSATION DISCUSSION AND ANALYSIS |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160655</wp:posOffset>
            </wp:positionV>
            <wp:extent cx="6926580" cy="26543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6926580"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340" w:right="2880" w:hanging="215"/>
        <w:spacing w:after="0" w:line="287" w:lineRule="auto"/>
        <w:rPr>
          <w:sz w:val="20"/>
          <w:szCs w:val="20"/>
          <w:color w:val="auto"/>
        </w:rPr>
      </w:pPr>
      <w:r>
        <w:rPr>
          <w:rFonts w:ascii="Arial" w:cs="Arial" w:eastAsia="Arial" w:hAnsi="Arial"/>
          <w:sz w:val="29"/>
          <w:szCs w:val="29"/>
          <w:color w:val="004876"/>
        </w:rPr>
        <w:t>2019 CEO compensation is aligned with multi-year performance James Dimon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-211455</wp:posOffset>
            </wp:positionV>
            <wp:extent cx="6995160" cy="10369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6995160" cy="1036955"/>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004876"/>
        </w:rPr>
        <w:t>CHAIRMAN &amp; CHIEF EXECUTIVE OFFICER</w:t>
      </w:r>
    </w:p>
    <w:p>
      <w:pPr>
        <w:spacing w:after="0" w:line="160" w:lineRule="exact"/>
        <w:rPr>
          <w:sz w:val="20"/>
          <w:szCs w:val="20"/>
          <w:color w:val="auto"/>
        </w:rPr>
      </w:pPr>
    </w:p>
    <w:p>
      <w:pPr>
        <w:ind w:left="340" w:right="3940"/>
        <w:spacing w:after="0" w:line="253" w:lineRule="auto"/>
        <w:rPr>
          <w:sz w:val="20"/>
          <w:szCs w:val="20"/>
          <w:color w:val="auto"/>
        </w:rPr>
      </w:pPr>
      <w:r>
        <w:rPr>
          <w:rFonts w:ascii="Arial" w:cs="Arial" w:eastAsia="Arial" w:hAnsi="Arial"/>
          <w:sz w:val="16"/>
          <w:szCs w:val="16"/>
          <w:color w:val="auto"/>
        </w:rPr>
        <w:t>In determining Mr. Dimon’s compensation, independent members of the Board took into account Mr. Dimon’s achievements across four broad performance dimensions: Business Results; Risk, Controls &amp; Conduct; Client/Customer/Stakeholder; and Teamwork &amp; Leadership.</w:t>
      </w:r>
    </w:p>
    <w:p>
      <w:pPr>
        <w:spacing w:after="0" w:line="200" w:lineRule="exact"/>
        <w:rPr>
          <w:sz w:val="20"/>
          <w:szCs w:val="20"/>
          <w:color w:val="auto"/>
        </w:rPr>
      </w:pPr>
    </w:p>
    <w:p>
      <w:pPr>
        <w:spacing w:after="0" w:line="360" w:lineRule="exact"/>
        <w:rPr>
          <w:sz w:val="20"/>
          <w:szCs w:val="20"/>
          <w:color w:val="auto"/>
        </w:rPr>
      </w:pPr>
    </w:p>
    <w:p>
      <w:pPr>
        <w:ind w:left="120"/>
        <w:spacing w:after="0"/>
        <w:rPr>
          <w:sz w:val="20"/>
          <w:szCs w:val="20"/>
          <w:color w:val="auto"/>
        </w:rPr>
      </w:pPr>
      <w:r>
        <w:rPr>
          <w:rFonts w:ascii="Arial" w:cs="Arial" w:eastAsia="Arial" w:hAnsi="Arial"/>
          <w:sz w:val="20"/>
          <w:szCs w:val="20"/>
          <w:color w:val="004876"/>
        </w:rPr>
        <w:t>2019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79375</wp:posOffset>
            </wp:positionV>
            <wp:extent cx="699516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54" w:lineRule="exact"/>
        <w:rPr>
          <w:sz w:val="20"/>
          <w:szCs w:val="20"/>
          <w:color w:val="auto"/>
        </w:rPr>
      </w:pPr>
    </w:p>
    <w:p>
      <w:pPr>
        <w:ind w:left="860" w:right="60" w:hanging="141"/>
        <w:spacing w:after="0" w:line="185" w:lineRule="auto"/>
        <w:rPr>
          <w:sz w:val="20"/>
          <w:szCs w:val="20"/>
          <w:color w:val="auto"/>
        </w:rPr>
      </w:pPr>
      <w:r>
        <w:rPr>
          <w:rFonts w:ascii="Arial" w:cs="Arial" w:eastAsia="Arial" w:hAnsi="Arial"/>
          <w:sz w:val="17"/>
          <w:szCs w:val="17"/>
          <w:b w:val="1"/>
          <w:bCs w:val="1"/>
          <w:color w:val="FFFFFF"/>
        </w:rPr>
        <w:t>Business</w:t>
      </w:r>
      <w:r>
        <w:rPr>
          <w:sz w:val="20"/>
          <w:szCs w:val="20"/>
          <w:color w:val="auto"/>
        </w:rPr>
        <w:t xml:space="preserve"> </w:t>
      </w:r>
      <w:r>
        <w:rPr>
          <w:rFonts w:ascii="Arial" w:cs="Arial" w:eastAsia="Arial" w:hAnsi="Arial"/>
          <w:sz w:val="16"/>
          <w:szCs w:val="16"/>
          <w:color w:val="auto"/>
        </w:rPr>
        <w:t xml:space="preserve">The Board considered that under Mr. Dimon’s stewardship, the Firm continued to build upon its strong financial momentum from </w:t>
      </w:r>
      <w:r>
        <w:rPr>
          <w:rFonts w:ascii="Arial" w:cs="Arial" w:eastAsia="Arial" w:hAnsi="Arial"/>
          <w:sz w:val="16"/>
          <w:szCs w:val="16"/>
          <w:b w:val="1"/>
          <w:bCs w:val="1"/>
          <w:color w:val="FFFFFF"/>
        </w:rPr>
        <w:t xml:space="preserve">Results </w:t>
      </w:r>
      <w:r>
        <w:rPr>
          <w:rFonts w:ascii="Arial" w:cs="Arial" w:eastAsia="Arial" w:hAnsi="Arial"/>
          <w:sz w:val="16"/>
          <w:szCs w:val="16"/>
          <w:color w:val="000000"/>
        </w:rPr>
        <w:t>prior years. In 2019, the Firm delivered record net income of $36.4 billion, record EPS of $10.72, and ROTCE</w:t>
      </w:r>
      <w:r>
        <w:rPr>
          <w:rFonts w:ascii="Arial" w:cs="Arial" w:eastAsia="Arial" w:hAnsi="Arial"/>
          <w:sz w:val="26"/>
          <w:szCs w:val="26"/>
          <w:color w:val="000000"/>
          <w:vertAlign w:val="superscript"/>
        </w:rPr>
        <w:t>1</w:t>
      </w:r>
      <w:r>
        <w:rPr>
          <w:rFonts w:ascii="Arial" w:cs="Arial" w:eastAsia="Arial" w:hAnsi="Arial"/>
          <w:sz w:val="16"/>
          <w:szCs w:val="16"/>
          <w:b w:val="1"/>
          <w:bCs w:val="1"/>
          <w:color w:val="FFFFFF"/>
        </w:rPr>
        <w:t xml:space="preserve"> </w:t>
      </w:r>
      <w:r>
        <w:rPr>
          <w:rFonts w:ascii="Arial" w:cs="Arial" w:eastAsia="Arial" w:hAnsi="Arial"/>
          <w:sz w:val="16"/>
          <w:szCs w:val="16"/>
          <w:color w:val="000000"/>
        </w:rPr>
        <w:t>of 19% on average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-219075</wp:posOffset>
            </wp:positionV>
            <wp:extent cx="985520" cy="84899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985520" cy="848995"/>
                    </a:xfrm>
                    <a:prstGeom prst="rect">
                      <a:avLst/>
                    </a:prstGeom>
                    <a:noFill/>
                  </pic:spPr>
                </pic:pic>
              </a:graphicData>
            </a:graphic>
          </wp:anchor>
        </w:drawing>
      </w:r>
    </w:p>
    <w:p>
      <w:pPr>
        <w:spacing w:after="0" w:line="9" w:lineRule="exact"/>
        <w:rPr>
          <w:sz w:val="20"/>
          <w:szCs w:val="20"/>
          <w:color w:val="auto"/>
        </w:rPr>
      </w:pPr>
    </w:p>
    <w:p>
      <w:pPr>
        <w:ind w:left="1780" w:right="300"/>
        <w:spacing w:after="0" w:line="219" w:lineRule="auto"/>
        <w:rPr>
          <w:sz w:val="20"/>
          <w:szCs w:val="20"/>
          <w:color w:val="auto"/>
        </w:rPr>
      </w:pPr>
      <w:r>
        <w:rPr>
          <w:rFonts w:ascii="Arial" w:cs="Arial" w:eastAsia="Arial" w:hAnsi="Arial"/>
          <w:sz w:val="16"/>
          <w:szCs w:val="16"/>
          <w:color w:val="auto"/>
        </w:rPr>
        <w:t>tangible common equity of $187 billion. We distributed $34.0 billion of net capital</w:t>
      </w:r>
      <w:r>
        <w:rPr>
          <w:rFonts w:ascii="Arial" w:cs="Arial" w:eastAsia="Arial" w:hAnsi="Arial"/>
          <w:sz w:val="27"/>
          <w:szCs w:val="27"/>
          <w:color w:val="auto"/>
          <w:vertAlign w:val="superscript"/>
        </w:rPr>
        <w:t>2</w:t>
      </w:r>
      <w:r>
        <w:rPr>
          <w:rFonts w:ascii="Arial" w:cs="Arial" w:eastAsia="Arial" w:hAnsi="Arial"/>
          <w:sz w:val="16"/>
          <w:szCs w:val="16"/>
          <w:color w:val="auto"/>
        </w:rPr>
        <w:t xml:space="preserve"> to shareholders. During 2019, the Firm continued to make large investments in technology, including artificial intelligence, cloud, digital and payments, as well as other investments in innovation, talent, security and risk controls. The Firm gained market share in many of its businesses, demonstrated strong expense discipline, continued to achieve high customer satisfaction scores, and maintained a fortress 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64135</wp:posOffset>
            </wp:positionV>
            <wp:extent cx="699516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3" w:lineRule="exact"/>
        <w:rPr>
          <w:sz w:val="20"/>
          <w:szCs w:val="20"/>
          <w:color w:val="auto"/>
        </w:rPr>
      </w:pPr>
    </w:p>
    <w:p>
      <w:pPr>
        <w:ind w:left="600" w:right="40" w:firstLine="465"/>
        <w:spacing w:after="0" w:line="244" w:lineRule="auto"/>
        <w:rPr>
          <w:sz w:val="20"/>
          <w:szCs w:val="20"/>
          <w:color w:val="auto"/>
        </w:rPr>
      </w:pPr>
      <w:r>
        <w:rPr>
          <w:rFonts w:ascii="Arial" w:cs="Arial" w:eastAsia="Arial" w:hAnsi="Arial"/>
          <w:sz w:val="17"/>
          <w:szCs w:val="17"/>
          <w:b w:val="1"/>
          <w:bCs w:val="1"/>
          <w:color w:val="FFFFFF"/>
        </w:rPr>
        <w:t xml:space="preserve">Risk, </w:t>
      </w:r>
      <w:r>
        <w:rPr>
          <w:rFonts w:ascii="Arial" w:cs="Arial" w:eastAsia="Arial" w:hAnsi="Arial"/>
          <w:sz w:val="16"/>
          <w:szCs w:val="16"/>
          <w:color w:val="000000"/>
        </w:rPr>
        <w:t>The Board recognized that under Mr. Dimon’s leadership, the Firm continues to invest in our future, strengthen our risk and control</w:t>
      </w:r>
      <w:r>
        <w:rPr>
          <w:rFonts w:ascii="Arial" w:cs="Arial" w:eastAsia="Arial" w:hAnsi="Arial"/>
          <w:sz w:val="17"/>
          <w:szCs w:val="17"/>
          <w:b w:val="1"/>
          <w:bCs w:val="1"/>
          <w:color w:val="FFFFFF"/>
        </w:rPr>
        <w:t xml:space="preserve"> Controls &amp; </w:t>
      </w:r>
      <w:r>
        <w:rPr>
          <w:rFonts w:ascii="Arial" w:cs="Arial" w:eastAsia="Arial" w:hAnsi="Arial"/>
          <w:sz w:val="16"/>
          <w:szCs w:val="16"/>
          <w:color w:val="000000"/>
        </w:rPr>
        <w:t>environment, reinforce the importance of our culture and values, deliver on our long-standing commitment to serve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-234950</wp:posOffset>
            </wp:positionV>
            <wp:extent cx="985520" cy="3683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985520" cy="368300"/>
                    </a:xfrm>
                    <a:prstGeom prst="rect">
                      <a:avLst/>
                    </a:prstGeom>
                    <a:noFill/>
                  </pic:spPr>
                </pic:pic>
              </a:graphicData>
            </a:graphic>
          </wp:anchor>
        </w:drawing>
      </w:r>
    </w:p>
    <w:p>
      <w:pPr>
        <w:ind w:left="780"/>
        <w:spacing w:after="0"/>
        <w:tabs>
          <w:tab w:leader="none" w:pos="1760" w:val="left"/>
        </w:tabs>
        <w:rPr>
          <w:sz w:val="20"/>
          <w:szCs w:val="20"/>
          <w:color w:val="auto"/>
        </w:rPr>
      </w:pPr>
      <w:r>
        <w:rPr>
          <w:rFonts w:ascii="Arial" w:cs="Arial" w:eastAsia="Arial" w:hAnsi="Arial"/>
          <w:sz w:val="17"/>
          <w:szCs w:val="17"/>
          <w:b w:val="1"/>
          <w:bCs w:val="1"/>
          <w:color w:val="FFFFFF"/>
        </w:rPr>
        <w:t>Conduct</w:t>
      </w:r>
      <w:r>
        <w:rPr>
          <w:sz w:val="20"/>
          <w:szCs w:val="20"/>
          <w:color w:val="auto"/>
        </w:rPr>
        <w:tab/>
      </w:r>
      <w:r>
        <w:rPr>
          <w:rFonts w:ascii="Arial" w:cs="Arial" w:eastAsia="Arial" w:hAnsi="Arial"/>
          <w:sz w:val="16"/>
          <w:szCs w:val="16"/>
          <w:color w:val="auto"/>
        </w:rPr>
        <w:t>communities and conduct business in a responsible way to drive inclusive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68580</wp:posOffset>
            </wp:positionV>
            <wp:extent cx="699516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70" w:lineRule="exact"/>
        <w:rPr>
          <w:sz w:val="20"/>
          <w:szCs w:val="20"/>
          <w:color w:val="auto"/>
        </w:rPr>
      </w:pPr>
    </w:p>
    <w:p>
      <w:pPr>
        <w:ind w:left="640" w:right="40" w:firstLine="275"/>
        <w:spacing w:after="0" w:line="244" w:lineRule="auto"/>
        <w:rPr>
          <w:sz w:val="20"/>
          <w:szCs w:val="20"/>
          <w:color w:val="auto"/>
        </w:rPr>
      </w:pPr>
      <w:r>
        <w:rPr>
          <w:rFonts w:ascii="Arial" w:cs="Arial" w:eastAsia="Arial" w:hAnsi="Arial"/>
          <w:sz w:val="17"/>
          <w:szCs w:val="17"/>
          <w:b w:val="1"/>
          <w:bCs w:val="1"/>
          <w:color w:val="FFFFFF"/>
        </w:rPr>
        <w:t xml:space="preserve">Client / </w:t>
      </w:r>
      <w:r>
        <w:rPr>
          <w:rFonts w:ascii="Arial" w:cs="Arial" w:eastAsia="Arial" w:hAnsi="Arial"/>
          <w:sz w:val="16"/>
          <w:szCs w:val="16"/>
          <w:color w:val="000000"/>
        </w:rPr>
        <w:t>Mr. Dimon has guided the Firm’s focus on accelerating investments to help our customers, employees and communities. In 2019,</w:t>
      </w:r>
      <w:r>
        <w:rPr>
          <w:rFonts w:ascii="Arial" w:cs="Arial" w:eastAsia="Arial" w:hAnsi="Arial"/>
          <w:sz w:val="17"/>
          <w:szCs w:val="17"/>
          <w:b w:val="1"/>
          <w:bCs w:val="1"/>
          <w:color w:val="FFFFFF"/>
        </w:rPr>
        <w:t xml:space="preserve"> Customer/ </w:t>
      </w:r>
      <w:r>
        <w:rPr>
          <w:rFonts w:ascii="Arial" w:cs="Arial" w:eastAsia="Arial" w:hAnsi="Arial"/>
          <w:sz w:val="16"/>
          <w:szCs w:val="16"/>
          <w:color w:val="000000"/>
        </w:rPr>
        <w:t>the Firm added over 70 new branches in 16 new markets, continued its Commercial Banking international expansion, and became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-234950</wp:posOffset>
            </wp:positionV>
            <wp:extent cx="985520" cy="36893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985520" cy="368935"/>
                    </a:xfrm>
                    <a:prstGeom prst="rect">
                      <a:avLst/>
                    </a:prstGeom>
                    <a:noFill/>
                  </pic:spPr>
                </pic:pic>
              </a:graphicData>
            </a:graphic>
          </wp:anchor>
        </w:drawing>
      </w:r>
    </w:p>
    <w:p>
      <w:pPr>
        <w:ind w:left="500"/>
        <w:spacing w:after="0"/>
        <w:tabs>
          <w:tab w:leader="none" w:pos="1760" w:val="left"/>
        </w:tabs>
        <w:rPr>
          <w:sz w:val="20"/>
          <w:szCs w:val="20"/>
          <w:color w:val="auto"/>
        </w:rPr>
      </w:pPr>
      <w:r>
        <w:rPr>
          <w:rFonts w:ascii="Arial" w:cs="Arial" w:eastAsia="Arial" w:hAnsi="Arial"/>
          <w:sz w:val="17"/>
          <w:szCs w:val="17"/>
          <w:b w:val="1"/>
          <w:bCs w:val="1"/>
          <w:color w:val="FFFFFF"/>
        </w:rPr>
        <w:t>Stakeholder</w:t>
      </w:r>
      <w:r>
        <w:rPr>
          <w:sz w:val="20"/>
          <w:szCs w:val="20"/>
          <w:color w:val="auto"/>
        </w:rPr>
        <w:tab/>
      </w:r>
      <w:r>
        <w:rPr>
          <w:rFonts w:ascii="Arial" w:cs="Arial" w:eastAsia="Arial" w:hAnsi="Arial"/>
          <w:sz w:val="16"/>
          <w:szCs w:val="16"/>
          <w:color w:val="auto"/>
        </w:rPr>
        <w:t>the first U.S. bank to be approved for a majority-owned securities business in 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68580</wp:posOffset>
            </wp:positionV>
            <wp:extent cx="699516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70" w:lineRule="exact"/>
        <w:rPr>
          <w:sz w:val="20"/>
          <w:szCs w:val="20"/>
          <w:color w:val="auto"/>
        </w:rPr>
      </w:pPr>
    </w:p>
    <w:p>
      <w:pPr>
        <w:ind w:left="560" w:right="20" w:hanging="91"/>
        <w:spacing w:after="0" w:line="232" w:lineRule="auto"/>
        <w:rPr>
          <w:sz w:val="20"/>
          <w:szCs w:val="20"/>
          <w:color w:val="auto"/>
        </w:rPr>
      </w:pPr>
      <w:r>
        <w:rPr>
          <w:rFonts w:ascii="Arial" w:cs="Arial" w:eastAsia="Arial" w:hAnsi="Arial"/>
          <w:sz w:val="17"/>
          <w:szCs w:val="17"/>
          <w:b w:val="1"/>
          <w:bCs w:val="1"/>
          <w:color w:val="FFFFFF"/>
        </w:rPr>
        <w:t>Teamwork &amp;</w:t>
      </w:r>
      <w:r>
        <w:rPr>
          <w:sz w:val="20"/>
          <w:szCs w:val="20"/>
          <w:color w:val="auto"/>
        </w:rPr>
        <w:t xml:space="preserve"> </w:t>
      </w:r>
      <w:r>
        <w:rPr>
          <w:rFonts w:ascii="Arial" w:cs="Arial" w:eastAsia="Arial" w:hAnsi="Arial"/>
          <w:sz w:val="16"/>
          <w:szCs w:val="16"/>
          <w:color w:val="auto"/>
        </w:rPr>
        <w:t xml:space="preserve">Mr. Dimon’s stewardship over the Firm’s Teamwork &amp; Leadership agenda has led to a highly effective succession and </w:t>
      </w:r>
      <w:r>
        <w:rPr>
          <w:rFonts w:ascii="Arial" w:cs="Arial" w:eastAsia="Arial" w:hAnsi="Arial"/>
          <w:sz w:val="17"/>
          <w:szCs w:val="17"/>
          <w:b w:val="1"/>
          <w:bCs w:val="1"/>
          <w:color w:val="FFFFFF"/>
        </w:rPr>
        <w:t xml:space="preserve">Leadership </w:t>
      </w:r>
      <w:r>
        <w:rPr>
          <w:rFonts w:ascii="Arial" w:cs="Arial" w:eastAsia="Arial" w:hAnsi="Arial"/>
          <w:sz w:val="16"/>
          <w:szCs w:val="16"/>
          <w:color w:val="000000"/>
        </w:rPr>
        <w:t>management development program, a robust pipeline of leaders across the organization and a diversity and inclusion strategy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985520" cy="60896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985520" cy="608965"/>
                    </a:xfrm>
                    <a:prstGeom prst="rect">
                      <a:avLst/>
                    </a:prstGeom>
                    <a:noFill/>
                  </pic:spPr>
                </pic:pic>
              </a:graphicData>
            </a:graphic>
          </wp:anchor>
        </w:drawing>
      </w:r>
    </w:p>
    <w:p>
      <w:pPr>
        <w:spacing w:after="0" w:line="8" w:lineRule="exact"/>
        <w:rPr>
          <w:sz w:val="20"/>
          <w:szCs w:val="20"/>
          <w:color w:val="auto"/>
        </w:rPr>
      </w:pPr>
    </w:p>
    <w:p>
      <w:pPr>
        <w:ind w:left="1780" w:right="440"/>
        <w:spacing w:after="0" w:line="253" w:lineRule="auto"/>
        <w:rPr>
          <w:sz w:val="20"/>
          <w:szCs w:val="20"/>
          <w:color w:val="auto"/>
        </w:rPr>
      </w:pPr>
      <w:r>
        <w:rPr>
          <w:rFonts w:ascii="Arial" w:cs="Arial" w:eastAsia="Arial" w:hAnsi="Arial"/>
          <w:sz w:val="16"/>
          <w:szCs w:val="16"/>
          <w:color w:val="auto"/>
        </w:rPr>
        <w:t>attracts, motivates and retains top talent. In 2019, Marianne Lake was appointed as the CEO of Consumer Lending, and was succeeded by Jennifer Piepszak as the Firm’s CFO. Women now represent 50% of our Operating Committee, and women executives manage many of the Firm’s core businesses and functions.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83820</wp:posOffset>
            </wp:positionV>
            <wp:extent cx="6995160" cy="160274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6995160" cy="1602740"/>
                    </a:xfrm>
                    <a:prstGeom prst="rect">
                      <a:avLst/>
                    </a:prstGeom>
                    <a:noFill/>
                  </pic:spPr>
                </pic:pic>
              </a:graphicData>
            </a:graphic>
          </wp:anchor>
        </w:drawing>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addition to assessing Mr. Dimon’s performance, the CMDC and the</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independent members of our Board also considered the CEO pay of</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our primary financial services peers and other companies as a reference,</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and concluded that increasing Mr. Dimon’s 2019 compensation was</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appropriate, particularly in light of the Firm’s strong absolute and relative</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performance over multiple years.</w:t>
      </w:r>
    </w:p>
    <w:p>
      <w:pPr>
        <w:spacing w:after="0" w:line="127" w:lineRule="exact"/>
        <w:rPr>
          <w:sz w:val="20"/>
          <w:szCs w:val="20"/>
          <w:color w:val="auto"/>
        </w:rPr>
      </w:pPr>
    </w:p>
    <w:p>
      <w:pPr>
        <w:ind w:left="120" w:right="5640"/>
        <w:spacing w:after="0" w:line="260" w:lineRule="auto"/>
        <w:rPr>
          <w:sz w:val="20"/>
          <w:szCs w:val="20"/>
          <w:color w:val="auto"/>
        </w:rPr>
      </w:pPr>
      <w:r>
        <w:rPr>
          <w:rFonts w:ascii="Arial" w:cs="Arial" w:eastAsia="Arial" w:hAnsi="Arial"/>
          <w:sz w:val="16"/>
          <w:szCs w:val="16"/>
          <w:color w:val="auto"/>
        </w:rPr>
        <w:t>After considering these factors, the Board awarded Mr. Dimon $31.5 million (up 1.6% from 2018).</w:t>
      </w:r>
    </w:p>
    <w:p>
      <w:pPr>
        <w:spacing w:after="0" w:line="101" w:lineRule="exact"/>
        <w:rPr>
          <w:sz w:val="20"/>
          <w:szCs w:val="20"/>
          <w:color w:val="auto"/>
        </w:rPr>
      </w:pPr>
    </w:p>
    <w:p>
      <w:pPr>
        <w:jc w:val="both"/>
        <w:ind w:left="120" w:right="5920"/>
        <w:spacing w:after="0" w:line="253" w:lineRule="auto"/>
        <w:rPr>
          <w:sz w:val="20"/>
          <w:szCs w:val="20"/>
          <w:color w:val="auto"/>
        </w:rPr>
      </w:pPr>
      <w:r>
        <w:rPr>
          <w:rFonts w:ascii="Arial" w:cs="Arial" w:eastAsia="Arial" w:hAnsi="Arial"/>
          <w:sz w:val="16"/>
          <w:szCs w:val="16"/>
          <w:color w:val="auto"/>
        </w:rPr>
        <w:t>The chart alongside compares Mr. Dimon’s compensation to that of the CEOs of our financial services peers based on three-year average total compensation expressed as a percentage of net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40" w:hanging="175"/>
        <w:spacing w:after="0"/>
        <w:tabs>
          <w:tab w:leader="none" w:pos="340" w:val="left"/>
        </w:tabs>
        <w:numPr>
          <w:ilvl w:val="0"/>
          <w:numId w:val="141"/>
        </w:numPr>
        <w:rPr>
          <w:rFonts w:ascii="Arial" w:cs="Arial" w:eastAsia="Arial" w:hAnsi="Arial"/>
          <w:sz w:val="11"/>
          <w:szCs w:val="11"/>
          <w:color w:val="auto"/>
        </w:rPr>
      </w:pPr>
      <w:r>
        <w:rPr>
          <w:rFonts w:ascii="Arial" w:cs="Arial" w:eastAsia="Arial" w:hAnsi="Arial"/>
          <w:sz w:val="13"/>
          <w:szCs w:val="13"/>
          <w:color w:val="auto"/>
        </w:rPr>
        <w:t>ROTCE is a non-GAAP financial measure. On a comparable U.S. GAAP basis, 2019 ROE was 15%. Refer to Note 1 on page 114 for a further discussion on this measure.</w:t>
      </w:r>
    </w:p>
    <w:p>
      <w:pPr>
        <w:spacing w:after="0" w:line="12" w:lineRule="exact"/>
        <w:rPr>
          <w:rFonts w:ascii="Arial" w:cs="Arial" w:eastAsia="Arial" w:hAnsi="Arial"/>
          <w:sz w:val="11"/>
          <w:szCs w:val="11"/>
          <w:color w:val="auto"/>
        </w:rPr>
      </w:pPr>
    </w:p>
    <w:p>
      <w:pPr>
        <w:ind w:left="160"/>
        <w:spacing w:after="0"/>
        <w:rPr>
          <w:rFonts w:ascii="Arial" w:cs="Arial" w:eastAsia="Arial" w:hAnsi="Arial"/>
          <w:sz w:val="11"/>
          <w:szCs w:val="11"/>
          <w:color w:val="auto"/>
        </w:rPr>
      </w:pPr>
      <w:r>
        <w:rPr>
          <w:rFonts w:ascii="Arial" w:cs="Arial" w:eastAsia="Arial" w:hAnsi="Arial"/>
          <w:sz w:val="11"/>
          <w:szCs w:val="11"/>
          <w:color w:val="auto"/>
        </w:rPr>
        <w:t xml:space="preserve">2  </w:t>
      </w:r>
      <w:r>
        <w:rPr>
          <w:rFonts w:ascii="Arial" w:cs="Arial" w:eastAsia="Arial" w:hAnsi="Arial"/>
          <w:sz w:val="12"/>
          <w:szCs w:val="12"/>
          <w:color w:val="auto"/>
        </w:rPr>
        <w:t>Refer to Note 2 on page 40.</w:t>
      </w:r>
    </w:p>
    <w:p>
      <w:pPr>
        <w:spacing w:after="0" w:line="24" w:lineRule="exact"/>
        <w:rPr>
          <w:rFonts w:ascii="Arial" w:cs="Arial" w:eastAsia="Arial" w:hAnsi="Arial"/>
          <w:sz w:val="11"/>
          <w:szCs w:val="11"/>
          <w:color w:val="auto"/>
        </w:rPr>
      </w:pPr>
    </w:p>
    <w:p>
      <w:pPr>
        <w:ind w:left="340" w:right="200" w:hanging="167"/>
        <w:spacing w:after="0" w:line="242" w:lineRule="auto"/>
        <w:rPr>
          <w:rFonts w:ascii="Arial" w:cs="Arial" w:eastAsia="Arial" w:hAnsi="Arial"/>
          <w:sz w:val="11"/>
          <w:szCs w:val="11"/>
          <w:color w:val="auto"/>
        </w:rPr>
      </w:pPr>
      <w:r>
        <w:rPr>
          <w:rFonts w:ascii="Arial" w:cs="Arial" w:eastAsia="Arial" w:hAnsi="Arial"/>
          <w:sz w:val="11"/>
          <w:szCs w:val="11"/>
          <w:color w:val="auto"/>
        </w:rPr>
        <w:t xml:space="preserve">3 </w:t>
      </w:r>
      <w:r>
        <w:rPr>
          <w:rFonts w:ascii="Arial" w:cs="Arial" w:eastAsia="Arial" w:hAnsi="Arial"/>
          <w:sz w:val="12"/>
          <w:szCs w:val="12"/>
          <w:color w:val="auto"/>
        </w:rPr>
        <w:t>Total compensation is comprised of base salary, cash bonus paid and long-term incentive compensation (target value) in connection with the performance year, which may be different from</w:t>
      </w:r>
      <w:r>
        <w:rPr>
          <w:rFonts w:ascii="Arial" w:cs="Arial" w:eastAsia="Arial" w:hAnsi="Arial"/>
          <w:sz w:val="11"/>
          <w:szCs w:val="11"/>
          <w:color w:val="auto"/>
        </w:rPr>
        <w:t xml:space="preserve"> </w:t>
      </w:r>
      <w:r>
        <w:rPr>
          <w:rFonts w:ascii="Arial" w:cs="Arial" w:eastAsia="Arial" w:hAnsi="Arial"/>
          <w:sz w:val="12"/>
          <w:szCs w:val="12"/>
          <w:color w:val="auto"/>
        </w:rPr>
        <w:t>amounts reported in the SCT. The most recently used peer compensation data is from 2018 since not all our financial services peers will have filed proxy statements containing 2019 compensation data before the preparation of this proxy statement. The percentage of profits paid is equal to three-year average CEO compensation divided by three-year average net income. Source: 2017-2019 proxy statements; 2016-2018 10-K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241935</wp:posOffset>
            </wp:positionV>
            <wp:extent cx="7029450" cy="19685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029450" cy="19685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59" w:lineRule="exact"/>
        <w:rPr>
          <w:sz w:val="20"/>
          <w:szCs w:val="20"/>
          <w:color w:val="auto"/>
        </w:rPr>
      </w:pPr>
    </w:p>
    <w:p>
      <w:pPr>
        <w:jc w:val="center"/>
        <w:ind w:right="-99"/>
        <w:spacing w:after="0"/>
        <w:rPr>
          <w:sz w:val="20"/>
          <w:szCs w:val="20"/>
          <w:color w:val="auto"/>
        </w:rPr>
      </w:pPr>
      <w:r>
        <w:rPr>
          <w:rFonts w:ascii="Arial" w:cs="Arial" w:eastAsia="Arial" w:hAnsi="Arial"/>
          <w:sz w:val="13"/>
          <w:szCs w:val="13"/>
          <w:b w:val="1"/>
          <w:bCs w:val="1"/>
          <w:color w:val="004876"/>
        </w:rPr>
        <w:t>66</w:t>
      </w:r>
    </w:p>
    <w:p>
      <w:pPr>
        <w:sectPr>
          <w:pgSz w:w="11900" w:h="16838" w:orient="portrait"/>
          <w:cols w:equalWidth="0" w:num="1">
            <w:col w:w="11140"/>
          </w:cols>
          <w:pgMar w:left="320" w:top="459" w:right="439" w:bottom="1440" w:gutter="0" w:footer="0" w:header="0"/>
          <w:type w:val="continuous"/>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04876"/>
        </w:rPr>
        <w:t>EXECUTIVE COMPENSATION | 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160655</wp:posOffset>
            </wp:positionV>
            <wp:extent cx="6926580" cy="26543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6926580"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20"/>
        <w:spacing w:after="0"/>
        <w:rPr>
          <w:sz w:val="20"/>
          <w:szCs w:val="20"/>
          <w:color w:val="auto"/>
        </w:rPr>
      </w:pPr>
      <w:r>
        <w:rPr>
          <w:rFonts w:ascii="Arial" w:cs="Arial" w:eastAsia="Arial" w:hAnsi="Arial"/>
          <w:sz w:val="29"/>
          <w:szCs w:val="29"/>
          <w:color w:val="004876"/>
        </w:rPr>
        <w:t>2019 NEO pay-for-performance summaries</w:t>
      </w:r>
    </w:p>
    <w:p>
      <w:pPr>
        <w:spacing w:after="0" w:line="115" w:lineRule="exact"/>
        <w:rPr>
          <w:sz w:val="20"/>
          <w:szCs w:val="20"/>
          <w:color w:val="auto"/>
        </w:rPr>
      </w:pPr>
    </w:p>
    <w:p>
      <w:pPr>
        <w:ind w:left="120" w:right="340"/>
        <w:spacing w:after="0" w:line="246" w:lineRule="auto"/>
        <w:rPr>
          <w:sz w:val="20"/>
          <w:szCs w:val="20"/>
          <w:color w:val="auto"/>
        </w:rPr>
      </w:pPr>
      <w:r>
        <w:rPr>
          <w:rFonts w:ascii="Arial" w:cs="Arial" w:eastAsia="Arial" w:hAnsi="Arial"/>
          <w:sz w:val="18"/>
          <w:szCs w:val="18"/>
          <w:color w:val="auto"/>
        </w:rPr>
        <w:t>Below are summaries of our NEOs’ achievements against the Firm’s four broad performance dimensions, including: Business Results; Risk, Controls &amp; Conduct; Client/Customer/Stakeholder; and Teamwork &amp; Leadership.</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29"/>
          <w:szCs w:val="29"/>
          <w:color w:val="004876"/>
        </w:rPr>
        <w:t>Daniel Pinto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995160" cy="10115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6995160" cy="1011555"/>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004876"/>
        </w:rPr>
        <w:t>CO-PRESIDENT &amp; CO-COO; CEO: CORPORATE &amp; INVESTMENT BANK</w:t>
      </w:r>
    </w:p>
    <w:p>
      <w:pPr>
        <w:spacing w:after="0" w:line="160" w:lineRule="exact"/>
        <w:rPr>
          <w:sz w:val="20"/>
          <w:szCs w:val="20"/>
          <w:color w:val="auto"/>
        </w:rPr>
      </w:pPr>
    </w:p>
    <w:p>
      <w:pPr>
        <w:ind w:left="340" w:right="3740"/>
        <w:spacing w:after="0" w:line="251" w:lineRule="auto"/>
        <w:rPr>
          <w:sz w:val="20"/>
          <w:szCs w:val="20"/>
          <w:color w:val="auto"/>
        </w:rPr>
      </w:pPr>
      <w:r>
        <w:rPr>
          <w:rFonts w:ascii="Arial" w:cs="Arial" w:eastAsia="Arial" w:hAnsi="Arial"/>
          <w:sz w:val="16"/>
          <w:szCs w:val="16"/>
          <w:color w:val="auto"/>
        </w:rPr>
        <w:t>Mr. Pinto was appointed Co-President and Co-Chief Operating Officer of the Firm in January 2018, in addition to serving as CEO of the CIB since March 2014. In 2017, Mr. Pinto and Mr. Smith assumed responsibility for Global Technology. Mr. Pinto previously served as Co-CEO of the CIB since 2012.</w:t>
      </w:r>
    </w:p>
    <w:p>
      <w:pPr>
        <w:spacing w:after="0" w:line="332" w:lineRule="exact"/>
        <w:rPr>
          <w:sz w:val="20"/>
          <w:szCs w:val="20"/>
          <w:color w:val="auto"/>
        </w:rPr>
      </w:pPr>
    </w:p>
    <w:p>
      <w:pPr>
        <w:ind w:left="120"/>
        <w:spacing w:after="0"/>
        <w:rPr>
          <w:sz w:val="20"/>
          <w:szCs w:val="20"/>
          <w:color w:val="auto"/>
        </w:rPr>
      </w:pPr>
      <w:r>
        <w:rPr>
          <w:rFonts w:ascii="Arial" w:cs="Arial" w:eastAsia="Arial" w:hAnsi="Arial"/>
          <w:sz w:val="20"/>
          <w:szCs w:val="20"/>
          <w:color w:val="004876"/>
        </w:rPr>
        <w:t>2019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79375</wp:posOffset>
            </wp:positionV>
            <wp:extent cx="699516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20"/>
          </w:cols>
          <w:pgMar w:left="320" w:top="459" w:right="459" w:bottom="1440" w:gutter="0" w:footer="0" w:header="0"/>
        </w:sectPr>
      </w:pPr>
    </w:p>
    <w:p>
      <w:pPr>
        <w:spacing w:after="0" w:line="277"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FFFFFF"/>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-109220</wp:posOffset>
            </wp:positionV>
            <wp:extent cx="985520" cy="109728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985520" cy="1097280"/>
                    </a:xfrm>
                    <a:prstGeom prst="rect">
                      <a:avLst/>
                    </a:prstGeom>
                    <a:noFill/>
                  </pic:spPr>
                </pic:pic>
              </a:graphicData>
            </a:graphic>
          </wp:anchor>
        </w:drawing>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FFFFFF"/>
        </w:rPr>
        <w:t>Results</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144" w:hanging="144"/>
        <w:spacing w:after="0"/>
        <w:tabs>
          <w:tab w:leader="none" w:pos="144" w:val="left"/>
        </w:tabs>
        <w:numPr>
          <w:ilvl w:val="0"/>
          <w:numId w:val="142"/>
        </w:numPr>
        <w:rPr>
          <w:rFonts w:ascii="Arial" w:cs="Arial" w:eastAsia="Arial" w:hAnsi="Arial"/>
          <w:sz w:val="16"/>
          <w:szCs w:val="16"/>
          <w:color w:val="004876"/>
        </w:rPr>
      </w:pPr>
      <w:r>
        <w:rPr>
          <w:rFonts w:ascii="Arial" w:cs="Arial" w:eastAsia="Arial" w:hAnsi="Arial"/>
          <w:sz w:val="16"/>
          <w:szCs w:val="16"/>
          <w:color w:val="auto"/>
        </w:rPr>
        <w:t>CIB achieved record net income of $11.9B on record revenue</w:t>
      </w:r>
      <w:r>
        <w:rPr>
          <w:rFonts w:ascii="Arial" w:cs="Arial" w:eastAsia="Arial" w:hAnsi="Arial"/>
          <w:sz w:val="27"/>
          <w:szCs w:val="27"/>
          <w:color w:val="auto"/>
          <w:vertAlign w:val="superscript"/>
        </w:rPr>
        <w:t>2</w:t>
      </w:r>
      <w:r>
        <w:rPr>
          <w:rFonts w:ascii="Arial" w:cs="Arial" w:eastAsia="Arial" w:hAnsi="Arial"/>
          <w:sz w:val="16"/>
          <w:szCs w:val="16"/>
          <w:color w:val="auto"/>
        </w:rPr>
        <w:t xml:space="preserve"> of $38.3B, with a market leading ROE of 14%</w:t>
      </w:r>
    </w:p>
    <w:p>
      <w:pPr>
        <w:ind w:left="144" w:hanging="144"/>
        <w:spacing w:after="0"/>
        <w:tabs>
          <w:tab w:leader="none" w:pos="144" w:val="left"/>
        </w:tabs>
        <w:numPr>
          <w:ilvl w:val="0"/>
          <w:numId w:val="142"/>
        </w:numPr>
        <w:rPr>
          <w:rFonts w:ascii="Arial" w:cs="Arial" w:eastAsia="Arial" w:hAnsi="Arial"/>
          <w:sz w:val="16"/>
          <w:szCs w:val="16"/>
          <w:color w:val="004876"/>
        </w:rPr>
      </w:pPr>
      <w:r>
        <w:rPr>
          <w:rFonts w:ascii="Arial" w:cs="Arial" w:eastAsia="Arial" w:hAnsi="Arial"/>
          <w:sz w:val="16"/>
          <w:szCs w:val="16"/>
          <w:color w:val="auto"/>
        </w:rPr>
        <w:t>Expanded share of industry wallets in IB fees, Fixed Income and Equity Markets as well as Securities Services</w:t>
      </w:r>
    </w:p>
    <w:p>
      <w:pPr>
        <w:spacing w:after="0" w:line="10" w:lineRule="exact"/>
        <w:rPr>
          <w:rFonts w:ascii="Arial" w:cs="Arial" w:eastAsia="Arial" w:hAnsi="Arial"/>
          <w:sz w:val="16"/>
          <w:szCs w:val="16"/>
          <w:color w:val="004876"/>
        </w:rPr>
      </w:pPr>
    </w:p>
    <w:p>
      <w:pPr>
        <w:ind w:left="144" w:hanging="144"/>
        <w:spacing w:after="0" w:line="204" w:lineRule="auto"/>
        <w:tabs>
          <w:tab w:leader="none" w:pos="144" w:val="left"/>
        </w:tabs>
        <w:numPr>
          <w:ilvl w:val="0"/>
          <w:numId w:val="142"/>
        </w:numPr>
        <w:rPr>
          <w:rFonts w:ascii="Arial" w:cs="Arial" w:eastAsia="Arial" w:hAnsi="Arial"/>
          <w:sz w:val="16"/>
          <w:szCs w:val="16"/>
          <w:color w:val="004876"/>
        </w:rPr>
      </w:pPr>
      <w:r>
        <w:rPr>
          <w:rFonts w:ascii="Arial" w:cs="Arial" w:eastAsia="Arial" w:hAnsi="Arial"/>
          <w:sz w:val="16"/>
          <w:szCs w:val="16"/>
          <w:color w:val="auto"/>
        </w:rPr>
        <w:t>Ranked #1 in Total Markets with 12.0%</w:t>
      </w:r>
      <w:r>
        <w:rPr>
          <w:rFonts w:ascii="Arial" w:cs="Arial" w:eastAsia="Arial" w:hAnsi="Arial"/>
          <w:sz w:val="27"/>
          <w:szCs w:val="27"/>
          <w:color w:val="auto"/>
          <w:vertAlign w:val="superscript"/>
        </w:rPr>
        <w:t>3</w:t>
      </w:r>
      <w:r>
        <w:rPr>
          <w:rFonts w:ascii="Arial" w:cs="Arial" w:eastAsia="Arial" w:hAnsi="Arial"/>
          <w:sz w:val="16"/>
          <w:szCs w:val="16"/>
          <w:color w:val="auto"/>
        </w:rPr>
        <w:t xml:space="preserve"> wallet share (#1 in Fixed Income; Co-#1 in Equities)</w:t>
      </w:r>
    </w:p>
    <w:p>
      <w:pPr>
        <w:ind w:left="144" w:right="180" w:hanging="144"/>
        <w:spacing w:after="0" w:line="186" w:lineRule="auto"/>
        <w:tabs>
          <w:tab w:leader="none" w:pos="137" w:val="left"/>
        </w:tabs>
        <w:numPr>
          <w:ilvl w:val="0"/>
          <w:numId w:val="142"/>
        </w:numPr>
        <w:rPr>
          <w:rFonts w:ascii="Arial" w:cs="Arial" w:eastAsia="Arial" w:hAnsi="Arial"/>
          <w:sz w:val="16"/>
          <w:szCs w:val="16"/>
          <w:color w:val="004876"/>
        </w:rPr>
      </w:pPr>
      <w:r>
        <w:rPr>
          <w:rFonts w:ascii="Arial" w:cs="Arial" w:eastAsia="Arial" w:hAnsi="Arial"/>
          <w:sz w:val="16"/>
          <w:szCs w:val="16"/>
          <w:color w:val="auto"/>
        </w:rPr>
        <w:t>Ranked #1 in global IB fees for the 11</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consecutive year and increased wallet share to 9.0%</w:t>
      </w:r>
      <w:r>
        <w:rPr>
          <w:rFonts w:ascii="Arial" w:cs="Arial" w:eastAsia="Arial" w:hAnsi="Arial"/>
          <w:sz w:val="27"/>
          <w:szCs w:val="27"/>
          <w:color w:val="auto"/>
          <w:vertAlign w:val="superscript"/>
        </w:rPr>
        <w:t>4</w:t>
      </w:r>
      <w:r>
        <w:rPr>
          <w:rFonts w:ascii="Arial" w:cs="Arial" w:eastAsia="Arial" w:hAnsi="Arial"/>
          <w:sz w:val="16"/>
          <w:szCs w:val="16"/>
          <w:color w:val="auto"/>
        </w:rPr>
        <w:t xml:space="preserve"> (#1 in IB fees in North America, EMEA and Latin America)</w:t>
      </w:r>
    </w:p>
    <w:p>
      <w:pPr>
        <w:ind w:left="144" w:hanging="144"/>
        <w:spacing w:after="0" w:line="204" w:lineRule="auto"/>
        <w:tabs>
          <w:tab w:leader="none" w:pos="144" w:val="left"/>
        </w:tabs>
        <w:numPr>
          <w:ilvl w:val="0"/>
          <w:numId w:val="142"/>
        </w:numPr>
        <w:rPr>
          <w:rFonts w:ascii="Arial" w:cs="Arial" w:eastAsia="Arial" w:hAnsi="Arial"/>
          <w:sz w:val="16"/>
          <w:szCs w:val="16"/>
          <w:color w:val="004876"/>
        </w:rPr>
      </w:pPr>
      <w:r>
        <w:rPr>
          <w:rFonts w:ascii="Arial" w:cs="Arial" w:eastAsia="Arial" w:hAnsi="Arial"/>
          <w:sz w:val="16"/>
          <w:szCs w:val="16"/>
          <w:color w:val="auto"/>
        </w:rPr>
        <w:t>The CIB participated in all of the top 5 fee paying deals in 2019</w:t>
      </w:r>
      <w:r>
        <w:rPr>
          <w:rFonts w:ascii="Arial" w:cs="Arial" w:eastAsia="Arial" w:hAnsi="Arial"/>
          <w:sz w:val="27"/>
          <w:szCs w:val="27"/>
          <w:color w:val="auto"/>
          <w:vertAlign w:val="superscript"/>
        </w:rPr>
        <w:t>4</w:t>
      </w:r>
    </w:p>
    <w:p>
      <w:pPr>
        <w:ind w:left="144" w:right="180" w:hanging="144"/>
        <w:spacing w:after="0" w:line="260" w:lineRule="auto"/>
        <w:tabs>
          <w:tab w:leader="none" w:pos="128" w:val="left"/>
        </w:tabs>
        <w:numPr>
          <w:ilvl w:val="0"/>
          <w:numId w:val="142"/>
        </w:numPr>
        <w:rPr>
          <w:rFonts w:ascii="Arial" w:cs="Arial" w:eastAsia="Arial" w:hAnsi="Arial"/>
          <w:sz w:val="16"/>
          <w:szCs w:val="16"/>
          <w:color w:val="004876"/>
        </w:rPr>
      </w:pPr>
      <w:r>
        <w:rPr>
          <w:rFonts w:ascii="Arial" w:cs="Arial" w:eastAsia="Arial" w:hAnsi="Arial"/>
          <w:sz w:val="16"/>
          <w:szCs w:val="16"/>
          <w:color w:val="auto"/>
        </w:rPr>
        <w:t>As Co-President &amp; Co-COO, continued to drive day-to-day operations across the Firm, including strategy planning, business &amp; budget reviews, organizational and talent initiatives and oversight of support functions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-1053465</wp:posOffset>
            </wp:positionH>
            <wp:positionV relativeFrom="paragraph">
              <wp:posOffset>53975</wp:posOffset>
            </wp:positionV>
            <wp:extent cx="699516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71" w:lineRule="exact"/>
        <w:rPr>
          <w:sz w:val="20"/>
          <w:szCs w:val="20"/>
          <w:color w:val="auto"/>
        </w:rPr>
      </w:pPr>
    </w:p>
    <w:p>
      <w:pPr>
        <w:sectPr>
          <w:pgSz w:w="11900" w:h="16838" w:orient="portrait"/>
          <w:cols w:equalWidth="0" w:num="2">
            <w:col w:w="1460" w:space="316"/>
            <w:col w:w="9344"/>
          </w:cols>
          <w:pgMar w:left="320" w:top="459" w:right="459" w:bottom="1440" w:gutter="0" w:footer="0" w:header="0"/>
          <w:type w:val="continuous"/>
        </w:sectPr>
      </w:pPr>
    </w:p>
    <w:p>
      <w:pPr>
        <w:jc w:val="right"/>
        <w:spacing w:after="0"/>
        <w:rPr>
          <w:sz w:val="20"/>
          <w:szCs w:val="20"/>
          <w:color w:val="auto"/>
        </w:rPr>
      </w:pPr>
      <w:r>
        <w:rPr>
          <w:rFonts w:ascii="Arial" w:cs="Arial" w:eastAsia="Arial" w:hAnsi="Arial"/>
          <w:sz w:val="18"/>
          <w:szCs w:val="18"/>
          <w:b w:val="1"/>
          <w:bCs w:val="1"/>
          <w:color w:val="FFFFFF"/>
        </w:rPr>
        <w:t>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-116205</wp:posOffset>
            </wp:positionV>
            <wp:extent cx="985520" cy="54038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985520" cy="54038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7"/>
          <w:szCs w:val="17"/>
          <w:b w:val="1"/>
          <w:bCs w:val="1"/>
          <w:color w:val="FFFFFF"/>
        </w:rPr>
        <w:t>Controls &amp;</w:t>
      </w:r>
    </w:p>
    <w:p>
      <w:pPr>
        <w:spacing w:after="0" w:line="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FFFFFF"/>
        </w:rPr>
        <w:t>Conduct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left="144" w:hanging="144"/>
        <w:spacing w:after="0"/>
        <w:tabs>
          <w:tab w:leader="none" w:pos="144" w:val="left"/>
        </w:tabs>
        <w:numPr>
          <w:ilvl w:val="0"/>
          <w:numId w:val="143"/>
        </w:numPr>
        <w:rPr>
          <w:rFonts w:ascii="Arial" w:cs="Arial" w:eastAsia="Arial" w:hAnsi="Arial"/>
          <w:sz w:val="16"/>
          <w:szCs w:val="16"/>
          <w:color w:val="004876"/>
        </w:rPr>
      </w:pPr>
      <w:r>
        <w:rPr>
          <w:rFonts w:ascii="Arial" w:cs="Arial" w:eastAsia="Arial" w:hAnsi="Arial"/>
          <w:sz w:val="16"/>
          <w:szCs w:val="16"/>
          <w:color w:val="auto"/>
        </w:rPr>
        <w:t>Oversaw the Brexit strategy to be ready for a minimally disruptive outcome for the Firm and its clients</w:t>
      </w:r>
    </w:p>
    <w:p>
      <w:pPr>
        <w:spacing w:after="0" w:line="45" w:lineRule="exact"/>
        <w:rPr>
          <w:rFonts w:ascii="Arial" w:cs="Arial" w:eastAsia="Arial" w:hAnsi="Arial"/>
          <w:sz w:val="16"/>
          <w:szCs w:val="16"/>
          <w:color w:val="004876"/>
        </w:rPr>
      </w:pPr>
    </w:p>
    <w:p>
      <w:pPr>
        <w:ind w:left="144" w:right="480" w:hanging="144"/>
        <w:spacing w:after="0" w:line="260" w:lineRule="auto"/>
        <w:tabs>
          <w:tab w:leader="none" w:pos="137" w:val="left"/>
        </w:tabs>
        <w:numPr>
          <w:ilvl w:val="0"/>
          <w:numId w:val="143"/>
        </w:numPr>
        <w:rPr>
          <w:rFonts w:ascii="Arial" w:cs="Arial" w:eastAsia="Arial" w:hAnsi="Arial"/>
          <w:sz w:val="16"/>
          <w:szCs w:val="16"/>
          <w:color w:val="004876"/>
        </w:rPr>
      </w:pPr>
      <w:r>
        <w:rPr>
          <w:rFonts w:ascii="Arial" w:cs="Arial" w:eastAsia="Arial" w:hAnsi="Arial"/>
          <w:sz w:val="16"/>
          <w:szCs w:val="16"/>
          <w:color w:val="auto"/>
        </w:rPr>
        <w:t>Continued to maintain strong risk discipline across all business activities with a focus on addressing issues and enhancing controls in key areas</w:t>
      </w:r>
    </w:p>
    <w:p>
      <w:pPr>
        <w:spacing w:after="0" w:line="19" w:lineRule="exact"/>
        <w:rPr>
          <w:rFonts w:ascii="Arial" w:cs="Arial" w:eastAsia="Arial" w:hAnsi="Arial"/>
          <w:sz w:val="16"/>
          <w:szCs w:val="16"/>
          <w:color w:val="004876"/>
        </w:rPr>
      </w:pPr>
    </w:p>
    <w:p>
      <w:pPr>
        <w:ind w:left="144" w:hanging="144"/>
        <w:spacing w:after="0"/>
        <w:tabs>
          <w:tab w:leader="none" w:pos="144" w:val="left"/>
        </w:tabs>
        <w:numPr>
          <w:ilvl w:val="0"/>
          <w:numId w:val="143"/>
        </w:numPr>
        <w:rPr>
          <w:rFonts w:ascii="Arial" w:cs="Arial" w:eastAsia="Arial" w:hAnsi="Arial"/>
          <w:sz w:val="16"/>
          <w:szCs w:val="16"/>
          <w:color w:val="004876"/>
        </w:rPr>
      </w:pPr>
      <w:r>
        <w:rPr>
          <w:rFonts w:ascii="Arial" w:cs="Arial" w:eastAsia="Arial" w:hAnsi="Arial"/>
          <w:sz w:val="16"/>
          <w:szCs w:val="16"/>
          <w:color w:val="auto"/>
        </w:rPr>
        <w:t>Continued to make progress in addressing regulatory and enforcement matters affecting the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-1053465</wp:posOffset>
            </wp:positionH>
            <wp:positionV relativeFrom="paragraph">
              <wp:posOffset>70485</wp:posOffset>
            </wp:positionV>
            <wp:extent cx="699516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6" w:lineRule="exact"/>
        <w:rPr>
          <w:sz w:val="20"/>
          <w:szCs w:val="20"/>
          <w:color w:val="auto"/>
        </w:rPr>
      </w:pPr>
    </w:p>
    <w:p>
      <w:pPr>
        <w:sectPr>
          <w:pgSz w:w="11900" w:h="16838" w:orient="portrait"/>
          <w:cols w:equalWidth="0" w:num="2">
            <w:col w:w="1460" w:space="316"/>
            <w:col w:w="9344"/>
          </w:cols>
          <w:pgMar w:left="320" w:top="459" w:right="459" w:bottom="1440" w:gutter="0" w:footer="0" w:header="0"/>
          <w:type w:val="continuous"/>
        </w:sectPr>
      </w:pPr>
    </w:p>
    <w:p>
      <w:pPr>
        <w:jc w:val="right"/>
        <w:ind w:left="440"/>
        <w:spacing w:after="0" w:line="275" w:lineRule="auto"/>
        <w:rPr>
          <w:sz w:val="20"/>
          <w:szCs w:val="20"/>
          <w:color w:val="auto"/>
        </w:rPr>
      </w:pPr>
      <w:r>
        <w:rPr>
          <w:rFonts w:ascii="Arial" w:cs="Arial" w:eastAsia="Arial" w:hAnsi="Arial"/>
          <w:sz w:val="17"/>
          <w:szCs w:val="17"/>
          <w:b w:val="1"/>
          <w:bCs w:val="1"/>
          <w:color w:val="FFFFFF"/>
        </w:rPr>
        <w:t>Client / Customer / Stakeholder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-411480</wp:posOffset>
            </wp:positionV>
            <wp:extent cx="985520" cy="6604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985520" cy="660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left="144" w:hanging="144"/>
        <w:spacing w:after="0"/>
        <w:tabs>
          <w:tab w:leader="none" w:pos="144" w:val="left"/>
        </w:tabs>
        <w:numPr>
          <w:ilvl w:val="0"/>
          <w:numId w:val="144"/>
        </w:numPr>
        <w:rPr>
          <w:rFonts w:ascii="Arial" w:cs="Arial" w:eastAsia="Arial" w:hAnsi="Arial"/>
          <w:sz w:val="16"/>
          <w:szCs w:val="16"/>
          <w:color w:val="004876"/>
        </w:rPr>
      </w:pPr>
      <w:r>
        <w:rPr>
          <w:rFonts w:ascii="Arial" w:cs="Arial" w:eastAsia="Arial" w:hAnsi="Arial"/>
          <w:sz w:val="16"/>
          <w:szCs w:val="16"/>
          <w:color w:val="auto"/>
        </w:rPr>
        <w:t>Consolidated CIB Management team and created a unified Markets business and Wholesale Payments business</w:t>
      </w:r>
    </w:p>
    <w:p>
      <w:pPr>
        <w:spacing w:after="0" w:line="45" w:lineRule="exact"/>
        <w:rPr>
          <w:rFonts w:ascii="Arial" w:cs="Arial" w:eastAsia="Arial" w:hAnsi="Arial"/>
          <w:sz w:val="16"/>
          <w:szCs w:val="16"/>
          <w:color w:val="004876"/>
        </w:rPr>
      </w:pPr>
    </w:p>
    <w:p>
      <w:pPr>
        <w:ind w:left="144" w:right="360" w:hanging="144"/>
        <w:spacing w:after="0" w:line="260" w:lineRule="auto"/>
        <w:tabs>
          <w:tab w:leader="none" w:pos="137" w:val="left"/>
        </w:tabs>
        <w:numPr>
          <w:ilvl w:val="0"/>
          <w:numId w:val="144"/>
        </w:numPr>
        <w:rPr>
          <w:rFonts w:ascii="Arial" w:cs="Arial" w:eastAsia="Arial" w:hAnsi="Arial"/>
          <w:sz w:val="16"/>
          <w:szCs w:val="16"/>
          <w:color w:val="004876"/>
        </w:rPr>
      </w:pPr>
      <w:r>
        <w:rPr>
          <w:rFonts w:ascii="Arial" w:cs="Arial" w:eastAsia="Arial" w:hAnsi="Arial"/>
          <w:sz w:val="16"/>
          <w:szCs w:val="16"/>
          <w:color w:val="auto"/>
        </w:rPr>
        <w:t>Continued executing on a multi-year technology transformation program supporting improved business delivery and internal efficiencies</w:t>
      </w:r>
    </w:p>
    <w:p>
      <w:pPr>
        <w:spacing w:after="0" w:line="19" w:lineRule="exact"/>
        <w:rPr>
          <w:rFonts w:ascii="Arial" w:cs="Arial" w:eastAsia="Arial" w:hAnsi="Arial"/>
          <w:sz w:val="16"/>
          <w:szCs w:val="16"/>
          <w:color w:val="004876"/>
        </w:rPr>
      </w:pPr>
    </w:p>
    <w:p>
      <w:pPr>
        <w:ind w:left="144" w:hanging="144"/>
        <w:spacing w:after="0" w:line="260" w:lineRule="auto"/>
        <w:tabs>
          <w:tab w:leader="none" w:pos="137" w:val="left"/>
        </w:tabs>
        <w:numPr>
          <w:ilvl w:val="0"/>
          <w:numId w:val="144"/>
        </w:numPr>
        <w:rPr>
          <w:rFonts w:ascii="Arial" w:cs="Arial" w:eastAsia="Arial" w:hAnsi="Arial"/>
          <w:sz w:val="16"/>
          <w:szCs w:val="16"/>
          <w:color w:val="004876"/>
        </w:rPr>
      </w:pPr>
      <w:r>
        <w:rPr>
          <w:rFonts w:ascii="Arial" w:cs="Arial" w:eastAsia="Arial" w:hAnsi="Arial"/>
          <w:sz w:val="16"/>
          <w:szCs w:val="16"/>
          <w:color w:val="auto"/>
        </w:rPr>
        <w:t>Significant investments in key growth areas, including China; partnership with Commercial Banking in its international expansion; and completed acquisition of InstaMed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-1053465</wp:posOffset>
            </wp:positionH>
            <wp:positionV relativeFrom="paragraph">
              <wp:posOffset>53975</wp:posOffset>
            </wp:positionV>
            <wp:extent cx="699516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71" w:lineRule="exact"/>
        <w:rPr>
          <w:sz w:val="20"/>
          <w:szCs w:val="20"/>
          <w:color w:val="auto"/>
        </w:rPr>
      </w:pPr>
    </w:p>
    <w:p>
      <w:pPr>
        <w:sectPr>
          <w:pgSz w:w="11900" w:h="16838" w:orient="portrait"/>
          <w:cols w:equalWidth="0" w:num="2">
            <w:col w:w="1460" w:space="316"/>
            <w:col w:w="9344"/>
          </w:cols>
          <w:pgMar w:left="320" w:top="459" w:right="459" w:bottom="1440" w:gutter="0" w:footer="0" w:header="0"/>
          <w:type w:val="continuous"/>
        </w:sectPr>
      </w:pPr>
    </w:p>
    <w:p>
      <w:pPr>
        <w:ind w:left="420"/>
        <w:spacing w:after="0"/>
        <w:tabs>
          <w:tab w:leader="none" w:pos="1760" w:val="left"/>
        </w:tabs>
        <w:rPr>
          <w:sz w:val="20"/>
          <w:szCs w:val="20"/>
          <w:color w:val="auto"/>
        </w:rPr>
      </w:pPr>
      <w:r>
        <w:rPr>
          <w:rFonts w:ascii="Arial" w:cs="Arial" w:eastAsia="Arial" w:hAnsi="Arial"/>
          <w:sz w:val="18"/>
          <w:szCs w:val="18"/>
          <w:b w:val="1"/>
          <w:bCs w:val="1"/>
          <w:color w:val="FFFFFF"/>
        </w:rPr>
        <w:t>Teamwork &amp;</w:t>
      </w:r>
      <w:r>
        <w:rPr>
          <w:sz w:val="20"/>
          <w:szCs w:val="20"/>
          <w:color w:val="auto"/>
        </w:rPr>
        <w:tab/>
      </w:r>
      <w:r>
        <w:rPr>
          <w:rFonts w:ascii="Arial" w:cs="Arial" w:eastAsia="Arial" w:hAnsi="Arial"/>
          <w:sz w:val="16"/>
          <w:szCs w:val="16"/>
          <w:color w:val="004876"/>
        </w:rPr>
        <w:t xml:space="preserve">• </w:t>
      </w:r>
      <w:r>
        <w:rPr>
          <w:rFonts w:ascii="Arial" w:cs="Arial" w:eastAsia="Arial" w:hAnsi="Arial"/>
          <w:sz w:val="16"/>
          <w:szCs w:val="16"/>
          <w:color w:val="000000"/>
        </w:rPr>
        <w:t>Continued to develop talent at the most senior level and created new or expanded roles to accelerate the development of top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-116205</wp:posOffset>
            </wp:positionV>
            <wp:extent cx="985520" cy="77978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985520" cy="779780"/>
                    </a:xfrm>
                    <a:prstGeom prst="rect">
                      <a:avLst/>
                    </a:prstGeom>
                    <a:noFill/>
                  </pic:spPr>
                </pic:pic>
              </a:graphicData>
            </a:graphic>
          </wp:anchor>
        </w:drawing>
      </w:r>
    </w:p>
    <w:p>
      <w:pPr>
        <w:ind w:left="500"/>
        <w:spacing w:after="0" w:line="233" w:lineRule="auto"/>
        <w:tabs>
          <w:tab w:leader="none" w:pos="1900" w:val="left"/>
        </w:tabs>
        <w:rPr>
          <w:sz w:val="20"/>
          <w:szCs w:val="20"/>
          <w:color w:val="auto"/>
        </w:rPr>
      </w:pPr>
      <w:r>
        <w:rPr>
          <w:rFonts w:ascii="Arial" w:cs="Arial" w:eastAsia="Arial" w:hAnsi="Arial"/>
          <w:sz w:val="18"/>
          <w:szCs w:val="18"/>
          <w:b w:val="1"/>
          <w:bCs w:val="1"/>
          <w:color w:val="FFFFFF"/>
        </w:rPr>
        <w:t>Leadership</w:t>
      </w:r>
      <w:r>
        <w:rPr>
          <w:sz w:val="20"/>
          <w:szCs w:val="20"/>
          <w:color w:val="auto"/>
        </w:rPr>
        <w:tab/>
      </w:r>
      <w:r>
        <w:rPr>
          <w:rFonts w:ascii="Arial" w:cs="Arial" w:eastAsia="Arial" w:hAnsi="Arial"/>
          <w:sz w:val="16"/>
          <w:szCs w:val="16"/>
          <w:color w:val="auto"/>
        </w:rPr>
        <w:t>talent</w:t>
      </w:r>
    </w:p>
    <w:p>
      <w:pPr>
        <w:spacing w:after="0" w:line="35" w:lineRule="exact"/>
        <w:rPr>
          <w:sz w:val="20"/>
          <w:szCs w:val="20"/>
          <w:color w:val="auto"/>
        </w:rPr>
      </w:pPr>
    </w:p>
    <w:p>
      <w:pPr>
        <w:ind w:left="1920" w:hanging="144"/>
        <w:spacing w:after="0"/>
        <w:tabs>
          <w:tab w:leader="none" w:pos="1920" w:val="left"/>
        </w:tabs>
        <w:numPr>
          <w:ilvl w:val="0"/>
          <w:numId w:val="145"/>
        </w:numPr>
        <w:rPr>
          <w:rFonts w:ascii="Arial" w:cs="Arial" w:eastAsia="Arial" w:hAnsi="Arial"/>
          <w:sz w:val="16"/>
          <w:szCs w:val="16"/>
          <w:color w:val="004876"/>
        </w:rPr>
      </w:pPr>
      <w:r>
        <w:rPr>
          <w:rFonts w:ascii="Arial" w:cs="Arial" w:eastAsia="Arial" w:hAnsi="Arial"/>
          <w:sz w:val="16"/>
          <w:szCs w:val="16"/>
          <w:color w:val="auto"/>
        </w:rPr>
        <w:t>Continued to advance hiring through the ReEntry Program and Military &amp; Veterans Intern Program</w:t>
      </w:r>
    </w:p>
    <w:p>
      <w:pPr>
        <w:spacing w:after="0" w:line="45" w:lineRule="exact"/>
        <w:rPr>
          <w:rFonts w:ascii="Arial" w:cs="Arial" w:eastAsia="Arial" w:hAnsi="Arial"/>
          <w:sz w:val="16"/>
          <w:szCs w:val="16"/>
          <w:color w:val="004876"/>
        </w:rPr>
      </w:pPr>
    </w:p>
    <w:p>
      <w:pPr>
        <w:ind w:left="1920" w:hanging="144"/>
        <w:spacing w:after="0" w:line="253" w:lineRule="auto"/>
        <w:tabs>
          <w:tab w:leader="none" w:pos="1913" w:val="left"/>
        </w:tabs>
        <w:numPr>
          <w:ilvl w:val="0"/>
          <w:numId w:val="145"/>
        </w:numPr>
        <w:rPr>
          <w:rFonts w:ascii="Arial" w:cs="Arial" w:eastAsia="Arial" w:hAnsi="Arial"/>
          <w:sz w:val="16"/>
          <w:szCs w:val="16"/>
          <w:color w:val="004876"/>
        </w:rPr>
      </w:pPr>
      <w:r>
        <w:rPr>
          <w:rFonts w:ascii="Arial" w:cs="Arial" w:eastAsia="Arial" w:hAnsi="Arial"/>
          <w:sz w:val="16"/>
          <w:szCs w:val="16"/>
          <w:color w:val="auto"/>
        </w:rPr>
        <w:t>Continued sponsorship of the Women’s Leadership Acceleration Program (“LeAP”), executive sponsor of the Adelante BRG, and provided additional support for Hispanic Heritage Month, as well as events hosted by Advancing Black Leaders and Women on the Move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83820</wp:posOffset>
            </wp:positionV>
            <wp:extent cx="699516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340" w:hanging="210"/>
        <w:spacing w:after="0"/>
        <w:tabs>
          <w:tab w:leader="none" w:pos="340" w:val="left"/>
        </w:tabs>
        <w:numPr>
          <w:ilvl w:val="0"/>
          <w:numId w:val="146"/>
        </w:numPr>
        <w:rPr>
          <w:rFonts w:ascii="Arial" w:cs="Arial" w:eastAsia="Arial" w:hAnsi="Arial"/>
          <w:sz w:val="11"/>
          <w:szCs w:val="11"/>
          <w:color w:val="auto"/>
        </w:rPr>
      </w:pPr>
      <w:r>
        <w:rPr>
          <w:rFonts w:ascii="Arial" w:cs="Arial" w:eastAsia="Arial" w:hAnsi="Arial"/>
          <w:sz w:val="13"/>
          <w:szCs w:val="13"/>
          <w:color w:val="auto"/>
        </w:rPr>
        <w:t>Refer to Note 2 on page 65.</w:t>
      </w:r>
    </w:p>
    <w:p>
      <w:pPr>
        <w:spacing w:after="0" w:line="13" w:lineRule="exact"/>
        <w:rPr>
          <w:sz w:val="20"/>
          <w:szCs w:val="20"/>
          <w:color w:val="auto"/>
        </w:rPr>
      </w:pPr>
    </w:p>
    <w:p>
      <w:pPr>
        <w:ind w:left="340" w:hanging="175"/>
        <w:spacing w:after="0"/>
        <w:tabs>
          <w:tab w:leader="none" w:pos="340" w:val="left"/>
        </w:tabs>
        <w:numPr>
          <w:ilvl w:val="0"/>
          <w:numId w:val="147"/>
        </w:numPr>
        <w:rPr>
          <w:rFonts w:ascii="Arial" w:cs="Arial" w:eastAsia="Arial" w:hAnsi="Arial"/>
          <w:sz w:val="11"/>
          <w:szCs w:val="11"/>
          <w:color w:val="auto"/>
        </w:rPr>
      </w:pPr>
      <w:r>
        <w:rPr>
          <w:rFonts w:ascii="Arial" w:cs="Arial" w:eastAsia="Arial" w:hAnsi="Arial"/>
          <w:sz w:val="13"/>
          <w:szCs w:val="13"/>
          <w:color w:val="auto"/>
        </w:rPr>
        <w:t>The Firm reviews the results of the lines of business on a managed basis. Refer to Additional notes, Note 1, on page 115 for a definition of managed basis.</w:t>
      </w:r>
    </w:p>
    <w:p>
      <w:pPr>
        <w:spacing w:after="0" w:line="13" w:lineRule="exact"/>
        <w:rPr>
          <w:sz w:val="20"/>
          <w:szCs w:val="20"/>
          <w:color w:val="auto"/>
        </w:rPr>
      </w:pPr>
    </w:p>
    <w:p>
      <w:pPr>
        <w:ind w:left="340" w:right="120" w:hanging="175"/>
        <w:spacing w:after="0" w:line="216" w:lineRule="auto"/>
        <w:tabs>
          <w:tab w:leader="none" w:pos="340" w:val="left"/>
        </w:tabs>
        <w:numPr>
          <w:ilvl w:val="0"/>
          <w:numId w:val="148"/>
        </w:numPr>
        <w:rPr>
          <w:rFonts w:ascii="Arial" w:cs="Arial" w:eastAsia="Arial" w:hAnsi="Arial"/>
          <w:sz w:val="11"/>
          <w:szCs w:val="11"/>
          <w:color w:val="auto"/>
        </w:rPr>
      </w:pPr>
      <w:r>
        <w:rPr>
          <w:rFonts w:ascii="Arial" w:cs="Arial" w:eastAsia="Arial" w:hAnsi="Arial"/>
          <w:sz w:val="13"/>
          <w:szCs w:val="13"/>
          <w:color w:val="auto"/>
        </w:rPr>
        <w:t>Coalition, preliminary 2019 market share analysis reflects JPMorgan Chase’s share of the global industry revenue pool and is based on JPMorgan Chase’s business structure. FY19 analysis is based on preliminary results and peer-set BAC, BARC, BNPP, CITI, CS, DB, GS, HSBC, JPM, MS, SG, &amp; UBS.</w:t>
      </w:r>
    </w:p>
    <w:p>
      <w:pPr>
        <w:spacing w:after="0" w:line="1" w:lineRule="exact"/>
        <w:rPr>
          <w:sz w:val="20"/>
          <w:szCs w:val="20"/>
          <w:color w:val="auto"/>
        </w:rPr>
      </w:pPr>
    </w:p>
    <w:p>
      <w:pPr>
        <w:ind w:left="340" w:hanging="210"/>
        <w:spacing w:after="0"/>
        <w:tabs>
          <w:tab w:leader="none" w:pos="340" w:val="left"/>
        </w:tabs>
        <w:numPr>
          <w:ilvl w:val="0"/>
          <w:numId w:val="149"/>
        </w:numPr>
        <w:rPr>
          <w:rFonts w:ascii="Arial" w:cs="Arial" w:eastAsia="Arial" w:hAnsi="Arial"/>
          <w:sz w:val="11"/>
          <w:szCs w:val="11"/>
          <w:color w:val="auto"/>
        </w:rPr>
      </w:pPr>
      <w:r>
        <w:rPr>
          <w:rFonts w:ascii="Arial" w:cs="Arial" w:eastAsia="Arial" w:hAnsi="Arial"/>
          <w:sz w:val="13"/>
          <w:szCs w:val="13"/>
          <w:color w:val="auto"/>
        </w:rPr>
        <w:t>Dealogic as of January 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260350</wp:posOffset>
            </wp:positionV>
            <wp:extent cx="7029450" cy="19685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029450" cy="196850"/>
                    </a:xfrm>
                    <a:prstGeom prst="rect">
                      <a:avLst/>
                    </a:prstGeom>
                    <a:noFill/>
                  </pic:spPr>
                </pic:pic>
              </a:graphicData>
            </a:graphic>
          </wp:anchor>
        </w:drawing>
      </w:r>
    </w:p>
    <w:p>
      <w:pPr>
        <w:sectPr>
          <w:pgSz w:w="11900" w:h="16838" w:orient="portrait"/>
          <w:cols w:equalWidth="0" w:num="1">
            <w:col w:w="11120"/>
          </w:cols>
          <w:pgMar w:left="320" w:top="459" w:right="459" w:bottom="1440" w:gutter="0" w:footer="0" w:header="0"/>
          <w:type w:val="continuous"/>
        </w:sectPr>
      </w:pPr>
    </w:p>
    <w:p>
      <w:pPr>
        <w:spacing w:after="0" w:line="200" w:lineRule="exact"/>
        <w:rPr>
          <w:sz w:val="20"/>
          <w:szCs w:val="20"/>
          <w:color w:val="auto"/>
        </w:rPr>
      </w:pPr>
    </w:p>
    <w:p>
      <w:pPr>
        <w:spacing w:after="0" w:line="288" w:lineRule="exact"/>
        <w:rPr>
          <w:sz w:val="20"/>
          <w:szCs w:val="20"/>
          <w:color w:val="auto"/>
        </w:rPr>
      </w:pPr>
    </w:p>
    <w:p>
      <w:pPr>
        <w:jc w:val="center"/>
        <w:ind w:right="-119"/>
        <w:spacing w:after="0"/>
        <w:rPr>
          <w:sz w:val="20"/>
          <w:szCs w:val="20"/>
          <w:color w:val="auto"/>
        </w:rPr>
      </w:pPr>
      <w:r>
        <w:rPr>
          <w:rFonts w:ascii="Arial" w:cs="Arial" w:eastAsia="Arial" w:hAnsi="Arial"/>
          <w:sz w:val="13"/>
          <w:szCs w:val="13"/>
          <w:b w:val="1"/>
          <w:bCs w:val="1"/>
          <w:color w:val="004876"/>
        </w:rPr>
        <w:t>67</w:t>
      </w:r>
    </w:p>
    <w:p>
      <w:pPr>
        <w:sectPr>
          <w:pgSz w:w="11900" w:h="16838" w:orient="portrait"/>
          <w:cols w:equalWidth="0" w:num="1">
            <w:col w:w="11120"/>
          </w:cols>
          <w:pgMar w:left="320" w:top="459" w:right="459" w:bottom="1440" w:gutter="0" w:footer="0" w:header="0"/>
          <w:type w:val="continuous"/>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4876"/>
        </w:rPr>
        <w:t>COMPENSATION DISCUSSION AND ANALYSIS |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160655</wp:posOffset>
            </wp:positionV>
            <wp:extent cx="6926580" cy="26543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6926580"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340"/>
        <w:spacing w:after="0"/>
        <w:rPr>
          <w:sz w:val="20"/>
          <w:szCs w:val="20"/>
          <w:color w:val="auto"/>
        </w:rPr>
      </w:pPr>
      <w:r>
        <w:rPr>
          <w:rFonts w:ascii="Arial" w:cs="Arial" w:eastAsia="Arial" w:hAnsi="Arial"/>
          <w:sz w:val="29"/>
          <w:szCs w:val="29"/>
          <w:color w:val="004876"/>
        </w:rPr>
        <w:t>Gordon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995160" cy="10369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6995160" cy="1036955"/>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004876"/>
        </w:rPr>
        <w:t>CO-PRESIDENT &amp; CO-COO; CEO: CONSUMER &amp; COMMUNITY BANKING</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Mr. Smith was appointed Co-President and Co-Chief Operating Officer of the Firm in January</w:t>
      </w:r>
    </w:p>
    <w:p>
      <w:pPr>
        <w:spacing w:after="0" w:line="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2018, in addition to serving as CEO of CCB since December 2012. In 2017, Mr. Smith and</w:t>
      </w:r>
    </w:p>
    <w:p>
      <w:pPr>
        <w:spacing w:after="0" w:line="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Mr. Pinto assumed responsibility for Global Technology. Mr. Smith previously served as CEO of</w:t>
      </w:r>
    </w:p>
    <w:p>
      <w:pPr>
        <w:spacing w:after="0" w:line="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Card, Merchant Services and Auto Finance businesses.</w:t>
      </w:r>
    </w:p>
    <w:p>
      <w:pPr>
        <w:spacing w:after="0" w:line="200" w:lineRule="exact"/>
        <w:rPr>
          <w:sz w:val="20"/>
          <w:szCs w:val="20"/>
          <w:color w:val="auto"/>
        </w:rPr>
      </w:pPr>
    </w:p>
    <w:p>
      <w:pPr>
        <w:spacing w:after="0" w:line="232" w:lineRule="exact"/>
        <w:rPr>
          <w:sz w:val="20"/>
          <w:szCs w:val="20"/>
          <w:color w:val="auto"/>
        </w:rPr>
      </w:pPr>
    </w:p>
    <w:p>
      <w:pPr>
        <w:ind w:left="120"/>
        <w:spacing w:after="0"/>
        <w:rPr>
          <w:sz w:val="20"/>
          <w:szCs w:val="20"/>
          <w:color w:val="auto"/>
        </w:rPr>
      </w:pPr>
      <w:r>
        <w:rPr>
          <w:rFonts w:ascii="Arial" w:cs="Arial" w:eastAsia="Arial" w:hAnsi="Arial"/>
          <w:sz w:val="20"/>
          <w:szCs w:val="20"/>
          <w:color w:val="004876"/>
        </w:rPr>
        <w:t>2019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79375</wp:posOffset>
            </wp:positionV>
            <wp:extent cx="699516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7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FFFFFF"/>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-106680</wp:posOffset>
            </wp:positionV>
            <wp:extent cx="985520" cy="124333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985520" cy="124333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7"/>
          <w:szCs w:val="17"/>
          <w:b w:val="1"/>
          <w:bCs w:val="1"/>
          <w:color w:val="FFFFFF"/>
        </w:rPr>
        <w:t>Results</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144" w:hanging="144"/>
        <w:spacing w:after="0"/>
        <w:tabs>
          <w:tab w:leader="none" w:pos="144" w:val="left"/>
        </w:tabs>
        <w:numPr>
          <w:ilvl w:val="0"/>
          <w:numId w:val="150"/>
        </w:numPr>
        <w:rPr>
          <w:rFonts w:ascii="Arial" w:cs="Arial" w:eastAsia="Arial" w:hAnsi="Arial"/>
          <w:sz w:val="16"/>
          <w:szCs w:val="16"/>
          <w:color w:val="004876"/>
        </w:rPr>
      </w:pPr>
      <w:r>
        <w:rPr>
          <w:rFonts w:ascii="Arial" w:cs="Arial" w:eastAsia="Arial" w:hAnsi="Arial"/>
          <w:sz w:val="16"/>
          <w:szCs w:val="16"/>
          <w:color w:val="auto"/>
        </w:rPr>
        <w:t>CCB achieved record net income of $16.6B on revenue</w:t>
      </w:r>
      <w:r>
        <w:rPr>
          <w:rFonts w:ascii="Arial" w:cs="Arial" w:eastAsia="Arial" w:hAnsi="Arial"/>
          <w:sz w:val="27"/>
          <w:szCs w:val="27"/>
          <w:color w:val="auto"/>
          <w:vertAlign w:val="superscript"/>
        </w:rPr>
        <w:t>1</w:t>
      </w:r>
      <w:r>
        <w:rPr>
          <w:rFonts w:ascii="Arial" w:cs="Arial" w:eastAsia="Arial" w:hAnsi="Arial"/>
          <w:sz w:val="16"/>
          <w:szCs w:val="16"/>
          <w:color w:val="auto"/>
        </w:rPr>
        <w:t xml:space="preserve"> of $55.9B, with ROE of 31%</w:t>
      </w:r>
    </w:p>
    <w:p>
      <w:pPr>
        <w:ind w:left="124" w:hanging="124"/>
        <w:spacing w:after="0"/>
        <w:tabs>
          <w:tab w:leader="none" w:pos="124" w:val="left"/>
        </w:tabs>
        <w:numPr>
          <w:ilvl w:val="0"/>
          <w:numId w:val="150"/>
        </w:numPr>
        <w:rPr>
          <w:rFonts w:ascii="Arial" w:cs="Arial" w:eastAsia="Arial" w:hAnsi="Arial"/>
          <w:sz w:val="16"/>
          <w:szCs w:val="16"/>
          <w:color w:val="004876"/>
        </w:rPr>
      </w:pPr>
      <w:r>
        <w:rPr>
          <w:rFonts w:ascii="Arial" w:cs="Arial" w:eastAsia="Arial" w:hAnsi="Arial"/>
          <w:sz w:val="16"/>
          <w:szCs w:val="16"/>
          <w:color w:val="auto"/>
        </w:rPr>
        <w:t>Average deposits of $693.6B, up 3% from 2018; average loans of $464.3B, down 3% from 2018</w:t>
      </w:r>
    </w:p>
    <w:p>
      <w:pPr>
        <w:spacing w:after="0" w:line="45" w:lineRule="exact"/>
        <w:rPr>
          <w:rFonts w:ascii="Arial" w:cs="Arial" w:eastAsia="Arial" w:hAnsi="Arial"/>
          <w:sz w:val="16"/>
          <w:szCs w:val="16"/>
          <w:color w:val="004876"/>
        </w:rPr>
      </w:pPr>
    </w:p>
    <w:p>
      <w:pPr>
        <w:ind w:left="144" w:hanging="144"/>
        <w:spacing w:after="0"/>
        <w:tabs>
          <w:tab w:leader="none" w:pos="144" w:val="left"/>
        </w:tabs>
        <w:numPr>
          <w:ilvl w:val="0"/>
          <w:numId w:val="150"/>
        </w:numPr>
        <w:rPr>
          <w:rFonts w:ascii="Arial" w:cs="Arial" w:eastAsia="Arial" w:hAnsi="Arial"/>
          <w:sz w:val="16"/>
          <w:szCs w:val="16"/>
          <w:color w:val="004876"/>
        </w:rPr>
      </w:pPr>
      <w:r>
        <w:rPr>
          <w:rFonts w:ascii="Arial" w:cs="Arial" w:eastAsia="Arial" w:hAnsi="Arial"/>
          <w:sz w:val="16"/>
          <w:szCs w:val="16"/>
          <w:color w:val="auto"/>
        </w:rPr>
        <w:t>Maintained relationships with approximately 63 million U.S. households, including 4.3 million small businesses</w:t>
      </w:r>
    </w:p>
    <w:p>
      <w:pPr>
        <w:spacing w:after="0" w:line="40" w:lineRule="exact"/>
        <w:rPr>
          <w:rFonts w:ascii="Arial" w:cs="Arial" w:eastAsia="Arial" w:hAnsi="Arial"/>
          <w:sz w:val="16"/>
          <w:szCs w:val="16"/>
          <w:color w:val="004876"/>
        </w:rPr>
      </w:pPr>
    </w:p>
    <w:p>
      <w:pPr>
        <w:ind w:left="144" w:right="100" w:hanging="144"/>
        <w:spacing w:after="0" w:line="188" w:lineRule="auto"/>
        <w:tabs>
          <w:tab w:leader="none" w:pos="137" w:val="left"/>
        </w:tabs>
        <w:numPr>
          <w:ilvl w:val="0"/>
          <w:numId w:val="150"/>
        </w:numPr>
        <w:rPr>
          <w:rFonts w:ascii="Arial" w:cs="Arial" w:eastAsia="Arial" w:hAnsi="Arial"/>
          <w:sz w:val="16"/>
          <w:szCs w:val="16"/>
          <w:color w:val="004876"/>
        </w:rPr>
      </w:pPr>
      <w:r>
        <w:rPr>
          <w:rFonts w:ascii="Arial" w:cs="Arial" w:eastAsia="Arial" w:hAnsi="Arial"/>
          <w:sz w:val="16"/>
          <w:szCs w:val="16"/>
          <w:color w:val="auto"/>
        </w:rPr>
        <w:t>Largest active digital and mobile customer base among U.S. banks</w:t>
      </w:r>
      <w:r>
        <w:rPr>
          <w:rFonts w:ascii="Arial" w:cs="Arial" w:eastAsia="Arial" w:hAnsi="Arial"/>
          <w:sz w:val="27"/>
          <w:szCs w:val="27"/>
          <w:color w:val="auto"/>
          <w:vertAlign w:val="superscript"/>
        </w:rPr>
        <w:t>2</w:t>
      </w:r>
      <w:r>
        <w:rPr>
          <w:rFonts w:ascii="Arial" w:cs="Arial" w:eastAsia="Arial" w:hAnsi="Arial"/>
          <w:sz w:val="16"/>
          <w:szCs w:val="16"/>
          <w:color w:val="auto"/>
        </w:rPr>
        <w:t>; active digital and mobile customers</w:t>
      </w:r>
      <w:r>
        <w:rPr>
          <w:rFonts w:ascii="Arial" w:cs="Arial" w:eastAsia="Arial" w:hAnsi="Arial"/>
          <w:sz w:val="27"/>
          <w:szCs w:val="27"/>
          <w:color w:val="auto"/>
          <w:vertAlign w:val="superscript"/>
        </w:rPr>
        <w:t>3</w:t>
      </w:r>
      <w:r>
        <w:rPr>
          <w:rFonts w:ascii="Arial" w:cs="Arial" w:eastAsia="Arial" w:hAnsi="Arial"/>
          <w:sz w:val="16"/>
          <w:szCs w:val="16"/>
          <w:color w:val="auto"/>
        </w:rPr>
        <w:t xml:space="preserve"> increased by 6% and 12% from 2018, respectively</w:t>
      </w:r>
    </w:p>
    <w:p>
      <w:pPr>
        <w:spacing w:after="0" w:line="1" w:lineRule="exact"/>
        <w:rPr>
          <w:rFonts w:ascii="Arial" w:cs="Arial" w:eastAsia="Arial" w:hAnsi="Arial"/>
          <w:sz w:val="16"/>
          <w:szCs w:val="16"/>
          <w:color w:val="004876"/>
        </w:rPr>
      </w:pPr>
    </w:p>
    <w:p>
      <w:pPr>
        <w:ind w:left="144" w:hanging="144"/>
        <w:spacing w:after="0" w:line="204" w:lineRule="auto"/>
        <w:tabs>
          <w:tab w:leader="none" w:pos="144" w:val="left"/>
        </w:tabs>
        <w:numPr>
          <w:ilvl w:val="0"/>
          <w:numId w:val="150"/>
        </w:numPr>
        <w:rPr>
          <w:rFonts w:ascii="Arial" w:cs="Arial" w:eastAsia="Arial" w:hAnsi="Arial"/>
          <w:sz w:val="16"/>
          <w:szCs w:val="16"/>
          <w:color w:val="004876"/>
        </w:rPr>
      </w:pPr>
      <w:r>
        <w:rPr>
          <w:rFonts w:ascii="Arial" w:cs="Arial" w:eastAsia="Arial" w:hAnsi="Arial"/>
          <w:sz w:val="16"/>
          <w:szCs w:val="16"/>
          <w:color w:val="auto"/>
        </w:rPr>
        <w:t>#1 primary bank within Chase footprint</w:t>
      </w:r>
      <w:r>
        <w:rPr>
          <w:rFonts w:ascii="Arial" w:cs="Arial" w:eastAsia="Arial" w:hAnsi="Arial"/>
          <w:sz w:val="27"/>
          <w:szCs w:val="27"/>
          <w:color w:val="auto"/>
          <w:vertAlign w:val="superscript"/>
        </w:rPr>
        <w:t>4</w:t>
      </w:r>
      <w:r>
        <w:rPr>
          <w:rFonts w:ascii="Arial" w:cs="Arial" w:eastAsia="Arial" w:hAnsi="Arial"/>
          <w:sz w:val="16"/>
          <w:szCs w:val="16"/>
          <w:color w:val="auto"/>
        </w:rPr>
        <w:t>; all time high Net Promoter Score</w:t>
      </w:r>
    </w:p>
    <w:p>
      <w:pPr>
        <w:ind w:left="144" w:hanging="144"/>
        <w:spacing w:after="0"/>
        <w:tabs>
          <w:tab w:leader="none" w:pos="144" w:val="left"/>
        </w:tabs>
        <w:numPr>
          <w:ilvl w:val="0"/>
          <w:numId w:val="150"/>
        </w:numPr>
        <w:rPr>
          <w:rFonts w:ascii="Arial" w:cs="Arial" w:eastAsia="Arial" w:hAnsi="Arial"/>
          <w:sz w:val="16"/>
          <w:szCs w:val="16"/>
          <w:color w:val="004876"/>
        </w:rPr>
      </w:pPr>
      <w:r>
        <w:rPr>
          <w:rFonts w:ascii="Arial" w:cs="Arial" w:eastAsia="Arial" w:hAnsi="Arial"/>
          <w:sz w:val="16"/>
          <w:szCs w:val="16"/>
          <w:color w:val="auto"/>
        </w:rPr>
        <w:t>#2 in overall customer satisfaction in the J.D. Power 2019 National Banking Study</w:t>
      </w:r>
    </w:p>
    <w:p>
      <w:pPr>
        <w:spacing w:after="0" w:line="45" w:lineRule="exact"/>
        <w:rPr>
          <w:rFonts w:ascii="Arial" w:cs="Arial" w:eastAsia="Arial" w:hAnsi="Arial"/>
          <w:sz w:val="16"/>
          <w:szCs w:val="16"/>
          <w:color w:val="004876"/>
        </w:rPr>
      </w:pPr>
    </w:p>
    <w:p>
      <w:pPr>
        <w:ind w:left="144" w:right="200" w:hanging="144"/>
        <w:spacing w:after="0" w:line="260" w:lineRule="auto"/>
        <w:tabs>
          <w:tab w:leader="none" w:pos="128" w:val="left"/>
        </w:tabs>
        <w:numPr>
          <w:ilvl w:val="0"/>
          <w:numId w:val="150"/>
        </w:numPr>
        <w:rPr>
          <w:rFonts w:ascii="Arial" w:cs="Arial" w:eastAsia="Arial" w:hAnsi="Arial"/>
          <w:sz w:val="16"/>
          <w:szCs w:val="16"/>
          <w:color w:val="004876"/>
        </w:rPr>
      </w:pPr>
      <w:r>
        <w:rPr>
          <w:rFonts w:ascii="Arial" w:cs="Arial" w:eastAsia="Arial" w:hAnsi="Arial"/>
          <w:sz w:val="16"/>
          <w:szCs w:val="16"/>
          <w:color w:val="auto"/>
        </w:rPr>
        <w:t>As Co-President &amp; Co-COO, continued to drive day-to-day operations across the Firm, including strategy planning, business &amp; budget reviews, organizational and talent initiatives and oversight of support functions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-1053465</wp:posOffset>
            </wp:positionH>
            <wp:positionV relativeFrom="paragraph">
              <wp:posOffset>53975</wp:posOffset>
            </wp:positionV>
            <wp:extent cx="699516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7" w:lineRule="exact"/>
        <w:rPr>
          <w:sz w:val="20"/>
          <w:szCs w:val="20"/>
          <w:color w:val="auto"/>
        </w:rPr>
      </w:pPr>
    </w:p>
    <w:p>
      <w:pPr>
        <w:sectPr>
          <w:pgSz w:w="11900" w:h="16838" w:orient="portrait"/>
          <w:cols w:equalWidth="0" w:num="2">
            <w:col w:w="1480" w:space="296"/>
            <w:col w:w="9364"/>
          </w:cols>
          <w:pgMar w:left="320" w:top="459" w:right="439" w:bottom="1440" w:gutter="0" w:footer="0" w:header="0"/>
          <w:type w:val="continuous"/>
        </w:sectPr>
      </w:pPr>
    </w:p>
    <w:p>
      <w:pPr>
        <w:jc w:val="right"/>
        <w:spacing w:after="0"/>
        <w:rPr>
          <w:sz w:val="20"/>
          <w:szCs w:val="20"/>
          <w:color w:val="auto"/>
        </w:rPr>
      </w:pPr>
      <w:r>
        <w:rPr>
          <w:rFonts w:ascii="Arial" w:cs="Arial" w:eastAsia="Arial" w:hAnsi="Arial"/>
          <w:sz w:val="17"/>
          <w:szCs w:val="17"/>
          <w:b w:val="1"/>
          <w:bCs w:val="1"/>
          <w:color w:val="FFFFFF"/>
        </w:rPr>
        <w:t>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-106680</wp:posOffset>
            </wp:positionV>
            <wp:extent cx="985520" cy="6604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985520" cy="66040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7"/>
          <w:szCs w:val="17"/>
          <w:b w:val="1"/>
          <w:bCs w:val="1"/>
          <w:color w:val="FFFFFF"/>
        </w:rPr>
        <w:t>Controls &amp;</w:t>
      </w:r>
    </w:p>
    <w:p>
      <w:pPr>
        <w:jc w:val="right"/>
        <w:spacing w:after="0"/>
        <w:rPr>
          <w:sz w:val="20"/>
          <w:szCs w:val="20"/>
          <w:color w:val="auto"/>
        </w:rPr>
      </w:pPr>
      <w:r>
        <w:rPr>
          <w:rFonts w:ascii="Arial" w:cs="Arial" w:eastAsia="Arial" w:hAnsi="Arial"/>
          <w:sz w:val="17"/>
          <w:szCs w:val="17"/>
          <w:b w:val="1"/>
          <w:bCs w:val="1"/>
          <w:color w:val="FFFFFF"/>
        </w:rPr>
        <w:t>Conduct</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ind w:left="144" w:right="580" w:hanging="144"/>
        <w:spacing w:after="0" w:line="260" w:lineRule="auto"/>
        <w:tabs>
          <w:tab w:leader="none" w:pos="137" w:val="left"/>
        </w:tabs>
        <w:numPr>
          <w:ilvl w:val="0"/>
          <w:numId w:val="151"/>
        </w:numPr>
        <w:rPr>
          <w:rFonts w:ascii="Arial" w:cs="Arial" w:eastAsia="Arial" w:hAnsi="Arial"/>
          <w:sz w:val="16"/>
          <w:szCs w:val="16"/>
          <w:color w:val="004876"/>
        </w:rPr>
      </w:pPr>
      <w:r>
        <w:rPr>
          <w:rFonts w:ascii="Arial" w:cs="Arial" w:eastAsia="Arial" w:hAnsi="Arial"/>
          <w:sz w:val="16"/>
          <w:szCs w:val="16"/>
          <w:color w:val="auto"/>
        </w:rPr>
        <w:t>Continued proactive cybersecurity and controls monitoring through business innovation, new technologies (e.g., machine learning), and addressing elevated and emerging risks</w:t>
      </w:r>
    </w:p>
    <w:p>
      <w:pPr>
        <w:spacing w:after="0" w:line="19" w:lineRule="exact"/>
        <w:rPr>
          <w:rFonts w:ascii="Arial" w:cs="Arial" w:eastAsia="Arial" w:hAnsi="Arial"/>
          <w:sz w:val="16"/>
          <w:szCs w:val="16"/>
          <w:color w:val="004876"/>
        </w:rPr>
      </w:pPr>
    </w:p>
    <w:p>
      <w:pPr>
        <w:ind w:left="144" w:hanging="144"/>
        <w:spacing w:after="0"/>
        <w:tabs>
          <w:tab w:leader="none" w:pos="144" w:val="left"/>
        </w:tabs>
        <w:numPr>
          <w:ilvl w:val="0"/>
          <w:numId w:val="151"/>
        </w:numPr>
        <w:rPr>
          <w:rFonts w:ascii="Arial" w:cs="Arial" w:eastAsia="Arial" w:hAnsi="Arial"/>
          <w:sz w:val="16"/>
          <w:szCs w:val="16"/>
          <w:color w:val="004876"/>
        </w:rPr>
      </w:pPr>
      <w:r>
        <w:rPr>
          <w:rFonts w:ascii="Arial" w:cs="Arial" w:eastAsia="Arial" w:hAnsi="Arial"/>
          <w:sz w:val="16"/>
          <w:szCs w:val="16"/>
          <w:color w:val="auto"/>
        </w:rPr>
        <w:t>Delivered secure One Chase experiences that provide choice, ease, personalization and integrated payments</w:t>
      </w:r>
    </w:p>
    <w:p>
      <w:pPr>
        <w:spacing w:after="0" w:line="45" w:lineRule="exact"/>
        <w:rPr>
          <w:rFonts w:ascii="Arial" w:cs="Arial" w:eastAsia="Arial" w:hAnsi="Arial"/>
          <w:sz w:val="16"/>
          <w:szCs w:val="16"/>
          <w:color w:val="004876"/>
        </w:rPr>
      </w:pPr>
    </w:p>
    <w:p>
      <w:pPr>
        <w:ind w:left="144" w:right="320" w:hanging="144"/>
        <w:spacing w:after="0" w:line="260" w:lineRule="auto"/>
        <w:tabs>
          <w:tab w:leader="none" w:pos="137" w:val="left"/>
        </w:tabs>
        <w:numPr>
          <w:ilvl w:val="0"/>
          <w:numId w:val="151"/>
        </w:numPr>
        <w:rPr>
          <w:rFonts w:ascii="Arial" w:cs="Arial" w:eastAsia="Arial" w:hAnsi="Arial"/>
          <w:sz w:val="16"/>
          <w:szCs w:val="16"/>
          <w:color w:val="004876"/>
        </w:rPr>
      </w:pPr>
      <w:r>
        <w:rPr>
          <w:rFonts w:ascii="Arial" w:cs="Arial" w:eastAsia="Arial" w:hAnsi="Arial"/>
          <w:sz w:val="16"/>
          <w:szCs w:val="16"/>
          <w:color w:val="auto"/>
        </w:rPr>
        <w:t>Continued to make significant progress in addressing regulatory matters affecting the business, as well as addressing issues and enhancing controls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-1053465</wp:posOffset>
            </wp:positionH>
            <wp:positionV relativeFrom="paragraph">
              <wp:posOffset>53975</wp:posOffset>
            </wp:positionV>
            <wp:extent cx="699516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7" w:lineRule="exact"/>
        <w:rPr>
          <w:sz w:val="20"/>
          <w:szCs w:val="20"/>
          <w:color w:val="auto"/>
        </w:rPr>
      </w:pPr>
    </w:p>
    <w:p>
      <w:pPr>
        <w:sectPr>
          <w:pgSz w:w="11900" w:h="16838" w:orient="portrait"/>
          <w:cols w:equalWidth="0" w:num="2">
            <w:col w:w="1480" w:space="296"/>
            <w:col w:w="9364"/>
          </w:cols>
          <w:pgMar w:left="320" w:top="459" w:right="439" w:bottom="1440" w:gutter="0" w:footer="0" w:header="0"/>
          <w:type w:val="continuous"/>
        </w:sectPr>
      </w:pPr>
    </w:p>
    <w:p>
      <w:pPr>
        <w:jc w:val="right"/>
        <w:ind w:left="500"/>
        <w:spacing w:after="0" w:line="249" w:lineRule="auto"/>
        <w:rPr>
          <w:sz w:val="20"/>
          <w:szCs w:val="20"/>
          <w:color w:val="auto"/>
        </w:rPr>
      </w:pPr>
      <w:r>
        <w:rPr>
          <w:rFonts w:ascii="Arial" w:cs="Arial" w:eastAsia="Arial" w:hAnsi="Arial"/>
          <w:sz w:val="17"/>
          <w:szCs w:val="17"/>
          <w:b w:val="1"/>
          <w:bCs w:val="1"/>
          <w:color w:val="FFFFFF"/>
        </w:rPr>
        <w:t>Client / Customer / Stakeholder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-368935</wp:posOffset>
            </wp:positionV>
            <wp:extent cx="985520" cy="92583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985520" cy="9258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ind w:left="144" w:right="240" w:hanging="144"/>
        <w:spacing w:after="0" w:line="260" w:lineRule="auto"/>
        <w:tabs>
          <w:tab w:leader="none" w:pos="137" w:val="left"/>
        </w:tabs>
        <w:numPr>
          <w:ilvl w:val="0"/>
          <w:numId w:val="152"/>
        </w:numPr>
        <w:rPr>
          <w:rFonts w:ascii="Arial" w:cs="Arial" w:eastAsia="Arial" w:hAnsi="Arial"/>
          <w:sz w:val="16"/>
          <w:szCs w:val="16"/>
          <w:color w:val="004876"/>
        </w:rPr>
      </w:pPr>
      <w:r>
        <w:rPr>
          <w:rFonts w:ascii="Arial" w:cs="Arial" w:eastAsia="Arial" w:hAnsi="Arial"/>
          <w:sz w:val="16"/>
          <w:szCs w:val="16"/>
          <w:color w:val="auto"/>
        </w:rPr>
        <w:t>Continued to execute on market expansion, opening over 70 new branches in 16 new markets in 2019, while transforming the branch network to drive innovation and growth</w:t>
      </w:r>
    </w:p>
    <w:p>
      <w:pPr>
        <w:spacing w:after="0" w:line="19" w:lineRule="exact"/>
        <w:rPr>
          <w:rFonts w:ascii="Arial" w:cs="Arial" w:eastAsia="Arial" w:hAnsi="Arial"/>
          <w:sz w:val="16"/>
          <w:szCs w:val="16"/>
          <w:color w:val="004876"/>
        </w:rPr>
      </w:pPr>
    </w:p>
    <w:p>
      <w:pPr>
        <w:ind w:left="144" w:right="220" w:hanging="144"/>
        <w:spacing w:after="0" w:line="260" w:lineRule="auto"/>
        <w:tabs>
          <w:tab w:leader="none" w:pos="128" w:val="left"/>
        </w:tabs>
        <w:numPr>
          <w:ilvl w:val="0"/>
          <w:numId w:val="152"/>
        </w:numPr>
        <w:rPr>
          <w:rFonts w:ascii="Arial" w:cs="Arial" w:eastAsia="Arial" w:hAnsi="Arial"/>
          <w:sz w:val="16"/>
          <w:szCs w:val="16"/>
          <w:color w:val="004876"/>
        </w:rPr>
      </w:pPr>
      <w:r>
        <w:rPr>
          <w:rFonts w:ascii="Arial" w:cs="Arial" w:eastAsia="Arial" w:hAnsi="Arial"/>
          <w:sz w:val="16"/>
          <w:szCs w:val="16"/>
          <w:color w:val="auto"/>
        </w:rPr>
        <w:t>Announced Advancing Black Pathways to expand economic opportunity for Black Americans through access to education and training, growing careers and building wealth</w:t>
      </w:r>
    </w:p>
    <w:p>
      <w:pPr>
        <w:spacing w:after="0" w:line="19" w:lineRule="exact"/>
        <w:rPr>
          <w:rFonts w:ascii="Arial" w:cs="Arial" w:eastAsia="Arial" w:hAnsi="Arial"/>
          <w:sz w:val="16"/>
          <w:szCs w:val="16"/>
          <w:color w:val="004876"/>
        </w:rPr>
      </w:pPr>
    </w:p>
    <w:p>
      <w:pPr>
        <w:ind w:left="144" w:hanging="144"/>
        <w:spacing w:after="0"/>
        <w:tabs>
          <w:tab w:leader="none" w:pos="144" w:val="left"/>
        </w:tabs>
        <w:numPr>
          <w:ilvl w:val="0"/>
          <w:numId w:val="152"/>
        </w:numPr>
        <w:rPr>
          <w:rFonts w:ascii="Arial" w:cs="Arial" w:eastAsia="Arial" w:hAnsi="Arial"/>
          <w:sz w:val="16"/>
          <w:szCs w:val="16"/>
          <w:color w:val="004876"/>
        </w:rPr>
      </w:pPr>
      <w:r>
        <w:rPr>
          <w:rFonts w:ascii="Arial" w:cs="Arial" w:eastAsia="Arial" w:hAnsi="Arial"/>
          <w:sz w:val="16"/>
          <w:szCs w:val="16"/>
          <w:color w:val="auto"/>
        </w:rPr>
        <w:t>Sponsored the first StartupBus solely for Black entrepreneurs through a joint effort by Chase for Business and ABP</w:t>
      </w:r>
    </w:p>
    <w:p>
      <w:pPr>
        <w:spacing w:after="0" w:line="45" w:lineRule="exact"/>
        <w:rPr>
          <w:rFonts w:ascii="Arial" w:cs="Arial" w:eastAsia="Arial" w:hAnsi="Arial"/>
          <w:sz w:val="16"/>
          <w:szCs w:val="16"/>
          <w:color w:val="004876"/>
        </w:rPr>
      </w:pPr>
    </w:p>
    <w:p>
      <w:pPr>
        <w:ind w:left="144" w:right="260" w:hanging="144"/>
        <w:spacing w:after="0" w:line="260" w:lineRule="auto"/>
        <w:tabs>
          <w:tab w:leader="none" w:pos="137" w:val="left"/>
        </w:tabs>
        <w:numPr>
          <w:ilvl w:val="0"/>
          <w:numId w:val="152"/>
        </w:numPr>
        <w:rPr>
          <w:rFonts w:ascii="Arial" w:cs="Arial" w:eastAsia="Arial" w:hAnsi="Arial"/>
          <w:sz w:val="16"/>
          <w:szCs w:val="16"/>
          <w:color w:val="004876"/>
        </w:rPr>
      </w:pPr>
      <w:r>
        <w:rPr>
          <w:rFonts w:ascii="Arial" w:cs="Arial" w:eastAsia="Arial" w:hAnsi="Arial"/>
          <w:sz w:val="16"/>
          <w:szCs w:val="16"/>
          <w:color w:val="auto"/>
        </w:rPr>
        <w:t>Continued to enhance the You Invest platform in partnership with AWM; launched You Invest Portfolios as an easy, smart and low-cost online investment tool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-1053465</wp:posOffset>
            </wp:positionH>
            <wp:positionV relativeFrom="paragraph">
              <wp:posOffset>53975</wp:posOffset>
            </wp:positionV>
            <wp:extent cx="699516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4" w:lineRule="exact"/>
        <w:rPr>
          <w:sz w:val="20"/>
          <w:szCs w:val="20"/>
          <w:color w:val="auto"/>
        </w:rPr>
      </w:pPr>
    </w:p>
    <w:p>
      <w:pPr>
        <w:sectPr>
          <w:pgSz w:w="11900" w:h="16838" w:orient="portrait"/>
          <w:cols w:equalWidth="0" w:num="2">
            <w:col w:w="1480" w:space="296"/>
            <w:col w:w="9364"/>
          </w:cols>
          <w:pgMar w:left="320" w:top="459" w:right="439" w:bottom="1440" w:gutter="0" w:footer="0" w:header="0"/>
          <w:type w:val="continuous"/>
        </w:sectPr>
      </w:pPr>
    </w:p>
    <w:p>
      <w:pPr>
        <w:ind w:left="480"/>
        <w:spacing w:after="0"/>
        <w:tabs>
          <w:tab w:leader="none" w:pos="1760" w:val="left"/>
        </w:tabs>
        <w:rPr>
          <w:sz w:val="20"/>
          <w:szCs w:val="20"/>
          <w:color w:val="auto"/>
        </w:rPr>
      </w:pPr>
      <w:r>
        <w:rPr>
          <w:rFonts w:ascii="Arial" w:cs="Arial" w:eastAsia="Arial" w:hAnsi="Arial"/>
          <w:sz w:val="17"/>
          <w:szCs w:val="17"/>
          <w:b w:val="1"/>
          <w:bCs w:val="1"/>
          <w:color w:val="FFFFFF"/>
        </w:rPr>
        <w:t>Teamwork &amp;</w:t>
      </w:r>
      <w:r>
        <w:rPr>
          <w:sz w:val="20"/>
          <w:szCs w:val="20"/>
          <w:color w:val="auto"/>
        </w:rPr>
        <w:tab/>
      </w:r>
      <w:r>
        <w:rPr>
          <w:rFonts w:ascii="Arial" w:cs="Arial" w:eastAsia="Arial" w:hAnsi="Arial"/>
          <w:sz w:val="16"/>
          <w:szCs w:val="16"/>
          <w:color w:val="004876"/>
        </w:rPr>
        <w:t xml:space="preserve">• </w:t>
      </w:r>
      <w:r>
        <w:rPr>
          <w:rFonts w:ascii="Arial" w:cs="Arial" w:eastAsia="Arial" w:hAnsi="Arial"/>
          <w:sz w:val="16"/>
          <w:szCs w:val="16"/>
          <w:color w:val="000000"/>
        </w:rPr>
        <w:t>Continued to make progress against CCB’s diversity and inclusion strategy to improve female and U.S. ethnic minority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-106680</wp:posOffset>
            </wp:positionV>
            <wp:extent cx="985520" cy="77978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985520" cy="779780"/>
                    </a:xfrm>
                    <a:prstGeom prst="rect">
                      <a:avLst/>
                    </a:prstGeom>
                    <a:noFill/>
                  </pic:spPr>
                </pic:pic>
              </a:graphicData>
            </a:graphic>
          </wp:anchor>
        </w:drawing>
      </w:r>
    </w:p>
    <w:p>
      <w:pPr>
        <w:ind w:left="1920" w:right="120" w:hanging="1359"/>
        <w:spacing w:after="0" w:line="245" w:lineRule="auto"/>
        <w:tabs>
          <w:tab w:leader="none" w:pos="1900" w:val="left"/>
        </w:tabs>
        <w:rPr>
          <w:sz w:val="20"/>
          <w:szCs w:val="20"/>
          <w:color w:val="auto"/>
        </w:rPr>
      </w:pPr>
      <w:r>
        <w:rPr>
          <w:rFonts w:ascii="Arial" w:cs="Arial" w:eastAsia="Arial" w:hAnsi="Arial"/>
          <w:sz w:val="17"/>
          <w:szCs w:val="17"/>
          <w:b w:val="1"/>
          <w:bCs w:val="1"/>
          <w:color w:val="FFFFFF"/>
        </w:rPr>
        <w:t>Leadership</w:t>
      </w:r>
      <w:r>
        <w:rPr>
          <w:sz w:val="20"/>
          <w:szCs w:val="20"/>
          <w:color w:val="auto"/>
        </w:rPr>
        <w:tab/>
      </w:r>
      <w:r>
        <w:rPr>
          <w:rFonts w:ascii="Arial" w:cs="Arial" w:eastAsia="Arial" w:hAnsi="Arial"/>
          <w:sz w:val="16"/>
          <w:szCs w:val="16"/>
          <w:color w:val="auto"/>
        </w:rPr>
        <w:t>representation at the Vice President level and above; OC co-sponsor of the Access Ability BRG; support for all BRG-sponsored diversity events throughout the year</w:t>
      </w:r>
    </w:p>
    <w:p>
      <w:pPr>
        <w:spacing w:after="0" w:line="39" w:lineRule="exact"/>
        <w:rPr>
          <w:sz w:val="20"/>
          <w:szCs w:val="20"/>
          <w:color w:val="auto"/>
        </w:rPr>
      </w:pPr>
    </w:p>
    <w:p>
      <w:pPr>
        <w:ind w:left="1920" w:right="440" w:hanging="144"/>
        <w:spacing w:after="0" w:line="260" w:lineRule="auto"/>
        <w:tabs>
          <w:tab w:leader="none" w:pos="1913" w:val="left"/>
        </w:tabs>
        <w:numPr>
          <w:ilvl w:val="0"/>
          <w:numId w:val="153"/>
        </w:numPr>
        <w:rPr>
          <w:rFonts w:ascii="Arial" w:cs="Arial" w:eastAsia="Arial" w:hAnsi="Arial"/>
          <w:sz w:val="16"/>
          <w:szCs w:val="16"/>
          <w:color w:val="004876"/>
        </w:rPr>
      </w:pPr>
      <w:r>
        <w:rPr>
          <w:rFonts w:ascii="Arial" w:cs="Arial" w:eastAsia="Arial" w:hAnsi="Arial"/>
          <w:sz w:val="16"/>
          <w:szCs w:val="16"/>
          <w:color w:val="auto"/>
        </w:rPr>
        <w:t>Implemented hiring plans to enhance entry-level diverse pipeline hires, as well as other strategies to further the culture and experience of employees in CCB</w:t>
      </w:r>
    </w:p>
    <w:p>
      <w:pPr>
        <w:spacing w:after="0" w:line="19" w:lineRule="exact"/>
        <w:rPr>
          <w:rFonts w:ascii="Arial" w:cs="Arial" w:eastAsia="Arial" w:hAnsi="Arial"/>
          <w:sz w:val="16"/>
          <w:szCs w:val="16"/>
          <w:color w:val="004876"/>
        </w:rPr>
      </w:pPr>
    </w:p>
    <w:p>
      <w:pPr>
        <w:ind w:left="1920" w:hanging="144"/>
        <w:spacing w:after="0"/>
        <w:tabs>
          <w:tab w:leader="none" w:pos="1920" w:val="left"/>
        </w:tabs>
        <w:numPr>
          <w:ilvl w:val="0"/>
          <w:numId w:val="153"/>
        </w:numPr>
        <w:rPr>
          <w:rFonts w:ascii="Arial" w:cs="Arial" w:eastAsia="Arial" w:hAnsi="Arial"/>
          <w:sz w:val="16"/>
          <w:szCs w:val="16"/>
          <w:color w:val="004876"/>
        </w:rPr>
      </w:pPr>
      <w:r>
        <w:rPr>
          <w:rFonts w:ascii="Arial" w:cs="Arial" w:eastAsia="Arial" w:hAnsi="Arial"/>
          <w:sz w:val="16"/>
          <w:szCs w:val="16"/>
          <w:color w:val="auto"/>
        </w:rPr>
        <w:t>Internal talent and succession planning resulted in openings on the CCB Leadership team being filled internally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96520</wp:posOffset>
            </wp:positionV>
            <wp:extent cx="699516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40" w:hanging="210"/>
        <w:spacing w:after="0"/>
        <w:tabs>
          <w:tab w:leader="none" w:pos="340" w:val="left"/>
        </w:tabs>
        <w:numPr>
          <w:ilvl w:val="0"/>
          <w:numId w:val="154"/>
        </w:numPr>
        <w:rPr>
          <w:rFonts w:ascii="Arial" w:cs="Arial" w:eastAsia="Arial" w:hAnsi="Arial"/>
          <w:sz w:val="11"/>
          <w:szCs w:val="11"/>
          <w:color w:val="auto"/>
        </w:rPr>
      </w:pPr>
      <w:r>
        <w:rPr>
          <w:rFonts w:ascii="Arial" w:cs="Arial" w:eastAsia="Arial" w:hAnsi="Arial"/>
          <w:sz w:val="13"/>
          <w:szCs w:val="13"/>
          <w:color w:val="auto"/>
        </w:rPr>
        <w:t>The Firm reviews the results of the lines of business on a managed basis. Refer to Additional notes, Note 1, on page 115 for a definition of managed basis.</w:t>
      </w:r>
    </w:p>
    <w:p>
      <w:pPr>
        <w:spacing w:after="0" w:line="12" w:lineRule="exact"/>
        <w:rPr>
          <w:rFonts w:ascii="Arial" w:cs="Arial" w:eastAsia="Arial" w:hAnsi="Arial"/>
          <w:sz w:val="11"/>
          <w:szCs w:val="11"/>
          <w:color w:val="auto"/>
        </w:rPr>
      </w:pPr>
    </w:p>
    <w:p>
      <w:pPr>
        <w:ind w:left="160"/>
        <w:spacing w:after="0"/>
        <w:rPr>
          <w:rFonts w:ascii="Arial" w:cs="Arial" w:eastAsia="Arial" w:hAnsi="Arial"/>
          <w:sz w:val="11"/>
          <w:szCs w:val="11"/>
          <w:color w:val="auto"/>
        </w:rPr>
      </w:pPr>
      <w:r>
        <w:rPr>
          <w:rFonts w:ascii="Arial" w:cs="Arial" w:eastAsia="Arial" w:hAnsi="Arial"/>
          <w:sz w:val="11"/>
          <w:szCs w:val="11"/>
          <w:color w:val="auto"/>
        </w:rPr>
        <w:t xml:space="preserve">2  </w:t>
      </w:r>
      <w:r>
        <w:rPr>
          <w:rFonts w:ascii="Arial" w:cs="Arial" w:eastAsia="Arial" w:hAnsi="Arial"/>
          <w:sz w:val="12"/>
          <w:szCs w:val="12"/>
          <w:color w:val="auto"/>
        </w:rPr>
        <w:t>Based on 4Q19 peer disclosure for JPM’s CCB, BAC’s Consumer Banking, WFC’s Community Banking and Citi’s North America GCB segments.</w:t>
      </w:r>
    </w:p>
    <w:p>
      <w:pPr>
        <w:spacing w:after="0" w:line="24" w:lineRule="exact"/>
        <w:rPr>
          <w:rFonts w:ascii="Arial" w:cs="Arial" w:eastAsia="Arial" w:hAnsi="Arial"/>
          <w:sz w:val="11"/>
          <w:szCs w:val="11"/>
          <w:color w:val="auto"/>
        </w:rPr>
      </w:pPr>
    </w:p>
    <w:p>
      <w:pPr>
        <w:ind w:left="340" w:right="20" w:hanging="167"/>
        <w:spacing w:after="0" w:line="234" w:lineRule="auto"/>
        <w:rPr>
          <w:rFonts w:ascii="Arial" w:cs="Arial" w:eastAsia="Arial" w:hAnsi="Arial"/>
          <w:sz w:val="11"/>
          <w:szCs w:val="11"/>
          <w:color w:val="auto"/>
        </w:rPr>
      </w:pPr>
      <w:r>
        <w:rPr>
          <w:rFonts w:ascii="Arial" w:cs="Arial" w:eastAsia="Arial" w:hAnsi="Arial"/>
          <w:sz w:val="11"/>
          <w:szCs w:val="11"/>
          <w:color w:val="auto"/>
        </w:rPr>
        <w:t xml:space="preserve">3 </w:t>
      </w:r>
      <w:r>
        <w:rPr>
          <w:rFonts w:ascii="Arial" w:cs="Arial" w:eastAsia="Arial" w:hAnsi="Arial"/>
          <w:sz w:val="12"/>
          <w:szCs w:val="12"/>
          <w:color w:val="auto"/>
        </w:rPr>
        <w:t>Active digital customers are users of web and/or mobile platforms who have logged in within the past 90 days; mobile active customers are users of all mobile platforms who have logged in within</w:t>
      </w:r>
      <w:r>
        <w:rPr>
          <w:rFonts w:ascii="Arial" w:cs="Arial" w:eastAsia="Arial" w:hAnsi="Arial"/>
          <w:sz w:val="11"/>
          <w:szCs w:val="11"/>
          <w:color w:val="auto"/>
        </w:rPr>
        <w:t xml:space="preserve"> </w:t>
      </w:r>
      <w:r>
        <w:rPr>
          <w:rFonts w:ascii="Arial" w:cs="Arial" w:eastAsia="Arial" w:hAnsi="Arial"/>
          <w:sz w:val="12"/>
          <w:szCs w:val="12"/>
          <w:color w:val="auto"/>
        </w:rPr>
        <w:t>the past 90 days.</w:t>
      </w:r>
    </w:p>
    <w:p>
      <w:pPr>
        <w:spacing w:after="0" w:line="1" w:lineRule="exact"/>
        <w:rPr>
          <w:sz w:val="20"/>
          <w:szCs w:val="20"/>
          <w:color w:val="auto"/>
        </w:rPr>
      </w:pPr>
    </w:p>
    <w:p>
      <w:pPr>
        <w:ind w:left="340" w:hanging="210"/>
        <w:spacing w:after="0"/>
        <w:tabs>
          <w:tab w:leader="none" w:pos="340" w:val="left"/>
        </w:tabs>
        <w:numPr>
          <w:ilvl w:val="0"/>
          <w:numId w:val="155"/>
        </w:numPr>
        <w:rPr>
          <w:rFonts w:ascii="Arial" w:cs="Arial" w:eastAsia="Arial" w:hAnsi="Arial"/>
          <w:sz w:val="11"/>
          <w:szCs w:val="11"/>
          <w:color w:val="auto"/>
        </w:rPr>
      </w:pPr>
      <w:r>
        <w:rPr>
          <w:rFonts w:ascii="Arial" w:cs="Arial" w:eastAsia="Arial" w:hAnsi="Arial"/>
          <w:sz w:val="13"/>
          <w:szCs w:val="13"/>
          <w:color w:val="auto"/>
        </w:rPr>
        <w:t>Based on Kantar 2019 Retail Banking Monitor. Data is based on Chase footprint, excluding recent expansion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260350</wp:posOffset>
            </wp:positionV>
            <wp:extent cx="7029450" cy="19685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029450" cy="19685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p>
      <w:pPr>
        <w:spacing w:after="0" w:line="200" w:lineRule="exact"/>
        <w:rPr>
          <w:sz w:val="20"/>
          <w:szCs w:val="20"/>
          <w:color w:val="auto"/>
        </w:rPr>
      </w:pPr>
    </w:p>
    <w:p>
      <w:pPr>
        <w:spacing w:after="0" w:line="288" w:lineRule="exact"/>
        <w:rPr>
          <w:sz w:val="20"/>
          <w:szCs w:val="20"/>
          <w:color w:val="auto"/>
        </w:rPr>
      </w:pPr>
    </w:p>
    <w:p>
      <w:pPr>
        <w:jc w:val="center"/>
        <w:ind w:right="-99"/>
        <w:spacing w:after="0"/>
        <w:rPr>
          <w:sz w:val="20"/>
          <w:szCs w:val="20"/>
          <w:color w:val="auto"/>
        </w:rPr>
      </w:pPr>
      <w:r>
        <w:rPr>
          <w:rFonts w:ascii="Arial" w:cs="Arial" w:eastAsia="Arial" w:hAnsi="Arial"/>
          <w:sz w:val="13"/>
          <w:szCs w:val="13"/>
          <w:b w:val="1"/>
          <w:bCs w:val="1"/>
          <w:color w:val="004876"/>
        </w:rPr>
        <w:t>68</w:t>
      </w:r>
    </w:p>
    <w:p>
      <w:pPr>
        <w:sectPr>
          <w:pgSz w:w="11900" w:h="16838" w:orient="portrait"/>
          <w:cols w:equalWidth="0" w:num="1">
            <w:col w:w="11140"/>
          </w:cols>
          <w:pgMar w:left="320" w:top="459" w:right="439" w:bottom="1440" w:gutter="0" w:footer="0" w:header="0"/>
          <w:type w:val="continuous"/>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04876"/>
        </w:rPr>
        <w:t>EXECUTIVE COMPENSATION | 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160655</wp:posOffset>
            </wp:positionV>
            <wp:extent cx="6926580" cy="26543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6926580"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340"/>
        <w:spacing w:after="0"/>
        <w:rPr>
          <w:sz w:val="20"/>
          <w:szCs w:val="20"/>
          <w:color w:val="auto"/>
        </w:rPr>
      </w:pPr>
      <w:r>
        <w:rPr>
          <w:rFonts w:ascii="Arial" w:cs="Arial" w:eastAsia="Arial" w:hAnsi="Arial"/>
          <w:sz w:val="29"/>
          <w:szCs w:val="29"/>
          <w:color w:val="004876"/>
        </w:rPr>
        <w:t>Mary Callahan Erdoes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995160" cy="10204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6995160" cy="1020445"/>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004876"/>
        </w:rPr>
        <w:t>CEO: ASSET &amp; WEALTH MANAGEMENT</w:t>
      </w:r>
    </w:p>
    <w:p>
      <w:pPr>
        <w:spacing w:after="0" w:line="160" w:lineRule="exact"/>
        <w:rPr>
          <w:sz w:val="20"/>
          <w:szCs w:val="20"/>
          <w:color w:val="auto"/>
        </w:rPr>
      </w:pPr>
    </w:p>
    <w:p>
      <w:pPr>
        <w:ind w:left="340" w:right="3860"/>
        <w:spacing w:after="0" w:line="260" w:lineRule="auto"/>
        <w:rPr>
          <w:sz w:val="20"/>
          <w:szCs w:val="20"/>
          <w:color w:val="auto"/>
        </w:rPr>
      </w:pPr>
      <w:r>
        <w:rPr>
          <w:rFonts w:ascii="Arial" w:cs="Arial" w:eastAsia="Arial" w:hAnsi="Arial"/>
          <w:sz w:val="16"/>
          <w:szCs w:val="16"/>
          <w:color w:val="auto"/>
        </w:rPr>
        <w:t>Ms. Erdoes was appointed Chief Executive Officer of Asset &amp; Wealth Management in September 2009. She previously served as CEO of Wealth Management from 2005 to 2009.</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20"/>
        <w:spacing w:after="0"/>
        <w:rPr>
          <w:sz w:val="20"/>
          <w:szCs w:val="20"/>
          <w:color w:val="auto"/>
        </w:rPr>
      </w:pPr>
      <w:r>
        <w:rPr>
          <w:rFonts w:ascii="Arial" w:cs="Arial" w:eastAsia="Arial" w:hAnsi="Arial"/>
          <w:sz w:val="20"/>
          <w:szCs w:val="20"/>
          <w:color w:val="004876"/>
        </w:rPr>
        <w:t>2019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79375</wp:posOffset>
            </wp:positionV>
            <wp:extent cx="699516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57" w:lineRule="exact"/>
        <w:rPr>
          <w:sz w:val="20"/>
          <w:szCs w:val="20"/>
          <w:color w:val="auto"/>
        </w:rPr>
      </w:pPr>
    </w:p>
    <w:p>
      <w:pPr>
        <w:ind w:left="820" w:right="1880" w:hanging="149"/>
        <w:spacing w:after="0" w:line="203" w:lineRule="auto"/>
        <w:rPr>
          <w:sz w:val="20"/>
          <w:szCs w:val="20"/>
          <w:color w:val="auto"/>
        </w:rPr>
      </w:pPr>
      <w:r>
        <w:rPr>
          <w:rFonts w:ascii="Arial" w:cs="Arial" w:eastAsia="Arial" w:hAnsi="Arial"/>
          <w:sz w:val="18"/>
          <w:szCs w:val="18"/>
          <w:b w:val="1"/>
          <w:bCs w:val="1"/>
          <w:color w:val="FFFFFF"/>
        </w:rPr>
        <w:t>Business</w:t>
      </w:r>
      <w:r>
        <w:rPr>
          <w:sz w:val="20"/>
          <w:szCs w:val="20"/>
          <w:color w:val="auto"/>
        </w:rPr>
        <w:t xml:space="preserve"> </w:t>
      </w:r>
      <w:r>
        <w:rPr>
          <w:rFonts w:ascii="Arial" w:cs="Arial" w:eastAsia="Arial" w:hAnsi="Arial"/>
          <w:sz w:val="16"/>
          <w:szCs w:val="16"/>
          <w:color w:val="004876"/>
        </w:rPr>
        <w:t xml:space="preserve">• </w:t>
      </w:r>
      <w:r>
        <w:rPr>
          <w:rFonts w:ascii="Arial" w:cs="Arial" w:eastAsia="Arial" w:hAnsi="Arial"/>
          <w:sz w:val="16"/>
          <w:szCs w:val="16"/>
          <w:color w:val="000000"/>
        </w:rPr>
        <w:t>Achieved net income of $2.8B on record revenue</w:t>
      </w:r>
      <w:r>
        <w:rPr>
          <w:rFonts w:ascii="Arial" w:cs="Arial" w:eastAsia="Arial" w:hAnsi="Arial"/>
          <w:sz w:val="27"/>
          <w:szCs w:val="27"/>
          <w:color w:val="000000"/>
          <w:vertAlign w:val="superscript"/>
        </w:rPr>
        <w:t>1</w:t>
      </w:r>
      <w:r>
        <w:rPr>
          <w:rFonts w:ascii="Arial" w:cs="Arial" w:eastAsia="Arial" w:hAnsi="Arial"/>
          <w:sz w:val="16"/>
          <w:szCs w:val="16"/>
          <w:color w:val="004876"/>
        </w:rPr>
        <w:t xml:space="preserve"> </w:t>
      </w:r>
      <w:r>
        <w:rPr>
          <w:rFonts w:ascii="Arial" w:cs="Arial" w:eastAsia="Arial" w:hAnsi="Arial"/>
          <w:sz w:val="16"/>
          <w:szCs w:val="16"/>
          <w:color w:val="000000"/>
        </w:rPr>
        <w:t>of $14.3B; ROE of 26%; and pre-tax margin of 26%</w:t>
      </w:r>
      <w:r>
        <w:rPr>
          <w:rFonts w:ascii="Arial" w:cs="Arial" w:eastAsia="Arial" w:hAnsi="Arial"/>
          <w:sz w:val="16"/>
          <w:szCs w:val="16"/>
          <w:color w:val="004876"/>
        </w:rPr>
        <w:t xml:space="preserve"> </w:t>
      </w:r>
      <w:r>
        <w:rPr>
          <w:rFonts w:ascii="Arial" w:cs="Arial" w:eastAsia="Arial" w:hAnsi="Arial"/>
          <w:sz w:val="17"/>
          <w:szCs w:val="17"/>
          <w:b w:val="1"/>
          <w:bCs w:val="1"/>
          <w:color w:val="FFFFFF"/>
        </w:rPr>
        <w:t xml:space="preserve">Results </w:t>
      </w:r>
      <w:r>
        <w:rPr>
          <w:rFonts w:ascii="Arial" w:cs="Arial" w:eastAsia="Arial" w:hAnsi="Arial"/>
          <w:sz w:val="16"/>
          <w:szCs w:val="16"/>
          <w:color w:val="004876"/>
        </w:rPr>
        <w:t>•</w:t>
      </w:r>
      <w:r>
        <w:rPr>
          <w:rFonts w:ascii="Arial" w:cs="Arial" w:eastAsia="Arial" w:hAnsi="Arial"/>
          <w:sz w:val="17"/>
          <w:szCs w:val="17"/>
          <w:b w:val="1"/>
          <w:bCs w:val="1"/>
          <w:color w:val="FFFFFF"/>
        </w:rPr>
        <w:t xml:space="preserve"> </w:t>
      </w:r>
      <w:r>
        <w:rPr>
          <w:rFonts w:ascii="Arial" w:cs="Arial" w:eastAsia="Arial" w:hAnsi="Arial"/>
          <w:sz w:val="16"/>
          <w:szCs w:val="16"/>
          <w:color w:val="000000"/>
        </w:rPr>
        <w:t>AUM of $2.4T and client assets of $3.2T, up 19% and 18%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-256540</wp:posOffset>
            </wp:positionV>
            <wp:extent cx="985520" cy="7112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985520" cy="711200"/>
                    </a:xfrm>
                    <a:prstGeom prst="rect">
                      <a:avLst/>
                    </a:prstGeom>
                    <a:noFill/>
                  </pic:spPr>
                </pic:pic>
              </a:graphicData>
            </a:graphic>
          </wp:anchor>
        </w:drawing>
      </w:r>
    </w:p>
    <w:p>
      <w:pPr>
        <w:spacing w:after="0" w:line="36" w:lineRule="exact"/>
        <w:rPr>
          <w:sz w:val="20"/>
          <w:szCs w:val="20"/>
          <w:color w:val="auto"/>
        </w:rPr>
      </w:pPr>
    </w:p>
    <w:p>
      <w:pPr>
        <w:ind w:left="1920" w:hanging="144"/>
        <w:spacing w:after="0"/>
        <w:tabs>
          <w:tab w:leader="none" w:pos="1920" w:val="left"/>
        </w:tabs>
        <w:numPr>
          <w:ilvl w:val="0"/>
          <w:numId w:val="156"/>
        </w:numPr>
        <w:rPr>
          <w:rFonts w:ascii="Arial" w:cs="Arial" w:eastAsia="Arial" w:hAnsi="Arial"/>
          <w:sz w:val="16"/>
          <w:szCs w:val="16"/>
          <w:color w:val="004876"/>
        </w:rPr>
      </w:pPr>
      <w:r>
        <w:rPr>
          <w:rFonts w:ascii="Arial" w:cs="Arial" w:eastAsia="Arial" w:hAnsi="Arial"/>
          <w:sz w:val="16"/>
          <w:szCs w:val="16"/>
          <w:color w:val="auto"/>
        </w:rPr>
        <w:t>Over a 60% increase in average You Invest balances and approximately 90% of clients are first time investors with Chase</w:t>
      </w:r>
    </w:p>
    <w:p>
      <w:pPr>
        <w:spacing w:after="0" w:line="45" w:lineRule="exact"/>
        <w:rPr>
          <w:rFonts w:ascii="Arial" w:cs="Arial" w:eastAsia="Arial" w:hAnsi="Arial"/>
          <w:sz w:val="16"/>
          <w:szCs w:val="16"/>
          <w:color w:val="004876"/>
        </w:rPr>
      </w:pPr>
    </w:p>
    <w:p>
      <w:pPr>
        <w:ind w:left="1920" w:hanging="144"/>
        <w:spacing w:after="0"/>
        <w:tabs>
          <w:tab w:leader="none" w:pos="1920" w:val="left"/>
        </w:tabs>
        <w:numPr>
          <w:ilvl w:val="0"/>
          <w:numId w:val="156"/>
        </w:numPr>
        <w:rPr>
          <w:rFonts w:ascii="Arial" w:cs="Arial" w:eastAsia="Arial" w:hAnsi="Arial"/>
          <w:sz w:val="16"/>
          <w:szCs w:val="16"/>
          <w:color w:val="004876"/>
        </w:rPr>
      </w:pPr>
      <w:r>
        <w:rPr>
          <w:rFonts w:ascii="Arial" w:cs="Arial" w:eastAsia="Arial" w:hAnsi="Arial"/>
          <w:sz w:val="16"/>
          <w:szCs w:val="16"/>
          <w:color w:val="auto"/>
        </w:rPr>
        <w:t>#1 Private Bank in the U.S. (Euromoney)</w:t>
      </w:r>
    </w:p>
    <w:p>
      <w:pPr>
        <w:spacing w:after="0" w:line="45" w:lineRule="exact"/>
        <w:rPr>
          <w:rFonts w:ascii="Arial" w:cs="Arial" w:eastAsia="Arial" w:hAnsi="Arial"/>
          <w:sz w:val="16"/>
          <w:szCs w:val="16"/>
          <w:color w:val="004876"/>
        </w:rPr>
      </w:pPr>
    </w:p>
    <w:p>
      <w:pPr>
        <w:ind w:left="1900" w:hanging="124"/>
        <w:spacing w:after="0"/>
        <w:tabs>
          <w:tab w:leader="none" w:pos="1900" w:val="left"/>
        </w:tabs>
        <w:numPr>
          <w:ilvl w:val="0"/>
          <w:numId w:val="156"/>
        </w:numPr>
        <w:rPr>
          <w:rFonts w:ascii="Arial" w:cs="Arial" w:eastAsia="Arial" w:hAnsi="Arial"/>
          <w:sz w:val="16"/>
          <w:szCs w:val="16"/>
          <w:color w:val="004876"/>
        </w:rPr>
      </w:pPr>
      <w:r>
        <w:rPr>
          <w:rFonts w:ascii="Arial" w:cs="Arial" w:eastAsia="Arial" w:hAnsi="Arial"/>
          <w:sz w:val="16"/>
          <w:szCs w:val="16"/>
          <w:color w:val="auto"/>
        </w:rPr>
        <w:t>Asset Management Company of the Year for Asia (The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70485</wp:posOffset>
            </wp:positionV>
            <wp:extent cx="699516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20"/>
          </w:cols>
          <w:pgMar w:left="320" w:top="459" w:right="459" w:bottom="1440" w:gutter="0" w:footer="0" w:header="0"/>
        </w:sectPr>
      </w:pPr>
    </w:p>
    <w:p>
      <w:pPr>
        <w:spacing w:after="0" w:line="19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FFFFFF"/>
        </w:rPr>
        <w:t>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-116205</wp:posOffset>
            </wp:positionV>
            <wp:extent cx="985520" cy="78041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985520" cy="78041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7"/>
          <w:szCs w:val="17"/>
          <w:b w:val="1"/>
          <w:bCs w:val="1"/>
          <w:color w:val="FFFFFF"/>
        </w:rPr>
        <w:t>Controls &amp;</w:t>
      </w:r>
    </w:p>
    <w:p>
      <w:pPr>
        <w:spacing w:after="0" w:line="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FFFFFF"/>
        </w:rPr>
        <w:t>Conduct</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144" w:hanging="144"/>
        <w:spacing w:after="0" w:line="260" w:lineRule="auto"/>
        <w:tabs>
          <w:tab w:leader="none" w:pos="128" w:val="left"/>
        </w:tabs>
        <w:numPr>
          <w:ilvl w:val="0"/>
          <w:numId w:val="157"/>
        </w:numPr>
        <w:rPr>
          <w:rFonts w:ascii="Arial" w:cs="Arial" w:eastAsia="Arial" w:hAnsi="Arial"/>
          <w:sz w:val="16"/>
          <w:szCs w:val="16"/>
          <w:color w:val="004876"/>
        </w:rPr>
      </w:pPr>
      <w:r>
        <w:rPr>
          <w:rFonts w:ascii="Arial" w:cs="Arial" w:eastAsia="Arial" w:hAnsi="Arial"/>
          <w:sz w:val="16"/>
          <w:szCs w:val="16"/>
          <w:color w:val="auto"/>
        </w:rPr>
        <w:t>Accountable for deepening the Firm’s fiduciary culture, including leading efforts to strengthen governance, oversight, and training with consistent expectations and accountability</w:t>
      </w:r>
    </w:p>
    <w:p>
      <w:pPr>
        <w:spacing w:after="0" w:line="19" w:lineRule="exact"/>
        <w:rPr>
          <w:rFonts w:ascii="Arial" w:cs="Arial" w:eastAsia="Arial" w:hAnsi="Arial"/>
          <w:sz w:val="16"/>
          <w:szCs w:val="16"/>
          <w:color w:val="004876"/>
        </w:rPr>
      </w:pPr>
    </w:p>
    <w:p>
      <w:pPr>
        <w:ind w:left="144" w:right="400" w:hanging="144"/>
        <w:spacing w:after="0" w:line="260" w:lineRule="auto"/>
        <w:tabs>
          <w:tab w:leader="none" w:pos="137" w:val="left"/>
        </w:tabs>
        <w:numPr>
          <w:ilvl w:val="0"/>
          <w:numId w:val="157"/>
        </w:numPr>
        <w:rPr>
          <w:rFonts w:ascii="Arial" w:cs="Arial" w:eastAsia="Arial" w:hAnsi="Arial"/>
          <w:sz w:val="16"/>
          <w:szCs w:val="16"/>
          <w:color w:val="004876"/>
        </w:rPr>
      </w:pPr>
      <w:r>
        <w:rPr>
          <w:rFonts w:ascii="Arial" w:cs="Arial" w:eastAsia="Arial" w:hAnsi="Arial"/>
          <w:sz w:val="16"/>
          <w:szCs w:val="16"/>
          <w:color w:val="auto"/>
        </w:rPr>
        <w:t>Continued to evolve the business organization to identify and address emerging risk management practices consistent with regulatory expectations</w:t>
      </w:r>
    </w:p>
    <w:p>
      <w:pPr>
        <w:spacing w:after="0" w:line="19" w:lineRule="exact"/>
        <w:rPr>
          <w:rFonts w:ascii="Arial" w:cs="Arial" w:eastAsia="Arial" w:hAnsi="Arial"/>
          <w:sz w:val="16"/>
          <w:szCs w:val="16"/>
          <w:color w:val="004876"/>
        </w:rPr>
      </w:pPr>
    </w:p>
    <w:p>
      <w:pPr>
        <w:ind w:left="144" w:right="360" w:hanging="144"/>
        <w:spacing w:after="0" w:line="260" w:lineRule="auto"/>
        <w:tabs>
          <w:tab w:leader="none" w:pos="137" w:val="left"/>
        </w:tabs>
        <w:numPr>
          <w:ilvl w:val="0"/>
          <w:numId w:val="157"/>
        </w:numPr>
        <w:rPr>
          <w:rFonts w:ascii="Arial" w:cs="Arial" w:eastAsia="Arial" w:hAnsi="Arial"/>
          <w:sz w:val="16"/>
          <w:szCs w:val="16"/>
          <w:color w:val="004876"/>
        </w:rPr>
      </w:pPr>
      <w:r>
        <w:rPr>
          <w:rFonts w:ascii="Arial" w:cs="Arial" w:eastAsia="Arial" w:hAnsi="Arial"/>
          <w:sz w:val="16"/>
          <w:szCs w:val="16"/>
          <w:color w:val="auto"/>
        </w:rPr>
        <w:t>Implemented a risk management function and model to specifically address and ensure Brexit readiness for Asset &amp; Wealth Management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-1053465</wp:posOffset>
            </wp:positionH>
            <wp:positionV relativeFrom="paragraph">
              <wp:posOffset>53975</wp:posOffset>
            </wp:positionV>
            <wp:extent cx="699516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71" w:lineRule="exact"/>
        <w:rPr>
          <w:sz w:val="20"/>
          <w:szCs w:val="20"/>
          <w:color w:val="auto"/>
        </w:rPr>
      </w:pPr>
    </w:p>
    <w:p>
      <w:pPr>
        <w:sectPr>
          <w:pgSz w:w="11900" w:h="16838" w:orient="portrait"/>
          <w:cols w:equalWidth="0" w:num="2">
            <w:col w:w="1460" w:space="316"/>
            <w:col w:w="9344"/>
          </w:cols>
          <w:pgMar w:left="320" w:top="459" w:right="459" w:bottom="1440" w:gutter="0" w:footer="0" w:header="0"/>
          <w:type w:val="continuous"/>
        </w:sectPr>
      </w:pPr>
    </w:p>
    <w:p>
      <w:pPr>
        <w:jc w:val="right"/>
        <w:ind w:left="440"/>
        <w:spacing w:after="0" w:line="275" w:lineRule="auto"/>
        <w:rPr>
          <w:sz w:val="20"/>
          <w:szCs w:val="20"/>
          <w:color w:val="auto"/>
        </w:rPr>
      </w:pPr>
      <w:r>
        <w:rPr>
          <w:rFonts w:ascii="Arial" w:cs="Arial" w:eastAsia="Arial" w:hAnsi="Arial"/>
          <w:sz w:val="17"/>
          <w:szCs w:val="17"/>
          <w:b w:val="1"/>
          <w:bCs w:val="1"/>
          <w:color w:val="FFFFFF"/>
        </w:rPr>
        <w:t>Client / Customer / Stakeholder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-411480</wp:posOffset>
            </wp:positionV>
            <wp:extent cx="985520" cy="77978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985520" cy="7797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left="144" w:hanging="144"/>
        <w:spacing w:after="0"/>
        <w:tabs>
          <w:tab w:leader="none" w:pos="144" w:val="left"/>
        </w:tabs>
        <w:numPr>
          <w:ilvl w:val="0"/>
          <w:numId w:val="158"/>
        </w:numPr>
        <w:rPr>
          <w:rFonts w:ascii="Arial" w:cs="Arial" w:eastAsia="Arial" w:hAnsi="Arial"/>
          <w:sz w:val="16"/>
          <w:szCs w:val="16"/>
          <w:color w:val="004876"/>
        </w:rPr>
      </w:pPr>
      <w:r>
        <w:rPr>
          <w:rFonts w:ascii="Arial" w:cs="Arial" w:eastAsia="Arial" w:hAnsi="Arial"/>
          <w:sz w:val="16"/>
          <w:szCs w:val="16"/>
          <w:color w:val="auto"/>
        </w:rPr>
        <w:t>88% of 10-year long-term mutual fund AUM performing above peer median</w:t>
      </w:r>
    </w:p>
    <w:p>
      <w:pPr>
        <w:spacing w:after="0" w:line="45" w:lineRule="exact"/>
        <w:rPr>
          <w:rFonts w:ascii="Arial" w:cs="Arial" w:eastAsia="Arial" w:hAnsi="Arial"/>
          <w:sz w:val="16"/>
          <w:szCs w:val="16"/>
          <w:color w:val="004876"/>
        </w:rPr>
      </w:pPr>
    </w:p>
    <w:p>
      <w:pPr>
        <w:jc w:val="both"/>
        <w:ind w:left="144" w:right="280" w:hanging="144"/>
        <w:spacing w:after="0" w:line="253" w:lineRule="auto"/>
        <w:tabs>
          <w:tab w:leader="none" w:pos="137" w:val="left"/>
        </w:tabs>
        <w:numPr>
          <w:ilvl w:val="0"/>
          <w:numId w:val="158"/>
        </w:numPr>
        <w:rPr>
          <w:rFonts w:ascii="Arial" w:cs="Arial" w:eastAsia="Arial" w:hAnsi="Arial"/>
          <w:sz w:val="16"/>
          <w:szCs w:val="16"/>
          <w:color w:val="004876"/>
        </w:rPr>
      </w:pPr>
      <w:r>
        <w:rPr>
          <w:rFonts w:ascii="Arial" w:cs="Arial" w:eastAsia="Arial" w:hAnsi="Arial"/>
          <w:sz w:val="16"/>
          <w:szCs w:val="16"/>
          <w:color w:val="auto"/>
        </w:rPr>
        <w:t>Continued to enhance the You Invest platform in partnership with CCB, generating approximately 16,000 new deposit clients; launched You Invest Portfolios, expanding the reach of the business to first-time investors with Chase; and launched options trading</w:t>
      </w:r>
    </w:p>
    <w:p>
      <w:pPr>
        <w:spacing w:after="0" w:line="25" w:lineRule="exact"/>
        <w:rPr>
          <w:rFonts w:ascii="Arial" w:cs="Arial" w:eastAsia="Arial" w:hAnsi="Arial"/>
          <w:sz w:val="16"/>
          <w:szCs w:val="16"/>
          <w:color w:val="004876"/>
        </w:rPr>
      </w:pPr>
    </w:p>
    <w:p>
      <w:pPr>
        <w:ind w:left="144" w:hanging="144"/>
        <w:spacing w:after="0" w:line="260" w:lineRule="auto"/>
        <w:tabs>
          <w:tab w:leader="none" w:pos="137" w:val="left"/>
        </w:tabs>
        <w:numPr>
          <w:ilvl w:val="0"/>
          <w:numId w:val="158"/>
        </w:numPr>
        <w:rPr>
          <w:rFonts w:ascii="Arial" w:cs="Arial" w:eastAsia="Arial" w:hAnsi="Arial"/>
          <w:sz w:val="16"/>
          <w:szCs w:val="16"/>
          <w:color w:val="004876"/>
        </w:rPr>
      </w:pPr>
      <w:r>
        <w:rPr>
          <w:rFonts w:ascii="Arial" w:cs="Arial" w:eastAsia="Arial" w:hAnsi="Arial"/>
          <w:sz w:val="16"/>
          <w:szCs w:val="16"/>
          <w:color w:val="auto"/>
        </w:rPr>
        <w:t>Expanded reach in U.S. and Europe, and launched Singapore Trust Company, making the first footprint for international Trusts &amp; Estates business expansion into Asia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-1053465</wp:posOffset>
            </wp:positionH>
            <wp:positionV relativeFrom="paragraph">
              <wp:posOffset>53975</wp:posOffset>
            </wp:positionV>
            <wp:extent cx="699516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71" w:lineRule="exact"/>
        <w:rPr>
          <w:sz w:val="20"/>
          <w:szCs w:val="20"/>
          <w:color w:val="auto"/>
        </w:rPr>
      </w:pPr>
    </w:p>
    <w:p>
      <w:pPr>
        <w:sectPr>
          <w:pgSz w:w="11900" w:h="16838" w:orient="portrait"/>
          <w:cols w:equalWidth="0" w:num="2">
            <w:col w:w="1460" w:space="316"/>
            <w:col w:w="9344"/>
          </w:cols>
          <w:pgMar w:left="320" w:top="459" w:right="459" w:bottom="1440" w:gutter="0" w:footer="0" w:header="0"/>
          <w:type w:val="continuous"/>
        </w:sectPr>
      </w:pPr>
    </w:p>
    <w:p>
      <w:pPr>
        <w:ind w:left="420"/>
        <w:spacing w:after="0"/>
        <w:tabs>
          <w:tab w:leader="none" w:pos="1760" w:val="left"/>
        </w:tabs>
        <w:rPr>
          <w:sz w:val="20"/>
          <w:szCs w:val="20"/>
          <w:color w:val="auto"/>
        </w:rPr>
      </w:pPr>
      <w:r>
        <w:rPr>
          <w:rFonts w:ascii="Arial" w:cs="Arial" w:eastAsia="Arial" w:hAnsi="Arial"/>
          <w:sz w:val="18"/>
          <w:szCs w:val="18"/>
          <w:b w:val="1"/>
          <w:bCs w:val="1"/>
          <w:color w:val="FFFFFF"/>
        </w:rPr>
        <w:t>Teamwork &amp;</w:t>
      </w:r>
      <w:r>
        <w:rPr>
          <w:sz w:val="20"/>
          <w:szCs w:val="20"/>
          <w:color w:val="auto"/>
        </w:rPr>
        <w:tab/>
      </w:r>
      <w:r>
        <w:rPr>
          <w:rFonts w:ascii="Arial" w:cs="Arial" w:eastAsia="Arial" w:hAnsi="Arial"/>
          <w:sz w:val="16"/>
          <w:szCs w:val="16"/>
          <w:color w:val="004876"/>
        </w:rPr>
        <w:t xml:space="preserve">• </w:t>
      </w:r>
      <w:r>
        <w:rPr>
          <w:rFonts w:ascii="Arial" w:cs="Arial" w:eastAsia="Arial" w:hAnsi="Arial"/>
          <w:sz w:val="16"/>
          <w:szCs w:val="16"/>
          <w:color w:val="000000"/>
        </w:rPr>
        <w:t>Retained over 95% of top talent and focused on development of high-performing talent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-116205</wp:posOffset>
            </wp:positionV>
            <wp:extent cx="985520" cy="56578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985520" cy="565785"/>
                    </a:xfrm>
                    <a:prstGeom prst="rect">
                      <a:avLst/>
                    </a:prstGeom>
                    <a:noFill/>
                  </pic:spPr>
                </pic:pic>
              </a:graphicData>
            </a:graphic>
          </wp:anchor>
        </w:drawing>
      </w:r>
    </w:p>
    <w:p>
      <w:pPr>
        <w:ind w:left="500"/>
        <w:spacing w:after="0"/>
        <w:tabs>
          <w:tab w:leader="none" w:pos="1760" w:val="left"/>
        </w:tabs>
        <w:rPr>
          <w:sz w:val="20"/>
          <w:szCs w:val="20"/>
          <w:color w:val="auto"/>
        </w:rPr>
      </w:pPr>
      <w:r>
        <w:rPr>
          <w:rFonts w:ascii="Arial" w:cs="Arial" w:eastAsia="Arial" w:hAnsi="Arial"/>
          <w:sz w:val="18"/>
          <w:szCs w:val="18"/>
          <w:b w:val="1"/>
          <w:bCs w:val="1"/>
          <w:color w:val="FFFFFF"/>
        </w:rPr>
        <w:t>Leadership</w:t>
      </w:r>
      <w:r>
        <w:rPr>
          <w:sz w:val="20"/>
          <w:szCs w:val="20"/>
          <w:color w:val="auto"/>
        </w:rPr>
        <w:tab/>
      </w:r>
      <w:r>
        <w:rPr>
          <w:rFonts w:ascii="Arial" w:cs="Arial" w:eastAsia="Arial" w:hAnsi="Arial"/>
          <w:sz w:val="16"/>
          <w:szCs w:val="16"/>
          <w:color w:val="004876"/>
        </w:rPr>
        <w:t xml:space="preserve">• </w:t>
      </w:r>
      <w:r>
        <w:rPr>
          <w:rFonts w:ascii="Arial" w:cs="Arial" w:eastAsia="Arial" w:hAnsi="Arial"/>
          <w:sz w:val="16"/>
          <w:szCs w:val="16"/>
          <w:color w:val="000000"/>
        </w:rPr>
        <w:t>Continued to drive the Firmwide diversity agenda, including programs like Re-Entry; executive sponsor of the NextGen BRG</w:t>
      </w:r>
    </w:p>
    <w:p>
      <w:pPr>
        <w:spacing w:after="0" w:line="65" w:lineRule="exact"/>
        <w:rPr>
          <w:sz w:val="20"/>
          <w:szCs w:val="20"/>
          <w:color w:val="auto"/>
        </w:rPr>
      </w:pPr>
    </w:p>
    <w:p>
      <w:pPr>
        <w:ind w:left="1920" w:hanging="144"/>
        <w:spacing w:after="0"/>
        <w:tabs>
          <w:tab w:leader="none" w:pos="1920" w:val="left"/>
        </w:tabs>
        <w:numPr>
          <w:ilvl w:val="0"/>
          <w:numId w:val="159"/>
        </w:numPr>
        <w:rPr>
          <w:rFonts w:ascii="Arial" w:cs="Arial" w:eastAsia="Arial" w:hAnsi="Arial"/>
          <w:sz w:val="16"/>
          <w:szCs w:val="16"/>
          <w:color w:val="004876"/>
        </w:rPr>
      </w:pPr>
      <w:r>
        <w:rPr>
          <w:rFonts w:ascii="Arial" w:cs="Arial" w:eastAsia="Arial" w:hAnsi="Arial"/>
          <w:sz w:val="16"/>
          <w:szCs w:val="16"/>
          <w:color w:val="auto"/>
        </w:rPr>
        <w:t>39% of Asset Management AUM managed by female portfolio managers</w:t>
      </w:r>
    </w:p>
    <w:p>
      <w:pPr>
        <w:spacing w:after="0" w:line="45" w:lineRule="exact"/>
        <w:rPr>
          <w:rFonts w:ascii="Arial" w:cs="Arial" w:eastAsia="Arial" w:hAnsi="Arial"/>
          <w:sz w:val="16"/>
          <w:szCs w:val="16"/>
          <w:color w:val="004876"/>
        </w:rPr>
      </w:pPr>
    </w:p>
    <w:p>
      <w:pPr>
        <w:ind w:left="1920" w:hanging="144"/>
        <w:spacing w:after="0"/>
        <w:tabs>
          <w:tab w:leader="none" w:pos="1920" w:val="left"/>
        </w:tabs>
        <w:numPr>
          <w:ilvl w:val="0"/>
          <w:numId w:val="159"/>
        </w:numPr>
        <w:rPr>
          <w:rFonts w:ascii="Arial" w:cs="Arial" w:eastAsia="Arial" w:hAnsi="Arial"/>
          <w:sz w:val="16"/>
          <w:szCs w:val="16"/>
          <w:color w:val="004876"/>
        </w:rPr>
      </w:pPr>
      <w:r>
        <w:rPr>
          <w:rFonts w:ascii="Arial" w:cs="Arial" w:eastAsia="Arial" w:hAnsi="Arial"/>
          <w:sz w:val="16"/>
          <w:szCs w:val="16"/>
          <w:color w:val="auto"/>
        </w:rPr>
        <w:t>Best Private Bank for Diversity, Education and Training (Financial Times - Private Wealth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96520</wp:posOffset>
            </wp:positionV>
            <wp:extent cx="699516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40" w:hanging="175"/>
        <w:spacing w:after="0"/>
        <w:tabs>
          <w:tab w:leader="none" w:pos="340" w:val="left"/>
        </w:tabs>
        <w:numPr>
          <w:ilvl w:val="0"/>
          <w:numId w:val="160"/>
        </w:numPr>
        <w:rPr>
          <w:rFonts w:ascii="Arial" w:cs="Arial" w:eastAsia="Arial" w:hAnsi="Arial"/>
          <w:sz w:val="11"/>
          <w:szCs w:val="11"/>
          <w:color w:val="auto"/>
        </w:rPr>
      </w:pPr>
      <w:r>
        <w:rPr>
          <w:rFonts w:ascii="Arial" w:cs="Arial" w:eastAsia="Arial" w:hAnsi="Arial"/>
          <w:sz w:val="13"/>
          <w:szCs w:val="13"/>
          <w:color w:val="auto"/>
        </w:rPr>
        <w:t>The Firm reviews the results of the lines of business on a managed basis. Refer to Additional notes, Note 1, on page 115 for a definition of managed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260350</wp:posOffset>
            </wp:positionV>
            <wp:extent cx="7029450" cy="19685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029450" cy="196850"/>
                    </a:xfrm>
                    <a:prstGeom prst="rect">
                      <a:avLst/>
                    </a:prstGeom>
                    <a:noFill/>
                  </pic:spPr>
                </pic:pic>
              </a:graphicData>
            </a:graphic>
          </wp:anchor>
        </w:drawing>
      </w:r>
    </w:p>
    <w:p>
      <w:pPr>
        <w:sectPr>
          <w:pgSz w:w="11900" w:h="16838" w:orient="portrait"/>
          <w:cols w:equalWidth="0" w:num="1">
            <w:col w:w="11120"/>
          </w:cols>
          <w:pgMar w:left="320" w:top="459" w:right="459" w:bottom="1440" w:gutter="0" w:footer="0" w:header="0"/>
          <w:type w:val="continuous"/>
        </w:sectPr>
      </w:pPr>
    </w:p>
    <w:p>
      <w:pPr>
        <w:spacing w:after="0" w:line="200" w:lineRule="exact"/>
        <w:rPr>
          <w:sz w:val="20"/>
          <w:szCs w:val="20"/>
          <w:color w:val="auto"/>
        </w:rPr>
      </w:pPr>
    </w:p>
    <w:p>
      <w:pPr>
        <w:spacing w:after="0" w:line="288" w:lineRule="exact"/>
        <w:rPr>
          <w:sz w:val="20"/>
          <w:szCs w:val="20"/>
          <w:color w:val="auto"/>
        </w:rPr>
      </w:pPr>
    </w:p>
    <w:p>
      <w:pPr>
        <w:jc w:val="center"/>
        <w:ind w:right="-119"/>
        <w:spacing w:after="0"/>
        <w:rPr>
          <w:sz w:val="20"/>
          <w:szCs w:val="20"/>
          <w:color w:val="auto"/>
        </w:rPr>
      </w:pPr>
      <w:r>
        <w:rPr>
          <w:rFonts w:ascii="Arial" w:cs="Arial" w:eastAsia="Arial" w:hAnsi="Arial"/>
          <w:sz w:val="13"/>
          <w:szCs w:val="13"/>
          <w:b w:val="1"/>
          <w:bCs w:val="1"/>
          <w:color w:val="004876"/>
        </w:rPr>
        <w:t>69</w:t>
      </w:r>
    </w:p>
    <w:p>
      <w:pPr>
        <w:sectPr>
          <w:pgSz w:w="11900" w:h="16838" w:orient="portrait"/>
          <w:cols w:equalWidth="0" w:num="1">
            <w:col w:w="11120"/>
          </w:cols>
          <w:pgMar w:left="320" w:top="459" w:right="459" w:bottom="1440" w:gutter="0" w:footer="0" w:header="0"/>
          <w:type w:val="continuous"/>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4876"/>
        </w:rPr>
        <w:t>COMPENSATION DISCUSSION AND ANALYSIS |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160655</wp:posOffset>
            </wp:positionV>
            <wp:extent cx="6926580" cy="26543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6926580"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340"/>
        <w:spacing w:after="0"/>
        <w:rPr>
          <w:sz w:val="20"/>
          <w:szCs w:val="20"/>
          <w:color w:val="auto"/>
        </w:rPr>
      </w:pPr>
      <w:r>
        <w:rPr>
          <w:rFonts w:ascii="Arial" w:cs="Arial" w:eastAsia="Arial" w:hAnsi="Arial"/>
          <w:sz w:val="29"/>
          <w:szCs w:val="29"/>
          <w:color w:val="004876"/>
        </w:rPr>
        <w:t>Marianne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995160" cy="117475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6995160" cy="117475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004876"/>
        </w:rPr>
        <w:t>CEO: CONSUMER LENDING</w:t>
      </w:r>
    </w:p>
    <w:p>
      <w:pPr>
        <w:ind w:left="340"/>
        <w:spacing w:after="0"/>
        <w:rPr>
          <w:sz w:val="20"/>
          <w:szCs w:val="20"/>
          <w:color w:val="auto"/>
        </w:rPr>
      </w:pPr>
      <w:r>
        <w:rPr>
          <w:rFonts w:ascii="Arial" w:cs="Arial" w:eastAsia="Arial" w:hAnsi="Arial"/>
          <w:sz w:val="18"/>
          <w:szCs w:val="18"/>
          <w:color w:val="004876"/>
        </w:rPr>
        <w:t>FORMER CHIEF FINANCIAL OFFICER (January 2013-April 2019)</w:t>
      </w:r>
    </w:p>
    <w:p>
      <w:pPr>
        <w:spacing w:after="0" w:line="160" w:lineRule="exact"/>
        <w:rPr>
          <w:sz w:val="20"/>
          <w:szCs w:val="20"/>
          <w:color w:val="auto"/>
        </w:rPr>
      </w:pPr>
    </w:p>
    <w:p>
      <w:pPr>
        <w:ind w:left="340" w:right="4220"/>
        <w:spacing w:after="0" w:line="251" w:lineRule="auto"/>
        <w:rPr>
          <w:sz w:val="20"/>
          <w:szCs w:val="20"/>
          <w:color w:val="auto"/>
        </w:rPr>
      </w:pPr>
      <w:r>
        <w:rPr>
          <w:rFonts w:ascii="Arial" w:cs="Arial" w:eastAsia="Arial" w:hAnsi="Arial"/>
          <w:sz w:val="16"/>
          <w:szCs w:val="16"/>
          <w:color w:val="auto"/>
        </w:rPr>
        <w:t>Ms. Lake was appointed CEO of Consumer Lending in May 2019. She previously served as the Chief Financial Officer for the Firm from January 2013 to April 2019. Ms. Lake served as the CFO of CCB from 2009 through 2012 and as Global Controller for the IB from 2007 to 2009.</w:t>
      </w:r>
    </w:p>
    <w:p>
      <w:pPr>
        <w:spacing w:after="0" w:line="386" w:lineRule="exact"/>
        <w:rPr>
          <w:sz w:val="20"/>
          <w:szCs w:val="20"/>
          <w:color w:val="auto"/>
        </w:rPr>
      </w:pPr>
    </w:p>
    <w:p>
      <w:pPr>
        <w:ind w:left="120"/>
        <w:spacing w:after="0"/>
        <w:rPr>
          <w:sz w:val="20"/>
          <w:szCs w:val="20"/>
          <w:color w:val="auto"/>
        </w:rPr>
      </w:pPr>
      <w:r>
        <w:rPr>
          <w:rFonts w:ascii="Arial" w:cs="Arial" w:eastAsia="Arial" w:hAnsi="Arial"/>
          <w:sz w:val="20"/>
          <w:szCs w:val="20"/>
          <w:color w:val="004876"/>
        </w:rPr>
        <w:t>2019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79375</wp:posOffset>
            </wp:positionV>
            <wp:extent cx="699516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3"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540" w:type="dxa"/>
            <w:vAlign w:val="bottom"/>
            <w:shd w:val="clear" w:color="auto" w:fill="004876"/>
          </w:tcPr>
          <w:p>
            <w:pPr>
              <w:jc w:val="right"/>
              <w:ind w:right="110"/>
              <w:spacing w:after="0"/>
              <w:rPr>
                <w:sz w:val="20"/>
                <w:szCs w:val="20"/>
                <w:color w:val="auto"/>
              </w:rPr>
            </w:pPr>
            <w:r>
              <w:rPr>
                <w:rFonts w:ascii="Arial" w:cs="Arial" w:eastAsia="Arial" w:hAnsi="Arial"/>
                <w:sz w:val="18"/>
                <w:szCs w:val="18"/>
                <w:b w:val="1"/>
                <w:bCs w:val="1"/>
                <w:color w:val="FFFFFF"/>
              </w:rPr>
              <w:t>Business</w:t>
            </w:r>
          </w:p>
        </w:tc>
        <w:tc>
          <w:tcPr>
            <w:tcW w:w="9480" w:type="dxa"/>
            <w:vAlign w:val="bottom"/>
          </w:tcPr>
          <w:p>
            <w:pPr>
              <w:ind w:left="120"/>
              <w:spacing w:after="0"/>
              <w:rPr>
                <w:sz w:val="20"/>
                <w:szCs w:val="20"/>
                <w:color w:val="auto"/>
              </w:rPr>
            </w:pPr>
            <w:r>
              <w:rPr>
                <w:rFonts w:ascii="Arial" w:cs="Arial" w:eastAsia="Arial" w:hAnsi="Arial"/>
                <w:sz w:val="16"/>
                <w:szCs w:val="16"/>
                <w:color w:val="004876"/>
              </w:rPr>
              <w:t xml:space="preserve">• </w:t>
            </w:r>
            <w:r>
              <w:rPr>
                <w:rFonts w:ascii="Arial" w:cs="Arial" w:eastAsia="Arial" w:hAnsi="Arial"/>
                <w:sz w:val="16"/>
                <w:szCs w:val="16"/>
                <w:color w:val="000000"/>
              </w:rPr>
              <w:t>Transitioned from CFO to CEO of Consumer Lending, which is comprised of Card Services, Home Lending and Auto Finance;</w:t>
            </w:r>
          </w:p>
        </w:tc>
      </w:tr>
      <w:tr>
        <w:trPr>
          <w:trHeight w:val="241"/>
        </w:trPr>
        <w:tc>
          <w:tcPr>
            <w:tcW w:w="1540" w:type="dxa"/>
            <w:vAlign w:val="bottom"/>
            <w:shd w:val="clear" w:color="auto" w:fill="004876"/>
          </w:tcPr>
          <w:p>
            <w:pPr>
              <w:jc w:val="right"/>
              <w:ind w:right="110"/>
              <w:spacing w:after="0"/>
              <w:rPr>
                <w:sz w:val="20"/>
                <w:szCs w:val="20"/>
                <w:color w:val="auto"/>
              </w:rPr>
            </w:pPr>
            <w:r>
              <w:rPr>
                <w:rFonts w:ascii="Arial" w:cs="Arial" w:eastAsia="Arial" w:hAnsi="Arial"/>
                <w:sz w:val="18"/>
                <w:szCs w:val="18"/>
                <w:b w:val="1"/>
                <w:bCs w:val="1"/>
                <w:color w:val="FFFFFF"/>
              </w:rPr>
              <w:t>Results</w:t>
            </w:r>
          </w:p>
        </w:tc>
        <w:tc>
          <w:tcPr>
            <w:tcW w:w="9480" w:type="dxa"/>
            <w:vAlign w:val="bottom"/>
          </w:tcPr>
          <w:p>
            <w:pPr>
              <w:ind w:left="260"/>
              <w:spacing w:after="0" w:line="241" w:lineRule="exact"/>
              <w:rPr>
                <w:sz w:val="20"/>
                <w:szCs w:val="20"/>
                <w:color w:val="auto"/>
              </w:rPr>
            </w:pPr>
            <w:r>
              <w:rPr>
                <w:rFonts w:ascii="Arial" w:cs="Arial" w:eastAsia="Arial" w:hAnsi="Arial"/>
                <w:sz w:val="16"/>
                <w:szCs w:val="16"/>
                <w:color w:val="auto"/>
              </w:rPr>
              <w:t>performed strongly and generated a combined $29.4B</w:t>
            </w:r>
            <w:r>
              <w:rPr>
                <w:rFonts w:ascii="Arial" w:cs="Arial" w:eastAsia="Arial" w:hAnsi="Arial"/>
                <w:sz w:val="27"/>
                <w:szCs w:val="27"/>
                <w:color w:val="auto"/>
                <w:vertAlign w:val="superscript"/>
              </w:rPr>
              <w:t>1</w:t>
            </w:r>
            <w:r>
              <w:rPr>
                <w:rFonts w:ascii="Arial" w:cs="Arial" w:eastAsia="Arial" w:hAnsi="Arial"/>
                <w:sz w:val="16"/>
                <w:szCs w:val="16"/>
                <w:color w:val="auto"/>
              </w:rPr>
              <w:t xml:space="preserve"> of revenue in 2019</w:t>
            </w:r>
          </w:p>
        </w:tc>
      </w:tr>
      <w:tr>
        <w:trPr>
          <w:trHeight w:val="195"/>
        </w:trPr>
        <w:tc>
          <w:tcPr>
            <w:tcW w:w="1540" w:type="dxa"/>
            <w:vAlign w:val="bottom"/>
            <w:shd w:val="clear" w:color="auto" w:fill="004876"/>
          </w:tcPr>
          <w:p>
            <w:pPr>
              <w:spacing w:after="0"/>
              <w:rPr>
                <w:sz w:val="16"/>
                <w:szCs w:val="16"/>
                <w:color w:val="auto"/>
              </w:rPr>
            </w:pPr>
          </w:p>
        </w:tc>
        <w:tc>
          <w:tcPr>
            <w:tcW w:w="9480" w:type="dxa"/>
            <w:vAlign w:val="bottom"/>
          </w:tcPr>
          <w:p>
            <w:pPr>
              <w:ind w:left="120"/>
              <w:spacing w:after="0"/>
              <w:rPr>
                <w:sz w:val="20"/>
                <w:szCs w:val="20"/>
                <w:color w:val="auto"/>
              </w:rPr>
            </w:pPr>
            <w:r>
              <w:rPr>
                <w:rFonts w:ascii="Arial" w:cs="Arial" w:eastAsia="Arial" w:hAnsi="Arial"/>
                <w:sz w:val="16"/>
                <w:szCs w:val="16"/>
                <w:color w:val="004876"/>
              </w:rPr>
              <w:t xml:space="preserve">• </w:t>
            </w:r>
            <w:r>
              <w:rPr>
                <w:rFonts w:ascii="Arial" w:cs="Arial" w:eastAsia="Arial" w:hAnsi="Arial"/>
                <w:sz w:val="16"/>
                <w:szCs w:val="16"/>
                <w:color w:val="000000"/>
              </w:rPr>
              <w:t>More than 50% of new to Chase households came through Consumer Lending relationships</w:t>
            </w:r>
          </w:p>
        </w:tc>
      </w:tr>
      <w:tr>
        <w:trPr>
          <w:trHeight w:val="229"/>
        </w:trPr>
        <w:tc>
          <w:tcPr>
            <w:tcW w:w="1540" w:type="dxa"/>
            <w:vAlign w:val="bottom"/>
            <w:shd w:val="clear" w:color="auto" w:fill="004876"/>
          </w:tcPr>
          <w:p>
            <w:pPr>
              <w:spacing w:after="0"/>
              <w:rPr>
                <w:sz w:val="19"/>
                <w:szCs w:val="19"/>
                <w:color w:val="auto"/>
              </w:rPr>
            </w:pPr>
          </w:p>
        </w:tc>
        <w:tc>
          <w:tcPr>
            <w:tcW w:w="9480" w:type="dxa"/>
            <w:vAlign w:val="bottom"/>
          </w:tcPr>
          <w:p>
            <w:pPr>
              <w:ind w:left="120"/>
              <w:spacing w:after="0"/>
              <w:rPr>
                <w:sz w:val="20"/>
                <w:szCs w:val="20"/>
                <w:color w:val="auto"/>
              </w:rPr>
            </w:pPr>
            <w:r>
              <w:rPr>
                <w:rFonts w:ascii="Arial" w:cs="Arial" w:eastAsia="Arial" w:hAnsi="Arial"/>
                <w:sz w:val="16"/>
                <w:szCs w:val="16"/>
                <w:color w:val="004876"/>
              </w:rPr>
              <w:t xml:space="preserve">• </w:t>
            </w:r>
            <w:r>
              <w:rPr>
                <w:rFonts w:ascii="Arial" w:cs="Arial" w:eastAsia="Arial" w:hAnsi="Arial"/>
                <w:sz w:val="16"/>
                <w:szCs w:val="16"/>
                <w:color w:val="000000"/>
              </w:rPr>
              <w:t>#1 credit card issuer in terms of sales and outstandings, up 10% and 7% from 2018, respectively</w:t>
            </w:r>
          </w:p>
        </w:tc>
      </w:tr>
      <w:tr>
        <w:trPr>
          <w:trHeight w:val="230"/>
        </w:trPr>
        <w:tc>
          <w:tcPr>
            <w:tcW w:w="1540" w:type="dxa"/>
            <w:vAlign w:val="bottom"/>
            <w:shd w:val="clear" w:color="auto" w:fill="004876"/>
          </w:tcPr>
          <w:p>
            <w:pPr>
              <w:spacing w:after="0"/>
              <w:rPr>
                <w:sz w:val="19"/>
                <w:szCs w:val="19"/>
                <w:color w:val="auto"/>
              </w:rPr>
            </w:pPr>
          </w:p>
        </w:tc>
        <w:tc>
          <w:tcPr>
            <w:tcW w:w="9480" w:type="dxa"/>
            <w:vAlign w:val="bottom"/>
          </w:tcPr>
          <w:p>
            <w:pPr>
              <w:ind w:left="120"/>
              <w:spacing w:after="0"/>
              <w:rPr>
                <w:sz w:val="20"/>
                <w:szCs w:val="20"/>
                <w:color w:val="auto"/>
              </w:rPr>
            </w:pPr>
            <w:r>
              <w:rPr>
                <w:rFonts w:ascii="Arial" w:cs="Arial" w:eastAsia="Arial" w:hAnsi="Arial"/>
                <w:sz w:val="16"/>
                <w:szCs w:val="16"/>
                <w:color w:val="004876"/>
              </w:rPr>
              <w:t xml:space="preserve">• </w:t>
            </w:r>
            <w:r>
              <w:rPr>
                <w:rFonts w:ascii="Arial" w:cs="Arial" w:eastAsia="Arial" w:hAnsi="Arial"/>
                <w:sz w:val="16"/>
                <w:szCs w:val="16"/>
                <w:color w:val="000000"/>
              </w:rPr>
              <w:t>#2 mortgage servicer based on loans serviced; 30+ day servicing delinquency rate down 106 basis points from 2018</w:t>
            </w:r>
          </w:p>
        </w:tc>
      </w:tr>
      <w:tr>
        <w:trPr>
          <w:trHeight w:val="229"/>
        </w:trPr>
        <w:tc>
          <w:tcPr>
            <w:tcW w:w="1540" w:type="dxa"/>
            <w:vAlign w:val="bottom"/>
            <w:shd w:val="clear" w:color="auto" w:fill="004876"/>
          </w:tcPr>
          <w:p>
            <w:pPr>
              <w:spacing w:after="0"/>
              <w:rPr>
                <w:sz w:val="19"/>
                <w:szCs w:val="19"/>
                <w:color w:val="auto"/>
              </w:rPr>
            </w:pPr>
          </w:p>
        </w:tc>
        <w:tc>
          <w:tcPr>
            <w:tcW w:w="9480" w:type="dxa"/>
            <w:vAlign w:val="bottom"/>
          </w:tcPr>
          <w:p>
            <w:pPr>
              <w:ind w:left="26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6"/>
                <w:szCs w:val="16"/>
                <w:color w:val="auto"/>
              </w:rPr>
              <w:t>Home Lending origination volume was up 32% from 2018</w:t>
            </w:r>
          </w:p>
        </w:tc>
      </w:tr>
      <w:tr>
        <w:trPr>
          <w:trHeight w:val="229"/>
        </w:trPr>
        <w:tc>
          <w:tcPr>
            <w:tcW w:w="1540" w:type="dxa"/>
            <w:vAlign w:val="bottom"/>
            <w:shd w:val="clear" w:color="auto" w:fill="004876"/>
          </w:tcPr>
          <w:p>
            <w:pPr>
              <w:spacing w:after="0"/>
              <w:rPr>
                <w:sz w:val="19"/>
                <w:szCs w:val="19"/>
                <w:color w:val="auto"/>
              </w:rPr>
            </w:pPr>
          </w:p>
        </w:tc>
        <w:tc>
          <w:tcPr>
            <w:tcW w:w="9480" w:type="dxa"/>
            <w:vAlign w:val="bottom"/>
          </w:tcPr>
          <w:p>
            <w:pPr>
              <w:ind w:left="120"/>
              <w:spacing w:after="0"/>
              <w:rPr>
                <w:sz w:val="20"/>
                <w:szCs w:val="20"/>
                <w:color w:val="auto"/>
              </w:rPr>
            </w:pPr>
            <w:r>
              <w:rPr>
                <w:rFonts w:ascii="Arial" w:cs="Arial" w:eastAsia="Arial" w:hAnsi="Arial"/>
                <w:sz w:val="16"/>
                <w:szCs w:val="16"/>
                <w:color w:val="004876"/>
              </w:rPr>
              <w:t xml:space="preserve">• </w:t>
            </w:r>
            <w:r>
              <w:rPr>
                <w:rFonts w:ascii="Arial" w:cs="Arial" w:eastAsia="Arial" w:hAnsi="Arial"/>
                <w:sz w:val="16"/>
                <w:szCs w:val="16"/>
                <w:color w:val="000000"/>
              </w:rPr>
              <w:t>#3 bank auto lender based on loans and leases</w:t>
            </w:r>
          </w:p>
        </w:tc>
      </w:tr>
      <w:tr>
        <w:trPr>
          <w:trHeight w:val="236"/>
        </w:trPr>
        <w:tc>
          <w:tcPr>
            <w:tcW w:w="1540" w:type="dxa"/>
            <w:vAlign w:val="bottom"/>
            <w:shd w:val="clear" w:color="auto" w:fill="004876"/>
          </w:tcPr>
          <w:p>
            <w:pPr>
              <w:spacing w:after="0"/>
              <w:rPr>
                <w:sz w:val="20"/>
                <w:szCs w:val="20"/>
                <w:color w:val="auto"/>
              </w:rPr>
            </w:pPr>
          </w:p>
        </w:tc>
        <w:tc>
          <w:tcPr>
            <w:tcW w:w="9480" w:type="dxa"/>
            <w:vAlign w:val="bottom"/>
          </w:tcPr>
          <w:p>
            <w:pPr>
              <w:ind w:left="26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6"/>
                <w:szCs w:val="16"/>
                <w:color w:val="auto"/>
              </w:rPr>
              <w:t>Auto loan and lease originations were up 7% from 2018</w:t>
            </w:r>
          </w:p>
        </w:tc>
      </w:tr>
      <w:tr>
        <w:trPr>
          <w:trHeight w:val="94"/>
        </w:trPr>
        <w:tc>
          <w:tcPr>
            <w:tcW w:w="1540" w:type="dxa"/>
            <w:vAlign w:val="bottom"/>
            <w:tcBorders>
              <w:bottom w:val="single" w:sz="8" w:color="333333"/>
            </w:tcBorders>
          </w:tcPr>
          <w:p>
            <w:pPr>
              <w:spacing w:after="0"/>
              <w:rPr>
                <w:sz w:val="8"/>
                <w:szCs w:val="8"/>
                <w:color w:val="auto"/>
              </w:rPr>
            </w:pPr>
          </w:p>
        </w:tc>
        <w:tc>
          <w:tcPr>
            <w:tcW w:w="9480" w:type="dxa"/>
            <w:vAlign w:val="bottom"/>
            <w:tcBorders>
              <w:bottom w:val="single" w:sz="8" w:color="333333"/>
            </w:tcBorders>
          </w:tcPr>
          <w:p>
            <w:pPr>
              <w:spacing w:after="0"/>
              <w:rPr>
                <w:sz w:val="8"/>
                <w:szCs w:val="8"/>
                <w:color w:val="auto"/>
              </w:rPr>
            </w:pPr>
          </w:p>
        </w:tc>
      </w:tr>
    </w:tbl>
    <w:p>
      <w:pPr>
        <w:spacing w:after="0" w:line="72" w:lineRule="exact"/>
        <w:rPr>
          <w:sz w:val="20"/>
          <w:szCs w:val="20"/>
          <w:color w:val="auto"/>
        </w:rPr>
      </w:pPr>
    </w:p>
    <w:p>
      <w:pPr>
        <w:sectPr>
          <w:pgSz w:w="11900" w:h="16838" w:orient="portrait"/>
          <w:cols w:equalWidth="0" w:num="1">
            <w:col w:w="11140"/>
          </w:cols>
          <w:pgMar w:left="320" w:top="459" w:right="439" w:bottom="1440" w:gutter="0" w:footer="0" w:header="0"/>
        </w:sectPr>
      </w:pPr>
    </w:p>
    <w:p>
      <w:pPr>
        <w:jc w:val="right"/>
        <w:spacing w:after="0"/>
        <w:rPr>
          <w:sz w:val="20"/>
          <w:szCs w:val="20"/>
          <w:color w:val="auto"/>
        </w:rPr>
      </w:pPr>
      <w:r>
        <w:rPr>
          <w:rFonts w:ascii="Arial" w:cs="Arial" w:eastAsia="Arial" w:hAnsi="Arial"/>
          <w:sz w:val="18"/>
          <w:szCs w:val="18"/>
          <w:b w:val="1"/>
          <w:bCs w:val="1"/>
          <w:color w:val="FFFFFF"/>
        </w:rPr>
        <w:t>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-116205</wp:posOffset>
            </wp:positionV>
            <wp:extent cx="985520" cy="65976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985520" cy="65976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7"/>
          <w:szCs w:val="17"/>
          <w:b w:val="1"/>
          <w:bCs w:val="1"/>
          <w:color w:val="FFFFFF"/>
        </w:rPr>
        <w:t>Controls &amp;</w:t>
      </w:r>
    </w:p>
    <w:p>
      <w:pPr>
        <w:spacing w:after="0" w:line="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FFFFFF"/>
        </w:rPr>
        <w:t>Conduct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left="144" w:hanging="144"/>
        <w:spacing w:after="0"/>
        <w:tabs>
          <w:tab w:leader="none" w:pos="144" w:val="left"/>
        </w:tabs>
        <w:numPr>
          <w:ilvl w:val="0"/>
          <w:numId w:val="161"/>
        </w:numPr>
        <w:rPr>
          <w:rFonts w:ascii="Arial" w:cs="Arial" w:eastAsia="Arial" w:hAnsi="Arial"/>
          <w:sz w:val="16"/>
          <w:szCs w:val="16"/>
          <w:color w:val="004876"/>
        </w:rPr>
      </w:pPr>
      <w:r>
        <w:rPr>
          <w:rFonts w:ascii="Arial" w:cs="Arial" w:eastAsia="Arial" w:hAnsi="Arial"/>
          <w:sz w:val="16"/>
          <w:szCs w:val="16"/>
          <w:color w:val="auto"/>
        </w:rPr>
        <w:t>Continued to make significant progress in addressing regulatory matters affecting the business</w:t>
      </w:r>
    </w:p>
    <w:p>
      <w:pPr>
        <w:spacing w:after="0" w:line="45" w:lineRule="exact"/>
        <w:rPr>
          <w:rFonts w:ascii="Arial" w:cs="Arial" w:eastAsia="Arial" w:hAnsi="Arial"/>
          <w:sz w:val="16"/>
          <w:szCs w:val="16"/>
          <w:color w:val="004876"/>
        </w:rPr>
      </w:pPr>
    </w:p>
    <w:p>
      <w:pPr>
        <w:ind w:left="144" w:right="800" w:hanging="144"/>
        <w:spacing w:after="0" w:line="260" w:lineRule="auto"/>
        <w:tabs>
          <w:tab w:leader="none" w:pos="137" w:val="left"/>
        </w:tabs>
        <w:numPr>
          <w:ilvl w:val="0"/>
          <w:numId w:val="161"/>
        </w:numPr>
        <w:rPr>
          <w:rFonts w:ascii="Arial" w:cs="Arial" w:eastAsia="Arial" w:hAnsi="Arial"/>
          <w:sz w:val="16"/>
          <w:szCs w:val="16"/>
          <w:color w:val="004876"/>
        </w:rPr>
      </w:pPr>
      <w:r>
        <w:rPr>
          <w:rFonts w:ascii="Arial" w:cs="Arial" w:eastAsia="Arial" w:hAnsi="Arial"/>
          <w:sz w:val="16"/>
          <w:szCs w:val="16"/>
          <w:color w:val="auto"/>
        </w:rPr>
        <w:t>Maintained proactive controls monitoring through business innovation, new technologies (e.g., machine learning), and addressing elevated and emerging risks</w:t>
      </w:r>
    </w:p>
    <w:p>
      <w:pPr>
        <w:spacing w:after="0" w:line="19" w:lineRule="exact"/>
        <w:rPr>
          <w:rFonts w:ascii="Arial" w:cs="Arial" w:eastAsia="Arial" w:hAnsi="Arial"/>
          <w:sz w:val="16"/>
          <w:szCs w:val="16"/>
          <w:color w:val="004876"/>
        </w:rPr>
      </w:pPr>
    </w:p>
    <w:p>
      <w:pPr>
        <w:ind w:left="144" w:right="660" w:hanging="144"/>
        <w:spacing w:after="0" w:line="260" w:lineRule="auto"/>
        <w:tabs>
          <w:tab w:leader="none" w:pos="137" w:val="left"/>
        </w:tabs>
        <w:numPr>
          <w:ilvl w:val="0"/>
          <w:numId w:val="161"/>
        </w:numPr>
        <w:rPr>
          <w:rFonts w:ascii="Arial" w:cs="Arial" w:eastAsia="Arial" w:hAnsi="Arial"/>
          <w:sz w:val="16"/>
          <w:szCs w:val="16"/>
          <w:color w:val="004876"/>
        </w:rPr>
      </w:pPr>
      <w:r>
        <w:rPr>
          <w:rFonts w:ascii="Arial" w:cs="Arial" w:eastAsia="Arial" w:hAnsi="Arial"/>
          <w:sz w:val="16"/>
          <w:szCs w:val="16"/>
          <w:color w:val="auto"/>
        </w:rPr>
        <w:t>Completed Chase Bank credit card legal entity simplification into JPMorgan Chase Bank, which improved overall capital structure, increased liquidity and reduced reporting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-1053465</wp:posOffset>
            </wp:positionH>
            <wp:positionV relativeFrom="paragraph">
              <wp:posOffset>53975</wp:posOffset>
            </wp:positionV>
            <wp:extent cx="699516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71" w:lineRule="exact"/>
        <w:rPr>
          <w:sz w:val="20"/>
          <w:szCs w:val="20"/>
          <w:color w:val="auto"/>
        </w:rPr>
      </w:pPr>
    </w:p>
    <w:p>
      <w:pPr>
        <w:sectPr>
          <w:pgSz w:w="11900" w:h="16838" w:orient="portrait"/>
          <w:cols w:equalWidth="0" w:num="2">
            <w:col w:w="1460" w:space="316"/>
            <w:col w:w="9364"/>
          </w:cols>
          <w:pgMar w:left="320" w:top="459" w:right="439" w:bottom="1440" w:gutter="0" w:footer="0" w:header="0"/>
          <w:type w:val="continuous"/>
        </w:sectPr>
      </w:pPr>
    </w:p>
    <w:p>
      <w:pPr>
        <w:jc w:val="right"/>
        <w:ind w:left="440"/>
        <w:spacing w:after="0" w:line="275" w:lineRule="auto"/>
        <w:rPr>
          <w:sz w:val="20"/>
          <w:szCs w:val="20"/>
          <w:color w:val="auto"/>
        </w:rPr>
      </w:pPr>
      <w:r>
        <w:rPr>
          <w:rFonts w:ascii="Arial" w:cs="Arial" w:eastAsia="Arial" w:hAnsi="Arial"/>
          <w:sz w:val="17"/>
          <w:szCs w:val="17"/>
          <w:b w:val="1"/>
          <w:bCs w:val="1"/>
          <w:color w:val="FFFFFF"/>
        </w:rPr>
        <w:t>Client / Customer / Stakeholder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-411480</wp:posOffset>
            </wp:positionV>
            <wp:extent cx="985520" cy="88265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985520" cy="8826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ind w:left="144" w:right="380" w:hanging="144"/>
        <w:spacing w:after="0" w:line="260" w:lineRule="auto"/>
        <w:tabs>
          <w:tab w:leader="none" w:pos="137" w:val="left"/>
        </w:tabs>
        <w:numPr>
          <w:ilvl w:val="0"/>
          <w:numId w:val="162"/>
        </w:numPr>
        <w:rPr>
          <w:rFonts w:ascii="Arial" w:cs="Arial" w:eastAsia="Arial" w:hAnsi="Arial"/>
          <w:sz w:val="16"/>
          <w:szCs w:val="16"/>
          <w:color w:val="004876"/>
        </w:rPr>
      </w:pPr>
      <w:r>
        <w:rPr>
          <w:rFonts w:ascii="Arial" w:cs="Arial" w:eastAsia="Arial" w:hAnsi="Arial"/>
          <w:sz w:val="16"/>
          <w:szCs w:val="16"/>
          <w:color w:val="auto"/>
        </w:rPr>
        <w:t>Continued to deliver Credit Journey, allowing customers to keep track of their credit score and history with approximately 22 million Credit Journey enrollees as of December 2019</w:t>
      </w:r>
    </w:p>
    <w:p>
      <w:pPr>
        <w:spacing w:after="0" w:line="19" w:lineRule="exact"/>
        <w:rPr>
          <w:rFonts w:ascii="Arial" w:cs="Arial" w:eastAsia="Arial" w:hAnsi="Arial"/>
          <w:sz w:val="16"/>
          <w:szCs w:val="16"/>
          <w:color w:val="004876"/>
        </w:rPr>
      </w:pPr>
    </w:p>
    <w:p>
      <w:pPr>
        <w:ind w:left="144" w:hanging="144"/>
        <w:spacing w:after="0"/>
        <w:tabs>
          <w:tab w:leader="none" w:pos="144" w:val="left"/>
        </w:tabs>
        <w:numPr>
          <w:ilvl w:val="0"/>
          <w:numId w:val="162"/>
        </w:numPr>
        <w:rPr>
          <w:rFonts w:ascii="Arial" w:cs="Arial" w:eastAsia="Arial" w:hAnsi="Arial"/>
          <w:sz w:val="16"/>
          <w:szCs w:val="16"/>
          <w:color w:val="004876"/>
        </w:rPr>
      </w:pPr>
      <w:r>
        <w:rPr>
          <w:rFonts w:ascii="Arial" w:cs="Arial" w:eastAsia="Arial" w:hAnsi="Arial"/>
          <w:sz w:val="16"/>
          <w:szCs w:val="16"/>
          <w:color w:val="auto"/>
        </w:rPr>
        <w:t>Provided customers with incremental value through Chase Offers - over 160 million have been activated to date since launch</w:t>
      </w:r>
    </w:p>
    <w:p>
      <w:pPr>
        <w:spacing w:after="0" w:line="45" w:lineRule="exact"/>
        <w:rPr>
          <w:rFonts w:ascii="Arial" w:cs="Arial" w:eastAsia="Arial" w:hAnsi="Arial"/>
          <w:sz w:val="16"/>
          <w:szCs w:val="16"/>
          <w:color w:val="004876"/>
        </w:rPr>
      </w:pPr>
    </w:p>
    <w:p>
      <w:pPr>
        <w:ind w:left="144" w:hanging="144"/>
        <w:spacing w:after="0"/>
        <w:tabs>
          <w:tab w:leader="none" w:pos="144" w:val="left"/>
        </w:tabs>
        <w:numPr>
          <w:ilvl w:val="0"/>
          <w:numId w:val="162"/>
        </w:numPr>
        <w:rPr>
          <w:rFonts w:ascii="Arial" w:cs="Arial" w:eastAsia="Arial" w:hAnsi="Arial"/>
          <w:sz w:val="16"/>
          <w:szCs w:val="16"/>
          <w:color w:val="004876"/>
        </w:rPr>
      </w:pPr>
      <w:r>
        <w:rPr>
          <w:rFonts w:ascii="Arial" w:cs="Arial" w:eastAsia="Arial" w:hAnsi="Arial"/>
          <w:sz w:val="16"/>
          <w:szCs w:val="16"/>
          <w:color w:val="auto"/>
        </w:rPr>
        <w:t>Ultimate Rewards loyalty platform tied at #1 in assessed value for customers</w:t>
      </w:r>
    </w:p>
    <w:p>
      <w:pPr>
        <w:spacing w:after="0" w:line="45" w:lineRule="exact"/>
        <w:rPr>
          <w:rFonts w:ascii="Arial" w:cs="Arial" w:eastAsia="Arial" w:hAnsi="Arial"/>
          <w:sz w:val="16"/>
          <w:szCs w:val="16"/>
          <w:color w:val="004876"/>
        </w:rPr>
      </w:pPr>
    </w:p>
    <w:p>
      <w:pPr>
        <w:ind w:left="144" w:hanging="144"/>
        <w:spacing w:after="0"/>
        <w:tabs>
          <w:tab w:leader="none" w:pos="144" w:val="left"/>
        </w:tabs>
        <w:numPr>
          <w:ilvl w:val="0"/>
          <w:numId w:val="162"/>
        </w:numPr>
        <w:rPr>
          <w:rFonts w:ascii="Arial" w:cs="Arial" w:eastAsia="Arial" w:hAnsi="Arial"/>
          <w:sz w:val="16"/>
          <w:szCs w:val="16"/>
          <w:color w:val="004876"/>
        </w:rPr>
      </w:pPr>
      <w:r>
        <w:rPr>
          <w:rFonts w:ascii="Arial" w:cs="Arial" w:eastAsia="Arial" w:hAnsi="Arial"/>
          <w:sz w:val="16"/>
          <w:szCs w:val="16"/>
          <w:color w:val="auto"/>
        </w:rPr>
        <w:t>Fully rolled out Chase MyHome, which by the end of 2019 was leveraged for 80% of funded mortgage loans</w:t>
      </w:r>
    </w:p>
    <w:p>
      <w:pPr>
        <w:spacing w:after="0" w:line="45" w:lineRule="exact"/>
        <w:rPr>
          <w:rFonts w:ascii="Arial" w:cs="Arial" w:eastAsia="Arial" w:hAnsi="Arial"/>
          <w:sz w:val="16"/>
          <w:szCs w:val="16"/>
          <w:color w:val="004876"/>
        </w:rPr>
      </w:pPr>
    </w:p>
    <w:p>
      <w:pPr>
        <w:ind w:left="144" w:hanging="144"/>
        <w:spacing w:after="0"/>
        <w:tabs>
          <w:tab w:leader="none" w:pos="144" w:val="left"/>
        </w:tabs>
        <w:numPr>
          <w:ilvl w:val="0"/>
          <w:numId w:val="162"/>
        </w:numPr>
        <w:rPr>
          <w:rFonts w:ascii="Arial" w:cs="Arial" w:eastAsia="Arial" w:hAnsi="Arial"/>
          <w:sz w:val="16"/>
          <w:szCs w:val="16"/>
          <w:color w:val="004876"/>
        </w:rPr>
      </w:pPr>
      <w:r>
        <w:rPr>
          <w:rFonts w:ascii="Arial" w:cs="Arial" w:eastAsia="Arial" w:hAnsi="Arial"/>
          <w:sz w:val="16"/>
          <w:szCs w:val="16"/>
          <w:color w:val="auto"/>
        </w:rPr>
        <w:t>Launched Chase Auto Preferred and MyCar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-1053465</wp:posOffset>
            </wp:positionH>
            <wp:positionV relativeFrom="paragraph">
              <wp:posOffset>70485</wp:posOffset>
            </wp:positionV>
            <wp:extent cx="699516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6" w:lineRule="exact"/>
        <w:rPr>
          <w:sz w:val="20"/>
          <w:szCs w:val="20"/>
          <w:color w:val="auto"/>
        </w:rPr>
      </w:pPr>
    </w:p>
    <w:p>
      <w:pPr>
        <w:sectPr>
          <w:pgSz w:w="11900" w:h="16838" w:orient="portrait"/>
          <w:cols w:equalWidth="0" w:num="2">
            <w:col w:w="1460" w:space="316"/>
            <w:col w:w="9364"/>
          </w:cols>
          <w:pgMar w:left="320" w:top="459" w:right="439" w:bottom="1440" w:gutter="0" w:footer="0" w:header="0"/>
          <w:type w:val="continuous"/>
        </w:sectPr>
      </w:pPr>
    </w:p>
    <w:p>
      <w:pPr>
        <w:jc w:val="right"/>
        <w:ind w:left="420"/>
        <w:spacing w:after="0" w:line="301" w:lineRule="auto"/>
        <w:rPr>
          <w:sz w:val="20"/>
          <w:szCs w:val="20"/>
          <w:color w:val="auto"/>
        </w:rPr>
      </w:pPr>
      <w:r>
        <w:rPr>
          <w:rFonts w:ascii="Arial" w:cs="Arial" w:eastAsia="Arial" w:hAnsi="Arial"/>
          <w:sz w:val="17"/>
          <w:szCs w:val="17"/>
          <w:b w:val="1"/>
          <w:bCs w:val="1"/>
          <w:color w:val="FFFFFF"/>
        </w:rPr>
        <w:t>Teamwork &amp; Leadership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-295910</wp:posOffset>
            </wp:positionV>
            <wp:extent cx="985520" cy="53975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985520" cy="5397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left="144" w:hanging="144"/>
        <w:spacing w:after="0"/>
        <w:tabs>
          <w:tab w:leader="none" w:pos="144" w:val="left"/>
        </w:tabs>
        <w:numPr>
          <w:ilvl w:val="0"/>
          <w:numId w:val="163"/>
        </w:numPr>
        <w:rPr>
          <w:rFonts w:ascii="Arial" w:cs="Arial" w:eastAsia="Arial" w:hAnsi="Arial"/>
          <w:sz w:val="16"/>
          <w:szCs w:val="16"/>
          <w:color w:val="004876"/>
        </w:rPr>
      </w:pPr>
      <w:r>
        <w:rPr>
          <w:rFonts w:ascii="Arial" w:cs="Arial" w:eastAsia="Arial" w:hAnsi="Arial"/>
          <w:sz w:val="16"/>
          <w:szCs w:val="16"/>
          <w:color w:val="auto"/>
        </w:rPr>
        <w:t>Executive sponsor of Women on the Move and Parents@JPMC</w:t>
      </w:r>
    </w:p>
    <w:p>
      <w:pPr>
        <w:spacing w:after="0" w:line="45" w:lineRule="exact"/>
        <w:rPr>
          <w:rFonts w:ascii="Arial" w:cs="Arial" w:eastAsia="Arial" w:hAnsi="Arial"/>
          <w:sz w:val="16"/>
          <w:szCs w:val="16"/>
          <w:color w:val="004876"/>
        </w:rPr>
      </w:pPr>
    </w:p>
    <w:p>
      <w:pPr>
        <w:ind w:left="144" w:hanging="144"/>
        <w:spacing w:after="0"/>
        <w:tabs>
          <w:tab w:leader="none" w:pos="144" w:val="left"/>
        </w:tabs>
        <w:numPr>
          <w:ilvl w:val="0"/>
          <w:numId w:val="163"/>
        </w:numPr>
        <w:rPr>
          <w:rFonts w:ascii="Arial" w:cs="Arial" w:eastAsia="Arial" w:hAnsi="Arial"/>
          <w:sz w:val="16"/>
          <w:szCs w:val="16"/>
          <w:color w:val="004876"/>
        </w:rPr>
      </w:pPr>
      <w:r>
        <w:rPr>
          <w:rFonts w:ascii="Arial" w:cs="Arial" w:eastAsia="Arial" w:hAnsi="Arial"/>
          <w:sz w:val="16"/>
          <w:szCs w:val="16"/>
          <w:color w:val="auto"/>
        </w:rPr>
        <w:t>Continued to be an ambassador for women by hosting and/or presenting at many events focused on women</w:t>
      </w:r>
    </w:p>
    <w:p>
      <w:pPr>
        <w:spacing w:after="0" w:line="45" w:lineRule="exact"/>
        <w:rPr>
          <w:rFonts w:ascii="Arial" w:cs="Arial" w:eastAsia="Arial" w:hAnsi="Arial"/>
          <w:sz w:val="16"/>
          <w:szCs w:val="16"/>
          <w:color w:val="004876"/>
        </w:rPr>
      </w:pPr>
    </w:p>
    <w:p>
      <w:pPr>
        <w:ind w:left="144" w:right="500" w:hanging="144"/>
        <w:spacing w:after="0" w:line="260" w:lineRule="auto"/>
        <w:tabs>
          <w:tab w:leader="none" w:pos="137" w:val="left"/>
        </w:tabs>
        <w:numPr>
          <w:ilvl w:val="0"/>
          <w:numId w:val="163"/>
        </w:numPr>
        <w:rPr>
          <w:rFonts w:ascii="Arial" w:cs="Arial" w:eastAsia="Arial" w:hAnsi="Arial"/>
          <w:sz w:val="16"/>
          <w:szCs w:val="16"/>
          <w:color w:val="004876"/>
        </w:rPr>
      </w:pPr>
      <w:r>
        <w:rPr>
          <w:rFonts w:ascii="Arial" w:cs="Arial" w:eastAsia="Arial" w:hAnsi="Arial"/>
          <w:sz w:val="16"/>
          <w:szCs w:val="16"/>
          <w:color w:val="auto"/>
        </w:rPr>
        <w:t>Continued to focus on developing and attracting top talent for succession at senior levels, while also focusing on the talent across the organization as a whole; continued focus on diverse representation across the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-1053465</wp:posOffset>
            </wp:positionH>
            <wp:positionV relativeFrom="paragraph">
              <wp:posOffset>80010</wp:posOffset>
            </wp:positionV>
            <wp:extent cx="699516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60" w:space="316"/>
            <w:col w:w="9364"/>
          </w:cols>
          <w:pgMar w:left="320" w:top="459"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0" w:right="460" w:hanging="210"/>
        <w:spacing w:after="0" w:line="230" w:lineRule="auto"/>
        <w:tabs>
          <w:tab w:leader="none" w:pos="340" w:val="left"/>
        </w:tabs>
        <w:numPr>
          <w:ilvl w:val="0"/>
          <w:numId w:val="164"/>
        </w:numPr>
        <w:rPr>
          <w:rFonts w:ascii="Arial" w:cs="Arial" w:eastAsia="Arial" w:hAnsi="Arial"/>
          <w:sz w:val="11"/>
          <w:szCs w:val="11"/>
          <w:color w:val="auto"/>
        </w:rPr>
      </w:pPr>
      <w:r>
        <w:rPr>
          <w:rFonts w:ascii="Arial" w:cs="Arial" w:eastAsia="Arial" w:hAnsi="Arial"/>
          <w:sz w:val="13"/>
          <w:szCs w:val="13"/>
          <w:color w:val="auto"/>
        </w:rPr>
        <w:t>The Firm reviews the results of the lines of business on a managed basis. Refer to Additional notes, Note 1, on page 115 for a definition of managed basis. Includes Home Lending, Card, Merchant Services and Auto 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241935</wp:posOffset>
            </wp:positionV>
            <wp:extent cx="7029450" cy="19748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029450" cy="19748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p>
      <w:pPr>
        <w:spacing w:after="0" w:line="200" w:lineRule="exact"/>
        <w:rPr>
          <w:sz w:val="20"/>
          <w:szCs w:val="20"/>
          <w:color w:val="auto"/>
        </w:rPr>
      </w:pPr>
    </w:p>
    <w:p>
      <w:pPr>
        <w:spacing w:after="0" w:line="259" w:lineRule="exact"/>
        <w:rPr>
          <w:sz w:val="20"/>
          <w:szCs w:val="20"/>
          <w:color w:val="auto"/>
        </w:rPr>
      </w:pPr>
    </w:p>
    <w:p>
      <w:pPr>
        <w:jc w:val="center"/>
        <w:ind w:right="-99"/>
        <w:spacing w:after="0"/>
        <w:rPr>
          <w:sz w:val="20"/>
          <w:szCs w:val="20"/>
          <w:color w:val="auto"/>
        </w:rPr>
      </w:pPr>
      <w:r>
        <w:rPr>
          <w:rFonts w:ascii="Arial" w:cs="Arial" w:eastAsia="Arial" w:hAnsi="Arial"/>
          <w:sz w:val="13"/>
          <w:szCs w:val="13"/>
          <w:b w:val="1"/>
          <w:bCs w:val="1"/>
          <w:color w:val="004876"/>
        </w:rPr>
        <w:t>70</w:t>
      </w:r>
    </w:p>
    <w:p>
      <w:pPr>
        <w:sectPr>
          <w:pgSz w:w="11900" w:h="16838" w:orient="portrait"/>
          <w:cols w:equalWidth="0" w:num="1">
            <w:col w:w="11140"/>
          </w:cols>
          <w:pgMar w:left="320" w:top="459" w:right="439" w:bottom="1440" w:gutter="0" w:footer="0" w:header="0"/>
          <w:type w:val="continuous"/>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04876"/>
        </w:rPr>
        <w:t>EXECUTIVE COMPENSATION | 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160655</wp:posOffset>
            </wp:positionV>
            <wp:extent cx="6926580" cy="26543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6926580"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340"/>
        <w:spacing w:after="0"/>
        <w:rPr>
          <w:sz w:val="20"/>
          <w:szCs w:val="20"/>
          <w:color w:val="auto"/>
        </w:rPr>
      </w:pPr>
      <w:r>
        <w:rPr>
          <w:rFonts w:ascii="Arial" w:cs="Arial" w:eastAsia="Arial" w:hAnsi="Arial"/>
          <w:sz w:val="29"/>
          <w:szCs w:val="29"/>
          <w:color w:val="004876"/>
        </w:rPr>
        <w:t>Jennifer Piepszak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995160" cy="10458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6995160" cy="1045845"/>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004876"/>
        </w:rPr>
        <w:t>CHIEF FINANCIAL OFFICER</w:t>
      </w:r>
    </w:p>
    <w:p>
      <w:pPr>
        <w:spacing w:after="0" w:line="152" w:lineRule="exact"/>
        <w:rPr>
          <w:sz w:val="20"/>
          <w:szCs w:val="20"/>
          <w:color w:val="auto"/>
        </w:rPr>
      </w:pPr>
    </w:p>
    <w:p>
      <w:pPr>
        <w:ind w:left="340" w:right="3920"/>
        <w:spacing w:after="0" w:line="238" w:lineRule="auto"/>
        <w:rPr>
          <w:sz w:val="20"/>
          <w:szCs w:val="20"/>
          <w:color w:val="auto"/>
        </w:rPr>
      </w:pPr>
      <w:r>
        <w:rPr>
          <w:rFonts w:ascii="Arial" w:cs="Arial" w:eastAsia="Arial" w:hAnsi="Arial"/>
          <w:sz w:val="17"/>
          <w:szCs w:val="17"/>
          <w:color w:val="auto"/>
        </w:rPr>
        <w:t>Ms. Piepszak was appointed Chief Financial Officer on May 1, 2019. She previously served as the CEO for Card Services from 2017 to April 2019. Prior to that, Ms. Piepszak served as CEO of Business Banking and CFO for Mortgage Banking.</w:t>
      </w:r>
    </w:p>
    <w:p>
      <w:pPr>
        <w:spacing w:after="0" w:line="200" w:lineRule="exact"/>
        <w:rPr>
          <w:sz w:val="20"/>
          <w:szCs w:val="20"/>
          <w:color w:val="auto"/>
        </w:rPr>
      </w:pPr>
    </w:p>
    <w:p>
      <w:pPr>
        <w:spacing w:after="0" w:line="382" w:lineRule="exact"/>
        <w:rPr>
          <w:sz w:val="20"/>
          <w:szCs w:val="20"/>
          <w:color w:val="auto"/>
        </w:rPr>
      </w:pPr>
    </w:p>
    <w:p>
      <w:pPr>
        <w:ind w:left="120"/>
        <w:spacing w:after="0"/>
        <w:rPr>
          <w:sz w:val="20"/>
          <w:szCs w:val="20"/>
          <w:color w:val="auto"/>
        </w:rPr>
      </w:pPr>
      <w:r>
        <w:rPr>
          <w:rFonts w:ascii="Arial" w:cs="Arial" w:eastAsia="Arial" w:hAnsi="Arial"/>
          <w:sz w:val="20"/>
          <w:szCs w:val="20"/>
          <w:color w:val="004876"/>
        </w:rPr>
        <w:t>2019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79375</wp:posOffset>
            </wp:positionV>
            <wp:extent cx="699516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3"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540" w:type="dxa"/>
            <w:vAlign w:val="bottom"/>
            <w:shd w:val="clear" w:color="auto" w:fill="004876"/>
          </w:tcPr>
          <w:p>
            <w:pPr>
              <w:jc w:val="right"/>
              <w:ind w:right="110"/>
              <w:spacing w:after="0"/>
              <w:rPr>
                <w:sz w:val="20"/>
                <w:szCs w:val="20"/>
                <w:color w:val="auto"/>
              </w:rPr>
            </w:pPr>
            <w:r>
              <w:rPr>
                <w:rFonts w:ascii="Arial" w:cs="Arial" w:eastAsia="Arial" w:hAnsi="Arial"/>
                <w:sz w:val="18"/>
                <w:szCs w:val="18"/>
                <w:b w:val="1"/>
                <w:bCs w:val="1"/>
                <w:color w:val="FFFFFF"/>
              </w:rPr>
              <w:t>Business</w:t>
            </w:r>
          </w:p>
        </w:tc>
        <w:tc>
          <w:tcPr>
            <w:tcW w:w="9480" w:type="dxa"/>
            <w:vAlign w:val="bottom"/>
          </w:tcPr>
          <w:p>
            <w:pPr>
              <w:ind w:left="120"/>
              <w:spacing w:after="0"/>
              <w:rPr>
                <w:sz w:val="20"/>
                <w:szCs w:val="20"/>
                <w:color w:val="auto"/>
              </w:rPr>
            </w:pPr>
            <w:r>
              <w:rPr>
                <w:rFonts w:ascii="Arial" w:cs="Arial" w:eastAsia="Arial" w:hAnsi="Arial"/>
                <w:sz w:val="17"/>
                <w:szCs w:val="17"/>
                <w:color w:val="004876"/>
              </w:rPr>
              <w:t xml:space="preserve">• </w:t>
            </w:r>
            <w:r>
              <w:rPr>
                <w:rFonts w:ascii="Arial" w:cs="Arial" w:eastAsia="Arial" w:hAnsi="Arial"/>
                <w:sz w:val="17"/>
                <w:szCs w:val="17"/>
                <w:color w:val="000000"/>
              </w:rPr>
              <w:t>As CEO of Card Services, set and executed on clear strategy to scale, engage, and deepen relationships with customers</w:t>
            </w:r>
          </w:p>
        </w:tc>
        <w:tc>
          <w:tcPr>
            <w:tcW w:w="0" w:type="dxa"/>
            <w:vAlign w:val="bottom"/>
          </w:tcPr>
          <w:p>
            <w:pPr>
              <w:spacing w:after="0"/>
              <w:rPr>
                <w:sz w:val="1"/>
                <w:szCs w:val="1"/>
                <w:color w:val="auto"/>
              </w:rPr>
            </w:pPr>
          </w:p>
        </w:tc>
      </w:tr>
      <w:tr>
        <w:trPr>
          <w:trHeight w:val="233"/>
        </w:trPr>
        <w:tc>
          <w:tcPr>
            <w:tcW w:w="1540" w:type="dxa"/>
            <w:vAlign w:val="bottom"/>
            <w:shd w:val="clear" w:color="auto" w:fill="004876"/>
          </w:tcPr>
          <w:p>
            <w:pPr>
              <w:jc w:val="right"/>
              <w:ind w:right="110"/>
              <w:spacing w:after="0"/>
              <w:rPr>
                <w:sz w:val="20"/>
                <w:szCs w:val="20"/>
                <w:color w:val="auto"/>
              </w:rPr>
            </w:pPr>
            <w:r>
              <w:rPr>
                <w:rFonts w:ascii="Arial" w:cs="Arial" w:eastAsia="Arial" w:hAnsi="Arial"/>
                <w:sz w:val="18"/>
                <w:szCs w:val="18"/>
                <w:b w:val="1"/>
                <w:bCs w:val="1"/>
                <w:color w:val="FFFFFF"/>
              </w:rPr>
              <w:t>Results</w:t>
            </w:r>
          </w:p>
        </w:tc>
        <w:tc>
          <w:tcPr>
            <w:tcW w:w="9480" w:type="dxa"/>
            <w:vAlign w:val="bottom"/>
          </w:tcPr>
          <w:p>
            <w:pPr>
              <w:ind w:left="260"/>
              <w:spacing w:after="0"/>
              <w:rPr>
                <w:sz w:val="20"/>
                <w:szCs w:val="20"/>
                <w:color w:val="auto"/>
              </w:rPr>
            </w:pPr>
            <w:r>
              <w:rPr>
                <w:rFonts w:ascii="Arial" w:cs="Arial" w:eastAsia="Arial" w:hAnsi="Arial"/>
                <w:sz w:val="17"/>
                <w:szCs w:val="17"/>
                <w:color w:val="auto"/>
              </w:rPr>
              <w:t>to drive strong sales and loan growth, which included introducing new product offerings (e.g., Tap to Pay, Chase Offers)</w:t>
            </w:r>
          </w:p>
        </w:tc>
        <w:tc>
          <w:tcPr>
            <w:tcW w:w="0" w:type="dxa"/>
            <w:vAlign w:val="bottom"/>
          </w:tcPr>
          <w:p>
            <w:pPr>
              <w:spacing w:after="0"/>
              <w:rPr>
                <w:sz w:val="1"/>
                <w:szCs w:val="1"/>
                <w:color w:val="auto"/>
              </w:rPr>
            </w:pPr>
          </w:p>
        </w:tc>
      </w:tr>
      <w:tr>
        <w:trPr>
          <w:trHeight w:val="189"/>
        </w:trPr>
        <w:tc>
          <w:tcPr>
            <w:tcW w:w="1540" w:type="dxa"/>
            <w:vAlign w:val="bottom"/>
            <w:shd w:val="clear" w:color="auto" w:fill="004876"/>
          </w:tcPr>
          <w:p>
            <w:pPr>
              <w:spacing w:after="0"/>
              <w:rPr>
                <w:sz w:val="16"/>
                <w:szCs w:val="16"/>
                <w:color w:val="auto"/>
              </w:rPr>
            </w:pPr>
          </w:p>
        </w:tc>
        <w:tc>
          <w:tcPr>
            <w:tcW w:w="9480" w:type="dxa"/>
            <w:vAlign w:val="bottom"/>
          </w:tcPr>
          <w:p>
            <w:pPr>
              <w:ind w:left="120"/>
              <w:spacing w:after="0" w:line="189" w:lineRule="exact"/>
              <w:rPr>
                <w:sz w:val="20"/>
                <w:szCs w:val="20"/>
                <w:color w:val="auto"/>
              </w:rPr>
            </w:pPr>
            <w:r>
              <w:rPr>
                <w:rFonts w:ascii="Arial" w:cs="Arial" w:eastAsia="Arial" w:hAnsi="Arial"/>
                <w:sz w:val="17"/>
                <w:szCs w:val="17"/>
                <w:color w:val="004876"/>
              </w:rPr>
              <w:t xml:space="preserve">• </w:t>
            </w:r>
            <w:r>
              <w:rPr>
                <w:rFonts w:ascii="Arial" w:cs="Arial" w:eastAsia="Arial" w:hAnsi="Arial"/>
                <w:sz w:val="17"/>
                <w:szCs w:val="17"/>
                <w:color w:val="000000"/>
              </w:rPr>
              <w:t>As newly appointed CFO, took on responsibility for a number of areas, including Global Finance and Business</w:t>
            </w:r>
          </w:p>
        </w:tc>
        <w:tc>
          <w:tcPr>
            <w:tcW w:w="0" w:type="dxa"/>
            <w:vAlign w:val="bottom"/>
          </w:tcPr>
          <w:p>
            <w:pPr>
              <w:spacing w:after="0"/>
              <w:rPr>
                <w:sz w:val="1"/>
                <w:szCs w:val="1"/>
                <w:color w:val="auto"/>
              </w:rPr>
            </w:pPr>
          </w:p>
        </w:tc>
      </w:tr>
      <w:tr>
        <w:trPr>
          <w:trHeight w:val="189"/>
        </w:trPr>
        <w:tc>
          <w:tcPr>
            <w:tcW w:w="1540" w:type="dxa"/>
            <w:vAlign w:val="bottom"/>
            <w:shd w:val="clear" w:color="auto" w:fill="004876"/>
          </w:tcPr>
          <w:p>
            <w:pPr>
              <w:spacing w:after="0"/>
              <w:rPr>
                <w:sz w:val="16"/>
                <w:szCs w:val="16"/>
                <w:color w:val="auto"/>
              </w:rPr>
            </w:pPr>
          </w:p>
        </w:tc>
        <w:tc>
          <w:tcPr>
            <w:tcW w:w="9480" w:type="dxa"/>
            <w:vAlign w:val="bottom"/>
          </w:tcPr>
          <w:p>
            <w:pPr>
              <w:ind w:left="260"/>
              <w:spacing w:after="0" w:line="189" w:lineRule="exact"/>
              <w:rPr>
                <w:sz w:val="20"/>
                <w:szCs w:val="20"/>
                <w:color w:val="auto"/>
              </w:rPr>
            </w:pPr>
            <w:r>
              <w:rPr>
                <w:rFonts w:ascii="Arial" w:cs="Arial" w:eastAsia="Arial" w:hAnsi="Arial"/>
                <w:sz w:val="17"/>
                <w:szCs w:val="17"/>
                <w:color w:val="auto"/>
              </w:rPr>
              <w:t>Management, Treasury &amp; Chief Investment Office, Chief Administrative Office, and Control Management, as well as</w:t>
            </w:r>
          </w:p>
        </w:tc>
        <w:tc>
          <w:tcPr>
            <w:tcW w:w="0" w:type="dxa"/>
            <w:vAlign w:val="bottom"/>
          </w:tcPr>
          <w:p>
            <w:pPr>
              <w:spacing w:after="0"/>
              <w:rPr>
                <w:sz w:val="1"/>
                <w:szCs w:val="1"/>
                <w:color w:val="auto"/>
              </w:rPr>
            </w:pPr>
          </w:p>
        </w:tc>
      </w:tr>
      <w:tr>
        <w:trPr>
          <w:trHeight w:val="189"/>
        </w:trPr>
        <w:tc>
          <w:tcPr>
            <w:tcW w:w="1540" w:type="dxa"/>
            <w:vAlign w:val="bottom"/>
            <w:shd w:val="clear" w:color="auto" w:fill="004876"/>
          </w:tcPr>
          <w:p>
            <w:pPr>
              <w:spacing w:after="0"/>
              <w:rPr>
                <w:sz w:val="16"/>
                <w:szCs w:val="16"/>
                <w:color w:val="auto"/>
              </w:rPr>
            </w:pPr>
          </w:p>
        </w:tc>
        <w:tc>
          <w:tcPr>
            <w:tcW w:w="9480" w:type="dxa"/>
            <w:vAlign w:val="bottom"/>
          </w:tcPr>
          <w:p>
            <w:pPr>
              <w:ind w:left="260"/>
              <w:spacing w:after="0" w:line="189" w:lineRule="exact"/>
              <w:rPr>
                <w:sz w:val="20"/>
                <w:szCs w:val="20"/>
                <w:color w:val="auto"/>
              </w:rPr>
            </w:pPr>
            <w:r>
              <w:rPr>
                <w:rFonts w:ascii="Arial" w:cs="Arial" w:eastAsia="Arial" w:hAnsi="Arial"/>
                <w:sz w:val="17"/>
                <w:szCs w:val="17"/>
                <w:color w:val="auto"/>
              </w:rPr>
              <w:t>management oversight for Corporate Strategy and Strategic Investments, and successfully managed the organization</w:t>
            </w:r>
          </w:p>
        </w:tc>
        <w:tc>
          <w:tcPr>
            <w:tcW w:w="0" w:type="dxa"/>
            <w:vAlign w:val="bottom"/>
          </w:tcPr>
          <w:p>
            <w:pPr>
              <w:spacing w:after="0"/>
              <w:rPr>
                <w:sz w:val="1"/>
                <w:szCs w:val="1"/>
                <w:color w:val="auto"/>
              </w:rPr>
            </w:pPr>
          </w:p>
        </w:tc>
      </w:tr>
      <w:tr>
        <w:trPr>
          <w:trHeight w:val="205"/>
        </w:trPr>
        <w:tc>
          <w:tcPr>
            <w:tcW w:w="1540" w:type="dxa"/>
            <w:vAlign w:val="bottom"/>
            <w:shd w:val="clear" w:color="auto" w:fill="004876"/>
          </w:tcPr>
          <w:p>
            <w:pPr>
              <w:spacing w:after="0"/>
              <w:rPr>
                <w:sz w:val="17"/>
                <w:szCs w:val="17"/>
                <w:color w:val="auto"/>
              </w:rPr>
            </w:pPr>
          </w:p>
        </w:tc>
        <w:tc>
          <w:tcPr>
            <w:tcW w:w="9480" w:type="dxa"/>
            <w:vAlign w:val="bottom"/>
          </w:tcPr>
          <w:p>
            <w:pPr>
              <w:ind w:left="260"/>
              <w:spacing w:after="0"/>
              <w:rPr>
                <w:sz w:val="20"/>
                <w:szCs w:val="20"/>
                <w:color w:val="auto"/>
              </w:rPr>
            </w:pPr>
            <w:r>
              <w:rPr>
                <w:rFonts w:ascii="Arial" w:cs="Arial" w:eastAsia="Arial" w:hAnsi="Arial"/>
                <w:sz w:val="17"/>
                <w:szCs w:val="17"/>
                <w:color w:val="auto"/>
              </w:rPr>
              <w:t>through leadership transition</w:t>
            </w:r>
          </w:p>
        </w:tc>
        <w:tc>
          <w:tcPr>
            <w:tcW w:w="0" w:type="dxa"/>
            <w:vAlign w:val="bottom"/>
          </w:tcPr>
          <w:p>
            <w:pPr>
              <w:spacing w:after="0"/>
              <w:rPr>
                <w:sz w:val="1"/>
                <w:szCs w:val="1"/>
                <w:color w:val="auto"/>
              </w:rPr>
            </w:pPr>
          </w:p>
        </w:tc>
      </w:tr>
      <w:tr>
        <w:trPr>
          <w:trHeight w:val="230"/>
        </w:trPr>
        <w:tc>
          <w:tcPr>
            <w:tcW w:w="1540" w:type="dxa"/>
            <w:vAlign w:val="bottom"/>
            <w:shd w:val="clear" w:color="auto" w:fill="004876"/>
          </w:tcPr>
          <w:p>
            <w:pPr>
              <w:spacing w:after="0"/>
              <w:rPr>
                <w:sz w:val="19"/>
                <w:szCs w:val="19"/>
                <w:color w:val="auto"/>
              </w:rPr>
            </w:pPr>
          </w:p>
        </w:tc>
        <w:tc>
          <w:tcPr>
            <w:tcW w:w="9480" w:type="dxa"/>
            <w:vAlign w:val="bottom"/>
          </w:tcPr>
          <w:p>
            <w:pPr>
              <w:ind w:left="120"/>
              <w:spacing w:after="0"/>
              <w:rPr>
                <w:sz w:val="20"/>
                <w:szCs w:val="20"/>
                <w:color w:val="auto"/>
              </w:rPr>
            </w:pPr>
            <w:r>
              <w:rPr>
                <w:rFonts w:ascii="Arial" w:cs="Arial" w:eastAsia="Arial" w:hAnsi="Arial"/>
                <w:sz w:val="17"/>
                <w:szCs w:val="17"/>
                <w:color w:val="004876"/>
              </w:rPr>
              <w:t xml:space="preserve">• </w:t>
            </w:r>
            <w:r>
              <w:rPr>
                <w:rFonts w:ascii="Arial" w:cs="Arial" w:eastAsia="Arial" w:hAnsi="Arial"/>
                <w:sz w:val="17"/>
                <w:szCs w:val="17"/>
                <w:color w:val="000000"/>
              </w:rPr>
              <w:t>Continued execution of Firmwide workforce and real estate strategy</w:t>
            </w:r>
          </w:p>
        </w:tc>
        <w:tc>
          <w:tcPr>
            <w:tcW w:w="0" w:type="dxa"/>
            <w:vAlign w:val="bottom"/>
          </w:tcPr>
          <w:p>
            <w:pPr>
              <w:spacing w:after="0"/>
              <w:rPr>
                <w:sz w:val="1"/>
                <w:szCs w:val="1"/>
                <w:color w:val="auto"/>
              </w:rPr>
            </w:pPr>
          </w:p>
        </w:tc>
      </w:tr>
      <w:tr>
        <w:trPr>
          <w:trHeight w:val="233"/>
        </w:trPr>
        <w:tc>
          <w:tcPr>
            <w:tcW w:w="1540" w:type="dxa"/>
            <w:vAlign w:val="bottom"/>
            <w:shd w:val="clear" w:color="auto" w:fill="004876"/>
          </w:tcPr>
          <w:p>
            <w:pPr>
              <w:spacing w:after="0"/>
              <w:rPr>
                <w:sz w:val="20"/>
                <w:szCs w:val="20"/>
                <w:color w:val="auto"/>
              </w:rPr>
            </w:pPr>
          </w:p>
        </w:tc>
        <w:tc>
          <w:tcPr>
            <w:tcW w:w="9480" w:type="dxa"/>
            <w:vAlign w:val="bottom"/>
          </w:tcPr>
          <w:p>
            <w:pPr>
              <w:ind w:left="120"/>
              <w:spacing w:after="0"/>
              <w:rPr>
                <w:sz w:val="20"/>
                <w:szCs w:val="20"/>
                <w:color w:val="auto"/>
              </w:rPr>
            </w:pPr>
            <w:r>
              <w:rPr>
                <w:rFonts w:ascii="Arial" w:cs="Arial" w:eastAsia="Arial" w:hAnsi="Arial"/>
                <w:sz w:val="17"/>
                <w:szCs w:val="17"/>
                <w:color w:val="004876"/>
              </w:rPr>
              <w:t xml:space="preserve">• </w:t>
            </w:r>
            <w:r>
              <w:rPr>
                <w:rFonts w:ascii="Arial" w:cs="Arial" w:eastAsia="Arial" w:hAnsi="Arial"/>
                <w:sz w:val="17"/>
                <w:szCs w:val="17"/>
                <w:color w:val="000000"/>
              </w:rPr>
              <w:t>Received CCAR results, leading to the authorization to repurchase up to $29.4B of the Firm’s common equity</w:t>
            </w:r>
          </w:p>
        </w:tc>
        <w:tc>
          <w:tcPr>
            <w:tcW w:w="0" w:type="dxa"/>
            <w:vAlign w:val="bottom"/>
          </w:tcPr>
          <w:p>
            <w:pPr>
              <w:spacing w:after="0"/>
              <w:rPr>
                <w:sz w:val="1"/>
                <w:szCs w:val="1"/>
                <w:color w:val="auto"/>
              </w:rPr>
            </w:pPr>
          </w:p>
        </w:tc>
      </w:tr>
      <w:tr>
        <w:trPr>
          <w:trHeight w:val="94"/>
        </w:trPr>
        <w:tc>
          <w:tcPr>
            <w:tcW w:w="1540" w:type="dxa"/>
            <w:vAlign w:val="bottom"/>
            <w:tcBorders>
              <w:bottom w:val="single" w:sz="8" w:color="333333"/>
            </w:tcBorders>
          </w:tcPr>
          <w:p>
            <w:pPr>
              <w:spacing w:after="0"/>
              <w:rPr>
                <w:sz w:val="8"/>
                <w:szCs w:val="8"/>
                <w:color w:val="auto"/>
              </w:rPr>
            </w:pPr>
          </w:p>
        </w:tc>
        <w:tc>
          <w:tcPr>
            <w:tcW w:w="9480" w:type="dxa"/>
            <w:vAlign w:val="bottom"/>
            <w:tcBorders>
              <w:bottom w:val="single" w:sz="8" w:color="333333"/>
            </w:tcBorders>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1540" w:type="dxa"/>
            <w:vAlign w:val="bottom"/>
          </w:tcPr>
          <w:p>
            <w:pPr>
              <w:spacing w:after="0"/>
              <w:rPr>
                <w:sz w:val="7"/>
                <w:szCs w:val="7"/>
                <w:color w:val="auto"/>
              </w:rPr>
            </w:pPr>
          </w:p>
        </w:tc>
        <w:tc>
          <w:tcPr>
            <w:tcW w:w="9480" w:type="dxa"/>
            <w:vAlign w:val="bottom"/>
            <w:vMerge w:val="restart"/>
          </w:tcPr>
          <w:p>
            <w:pPr>
              <w:ind w:left="120"/>
              <w:spacing w:after="0"/>
              <w:rPr>
                <w:sz w:val="20"/>
                <w:szCs w:val="20"/>
                <w:color w:val="auto"/>
              </w:rPr>
            </w:pPr>
            <w:r>
              <w:rPr>
                <w:rFonts w:ascii="Arial" w:cs="Arial" w:eastAsia="Arial" w:hAnsi="Arial"/>
                <w:sz w:val="17"/>
                <w:szCs w:val="17"/>
                <w:color w:val="004876"/>
              </w:rPr>
              <w:t xml:space="preserve">• </w:t>
            </w:r>
            <w:r>
              <w:rPr>
                <w:rFonts w:ascii="Arial" w:cs="Arial" w:eastAsia="Arial" w:hAnsi="Arial"/>
                <w:sz w:val="17"/>
                <w:szCs w:val="17"/>
                <w:color w:val="000000"/>
              </w:rPr>
              <w:t>As CFO, participated in constructive and active engagement and advocacy with key regulators</w:t>
            </w:r>
          </w:p>
        </w:tc>
        <w:tc>
          <w:tcPr>
            <w:tcW w:w="0" w:type="dxa"/>
            <w:vAlign w:val="bottom"/>
          </w:tcPr>
          <w:p>
            <w:pPr>
              <w:spacing w:after="0"/>
              <w:rPr>
                <w:sz w:val="1"/>
                <w:szCs w:val="1"/>
                <w:color w:val="auto"/>
              </w:rPr>
            </w:pPr>
          </w:p>
        </w:tc>
      </w:tr>
      <w:tr>
        <w:trPr>
          <w:trHeight w:val="180"/>
        </w:trPr>
        <w:tc>
          <w:tcPr>
            <w:tcW w:w="1540" w:type="dxa"/>
            <w:vAlign w:val="bottom"/>
            <w:shd w:val="clear" w:color="auto" w:fill="5988A5"/>
          </w:tcPr>
          <w:p>
            <w:pPr>
              <w:jc w:val="right"/>
              <w:ind w:right="110"/>
              <w:spacing w:after="0" w:line="180" w:lineRule="exact"/>
              <w:rPr>
                <w:sz w:val="20"/>
                <w:szCs w:val="20"/>
                <w:color w:val="auto"/>
              </w:rPr>
            </w:pPr>
            <w:r>
              <w:rPr>
                <w:rFonts w:ascii="Arial" w:cs="Arial" w:eastAsia="Arial" w:hAnsi="Arial"/>
                <w:sz w:val="18"/>
                <w:szCs w:val="18"/>
                <w:b w:val="1"/>
                <w:bCs w:val="1"/>
                <w:color w:val="FFFFFF"/>
              </w:rPr>
              <w:t>Risk,</w:t>
            </w:r>
          </w:p>
        </w:tc>
        <w:tc>
          <w:tcPr>
            <w:tcW w:w="9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540" w:type="dxa"/>
            <w:vAlign w:val="bottom"/>
            <w:shd w:val="clear" w:color="auto" w:fill="5988A5"/>
          </w:tcPr>
          <w:p>
            <w:pPr>
              <w:jc w:val="right"/>
              <w:ind w:right="110"/>
              <w:spacing w:after="0" w:line="202" w:lineRule="exact"/>
              <w:rPr>
                <w:sz w:val="20"/>
                <w:szCs w:val="20"/>
                <w:color w:val="auto"/>
              </w:rPr>
            </w:pPr>
            <w:r>
              <w:rPr>
                <w:rFonts w:ascii="Arial" w:cs="Arial" w:eastAsia="Arial" w:hAnsi="Arial"/>
                <w:sz w:val="18"/>
                <w:szCs w:val="18"/>
                <w:b w:val="1"/>
                <w:bCs w:val="1"/>
                <w:color w:val="FFFFFF"/>
              </w:rPr>
              <w:t>Controls &amp;</w:t>
            </w:r>
          </w:p>
        </w:tc>
        <w:tc>
          <w:tcPr>
            <w:tcW w:w="9480" w:type="dxa"/>
            <w:vAlign w:val="bottom"/>
          </w:tcPr>
          <w:p>
            <w:pPr>
              <w:ind w:left="120"/>
              <w:spacing w:after="0"/>
              <w:rPr>
                <w:sz w:val="20"/>
                <w:szCs w:val="20"/>
                <w:color w:val="auto"/>
              </w:rPr>
            </w:pPr>
            <w:r>
              <w:rPr>
                <w:rFonts w:ascii="Arial" w:cs="Arial" w:eastAsia="Arial" w:hAnsi="Arial"/>
                <w:sz w:val="17"/>
                <w:szCs w:val="17"/>
                <w:color w:val="004876"/>
              </w:rPr>
              <w:t xml:space="preserve">• </w:t>
            </w:r>
            <w:r>
              <w:rPr>
                <w:rFonts w:ascii="Arial" w:cs="Arial" w:eastAsia="Arial" w:hAnsi="Arial"/>
                <w:sz w:val="17"/>
                <w:szCs w:val="17"/>
                <w:color w:val="000000"/>
              </w:rPr>
              <w:t>Implemented an updated Firmwide risk and control framework used by all lines of defense</w:t>
            </w:r>
          </w:p>
        </w:tc>
        <w:tc>
          <w:tcPr>
            <w:tcW w:w="0" w:type="dxa"/>
            <w:vAlign w:val="bottom"/>
          </w:tcPr>
          <w:p>
            <w:pPr>
              <w:spacing w:after="0"/>
              <w:rPr>
                <w:sz w:val="1"/>
                <w:szCs w:val="1"/>
                <w:color w:val="auto"/>
              </w:rPr>
            </w:pPr>
          </w:p>
        </w:tc>
      </w:tr>
      <w:tr>
        <w:trPr>
          <w:trHeight w:val="260"/>
        </w:trPr>
        <w:tc>
          <w:tcPr>
            <w:tcW w:w="1540" w:type="dxa"/>
            <w:vAlign w:val="bottom"/>
            <w:shd w:val="clear" w:color="auto" w:fill="5988A5"/>
          </w:tcPr>
          <w:p>
            <w:pPr>
              <w:jc w:val="right"/>
              <w:ind w:right="110"/>
              <w:spacing w:after="0"/>
              <w:rPr>
                <w:sz w:val="20"/>
                <w:szCs w:val="20"/>
                <w:color w:val="auto"/>
              </w:rPr>
            </w:pPr>
            <w:r>
              <w:rPr>
                <w:rFonts w:ascii="Arial" w:cs="Arial" w:eastAsia="Arial" w:hAnsi="Arial"/>
                <w:sz w:val="18"/>
                <w:szCs w:val="18"/>
                <w:b w:val="1"/>
                <w:bCs w:val="1"/>
                <w:color w:val="FFFFFF"/>
              </w:rPr>
              <w:t>Conduct</w:t>
            </w:r>
          </w:p>
        </w:tc>
        <w:tc>
          <w:tcPr>
            <w:tcW w:w="9480" w:type="dxa"/>
            <w:vAlign w:val="bottom"/>
          </w:tcPr>
          <w:p>
            <w:pPr>
              <w:ind w:left="120"/>
              <w:spacing w:after="0"/>
              <w:rPr>
                <w:sz w:val="20"/>
                <w:szCs w:val="20"/>
                <w:color w:val="auto"/>
              </w:rPr>
            </w:pPr>
            <w:r>
              <w:rPr>
                <w:rFonts w:ascii="Arial" w:cs="Arial" w:eastAsia="Arial" w:hAnsi="Arial"/>
                <w:sz w:val="17"/>
                <w:szCs w:val="17"/>
                <w:color w:val="004876"/>
              </w:rPr>
              <w:t xml:space="preserve">• </w:t>
            </w:r>
            <w:r>
              <w:rPr>
                <w:rFonts w:ascii="Arial" w:cs="Arial" w:eastAsia="Arial" w:hAnsi="Arial"/>
                <w:sz w:val="17"/>
                <w:szCs w:val="17"/>
                <w:color w:val="000000"/>
              </w:rPr>
              <w:t>Continued to maintain strong risk discipline across the organization with a focus on addressing issues, enhancing</w:t>
            </w:r>
          </w:p>
        </w:tc>
        <w:tc>
          <w:tcPr>
            <w:tcW w:w="0" w:type="dxa"/>
            <w:vAlign w:val="bottom"/>
          </w:tcPr>
          <w:p>
            <w:pPr>
              <w:spacing w:after="0"/>
              <w:rPr>
                <w:sz w:val="1"/>
                <w:szCs w:val="1"/>
                <w:color w:val="auto"/>
              </w:rPr>
            </w:pPr>
          </w:p>
        </w:tc>
      </w:tr>
      <w:tr>
        <w:trPr>
          <w:trHeight w:val="209"/>
        </w:trPr>
        <w:tc>
          <w:tcPr>
            <w:tcW w:w="1540" w:type="dxa"/>
            <w:vAlign w:val="bottom"/>
            <w:shd w:val="clear" w:color="auto" w:fill="5988A5"/>
          </w:tcPr>
          <w:p>
            <w:pPr>
              <w:spacing w:after="0"/>
              <w:rPr>
                <w:sz w:val="18"/>
                <w:szCs w:val="18"/>
                <w:color w:val="auto"/>
              </w:rPr>
            </w:pPr>
          </w:p>
        </w:tc>
        <w:tc>
          <w:tcPr>
            <w:tcW w:w="9480" w:type="dxa"/>
            <w:vAlign w:val="bottom"/>
          </w:tcPr>
          <w:p>
            <w:pPr>
              <w:ind w:left="260"/>
              <w:spacing w:after="0"/>
              <w:rPr>
                <w:sz w:val="20"/>
                <w:szCs w:val="20"/>
                <w:color w:val="auto"/>
              </w:rPr>
            </w:pPr>
            <w:r>
              <w:rPr>
                <w:rFonts w:ascii="Arial" w:cs="Arial" w:eastAsia="Arial" w:hAnsi="Arial"/>
                <w:sz w:val="17"/>
                <w:szCs w:val="17"/>
                <w:color w:val="auto"/>
              </w:rPr>
              <w:t>controls, and reinforcing culture and conduct principles</w:t>
            </w:r>
          </w:p>
        </w:tc>
        <w:tc>
          <w:tcPr>
            <w:tcW w:w="0" w:type="dxa"/>
            <w:vAlign w:val="bottom"/>
          </w:tcPr>
          <w:p>
            <w:pPr>
              <w:spacing w:after="0"/>
              <w:rPr>
                <w:sz w:val="1"/>
                <w:szCs w:val="1"/>
                <w:color w:val="auto"/>
              </w:rPr>
            </w:pPr>
          </w:p>
        </w:tc>
      </w:tr>
      <w:tr>
        <w:trPr>
          <w:trHeight w:val="95"/>
        </w:trPr>
        <w:tc>
          <w:tcPr>
            <w:tcW w:w="1540" w:type="dxa"/>
            <w:vAlign w:val="bottom"/>
            <w:tcBorders>
              <w:bottom w:val="single" w:sz="8" w:color="333333"/>
            </w:tcBorders>
          </w:tcPr>
          <w:p>
            <w:pPr>
              <w:spacing w:after="0"/>
              <w:rPr>
                <w:sz w:val="8"/>
                <w:szCs w:val="8"/>
                <w:color w:val="auto"/>
              </w:rPr>
            </w:pPr>
          </w:p>
        </w:tc>
        <w:tc>
          <w:tcPr>
            <w:tcW w:w="9480" w:type="dxa"/>
            <w:vAlign w:val="bottom"/>
            <w:tcBorders>
              <w:bottom w:val="single" w:sz="8" w:color="333333"/>
            </w:tcBorders>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1540" w:type="dxa"/>
            <w:vAlign w:val="bottom"/>
          </w:tcPr>
          <w:p>
            <w:pPr>
              <w:spacing w:after="0"/>
              <w:rPr>
                <w:sz w:val="7"/>
                <w:szCs w:val="7"/>
                <w:color w:val="auto"/>
              </w:rPr>
            </w:pPr>
          </w:p>
        </w:tc>
        <w:tc>
          <w:tcPr>
            <w:tcW w:w="9480" w:type="dxa"/>
            <w:vAlign w:val="bottom"/>
            <w:vMerge w:val="restart"/>
          </w:tcPr>
          <w:p>
            <w:pPr>
              <w:ind w:left="120"/>
              <w:spacing w:after="0"/>
              <w:rPr>
                <w:sz w:val="20"/>
                <w:szCs w:val="20"/>
                <w:color w:val="auto"/>
              </w:rPr>
            </w:pPr>
            <w:r>
              <w:rPr>
                <w:rFonts w:ascii="Arial" w:cs="Arial" w:eastAsia="Arial" w:hAnsi="Arial"/>
                <w:sz w:val="17"/>
                <w:szCs w:val="17"/>
                <w:color w:val="004876"/>
              </w:rPr>
              <w:t xml:space="preserve">• </w:t>
            </w:r>
            <w:r>
              <w:rPr>
                <w:rFonts w:ascii="Arial" w:cs="Arial" w:eastAsia="Arial" w:hAnsi="Arial"/>
                <w:sz w:val="17"/>
                <w:szCs w:val="17"/>
                <w:color w:val="000000"/>
              </w:rPr>
              <w:t>As CEO of Card Services, continued to deepen relationships and attract new customers with a focus on innovation,</w:t>
            </w:r>
          </w:p>
        </w:tc>
        <w:tc>
          <w:tcPr>
            <w:tcW w:w="0" w:type="dxa"/>
            <w:vAlign w:val="bottom"/>
          </w:tcPr>
          <w:p>
            <w:pPr>
              <w:spacing w:after="0"/>
              <w:rPr>
                <w:sz w:val="1"/>
                <w:szCs w:val="1"/>
                <w:color w:val="auto"/>
              </w:rPr>
            </w:pPr>
          </w:p>
        </w:tc>
      </w:tr>
      <w:tr>
        <w:trPr>
          <w:trHeight w:val="180"/>
        </w:trPr>
        <w:tc>
          <w:tcPr>
            <w:tcW w:w="1540" w:type="dxa"/>
            <w:vAlign w:val="bottom"/>
            <w:shd w:val="clear" w:color="auto" w:fill="7F7F7F"/>
          </w:tcPr>
          <w:p>
            <w:pPr>
              <w:jc w:val="right"/>
              <w:ind w:right="110"/>
              <w:spacing w:after="0" w:line="180" w:lineRule="exact"/>
              <w:rPr>
                <w:sz w:val="20"/>
                <w:szCs w:val="20"/>
                <w:color w:val="auto"/>
              </w:rPr>
            </w:pPr>
            <w:r>
              <w:rPr>
                <w:rFonts w:ascii="Arial" w:cs="Arial" w:eastAsia="Arial" w:hAnsi="Arial"/>
                <w:sz w:val="18"/>
                <w:szCs w:val="18"/>
                <w:b w:val="1"/>
                <w:bCs w:val="1"/>
                <w:color w:val="FFFFFF"/>
              </w:rPr>
              <w:t>Client /</w:t>
            </w:r>
          </w:p>
        </w:tc>
        <w:tc>
          <w:tcPr>
            <w:tcW w:w="9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540" w:type="dxa"/>
            <w:vAlign w:val="bottom"/>
            <w:shd w:val="clear" w:color="auto" w:fill="7F7F7F"/>
          </w:tcPr>
          <w:p>
            <w:pPr>
              <w:jc w:val="right"/>
              <w:ind w:right="110"/>
              <w:spacing w:after="0" w:line="202" w:lineRule="exact"/>
              <w:rPr>
                <w:sz w:val="20"/>
                <w:szCs w:val="20"/>
                <w:color w:val="auto"/>
              </w:rPr>
            </w:pPr>
            <w:r>
              <w:rPr>
                <w:rFonts w:ascii="Arial" w:cs="Arial" w:eastAsia="Arial" w:hAnsi="Arial"/>
                <w:sz w:val="18"/>
                <w:szCs w:val="18"/>
                <w:b w:val="1"/>
                <w:bCs w:val="1"/>
                <w:color w:val="FFFFFF"/>
              </w:rPr>
              <w:t>Customer /</w:t>
            </w:r>
          </w:p>
        </w:tc>
        <w:tc>
          <w:tcPr>
            <w:tcW w:w="9480" w:type="dxa"/>
            <w:vAlign w:val="bottom"/>
          </w:tcPr>
          <w:p>
            <w:pPr>
              <w:ind w:left="260"/>
              <w:spacing w:after="0"/>
              <w:rPr>
                <w:sz w:val="20"/>
                <w:szCs w:val="20"/>
                <w:color w:val="auto"/>
              </w:rPr>
            </w:pPr>
            <w:r>
              <w:rPr>
                <w:rFonts w:ascii="Arial" w:cs="Arial" w:eastAsia="Arial" w:hAnsi="Arial"/>
                <w:sz w:val="17"/>
                <w:szCs w:val="17"/>
                <w:color w:val="auto"/>
              </w:rPr>
              <w:t>experience and efficiency</w:t>
            </w:r>
          </w:p>
        </w:tc>
        <w:tc>
          <w:tcPr>
            <w:tcW w:w="0" w:type="dxa"/>
            <w:vAlign w:val="bottom"/>
          </w:tcPr>
          <w:p>
            <w:pPr>
              <w:spacing w:after="0"/>
              <w:rPr>
                <w:sz w:val="1"/>
                <w:szCs w:val="1"/>
                <w:color w:val="auto"/>
              </w:rPr>
            </w:pPr>
          </w:p>
        </w:tc>
      </w:tr>
      <w:tr>
        <w:trPr>
          <w:trHeight w:val="239"/>
        </w:trPr>
        <w:tc>
          <w:tcPr>
            <w:tcW w:w="1540" w:type="dxa"/>
            <w:vAlign w:val="bottom"/>
            <w:shd w:val="clear" w:color="auto" w:fill="7F7F7F"/>
          </w:tcPr>
          <w:p>
            <w:pPr>
              <w:jc w:val="right"/>
              <w:ind w:right="110"/>
              <w:spacing w:after="0"/>
              <w:rPr>
                <w:sz w:val="20"/>
                <w:szCs w:val="20"/>
                <w:color w:val="auto"/>
              </w:rPr>
            </w:pPr>
            <w:r>
              <w:rPr>
                <w:rFonts w:ascii="Arial" w:cs="Arial" w:eastAsia="Arial" w:hAnsi="Arial"/>
                <w:sz w:val="18"/>
                <w:szCs w:val="18"/>
                <w:b w:val="1"/>
                <w:bCs w:val="1"/>
                <w:color w:val="FFFFFF"/>
              </w:rPr>
              <w:t>Stakeholder</w:t>
            </w:r>
          </w:p>
        </w:tc>
        <w:tc>
          <w:tcPr>
            <w:tcW w:w="9480" w:type="dxa"/>
            <w:vAlign w:val="bottom"/>
          </w:tcPr>
          <w:p>
            <w:pPr>
              <w:ind w:left="120"/>
              <w:spacing w:after="0"/>
              <w:rPr>
                <w:sz w:val="20"/>
                <w:szCs w:val="20"/>
                <w:color w:val="auto"/>
              </w:rPr>
            </w:pPr>
            <w:r>
              <w:rPr>
                <w:rFonts w:ascii="Arial" w:cs="Arial" w:eastAsia="Arial" w:hAnsi="Arial"/>
                <w:sz w:val="17"/>
                <w:szCs w:val="17"/>
                <w:color w:val="004876"/>
              </w:rPr>
              <w:t xml:space="preserve">• </w:t>
            </w:r>
            <w:r>
              <w:rPr>
                <w:rFonts w:ascii="Arial" w:cs="Arial" w:eastAsia="Arial" w:hAnsi="Arial"/>
                <w:sz w:val="17"/>
                <w:szCs w:val="17"/>
                <w:color w:val="000000"/>
              </w:rPr>
              <w:t>As CFO, participated in 80+ events globally, continuing strong engagement, both internally and externally</w:t>
            </w:r>
          </w:p>
        </w:tc>
        <w:tc>
          <w:tcPr>
            <w:tcW w:w="0" w:type="dxa"/>
            <w:vAlign w:val="bottom"/>
          </w:tcPr>
          <w:p>
            <w:pPr>
              <w:spacing w:after="0"/>
              <w:rPr>
                <w:sz w:val="1"/>
                <w:szCs w:val="1"/>
                <w:color w:val="auto"/>
              </w:rPr>
            </w:pPr>
          </w:p>
        </w:tc>
      </w:tr>
      <w:tr>
        <w:trPr>
          <w:trHeight w:val="210"/>
        </w:trPr>
        <w:tc>
          <w:tcPr>
            <w:tcW w:w="1540" w:type="dxa"/>
            <w:vAlign w:val="bottom"/>
            <w:shd w:val="clear" w:color="auto" w:fill="7F7F7F"/>
          </w:tcPr>
          <w:p>
            <w:pPr>
              <w:spacing w:after="0"/>
              <w:rPr>
                <w:sz w:val="18"/>
                <w:szCs w:val="18"/>
                <w:color w:val="auto"/>
              </w:rPr>
            </w:pPr>
          </w:p>
        </w:tc>
        <w:tc>
          <w:tcPr>
            <w:tcW w:w="9480" w:type="dxa"/>
            <w:vAlign w:val="bottom"/>
          </w:tcPr>
          <w:p>
            <w:pPr>
              <w:ind w:left="120"/>
              <w:spacing w:after="0"/>
              <w:rPr>
                <w:sz w:val="20"/>
                <w:szCs w:val="20"/>
                <w:color w:val="auto"/>
              </w:rPr>
            </w:pPr>
            <w:r>
              <w:rPr>
                <w:rFonts w:ascii="Arial" w:cs="Arial" w:eastAsia="Arial" w:hAnsi="Arial"/>
                <w:sz w:val="17"/>
                <w:szCs w:val="17"/>
                <w:color w:val="004876"/>
              </w:rPr>
              <w:t xml:space="preserve">• </w:t>
            </w:r>
            <w:r>
              <w:rPr>
                <w:rFonts w:ascii="Arial" w:cs="Arial" w:eastAsia="Arial" w:hAnsi="Arial"/>
                <w:sz w:val="17"/>
                <w:szCs w:val="17"/>
                <w:color w:val="000000"/>
              </w:rPr>
              <w:t>Established relationships as new CFO with a broad range of important stakeholders - investors, regulators, research</w:t>
            </w:r>
          </w:p>
        </w:tc>
        <w:tc>
          <w:tcPr>
            <w:tcW w:w="0" w:type="dxa"/>
            <w:vAlign w:val="bottom"/>
          </w:tcPr>
          <w:p>
            <w:pPr>
              <w:spacing w:after="0"/>
              <w:rPr>
                <w:sz w:val="1"/>
                <w:szCs w:val="1"/>
                <w:color w:val="auto"/>
              </w:rPr>
            </w:pPr>
          </w:p>
        </w:tc>
      </w:tr>
      <w:tr>
        <w:trPr>
          <w:trHeight w:val="205"/>
        </w:trPr>
        <w:tc>
          <w:tcPr>
            <w:tcW w:w="1540" w:type="dxa"/>
            <w:vAlign w:val="bottom"/>
            <w:shd w:val="clear" w:color="auto" w:fill="7F7F7F"/>
          </w:tcPr>
          <w:p>
            <w:pPr>
              <w:spacing w:after="0"/>
              <w:rPr>
                <w:sz w:val="17"/>
                <w:szCs w:val="17"/>
                <w:color w:val="auto"/>
              </w:rPr>
            </w:pPr>
          </w:p>
        </w:tc>
        <w:tc>
          <w:tcPr>
            <w:tcW w:w="9480" w:type="dxa"/>
            <w:vAlign w:val="bottom"/>
          </w:tcPr>
          <w:p>
            <w:pPr>
              <w:ind w:left="260"/>
              <w:spacing w:after="0"/>
              <w:rPr>
                <w:sz w:val="20"/>
                <w:szCs w:val="20"/>
                <w:color w:val="auto"/>
              </w:rPr>
            </w:pPr>
            <w:r>
              <w:rPr>
                <w:rFonts w:ascii="Arial" w:cs="Arial" w:eastAsia="Arial" w:hAnsi="Arial"/>
                <w:sz w:val="17"/>
                <w:szCs w:val="17"/>
                <w:color w:val="auto"/>
              </w:rPr>
              <w:t>analysts, and other industry members</w:t>
            </w:r>
          </w:p>
        </w:tc>
        <w:tc>
          <w:tcPr>
            <w:tcW w:w="0" w:type="dxa"/>
            <w:vAlign w:val="bottom"/>
          </w:tcPr>
          <w:p>
            <w:pPr>
              <w:spacing w:after="0"/>
              <w:rPr>
                <w:sz w:val="1"/>
                <w:szCs w:val="1"/>
                <w:color w:val="auto"/>
              </w:rPr>
            </w:pPr>
          </w:p>
        </w:tc>
      </w:tr>
      <w:tr>
        <w:trPr>
          <w:trHeight w:val="214"/>
        </w:trPr>
        <w:tc>
          <w:tcPr>
            <w:tcW w:w="1540" w:type="dxa"/>
            <w:vAlign w:val="bottom"/>
            <w:shd w:val="clear" w:color="auto" w:fill="7F7F7F"/>
          </w:tcPr>
          <w:p>
            <w:pPr>
              <w:spacing w:after="0"/>
              <w:rPr>
                <w:sz w:val="18"/>
                <w:szCs w:val="18"/>
                <w:color w:val="auto"/>
              </w:rPr>
            </w:pPr>
          </w:p>
        </w:tc>
        <w:tc>
          <w:tcPr>
            <w:tcW w:w="9480" w:type="dxa"/>
            <w:vAlign w:val="bottom"/>
          </w:tcPr>
          <w:p>
            <w:pPr>
              <w:ind w:left="120"/>
              <w:spacing w:after="0"/>
              <w:rPr>
                <w:sz w:val="20"/>
                <w:szCs w:val="20"/>
                <w:color w:val="auto"/>
              </w:rPr>
            </w:pPr>
            <w:r>
              <w:rPr>
                <w:rFonts w:ascii="Arial" w:cs="Arial" w:eastAsia="Arial" w:hAnsi="Arial"/>
                <w:sz w:val="17"/>
                <w:szCs w:val="17"/>
                <w:color w:val="004876"/>
              </w:rPr>
              <w:t xml:space="preserve">• </w:t>
            </w:r>
            <w:r>
              <w:rPr>
                <w:rFonts w:ascii="Arial" w:cs="Arial" w:eastAsia="Arial" w:hAnsi="Arial"/>
                <w:sz w:val="17"/>
                <w:szCs w:val="17"/>
                <w:color w:val="000000"/>
              </w:rPr>
              <w:t>Continued focus on advancing our infrastructure, technology and automation agendas to enhance and optimize our</w:t>
            </w:r>
          </w:p>
        </w:tc>
        <w:tc>
          <w:tcPr>
            <w:tcW w:w="0" w:type="dxa"/>
            <w:vAlign w:val="bottom"/>
          </w:tcPr>
          <w:p>
            <w:pPr>
              <w:spacing w:after="0"/>
              <w:rPr>
                <w:sz w:val="1"/>
                <w:szCs w:val="1"/>
                <w:color w:val="auto"/>
              </w:rPr>
            </w:pPr>
          </w:p>
        </w:tc>
      </w:tr>
      <w:tr>
        <w:trPr>
          <w:trHeight w:val="209"/>
        </w:trPr>
        <w:tc>
          <w:tcPr>
            <w:tcW w:w="1540" w:type="dxa"/>
            <w:vAlign w:val="bottom"/>
            <w:shd w:val="clear" w:color="auto" w:fill="7F7F7F"/>
          </w:tcPr>
          <w:p>
            <w:pPr>
              <w:spacing w:after="0"/>
              <w:rPr>
                <w:sz w:val="18"/>
                <w:szCs w:val="18"/>
                <w:color w:val="auto"/>
              </w:rPr>
            </w:pPr>
          </w:p>
        </w:tc>
        <w:tc>
          <w:tcPr>
            <w:tcW w:w="9480" w:type="dxa"/>
            <w:vAlign w:val="bottom"/>
          </w:tcPr>
          <w:p>
            <w:pPr>
              <w:ind w:left="260"/>
              <w:spacing w:after="0"/>
              <w:rPr>
                <w:sz w:val="20"/>
                <w:szCs w:val="20"/>
                <w:color w:val="auto"/>
              </w:rPr>
            </w:pPr>
            <w:r>
              <w:rPr>
                <w:rFonts w:ascii="Arial" w:cs="Arial" w:eastAsia="Arial" w:hAnsi="Arial"/>
                <w:sz w:val="17"/>
                <w:szCs w:val="17"/>
                <w:color w:val="auto"/>
              </w:rPr>
              <w:t>workforce and processes</w:t>
            </w:r>
          </w:p>
        </w:tc>
        <w:tc>
          <w:tcPr>
            <w:tcW w:w="0" w:type="dxa"/>
            <w:vAlign w:val="bottom"/>
          </w:tcPr>
          <w:p>
            <w:pPr>
              <w:spacing w:after="0"/>
              <w:rPr>
                <w:sz w:val="1"/>
                <w:szCs w:val="1"/>
                <w:color w:val="auto"/>
              </w:rPr>
            </w:pPr>
          </w:p>
        </w:tc>
      </w:tr>
      <w:tr>
        <w:trPr>
          <w:trHeight w:val="94"/>
        </w:trPr>
        <w:tc>
          <w:tcPr>
            <w:tcW w:w="1540" w:type="dxa"/>
            <w:vAlign w:val="bottom"/>
            <w:tcBorders>
              <w:bottom w:val="single" w:sz="8" w:color="333333"/>
            </w:tcBorders>
          </w:tcPr>
          <w:p>
            <w:pPr>
              <w:spacing w:after="0"/>
              <w:rPr>
                <w:sz w:val="8"/>
                <w:szCs w:val="8"/>
                <w:color w:val="auto"/>
              </w:rPr>
            </w:pPr>
          </w:p>
        </w:tc>
        <w:tc>
          <w:tcPr>
            <w:tcW w:w="9480" w:type="dxa"/>
            <w:vAlign w:val="bottom"/>
            <w:tcBorders>
              <w:bottom w:val="single" w:sz="8" w:color="333333"/>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420"/>
        <w:spacing w:after="0"/>
        <w:tabs>
          <w:tab w:leader="none" w:pos="1760" w:val="left"/>
        </w:tabs>
        <w:rPr>
          <w:sz w:val="20"/>
          <w:szCs w:val="20"/>
          <w:color w:val="auto"/>
        </w:rPr>
      </w:pPr>
      <w:r>
        <w:rPr>
          <w:rFonts w:ascii="Arial" w:cs="Arial" w:eastAsia="Arial" w:hAnsi="Arial"/>
          <w:sz w:val="18"/>
          <w:szCs w:val="18"/>
          <w:b w:val="1"/>
          <w:bCs w:val="1"/>
          <w:color w:val="FFFFFF"/>
        </w:rPr>
        <w:t>Teamwork &amp;</w:t>
      </w:r>
      <w:r>
        <w:rPr>
          <w:sz w:val="20"/>
          <w:szCs w:val="20"/>
          <w:color w:val="auto"/>
        </w:rPr>
        <w:tab/>
      </w:r>
      <w:r>
        <w:rPr>
          <w:rFonts w:ascii="Arial" w:cs="Arial" w:eastAsia="Arial" w:hAnsi="Arial"/>
          <w:sz w:val="17"/>
          <w:szCs w:val="17"/>
          <w:color w:val="004876"/>
        </w:rPr>
        <w:t xml:space="preserve">• </w:t>
      </w:r>
      <w:r>
        <w:rPr>
          <w:rFonts w:ascii="Arial" w:cs="Arial" w:eastAsia="Arial" w:hAnsi="Arial"/>
          <w:sz w:val="17"/>
          <w:szCs w:val="17"/>
          <w:color w:val="000000"/>
        </w:rPr>
        <w:t>As CEO of Card Services, continued to expand depth of leadership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-116205</wp:posOffset>
            </wp:positionV>
            <wp:extent cx="985520" cy="80581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985520" cy="805815"/>
                    </a:xfrm>
                    <a:prstGeom prst="rect">
                      <a:avLst/>
                    </a:prstGeom>
                    <a:noFill/>
                  </pic:spPr>
                </pic:pic>
              </a:graphicData>
            </a:graphic>
          </wp:anchor>
        </w:drawing>
      </w:r>
    </w:p>
    <w:p>
      <w:pPr>
        <w:ind w:left="1780" w:right="480" w:hanging="1410"/>
        <w:spacing w:after="0" w:line="243" w:lineRule="auto"/>
        <w:tabs>
          <w:tab w:leader="none" w:pos="1760" w:val="left"/>
        </w:tabs>
        <w:rPr>
          <w:sz w:val="20"/>
          <w:szCs w:val="20"/>
          <w:color w:val="auto"/>
        </w:rPr>
      </w:pPr>
      <w:r>
        <w:rPr>
          <w:rFonts w:ascii="Arial" w:cs="Arial" w:eastAsia="Arial" w:hAnsi="Arial"/>
          <w:sz w:val="18"/>
          <w:szCs w:val="18"/>
          <w:b w:val="1"/>
          <w:bCs w:val="1"/>
          <w:color w:val="FFFFFF"/>
        </w:rPr>
        <w:t>Leadership</w:t>
      </w:r>
      <w:r>
        <w:rPr>
          <w:sz w:val="20"/>
          <w:szCs w:val="20"/>
          <w:color w:val="auto"/>
        </w:rPr>
        <w:tab/>
      </w:r>
      <w:r>
        <w:rPr>
          <w:rFonts w:ascii="Arial" w:cs="Arial" w:eastAsia="Arial" w:hAnsi="Arial"/>
          <w:sz w:val="17"/>
          <w:szCs w:val="17"/>
          <w:color w:val="004876"/>
        </w:rPr>
        <w:t xml:space="preserve">• </w:t>
      </w:r>
      <w:r>
        <w:rPr>
          <w:rFonts w:ascii="Arial" w:cs="Arial" w:eastAsia="Arial" w:hAnsi="Arial"/>
          <w:sz w:val="17"/>
          <w:szCs w:val="17"/>
          <w:color w:val="000000"/>
        </w:rPr>
        <w:t>As CFO, focused on continuing to improve diverse representation, succession planning and cultivating development</w:t>
      </w:r>
      <w:r>
        <w:rPr>
          <w:rFonts w:ascii="Arial" w:cs="Arial" w:eastAsia="Arial" w:hAnsi="Arial"/>
          <w:sz w:val="17"/>
          <w:szCs w:val="17"/>
          <w:color w:val="004876"/>
        </w:rPr>
        <w:t xml:space="preserve"> </w:t>
      </w:r>
      <w:r>
        <w:rPr>
          <w:rFonts w:ascii="Arial" w:cs="Arial" w:eastAsia="Arial" w:hAnsi="Arial"/>
          <w:sz w:val="17"/>
          <w:szCs w:val="17"/>
          <w:color w:val="000000"/>
        </w:rPr>
        <w:t>opportunities for key senior leaders</w:t>
      </w:r>
    </w:p>
    <w:p>
      <w:pPr>
        <w:spacing w:after="0" w:line="44" w:lineRule="exact"/>
        <w:rPr>
          <w:sz w:val="20"/>
          <w:szCs w:val="20"/>
          <w:color w:val="auto"/>
        </w:rPr>
      </w:pPr>
    </w:p>
    <w:p>
      <w:pPr>
        <w:ind w:left="1920" w:right="120" w:hanging="144"/>
        <w:spacing w:after="0" w:line="243" w:lineRule="auto"/>
        <w:tabs>
          <w:tab w:leader="none" w:pos="1922" w:val="left"/>
        </w:tabs>
        <w:numPr>
          <w:ilvl w:val="0"/>
          <w:numId w:val="165"/>
        </w:numPr>
        <w:rPr>
          <w:rFonts w:ascii="Arial" w:cs="Arial" w:eastAsia="Arial" w:hAnsi="Arial"/>
          <w:sz w:val="17"/>
          <w:szCs w:val="17"/>
          <w:color w:val="004876"/>
        </w:rPr>
      </w:pPr>
      <w:r>
        <w:rPr>
          <w:rFonts w:ascii="Arial" w:cs="Arial" w:eastAsia="Arial" w:hAnsi="Arial"/>
          <w:sz w:val="17"/>
          <w:szCs w:val="17"/>
          <w:color w:val="auto"/>
        </w:rPr>
        <w:t>Delivered strong results on key training and engagement initiatives encompassing technical skills, finance fundamentals, regulatory reporting, manager effectiveness, and skills of the future</w:t>
      </w:r>
    </w:p>
    <w:p>
      <w:pPr>
        <w:spacing w:after="0" w:line="22" w:lineRule="exact"/>
        <w:rPr>
          <w:rFonts w:ascii="Arial" w:cs="Arial" w:eastAsia="Arial" w:hAnsi="Arial"/>
          <w:sz w:val="17"/>
          <w:szCs w:val="17"/>
          <w:color w:val="004876"/>
        </w:rPr>
      </w:pPr>
    </w:p>
    <w:p>
      <w:pPr>
        <w:ind w:left="1920" w:hanging="144"/>
        <w:spacing w:after="0"/>
        <w:tabs>
          <w:tab w:leader="none" w:pos="1920" w:val="left"/>
        </w:tabs>
        <w:numPr>
          <w:ilvl w:val="0"/>
          <w:numId w:val="165"/>
        </w:numPr>
        <w:rPr>
          <w:rFonts w:ascii="Arial" w:cs="Arial" w:eastAsia="Arial" w:hAnsi="Arial"/>
          <w:sz w:val="17"/>
          <w:szCs w:val="17"/>
          <w:color w:val="004876"/>
        </w:rPr>
      </w:pPr>
      <w:r>
        <w:rPr>
          <w:rFonts w:ascii="Arial" w:cs="Arial" w:eastAsia="Arial" w:hAnsi="Arial"/>
          <w:sz w:val="17"/>
          <w:szCs w:val="17"/>
          <w:color w:val="auto"/>
        </w:rPr>
        <w:t>Champion of Firmwide diversity initiatives, including active member of the Women on the Move steering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6995160"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377190</wp:posOffset>
            </wp:positionV>
            <wp:extent cx="7029450" cy="19685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029450" cy="196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3"/>
          <w:szCs w:val="13"/>
          <w:b w:val="1"/>
          <w:bCs w:val="1"/>
          <w:color w:val="004876"/>
        </w:rPr>
        <w:t>71</w:t>
      </w:r>
    </w:p>
    <w:p>
      <w:pPr>
        <w:sectPr>
          <w:pgSz w:w="11900" w:h="16838" w:orient="portrait"/>
          <w:cols w:equalWidth="0" w:num="1">
            <w:col w:w="11140"/>
          </w:cols>
          <w:pgMar w:left="320" w:top="459" w:right="4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4876"/>
        </w:rPr>
        <w:t>COMPENSATION DISCUSSION AND ANALYSIS |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160655</wp:posOffset>
            </wp:positionV>
            <wp:extent cx="6926580" cy="26543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6926580"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0"/>
        <w:spacing w:after="0"/>
        <w:rPr>
          <w:sz w:val="20"/>
          <w:szCs w:val="20"/>
          <w:color w:val="auto"/>
        </w:rPr>
      </w:pPr>
      <w:r>
        <w:rPr>
          <w:rFonts w:ascii="Arial" w:cs="Arial" w:eastAsia="Arial" w:hAnsi="Arial"/>
          <w:sz w:val="29"/>
          <w:szCs w:val="29"/>
          <w:color w:val="004876"/>
        </w:rPr>
        <w:t>Compensation &amp; Management</w:t>
      </w:r>
    </w:p>
    <w:p>
      <w:pPr>
        <w:spacing w:after="0" w:line="4" w:lineRule="exact"/>
        <w:rPr>
          <w:sz w:val="20"/>
          <w:szCs w:val="20"/>
          <w:color w:val="auto"/>
        </w:rPr>
      </w:pPr>
    </w:p>
    <w:p>
      <w:pPr>
        <w:ind w:left="120"/>
        <w:spacing w:after="0"/>
        <w:rPr>
          <w:sz w:val="20"/>
          <w:szCs w:val="20"/>
          <w:color w:val="auto"/>
        </w:rPr>
      </w:pPr>
      <w:r>
        <w:rPr>
          <w:rFonts w:ascii="Arial" w:cs="Arial" w:eastAsia="Arial" w:hAnsi="Arial"/>
          <w:sz w:val="29"/>
          <w:szCs w:val="29"/>
          <w:color w:val="004876"/>
        </w:rPr>
        <w:t>Development Committee report</w:t>
      </w:r>
    </w:p>
    <w:p>
      <w:pPr>
        <w:spacing w:after="0" w:line="1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Compensation &amp; Management Development Committee has</w:t>
      </w:r>
    </w:p>
    <w:p>
      <w:pPr>
        <w:ind w:left="120"/>
        <w:spacing w:after="0" w:line="234" w:lineRule="auto"/>
        <w:rPr>
          <w:sz w:val="20"/>
          <w:szCs w:val="20"/>
          <w:color w:val="auto"/>
        </w:rPr>
      </w:pPr>
      <w:r>
        <w:rPr>
          <w:rFonts w:ascii="Arial" w:cs="Arial" w:eastAsia="Arial" w:hAnsi="Arial"/>
          <w:sz w:val="18"/>
          <w:szCs w:val="18"/>
          <w:color w:val="auto"/>
        </w:rPr>
        <w:t>reviewed the Compensation Discussion and Analysis and</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discussed that analysis with management.</w:t>
      </w:r>
    </w:p>
    <w:p>
      <w:pPr>
        <w:spacing w:after="0" w:line="9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Based on such review and discussion with management, the</w:t>
      </w:r>
    </w:p>
    <w:p>
      <w:pPr>
        <w:ind w:left="120"/>
        <w:spacing w:after="0" w:line="234" w:lineRule="auto"/>
        <w:rPr>
          <w:sz w:val="20"/>
          <w:szCs w:val="20"/>
          <w:color w:val="auto"/>
        </w:rPr>
      </w:pPr>
      <w:r>
        <w:rPr>
          <w:rFonts w:ascii="Arial" w:cs="Arial" w:eastAsia="Arial" w:hAnsi="Arial"/>
          <w:sz w:val="18"/>
          <w:szCs w:val="18"/>
          <w:color w:val="auto"/>
        </w:rPr>
        <w:t>Compensation &amp; Management Development Committee</w:t>
      </w:r>
    </w:p>
    <w:p>
      <w:pPr>
        <w:ind w:left="120"/>
        <w:spacing w:after="0" w:line="235" w:lineRule="auto"/>
        <w:rPr>
          <w:sz w:val="20"/>
          <w:szCs w:val="20"/>
          <w:color w:val="auto"/>
        </w:rPr>
      </w:pPr>
      <w:r>
        <w:rPr>
          <w:rFonts w:ascii="Arial" w:cs="Arial" w:eastAsia="Arial" w:hAnsi="Arial"/>
          <w:sz w:val="18"/>
          <w:szCs w:val="18"/>
          <w:color w:val="auto"/>
        </w:rPr>
        <w:t>recommended to the Board of Directors that the Compensation</w:t>
      </w:r>
    </w:p>
    <w:p>
      <w:pPr>
        <w:ind w:left="120"/>
        <w:spacing w:after="0" w:line="235" w:lineRule="auto"/>
        <w:rPr>
          <w:sz w:val="20"/>
          <w:szCs w:val="20"/>
          <w:color w:val="auto"/>
        </w:rPr>
      </w:pPr>
      <w:r>
        <w:rPr>
          <w:rFonts w:ascii="Arial" w:cs="Arial" w:eastAsia="Arial" w:hAnsi="Arial"/>
          <w:sz w:val="18"/>
          <w:szCs w:val="18"/>
          <w:color w:val="auto"/>
        </w:rPr>
        <w:t>Discussion and Analysis be included in this proxy statement and</w:t>
      </w:r>
    </w:p>
    <w:p>
      <w:pPr>
        <w:ind w:left="120"/>
        <w:spacing w:after="0" w:line="235" w:lineRule="auto"/>
        <w:rPr>
          <w:sz w:val="20"/>
          <w:szCs w:val="20"/>
          <w:color w:val="auto"/>
        </w:rPr>
      </w:pPr>
      <w:r>
        <w:rPr>
          <w:rFonts w:ascii="Arial" w:cs="Arial" w:eastAsia="Arial" w:hAnsi="Arial"/>
          <w:sz w:val="18"/>
          <w:szCs w:val="18"/>
          <w:color w:val="auto"/>
        </w:rPr>
        <w:t>our Annual Report on Form 10-K for the year ended</w:t>
      </w:r>
    </w:p>
    <w:p>
      <w:pPr>
        <w:ind w:left="120"/>
        <w:spacing w:after="0" w:line="235" w:lineRule="auto"/>
        <w:rPr>
          <w:sz w:val="20"/>
          <w:szCs w:val="20"/>
          <w:color w:val="auto"/>
        </w:rPr>
      </w:pPr>
      <w:r>
        <w:rPr>
          <w:rFonts w:ascii="Arial" w:cs="Arial" w:eastAsia="Arial" w:hAnsi="Arial"/>
          <w:sz w:val="18"/>
          <w:szCs w:val="18"/>
          <w:color w:val="auto"/>
        </w:rPr>
        <w:t>December 31, 2019. This report is provided as of March 17, 2020,</w:t>
      </w:r>
    </w:p>
    <w:p>
      <w:pPr>
        <w:ind w:left="120"/>
        <w:spacing w:after="0" w:line="234" w:lineRule="auto"/>
        <w:rPr>
          <w:sz w:val="20"/>
          <w:szCs w:val="20"/>
          <w:color w:val="auto"/>
        </w:rPr>
      </w:pPr>
      <w:r>
        <w:rPr>
          <w:rFonts w:ascii="Arial" w:cs="Arial" w:eastAsia="Arial" w:hAnsi="Arial"/>
          <w:sz w:val="18"/>
          <w:szCs w:val="18"/>
          <w:color w:val="auto"/>
        </w:rPr>
        <w:t>by the following independent directors, who comprise the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Compensation &amp; Management Development Committee:</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Lee R. Raymond (Chair)</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Stephen B. Burke</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Todd A. Combs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229235</wp:posOffset>
            </wp:positionV>
            <wp:extent cx="3351530" cy="121729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3351530" cy="121729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The Compensation Discussion and Analysis is intended to</w:t>
      </w:r>
    </w:p>
    <w:p>
      <w:pPr>
        <w:spacing w:after="0" w:line="1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describe our 2019 performance, the compensation</w:t>
      </w:r>
    </w:p>
    <w:p>
      <w:pPr>
        <w:ind w:left="220"/>
        <w:spacing w:after="0" w:line="234" w:lineRule="auto"/>
        <w:rPr>
          <w:sz w:val="20"/>
          <w:szCs w:val="20"/>
          <w:color w:val="auto"/>
        </w:rPr>
      </w:pPr>
      <w:r>
        <w:rPr>
          <w:rFonts w:ascii="Arial" w:cs="Arial" w:eastAsia="Arial" w:hAnsi="Arial"/>
          <w:sz w:val="18"/>
          <w:szCs w:val="18"/>
          <w:b w:val="1"/>
          <w:bCs w:val="1"/>
          <w:color w:val="auto"/>
        </w:rPr>
        <w:t>decisions for our Named Executive Officers and the Firm’s</w:t>
      </w:r>
    </w:p>
    <w:p>
      <w:pPr>
        <w:ind w:left="220"/>
        <w:spacing w:after="0" w:line="235" w:lineRule="auto"/>
        <w:rPr>
          <w:sz w:val="20"/>
          <w:szCs w:val="20"/>
          <w:color w:val="auto"/>
        </w:rPr>
      </w:pPr>
      <w:r>
        <w:rPr>
          <w:rFonts w:ascii="Arial" w:cs="Arial" w:eastAsia="Arial" w:hAnsi="Arial"/>
          <w:sz w:val="18"/>
          <w:szCs w:val="18"/>
          <w:b w:val="1"/>
          <w:bCs w:val="1"/>
          <w:color w:val="auto"/>
        </w:rPr>
        <w:t>philosophy and approach to compensation. The following</w:t>
      </w:r>
    </w:p>
    <w:p>
      <w:pPr>
        <w:ind w:left="220"/>
        <w:spacing w:after="0" w:line="235" w:lineRule="auto"/>
        <w:rPr>
          <w:sz w:val="20"/>
          <w:szCs w:val="20"/>
          <w:color w:val="auto"/>
        </w:rPr>
      </w:pPr>
      <w:r>
        <w:rPr>
          <w:rFonts w:ascii="Arial" w:cs="Arial" w:eastAsia="Arial" w:hAnsi="Arial"/>
          <w:sz w:val="18"/>
          <w:szCs w:val="18"/>
          <w:b w:val="1"/>
          <w:bCs w:val="1"/>
          <w:color w:val="auto"/>
        </w:rPr>
        <w:t>tables on pages 73-82 present additional information</w:t>
      </w:r>
    </w:p>
    <w:p>
      <w:pPr>
        <w:ind w:left="220"/>
        <w:spacing w:after="0" w:line="235" w:lineRule="auto"/>
        <w:rPr>
          <w:sz w:val="20"/>
          <w:szCs w:val="20"/>
          <w:color w:val="auto"/>
        </w:rPr>
      </w:pPr>
      <w:r>
        <w:rPr>
          <w:rFonts w:ascii="Arial" w:cs="Arial" w:eastAsia="Arial" w:hAnsi="Arial"/>
          <w:sz w:val="18"/>
          <w:szCs w:val="18"/>
          <w:b w:val="1"/>
          <w:bCs w:val="1"/>
          <w:color w:val="auto"/>
        </w:rPr>
        <w:t>required in accordance with SEC rules, including the</w:t>
      </w:r>
    </w:p>
    <w:p>
      <w:pPr>
        <w:ind w:left="220"/>
        <w:spacing w:after="0"/>
        <w:rPr>
          <w:sz w:val="20"/>
          <w:szCs w:val="20"/>
          <w:color w:val="auto"/>
        </w:rPr>
      </w:pPr>
      <w:r>
        <w:rPr>
          <w:rFonts w:ascii="Arial" w:cs="Arial" w:eastAsia="Arial" w:hAnsi="Arial"/>
          <w:sz w:val="18"/>
          <w:szCs w:val="18"/>
          <w:b w:val="1"/>
          <w:bCs w:val="1"/>
          <w:color w:val="auto"/>
        </w:rPr>
        <w:t>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503555</wp:posOffset>
            </wp:positionV>
            <wp:extent cx="7029450" cy="19685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029450" cy="196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19"/>
        <w:spacing w:after="0"/>
        <w:rPr>
          <w:sz w:val="20"/>
          <w:szCs w:val="20"/>
          <w:color w:val="auto"/>
        </w:rPr>
      </w:pPr>
      <w:r>
        <w:rPr>
          <w:rFonts w:ascii="Arial" w:cs="Arial" w:eastAsia="Arial" w:hAnsi="Arial"/>
          <w:sz w:val="13"/>
          <w:szCs w:val="13"/>
          <w:b w:val="1"/>
          <w:bCs w:val="1"/>
          <w:color w:val="004876"/>
        </w:rPr>
        <w:t>72</w:t>
      </w:r>
    </w:p>
    <w:p>
      <w:pPr>
        <w:sectPr>
          <w:pgSz w:w="11900" w:h="16838" w:orient="portrait"/>
          <w:cols w:equalWidth="0" w:num="1">
            <w:col w:w="11140"/>
          </w:cols>
          <w:pgMar w:left="320" w:top="459" w:right="4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04876"/>
        </w:rPr>
        <w:t>EXECUTIVE COMPENSATION | 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10" w:lineRule="exact"/>
        <w:rPr>
          <w:sz w:val="20"/>
          <w:szCs w:val="20"/>
          <w:color w:val="auto"/>
        </w:rPr>
      </w:pPr>
    </w:p>
    <w:p>
      <w:pPr>
        <w:ind w:left="120"/>
        <w:spacing w:after="0"/>
        <w:rPr>
          <w:sz w:val="20"/>
          <w:szCs w:val="20"/>
          <w:color w:val="auto"/>
        </w:rPr>
      </w:pPr>
      <w:r>
        <w:rPr>
          <w:rFonts w:ascii="Arial" w:cs="Arial" w:eastAsia="Arial" w:hAnsi="Arial"/>
          <w:sz w:val="29"/>
          <w:szCs w:val="29"/>
          <w:color w:val="004876"/>
        </w:rPr>
        <w:t>Executive compensation tables</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20"/>
          <w:szCs w:val="20"/>
          <w:color w:val="004876"/>
        </w:rPr>
        <w:t>I. SUMMARY COMPENSATION TABLE (SCT)</w:t>
      </w:r>
    </w:p>
    <w:p>
      <w:pPr>
        <w:spacing w:after="0" w:line="70" w:lineRule="exact"/>
        <w:rPr>
          <w:sz w:val="20"/>
          <w:szCs w:val="20"/>
          <w:color w:val="auto"/>
        </w:rPr>
      </w:pPr>
    </w:p>
    <w:p>
      <w:pPr>
        <w:ind w:left="120" w:right="100"/>
        <w:spacing w:after="0"/>
        <w:rPr>
          <w:sz w:val="20"/>
          <w:szCs w:val="20"/>
          <w:color w:val="auto"/>
        </w:rPr>
      </w:pPr>
      <w:r>
        <w:rPr>
          <w:rFonts w:ascii="Arial" w:cs="Arial" w:eastAsia="Arial" w:hAnsi="Arial"/>
          <w:sz w:val="18"/>
          <w:szCs w:val="18"/>
          <w:color w:val="auto"/>
        </w:rPr>
        <w:t>The following table and related narratives present the compensation for our Named Executive Officers in the format specified by the SEC. The table below reflects equity awards made in 2019 for 2018 performance. The “NEO Compensation” table on page 65 shows how the CMDC viewed compensation actions for 2019 performance.</w:t>
      </w:r>
    </w:p>
    <w:p>
      <w:pPr>
        <w:spacing w:after="0" w:line="232"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3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004876"/>
              </w:rPr>
              <w:t>Change in</w:t>
            </w:r>
          </w:p>
        </w:tc>
        <w:tc>
          <w:tcPr>
            <w:tcW w:w="1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9"/>
        </w:trPr>
        <w:tc>
          <w:tcPr>
            <w:tcW w:w="3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004876"/>
                <w:w w:val="99"/>
              </w:rPr>
              <w:t>pension</w:t>
            </w:r>
          </w:p>
        </w:tc>
        <w:tc>
          <w:tcPr>
            <w:tcW w:w="1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9"/>
        </w:trPr>
        <w:tc>
          <w:tcPr>
            <w:tcW w:w="3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20" w:type="dxa"/>
            <w:vAlign w:val="bottom"/>
          </w:tcPr>
          <w:p>
            <w:pPr>
              <w:jc w:val="right"/>
              <w:ind w:right="345"/>
              <w:spacing w:after="0"/>
              <w:rPr>
                <w:sz w:val="20"/>
                <w:szCs w:val="20"/>
                <w:color w:val="auto"/>
              </w:rPr>
            </w:pPr>
            <w:r>
              <w:rPr>
                <w:rFonts w:ascii="Arial" w:cs="Arial" w:eastAsia="Arial" w:hAnsi="Arial"/>
                <w:sz w:val="16"/>
                <w:szCs w:val="16"/>
                <w:color w:val="004876"/>
              </w:rPr>
              <w:t>value</w:t>
            </w:r>
          </w:p>
        </w:tc>
        <w:tc>
          <w:tcPr>
            <w:tcW w:w="1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9"/>
        </w:trPr>
        <w:tc>
          <w:tcPr>
            <w:tcW w:w="3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004876"/>
              </w:rPr>
              <w:t>and non-</w:t>
            </w:r>
          </w:p>
        </w:tc>
        <w:tc>
          <w:tcPr>
            <w:tcW w:w="1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9"/>
        </w:trPr>
        <w:tc>
          <w:tcPr>
            <w:tcW w:w="3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004876"/>
              </w:rPr>
              <w:t>qualified</w:t>
            </w:r>
          </w:p>
        </w:tc>
        <w:tc>
          <w:tcPr>
            <w:tcW w:w="1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9"/>
        </w:trPr>
        <w:tc>
          <w:tcPr>
            <w:tcW w:w="3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004876"/>
              </w:rPr>
              <w:t>deferred</w:t>
            </w:r>
          </w:p>
        </w:tc>
        <w:tc>
          <w:tcPr>
            <w:tcW w:w="1140" w:type="dxa"/>
            <w:vAlign w:val="bottom"/>
          </w:tcPr>
          <w:p>
            <w:pPr>
              <w:jc w:val="center"/>
              <w:spacing w:after="0"/>
              <w:rPr>
                <w:sz w:val="20"/>
                <w:szCs w:val="20"/>
                <w:color w:val="auto"/>
              </w:rPr>
            </w:pPr>
            <w:r>
              <w:rPr>
                <w:rFonts w:ascii="Arial" w:cs="Arial" w:eastAsia="Arial" w:hAnsi="Arial"/>
                <w:sz w:val="16"/>
                <w:szCs w:val="16"/>
                <w:color w:val="004876"/>
              </w:rPr>
              <w:t>All other</w:t>
            </w:r>
          </w:p>
        </w:tc>
        <w:tc>
          <w:tcPr>
            <w:tcW w:w="1100" w:type="dxa"/>
            <w:vAlign w:val="bottom"/>
          </w:tcPr>
          <w:p>
            <w:pPr>
              <w:spacing w:after="0"/>
              <w:rPr>
                <w:sz w:val="16"/>
                <w:szCs w:val="16"/>
                <w:color w:val="auto"/>
              </w:rPr>
            </w:pPr>
          </w:p>
        </w:tc>
      </w:tr>
      <w:tr>
        <w:trPr>
          <w:trHeight w:val="184"/>
        </w:trPr>
        <w:tc>
          <w:tcPr>
            <w:tcW w:w="3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0" w:type="dxa"/>
            <w:vAlign w:val="bottom"/>
          </w:tcPr>
          <w:p>
            <w:pPr>
              <w:jc w:val="right"/>
              <w:ind w:right="168"/>
              <w:spacing w:after="0"/>
              <w:rPr>
                <w:sz w:val="20"/>
                <w:szCs w:val="20"/>
                <w:color w:val="auto"/>
              </w:rPr>
            </w:pPr>
            <w:r>
              <w:rPr>
                <w:rFonts w:ascii="Arial" w:cs="Arial" w:eastAsia="Arial" w:hAnsi="Arial"/>
                <w:sz w:val="16"/>
                <w:szCs w:val="16"/>
                <w:color w:val="004876"/>
              </w:rPr>
              <w:t>Bonus</w:t>
            </w:r>
          </w:p>
        </w:tc>
        <w:tc>
          <w:tcPr>
            <w:tcW w:w="1180" w:type="dxa"/>
            <w:vAlign w:val="bottom"/>
          </w:tcPr>
          <w:p>
            <w:pPr>
              <w:jc w:val="right"/>
              <w:ind w:right="308"/>
              <w:spacing w:after="0"/>
              <w:rPr>
                <w:sz w:val="20"/>
                <w:szCs w:val="20"/>
                <w:color w:val="auto"/>
              </w:rPr>
            </w:pPr>
            <w:r>
              <w:rPr>
                <w:rFonts w:ascii="Arial" w:cs="Arial" w:eastAsia="Arial" w:hAnsi="Arial"/>
                <w:sz w:val="16"/>
                <w:szCs w:val="16"/>
                <w:color w:val="004876"/>
              </w:rPr>
              <w:t>Stock</w:t>
            </w:r>
          </w:p>
        </w:tc>
        <w:tc>
          <w:tcPr>
            <w:tcW w:w="1220" w:type="dxa"/>
            <w:vAlign w:val="bottom"/>
          </w:tcPr>
          <w:p>
            <w:pPr>
              <w:jc w:val="center"/>
              <w:spacing w:after="0"/>
              <w:rPr>
                <w:sz w:val="20"/>
                <w:szCs w:val="20"/>
                <w:color w:val="auto"/>
              </w:rPr>
            </w:pPr>
            <w:r>
              <w:rPr>
                <w:rFonts w:ascii="Arial" w:cs="Arial" w:eastAsia="Arial" w:hAnsi="Arial"/>
                <w:sz w:val="16"/>
                <w:szCs w:val="16"/>
                <w:color w:val="004876"/>
              </w:rPr>
              <w:t>compensation</w:t>
            </w:r>
          </w:p>
        </w:tc>
        <w:tc>
          <w:tcPr>
            <w:tcW w:w="1140" w:type="dxa"/>
            <w:vAlign w:val="bottom"/>
          </w:tcPr>
          <w:p>
            <w:pPr>
              <w:jc w:val="center"/>
              <w:ind w:right="9"/>
              <w:spacing w:after="0"/>
              <w:rPr>
                <w:sz w:val="20"/>
                <w:szCs w:val="20"/>
                <w:color w:val="auto"/>
              </w:rPr>
            </w:pPr>
            <w:r>
              <w:rPr>
                <w:rFonts w:ascii="Arial" w:cs="Arial" w:eastAsia="Arial" w:hAnsi="Arial"/>
                <w:sz w:val="16"/>
                <w:szCs w:val="16"/>
                <w:color w:val="004876"/>
                <w:w w:val="99"/>
              </w:rPr>
              <w:t>compen-</w:t>
            </w:r>
          </w:p>
        </w:tc>
        <w:tc>
          <w:tcPr>
            <w:tcW w:w="1100" w:type="dxa"/>
            <w:vAlign w:val="bottom"/>
          </w:tcPr>
          <w:p>
            <w:pPr>
              <w:spacing w:after="0"/>
              <w:rPr>
                <w:sz w:val="16"/>
                <w:szCs w:val="16"/>
                <w:color w:val="auto"/>
              </w:rPr>
            </w:pPr>
          </w:p>
        </w:tc>
      </w:tr>
      <w:tr>
        <w:trPr>
          <w:trHeight w:val="206"/>
        </w:trPr>
        <w:tc>
          <w:tcPr>
            <w:tcW w:w="3180" w:type="dxa"/>
            <w:vAlign w:val="bottom"/>
            <w:tcBorders>
              <w:bottom w:val="single" w:sz="8" w:color="333333"/>
            </w:tcBorders>
          </w:tcPr>
          <w:p>
            <w:pPr>
              <w:ind w:left="60"/>
              <w:spacing w:after="0"/>
              <w:rPr>
                <w:sz w:val="20"/>
                <w:szCs w:val="20"/>
                <w:color w:val="auto"/>
              </w:rPr>
            </w:pPr>
            <w:r>
              <w:rPr>
                <w:rFonts w:ascii="Arial" w:cs="Arial" w:eastAsia="Arial" w:hAnsi="Arial"/>
                <w:sz w:val="16"/>
                <w:szCs w:val="16"/>
                <w:color w:val="004876"/>
              </w:rPr>
              <w:t>Name and principal position</w:t>
            </w:r>
          </w:p>
        </w:tc>
        <w:tc>
          <w:tcPr>
            <w:tcW w:w="1100" w:type="dxa"/>
            <w:vAlign w:val="bottom"/>
            <w:tcBorders>
              <w:bottom w:val="single" w:sz="8" w:color="333333"/>
            </w:tcBorders>
          </w:tcPr>
          <w:p>
            <w:pPr>
              <w:jc w:val="right"/>
              <w:ind w:right="48"/>
              <w:spacing w:after="0"/>
              <w:rPr>
                <w:sz w:val="20"/>
                <w:szCs w:val="20"/>
                <w:color w:val="auto"/>
              </w:rPr>
            </w:pPr>
            <w:r>
              <w:rPr>
                <w:rFonts w:ascii="Arial" w:cs="Arial" w:eastAsia="Arial" w:hAnsi="Arial"/>
                <w:sz w:val="16"/>
                <w:szCs w:val="16"/>
                <w:color w:val="004876"/>
              </w:rPr>
              <w:t>Year</w:t>
            </w:r>
          </w:p>
        </w:tc>
        <w:tc>
          <w:tcPr>
            <w:tcW w:w="1100" w:type="dxa"/>
            <w:vAlign w:val="bottom"/>
            <w:tcBorders>
              <w:bottom w:val="single" w:sz="8" w:color="333333"/>
            </w:tcBorders>
          </w:tcPr>
          <w:p>
            <w:pPr>
              <w:jc w:val="right"/>
              <w:ind w:right="69"/>
              <w:spacing w:after="0" w:line="205" w:lineRule="exact"/>
              <w:rPr>
                <w:sz w:val="20"/>
                <w:szCs w:val="20"/>
                <w:color w:val="auto"/>
              </w:rPr>
            </w:pPr>
            <w:r>
              <w:rPr>
                <w:rFonts w:ascii="Arial" w:cs="Arial" w:eastAsia="Arial" w:hAnsi="Arial"/>
                <w:sz w:val="14"/>
                <w:szCs w:val="14"/>
                <w:color w:val="004876"/>
              </w:rPr>
              <w:t>Salary ($)</w:t>
            </w:r>
            <w:r>
              <w:rPr>
                <w:rFonts w:ascii="Arial" w:cs="Arial" w:eastAsia="Arial" w:hAnsi="Arial"/>
                <w:sz w:val="23"/>
                <w:szCs w:val="23"/>
                <w:color w:val="004876"/>
                <w:vertAlign w:val="superscript"/>
              </w:rPr>
              <w:t>1</w:t>
            </w:r>
          </w:p>
        </w:tc>
        <w:tc>
          <w:tcPr>
            <w:tcW w:w="1000" w:type="dxa"/>
            <w:vAlign w:val="bottom"/>
            <w:tcBorders>
              <w:bottom w:val="single" w:sz="8" w:color="333333"/>
            </w:tcBorders>
          </w:tcPr>
          <w:p>
            <w:pPr>
              <w:jc w:val="right"/>
              <w:ind w:right="268"/>
              <w:spacing w:after="0" w:line="205" w:lineRule="exact"/>
              <w:rPr>
                <w:sz w:val="20"/>
                <w:szCs w:val="20"/>
                <w:color w:val="auto"/>
              </w:rPr>
            </w:pPr>
            <w:r>
              <w:rPr>
                <w:rFonts w:ascii="Arial" w:cs="Arial" w:eastAsia="Arial" w:hAnsi="Arial"/>
                <w:sz w:val="14"/>
                <w:szCs w:val="14"/>
                <w:color w:val="004876"/>
              </w:rPr>
              <w:t>($)</w:t>
            </w:r>
            <w:r>
              <w:rPr>
                <w:rFonts w:ascii="Arial" w:cs="Arial" w:eastAsia="Arial" w:hAnsi="Arial"/>
                <w:sz w:val="23"/>
                <w:szCs w:val="23"/>
                <w:color w:val="004876"/>
                <w:vertAlign w:val="superscript"/>
              </w:rPr>
              <w:t>2</w:t>
            </w:r>
          </w:p>
        </w:tc>
        <w:tc>
          <w:tcPr>
            <w:tcW w:w="1180" w:type="dxa"/>
            <w:vAlign w:val="bottom"/>
            <w:tcBorders>
              <w:bottom w:val="single" w:sz="8" w:color="333333"/>
            </w:tcBorders>
          </w:tcPr>
          <w:p>
            <w:pPr>
              <w:jc w:val="right"/>
              <w:ind w:right="88"/>
              <w:spacing w:after="0" w:line="205" w:lineRule="exact"/>
              <w:rPr>
                <w:sz w:val="20"/>
                <w:szCs w:val="20"/>
                <w:color w:val="auto"/>
              </w:rPr>
            </w:pPr>
            <w:r>
              <w:rPr>
                <w:rFonts w:ascii="Arial" w:cs="Arial" w:eastAsia="Arial" w:hAnsi="Arial"/>
                <w:sz w:val="14"/>
                <w:szCs w:val="14"/>
                <w:color w:val="004876"/>
              </w:rPr>
              <w:t>awards ($)</w:t>
            </w:r>
            <w:r>
              <w:rPr>
                <w:rFonts w:ascii="Arial" w:cs="Arial" w:eastAsia="Arial" w:hAnsi="Arial"/>
                <w:sz w:val="23"/>
                <w:szCs w:val="23"/>
                <w:color w:val="004876"/>
                <w:vertAlign w:val="superscript"/>
              </w:rPr>
              <w:t>3</w:t>
            </w:r>
          </w:p>
        </w:tc>
        <w:tc>
          <w:tcPr>
            <w:tcW w:w="1220" w:type="dxa"/>
            <w:vAlign w:val="bottom"/>
            <w:tcBorders>
              <w:bottom w:val="single" w:sz="8" w:color="333333"/>
            </w:tcBorders>
          </w:tcPr>
          <w:p>
            <w:pPr>
              <w:jc w:val="center"/>
              <w:spacing w:after="0" w:line="205" w:lineRule="exact"/>
              <w:rPr>
                <w:sz w:val="20"/>
                <w:szCs w:val="20"/>
                <w:color w:val="auto"/>
              </w:rPr>
            </w:pPr>
            <w:r>
              <w:rPr>
                <w:rFonts w:ascii="Arial" w:cs="Arial" w:eastAsia="Arial" w:hAnsi="Arial"/>
                <w:sz w:val="14"/>
                <w:szCs w:val="14"/>
                <w:color w:val="004876"/>
              </w:rPr>
              <w:t>earnings ($)</w:t>
            </w:r>
            <w:r>
              <w:rPr>
                <w:rFonts w:ascii="Arial" w:cs="Arial" w:eastAsia="Arial" w:hAnsi="Arial"/>
                <w:sz w:val="23"/>
                <w:szCs w:val="23"/>
                <w:color w:val="004876"/>
                <w:vertAlign w:val="superscript"/>
              </w:rPr>
              <w:t>4</w:t>
            </w:r>
          </w:p>
        </w:tc>
        <w:tc>
          <w:tcPr>
            <w:tcW w:w="1140" w:type="dxa"/>
            <w:vAlign w:val="bottom"/>
            <w:tcBorders>
              <w:bottom w:val="single" w:sz="8" w:color="333333"/>
            </w:tcBorders>
          </w:tcPr>
          <w:p>
            <w:pPr>
              <w:jc w:val="center"/>
              <w:ind w:right="9"/>
              <w:spacing w:after="0" w:line="205" w:lineRule="exact"/>
              <w:rPr>
                <w:sz w:val="20"/>
                <w:szCs w:val="20"/>
                <w:color w:val="auto"/>
              </w:rPr>
            </w:pPr>
            <w:r>
              <w:rPr>
                <w:rFonts w:ascii="Arial" w:cs="Arial" w:eastAsia="Arial" w:hAnsi="Arial"/>
                <w:sz w:val="14"/>
                <w:szCs w:val="14"/>
                <w:color w:val="004876"/>
              </w:rPr>
              <w:t>sation ($)</w:t>
            </w:r>
            <w:r>
              <w:rPr>
                <w:rFonts w:ascii="Arial" w:cs="Arial" w:eastAsia="Arial" w:hAnsi="Arial"/>
                <w:sz w:val="23"/>
                <w:szCs w:val="23"/>
                <w:color w:val="004876"/>
                <w:vertAlign w:val="superscript"/>
              </w:rPr>
              <w:t>5</w:t>
            </w:r>
          </w:p>
        </w:tc>
        <w:tc>
          <w:tcPr>
            <w:tcW w:w="1100" w:type="dxa"/>
            <w:vAlign w:val="bottom"/>
            <w:tcBorders>
              <w:bottom w:val="single" w:sz="8" w:color="333333"/>
            </w:tcBorders>
          </w:tcPr>
          <w:p>
            <w:pPr>
              <w:jc w:val="right"/>
              <w:ind w:right="168"/>
              <w:spacing w:after="0"/>
              <w:rPr>
                <w:sz w:val="20"/>
                <w:szCs w:val="20"/>
                <w:color w:val="auto"/>
              </w:rPr>
            </w:pPr>
            <w:r>
              <w:rPr>
                <w:rFonts w:ascii="Arial" w:cs="Arial" w:eastAsia="Arial" w:hAnsi="Arial"/>
                <w:sz w:val="16"/>
                <w:szCs w:val="16"/>
                <w:color w:val="004876"/>
              </w:rPr>
              <w:t>Total ($)</w:t>
            </w:r>
          </w:p>
        </w:tc>
      </w:tr>
      <w:tr>
        <w:trPr>
          <w:trHeight w:val="160"/>
        </w:trPr>
        <w:tc>
          <w:tcPr>
            <w:tcW w:w="3180" w:type="dxa"/>
            <w:vAlign w:val="bottom"/>
          </w:tcPr>
          <w:p>
            <w:pPr>
              <w:ind w:left="60"/>
              <w:spacing w:after="0" w:line="160" w:lineRule="exact"/>
              <w:rPr>
                <w:sz w:val="20"/>
                <w:szCs w:val="20"/>
                <w:color w:val="auto"/>
              </w:rPr>
            </w:pPr>
            <w:r>
              <w:rPr>
                <w:rFonts w:ascii="Arial" w:cs="Arial" w:eastAsia="Arial" w:hAnsi="Arial"/>
                <w:sz w:val="11"/>
                <w:szCs w:val="11"/>
                <w:b w:val="1"/>
                <w:bCs w:val="1"/>
                <w:color w:val="auto"/>
              </w:rPr>
              <w:t>James Dimon</w:t>
            </w:r>
            <w:r>
              <w:rPr>
                <w:rFonts w:ascii="Arial" w:cs="Arial" w:eastAsia="Arial" w:hAnsi="Arial"/>
                <w:sz w:val="18"/>
                <w:szCs w:val="18"/>
                <w:b w:val="1"/>
                <w:bCs w:val="1"/>
                <w:color w:val="auto"/>
                <w:vertAlign w:val="superscript"/>
              </w:rPr>
              <w:t>6</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2019</w:t>
            </w:r>
          </w:p>
        </w:tc>
        <w:tc>
          <w:tcPr>
            <w:tcW w:w="1100" w:type="dxa"/>
            <w:vAlign w:val="bottom"/>
          </w:tcPr>
          <w:p>
            <w:pPr>
              <w:jc w:val="right"/>
              <w:ind w:right="69"/>
              <w:spacing w:after="0"/>
              <w:rPr>
                <w:sz w:val="20"/>
                <w:szCs w:val="20"/>
                <w:color w:val="auto"/>
              </w:rPr>
            </w:pPr>
            <w:r>
              <w:rPr>
                <w:rFonts w:ascii="Arial" w:cs="Arial" w:eastAsia="Arial" w:hAnsi="Arial"/>
                <w:sz w:val="14"/>
                <w:szCs w:val="14"/>
                <w:color w:val="auto"/>
              </w:rPr>
              <w:t>$  1,500,000</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$ 5,000,000</w:t>
            </w: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  24,500,000</w:t>
            </w:r>
          </w:p>
        </w:tc>
        <w:tc>
          <w:tcPr>
            <w:tcW w:w="1220" w:type="dxa"/>
            <w:vAlign w:val="bottom"/>
          </w:tcPr>
          <w:p>
            <w:pPr>
              <w:jc w:val="right"/>
              <w:ind w:right="5"/>
              <w:spacing w:after="0"/>
              <w:rPr>
                <w:sz w:val="20"/>
                <w:szCs w:val="20"/>
                <w:color w:val="auto"/>
              </w:rPr>
            </w:pPr>
            <w:r>
              <w:rPr>
                <w:rFonts w:ascii="Arial" w:cs="Arial" w:eastAsia="Arial" w:hAnsi="Arial"/>
                <w:sz w:val="14"/>
                <w:szCs w:val="14"/>
                <w:color w:val="auto"/>
              </w:rPr>
              <w:t>$ 34,370</w:t>
            </w:r>
          </w:p>
        </w:tc>
        <w:tc>
          <w:tcPr>
            <w:tcW w:w="1140" w:type="dxa"/>
            <w:vAlign w:val="bottom"/>
          </w:tcPr>
          <w:p>
            <w:pPr>
              <w:jc w:val="right"/>
              <w:ind w:right="89"/>
              <w:spacing w:after="0" w:line="160" w:lineRule="exact"/>
              <w:rPr>
                <w:sz w:val="20"/>
                <w:szCs w:val="20"/>
                <w:color w:val="auto"/>
              </w:rPr>
            </w:pPr>
            <w:r>
              <w:rPr>
                <w:rFonts w:ascii="Arial" w:cs="Arial" w:eastAsia="Arial" w:hAnsi="Arial"/>
                <w:sz w:val="11"/>
                <w:szCs w:val="11"/>
                <w:color w:val="auto"/>
              </w:rPr>
              <w:t>$   578,246</w:t>
            </w:r>
            <w:r>
              <w:rPr>
                <w:rFonts w:ascii="Arial" w:cs="Arial" w:eastAsia="Arial" w:hAnsi="Arial"/>
                <w:sz w:val="18"/>
                <w:szCs w:val="18"/>
                <w:color w:val="auto"/>
                <w:vertAlign w:val="superscript"/>
              </w:rPr>
              <w:t>7</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$ 31,612,616</w:t>
            </w:r>
          </w:p>
        </w:tc>
      </w:tr>
      <w:tr>
        <w:trPr>
          <w:trHeight w:val="162"/>
        </w:trPr>
        <w:tc>
          <w:tcPr>
            <w:tcW w:w="3180" w:type="dxa"/>
            <w:vAlign w:val="bottom"/>
          </w:tcPr>
          <w:p>
            <w:pPr>
              <w:ind w:left="60"/>
              <w:spacing w:after="0"/>
              <w:rPr>
                <w:sz w:val="20"/>
                <w:szCs w:val="20"/>
                <w:color w:val="auto"/>
              </w:rPr>
            </w:pPr>
            <w:r>
              <w:rPr>
                <w:rFonts w:ascii="Arial" w:cs="Arial" w:eastAsia="Arial" w:hAnsi="Arial"/>
                <w:sz w:val="14"/>
                <w:szCs w:val="14"/>
                <w:color w:val="auto"/>
              </w:rPr>
              <w:t>Chairman and CEO</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2018</w:t>
            </w:r>
          </w:p>
        </w:tc>
        <w:tc>
          <w:tcPr>
            <w:tcW w:w="1100" w:type="dxa"/>
            <w:vAlign w:val="bottom"/>
          </w:tcPr>
          <w:p>
            <w:pPr>
              <w:jc w:val="right"/>
              <w:ind w:right="69"/>
              <w:spacing w:after="0"/>
              <w:rPr>
                <w:sz w:val="20"/>
                <w:szCs w:val="20"/>
                <w:color w:val="auto"/>
              </w:rPr>
            </w:pPr>
            <w:r>
              <w:rPr>
                <w:rFonts w:ascii="Arial" w:cs="Arial" w:eastAsia="Arial" w:hAnsi="Arial"/>
                <w:sz w:val="14"/>
                <w:szCs w:val="14"/>
                <w:color w:val="auto"/>
              </w:rPr>
              <w:t>1,500,000</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5,000,000</w:t>
            </w: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23,000,000</w:t>
            </w:r>
          </w:p>
        </w:tc>
        <w:tc>
          <w:tcPr>
            <w:tcW w:w="1220" w:type="dxa"/>
            <w:vAlign w:val="bottom"/>
          </w:tcPr>
          <w:p>
            <w:pPr>
              <w:jc w:val="right"/>
              <w:ind w:right="5"/>
              <w:spacing w:after="0"/>
              <w:rPr>
                <w:sz w:val="20"/>
                <w:szCs w:val="20"/>
                <w:color w:val="auto"/>
              </w:rPr>
            </w:pPr>
            <w:r>
              <w:rPr>
                <w:rFonts w:ascii="Arial" w:cs="Arial" w:eastAsia="Arial" w:hAnsi="Arial"/>
                <w:sz w:val="14"/>
                <w:szCs w:val="14"/>
                <w:color w:val="auto"/>
              </w:rPr>
              <w:t>13,905</w:t>
            </w:r>
          </w:p>
        </w:tc>
        <w:tc>
          <w:tcPr>
            <w:tcW w:w="1140" w:type="dxa"/>
            <w:vAlign w:val="bottom"/>
          </w:tcPr>
          <w:p>
            <w:pPr>
              <w:jc w:val="right"/>
              <w:ind w:right="169"/>
              <w:spacing w:after="0"/>
              <w:rPr>
                <w:sz w:val="20"/>
                <w:szCs w:val="20"/>
                <w:color w:val="auto"/>
              </w:rPr>
            </w:pPr>
            <w:r>
              <w:rPr>
                <w:rFonts w:ascii="Arial" w:cs="Arial" w:eastAsia="Arial" w:hAnsi="Arial"/>
                <w:sz w:val="14"/>
                <w:szCs w:val="14"/>
                <w:color w:val="auto"/>
              </w:rPr>
              <w:t>519,840</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30,033,745</w:t>
            </w:r>
          </w:p>
        </w:tc>
      </w:tr>
      <w:tr>
        <w:trPr>
          <w:trHeight w:val="157"/>
        </w:trPr>
        <w:tc>
          <w:tcPr>
            <w:tcW w:w="3180" w:type="dxa"/>
            <w:vAlign w:val="bottom"/>
            <w:tcBorders>
              <w:bottom w:val="single" w:sz="8" w:color="333333"/>
            </w:tcBorders>
          </w:tcPr>
          <w:p>
            <w:pPr>
              <w:spacing w:after="0"/>
              <w:rPr>
                <w:sz w:val="13"/>
                <w:szCs w:val="13"/>
                <w:color w:val="auto"/>
              </w:rPr>
            </w:pPr>
          </w:p>
        </w:tc>
        <w:tc>
          <w:tcPr>
            <w:tcW w:w="1100" w:type="dxa"/>
            <w:vAlign w:val="bottom"/>
            <w:tcBorders>
              <w:bottom w:val="single" w:sz="8" w:color="333333"/>
            </w:tcBorders>
          </w:tcPr>
          <w:p>
            <w:pPr>
              <w:jc w:val="right"/>
              <w:ind w:right="48"/>
              <w:spacing w:after="0" w:line="157" w:lineRule="exact"/>
              <w:rPr>
                <w:sz w:val="20"/>
                <w:szCs w:val="20"/>
                <w:color w:val="auto"/>
              </w:rPr>
            </w:pPr>
            <w:r>
              <w:rPr>
                <w:rFonts w:ascii="Arial" w:cs="Arial" w:eastAsia="Arial" w:hAnsi="Arial"/>
                <w:sz w:val="14"/>
                <w:szCs w:val="14"/>
                <w:color w:val="auto"/>
              </w:rPr>
              <w:t>2017</w:t>
            </w:r>
          </w:p>
        </w:tc>
        <w:tc>
          <w:tcPr>
            <w:tcW w:w="1100" w:type="dxa"/>
            <w:vAlign w:val="bottom"/>
            <w:tcBorders>
              <w:bottom w:val="single" w:sz="8" w:color="333333"/>
            </w:tcBorders>
          </w:tcPr>
          <w:p>
            <w:pPr>
              <w:jc w:val="right"/>
              <w:ind w:right="69"/>
              <w:spacing w:after="0" w:line="157" w:lineRule="exact"/>
              <w:rPr>
                <w:sz w:val="20"/>
                <w:szCs w:val="20"/>
                <w:color w:val="auto"/>
              </w:rPr>
            </w:pPr>
            <w:r>
              <w:rPr>
                <w:rFonts w:ascii="Arial" w:cs="Arial" w:eastAsia="Arial" w:hAnsi="Arial"/>
                <w:sz w:val="14"/>
                <w:szCs w:val="14"/>
                <w:color w:val="auto"/>
              </w:rPr>
              <w:t>1,500,000</w:t>
            </w:r>
          </w:p>
        </w:tc>
        <w:tc>
          <w:tcPr>
            <w:tcW w:w="1000" w:type="dxa"/>
            <w:vAlign w:val="bottom"/>
            <w:tcBorders>
              <w:bottom w:val="single" w:sz="8" w:color="333333"/>
            </w:tcBorders>
          </w:tcPr>
          <w:p>
            <w:pPr>
              <w:jc w:val="right"/>
              <w:ind w:right="28"/>
              <w:spacing w:after="0" w:line="157" w:lineRule="exact"/>
              <w:rPr>
                <w:sz w:val="20"/>
                <w:szCs w:val="20"/>
                <w:color w:val="auto"/>
              </w:rPr>
            </w:pPr>
            <w:r>
              <w:rPr>
                <w:rFonts w:ascii="Arial" w:cs="Arial" w:eastAsia="Arial" w:hAnsi="Arial"/>
                <w:sz w:val="14"/>
                <w:szCs w:val="14"/>
                <w:color w:val="auto"/>
              </w:rPr>
              <w:t>5,000,000</w:t>
            </w:r>
          </w:p>
        </w:tc>
        <w:tc>
          <w:tcPr>
            <w:tcW w:w="1180" w:type="dxa"/>
            <w:vAlign w:val="bottom"/>
            <w:tcBorders>
              <w:bottom w:val="single" w:sz="8" w:color="333333"/>
            </w:tcBorders>
          </w:tcPr>
          <w:p>
            <w:pPr>
              <w:jc w:val="right"/>
              <w:ind w:right="88"/>
              <w:spacing w:after="0" w:line="157" w:lineRule="exact"/>
              <w:rPr>
                <w:sz w:val="20"/>
                <w:szCs w:val="20"/>
                <w:color w:val="auto"/>
              </w:rPr>
            </w:pPr>
            <w:r>
              <w:rPr>
                <w:rFonts w:ascii="Arial" w:cs="Arial" w:eastAsia="Arial" w:hAnsi="Arial"/>
                <w:sz w:val="14"/>
                <w:szCs w:val="14"/>
                <w:color w:val="auto"/>
              </w:rPr>
              <w:t>21,500,000</w:t>
            </w:r>
          </w:p>
        </w:tc>
        <w:tc>
          <w:tcPr>
            <w:tcW w:w="1220" w:type="dxa"/>
            <w:vAlign w:val="bottom"/>
            <w:tcBorders>
              <w:bottom w:val="single" w:sz="8" w:color="333333"/>
            </w:tcBorders>
          </w:tcPr>
          <w:p>
            <w:pPr>
              <w:jc w:val="right"/>
              <w:ind w:right="5"/>
              <w:spacing w:after="0" w:line="157" w:lineRule="exact"/>
              <w:rPr>
                <w:sz w:val="20"/>
                <w:szCs w:val="20"/>
                <w:color w:val="auto"/>
              </w:rPr>
            </w:pPr>
            <w:r>
              <w:rPr>
                <w:rFonts w:ascii="Arial" w:cs="Arial" w:eastAsia="Arial" w:hAnsi="Arial"/>
                <w:sz w:val="14"/>
                <w:szCs w:val="14"/>
                <w:color w:val="auto"/>
              </w:rPr>
              <w:t>35,509</w:t>
            </w:r>
          </w:p>
        </w:tc>
        <w:tc>
          <w:tcPr>
            <w:tcW w:w="1140" w:type="dxa"/>
            <w:vAlign w:val="bottom"/>
            <w:tcBorders>
              <w:bottom w:val="single" w:sz="8" w:color="333333"/>
            </w:tcBorders>
          </w:tcPr>
          <w:p>
            <w:pPr>
              <w:jc w:val="right"/>
              <w:ind w:right="169"/>
              <w:spacing w:after="0" w:line="157" w:lineRule="exact"/>
              <w:rPr>
                <w:sz w:val="20"/>
                <w:szCs w:val="20"/>
                <w:color w:val="auto"/>
              </w:rPr>
            </w:pPr>
            <w:r>
              <w:rPr>
                <w:rFonts w:ascii="Arial" w:cs="Arial" w:eastAsia="Arial" w:hAnsi="Arial"/>
                <w:sz w:val="14"/>
                <w:szCs w:val="14"/>
                <w:color w:val="auto"/>
              </w:rPr>
              <w:t>286,228</w:t>
            </w:r>
          </w:p>
        </w:tc>
        <w:tc>
          <w:tcPr>
            <w:tcW w:w="1100" w:type="dxa"/>
            <w:vAlign w:val="bottom"/>
            <w:tcBorders>
              <w:bottom w:val="single" w:sz="8" w:color="333333"/>
            </w:tcBorders>
          </w:tcPr>
          <w:p>
            <w:pPr>
              <w:jc w:val="right"/>
              <w:ind w:right="48"/>
              <w:spacing w:after="0" w:line="157" w:lineRule="exact"/>
              <w:rPr>
                <w:sz w:val="20"/>
                <w:szCs w:val="20"/>
                <w:color w:val="auto"/>
              </w:rPr>
            </w:pPr>
            <w:r>
              <w:rPr>
                <w:rFonts w:ascii="Arial" w:cs="Arial" w:eastAsia="Arial" w:hAnsi="Arial"/>
                <w:sz w:val="14"/>
                <w:szCs w:val="14"/>
                <w:color w:val="auto"/>
              </w:rPr>
              <w:t>28,321,737</w:t>
            </w:r>
          </w:p>
        </w:tc>
      </w:tr>
      <w:tr>
        <w:trPr>
          <w:trHeight w:val="160"/>
        </w:trPr>
        <w:tc>
          <w:tcPr>
            <w:tcW w:w="3180" w:type="dxa"/>
            <w:vAlign w:val="bottom"/>
          </w:tcPr>
          <w:p>
            <w:pPr>
              <w:ind w:left="60"/>
              <w:spacing w:after="0"/>
              <w:rPr>
                <w:sz w:val="20"/>
                <w:szCs w:val="20"/>
                <w:color w:val="auto"/>
              </w:rPr>
            </w:pPr>
            <w:r>
              <w:rPr>
                <w:rFonts w:ascii="Arial" w:cs="Arial" w:eastAsia="Arial" w:hAnsi="Arial"/>
                <w:sz w:val="14"/>
                <w:szCs w:val="14"/>
                <w:b w:val="1"/>
                <w:bCs w:val="1"/>
                <w:color w:val="auto"/>
              </w:rPr>
              <w:t>Daniel Pinto</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2019</w:t>
            </w:r>
          </w:p>
        </w:tc>
        <w:tc>
          <w:tcPr>
            <w:tcW w:w="1100" w:type="dxa"/>
            <w:vAlign w:val="bottom"/>
          </w:tcPr>
          <w:p>
            <w:pPr>
              <w:jc w:val="right"/>
              <w:ind w:right="9"/>
              <w:spacing w:after="0" w:line="160" w:lineRule="exact"/>
              <w:rPr>
                <w:sz w:val="20"/>
                <w:szCs w:val="20"/>
                <w:color w:val="auto"/>
              </w:rPr>
            </w:pPr>
            <w:r>
              <w:rPr>
                <w:rFonts w:ascii="Arial" w:cs="Arial" w:eastAsia="Arial" w:hAnsi="Arial"/>
                <w:sz w:val="11"/>
                <w:szCs w:val="11"/>
                <w:color w:val="auto"/>
              </w:rPr>
              <w:t>8,239,222</w:t>
            </w:r>
            <w:r>
              <w:rPr>
                <w:rFonts w:ascii="Arial" w:cs="Arial" w:eastAsia="Arial" w:hAnsi="Arial"/>
                <w:sz w:val="18"/>
                <w:szCs w:val="18"/>
                <w:color w:val="auto"/>
                <w:vertAlign w:val="superscript"/>
              </w:rPr>
              <w:t>8</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13,723,974</w:t>
            </w:r>
          </w:p>
        </w:tc>
        <w:tc>
          <w:tcPr>
            <w:tcW w:w="1220" w:type="dxa"/>
            <w:vAlign w:val="bottom"/>
          </w:tcPr>
          <w:p>
            <w:pPr>
              <w:jc w:val="right"/>
              <w:ind w:right="5"/>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9"/>
              <w:spacing w:after="0" w:line="160" w:lineRule="exact"/>
              <w:rPr>
                <w:sz w:val="20"/>
                <w:szCs w:val="20"/>
                <w:color w:val="auto"/>
              </w:rPr>
            </w:pPr>
            <w:r>
              <w:rPr>
                <w:rFonts w:ascii="Arial" w:cs="Arial" w:eastAsia="Arial" w:hAnsi="Arial"/>
                <w:sz w:val="11"/>
                <w:szCs w:val="11"/>
                <w:color w:val="auto"/>
              </w:rPr>
              <w:t>72,246</w:t>
            </w:r>
            <w:r>
              <w:rPr>
                <w:rFonts w:ascii="Arial" w:cs="Arial" w:eastAsia="Arial" w:hAnsi="Arial"/>
                <w:sz w:val="18"/>
                <w:szCs w:val="18"/>
                <w:color w:val="auto"/>
                <w:vertAlign w:val="superscript"/>
              </w:rPr>
              <w:t>9</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22,035,442</w:t>
            </w:r>
          </w:p>
        </w:tc>
      </w:tr>
      <w:tr>
        <w:trPr>
          <w:trHeight w:val="162"/>
        </w:trPr>
        <w:tc>
          <w:tcPr>
            <w:tcW w:w="3180" w:type="dxa"/>
            <w:vAlign w:val="bottom"/>
          </w:tcPr>
          <w:p>
            <w:pPr>
              <w:ind w:left="60"/>
              <w:spacing w:after="0"/>
              <w:rPr>
                <w:sz w:val="20"/>
                <w:szCs w:val="20"/>
                <w:color w:val="auto"/>
              </w:rPr>
            </w:pPr>
            <w:r>
              <w:rPr>
                <w:rFonts w:ascii="Arial" w:cs="Arial" w:eastAsia="Arial" w:hAnsi="Arial"/>
                <w:sz w:val="14"/>
                <w:szCs w:val="14"/>
                <w:color w:val="auto"/>
              </w:rPr>
              <w:t>Co-President and Co-COO; CEO CIB</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2018</w:t>
            </w:r>
          </w:p>
        </w:tc>
        <w:tc>
          <w:tcPr>
            <w:tcW w:w="1100" w:type="dxa"/>
            <w:vAlign w:val="bottom"/>
          </w:tcPr>
          <w:p>
            <w:pPr>
              <w:jc w:val="right"/>
              <w:ind w:right="69"/>
              <w:spacing w:after="0"/>
              <w:rPr>
                <w:sz w:val="20"/>
                <w:szCs w:val="20"/>
                <w:color w:val="auto"/>
              </w:rPr>
            </w:pPr>
            <w:r>
              <w:rPr>
                <w:rFonts w:ascii="Arial" w:cs="Arial" w:eastAsia="Arial" w:hAnsi="Arial"/>
                <w:sz w:val="14"/>
                <w:szCs w:val="14"/>
                <w:color w:val="auto"/>
              </w:rPr>
              <w:t>8,276,026</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12,761,372</w:t>
            </w:r>
          </w:p>
        </w:tc>
        <w:tc>
          <w:tcPr>
            <w:tcW w:w="1220" w:type="dxa"/>
            <w:vAlign w:val="bottom"/>
          </w:tcPr>
          <w:p>
            <w:pPr>
              <w:jc w:val="right"/>
              <w:ind w:right="5"/>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69"/>
              <w:spacing w:after="0"/>
              <w:rPr>
                <w:sz w:val="20"/>
                <w:szCs w:val="20"/>
                <w:color w:val="auto"/>
              </w:rPr>
            </w:pPr>
            <w:r>
              <w:rPr>
                <w:rFonts w:ascii="Arial" w:cs="Arial" w:eastAsia="Arial" w:hAnsi="Arial"/>
                <w:sz w:val="14"/>
                <w:szCs w:val="14"/>
                <w:color w:val="auto"/>
              </w:rPr>
              <w:t>68,548</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21,105,946</w:t>
            </w:r>
          </w:p>
        </w:tc>
      </w:tr>
      <w:tr>
        <w:trPr>
          <w:trHeight w:val="157"/>
        </w:trPr>
        <w:tc>
          <w:tcPr>
            <w:tcW w:w="3180" w:type="dxa"/>
            <w:vAlign w:val="bottom"/>
            <w:tcBorders>
              <w:bottom w:val="single" w:sz="8" w:color="333333"/>
            </w:tcBorders>
          </w:tcPr>
          <w:p>
            <w:pPr>
              <w:spacing w:after="0"/>
              <w:rPr>
                <w:sz w:val="13"/>
                <w:szCs w:val="13"/>
                <w:color w:val="auto"/>
              </w:rPr>
            </w:pPr>
          </w:p>
        </w:tc>
        <w:tc>
          <w:tcPr>
            <w:tcW w:w="1100" w:type="dxa"/>
            <w:vAlign w:val="bottom"/>
            <w:tcBorders>
              <w:bottom w:val="single" w:sz="8" w:color="333333"/>
            </w:tcBorders>
          </w:tcPr>
          <w:p>
            <w:pPr>
              <w:jc w:val="right"/>
              <w:ind w:right="48"/>
              <w:spacing w:after="0" w:line="157" w:lineRule="exact"/>
              <w:rPr>
                <w:sz w:val="20"/>
                <w:szCs w:val="20"/>
                <w:color w:val="auto"/>
              </w:rPr>
            </w:pPr>
            <w:r>
              <w:rPr>
                <w:rFonts w:ascii="Arial" w:cs="Arial" w:eastAsia="Arial" w:hAnsi="Arial"/>
                <w:sz w:val="14"/>
                <w:szCs w:val="14"/>
                <w:color w:val="auto"/>
              </w:rPr>
              <w:t>2017</w:t>
            </w:r>
          </w:p>
        </w:tc>
        <w:tc>
          <w:tcPr>
            <w:tcW w:w="1100" w:type="dxa"/>
            <w:vAlign w:val="bottom"/>
            <w:tcBorders>
              <w:bottom w:val="single" w:sz="8" w:color="333333"/>
            </w:tcBorders>
          </w:tcPr>
          <w:p>
            <w:pPr>
              <w:jc w:val="right"/>
              <w:ind w:right="69"/>
              <w:spacing w:after="0" w:line="157" w:lineRule="exact"/>
              <w:rPr>
                <w:sz w:val="20"/>
                <w:szCs w:val="20"/>
                <w:color w:val="auto"/>
              </w:rPr>
            </w:pPr>
            <w:r>
              <w:rPr>
                <w:rFonts w:ascii="Arial" w:cs="Arial" w:eastAsia="Arial" w:hAnsi="Arial"/>
                <w:sz w:val="14"/>
                <w:szCs w:val="14"/>
                <w:color w:val="auto"/>
              </w:rPr>
              <w:t>8,238,628</w:t>
            </w:r>
          </w:p>
        </w:tc>
        <w:tc>
          <w:tcPr>
            <w:tcW w:w="1000" w:type="dxa"/>
            <w:vAlign w:val="bottom"/>
            <w:tcBorders>
              <w:bottom w:val="single" w:sz="8" w:color="333333"/>
            </w:tcBorders>
          </w:tcPr>
          <w:p>
            <w:pPr>
              <w:jc w:val="right"/>
              <w:ind w:right="28"/>
              <w:spacing w:after="0" w:line="157" w:lineRule="exact"/>
              <w:rPr>
                <w:sz w:val="20"/>
                <w:szCs w:val="20"/>
                <w:color w:val="auto"/>
              </w:rPr>
            </w:pPr>
            <w:r>
              <w:rPr>
                <w:rFonts w:ascii="Arial" w:cs="Arial" w:eastAsia="Arial" w:hAnsi="Arial"/>
                <w:sz w:val="14"/>
                <w:szCs w:val="14"/>
                <w:color w:val="auto"/>
              </w:rPr>
              <w:t>—</w:t>
            </w:r>
          </w:p>
        </w:tc>
        <w:tc>
          <w:tcPr>
            <w:tcW w:w="1180" w:type="dxa"/>
            <w:vAlign w:val="bottom"/>
            <w:tcBorders>
              <w:bottom w:val="single" w:sz="8" w:color="333333"/>
            </w:tcBorders>
          </w:tcPr>
          <w:p>
            <w:pPr>
              <w:jc w:val="right"/>
              <w:ind w:right="88"/>
              <w:spacing w:after="0" w:line="157" w:lineRule="exact"/>
              <w:rPr>
                <w:sz w:val="20"/>
                <w:szCs w:val="20"/>
                <w:color w:val="auto"/>
              </w:rPr>
            </w:pPr>
            <w:r>
              <w:rPr>
                <w:rFonts w:ascii="Arial" w:cs="Arial" w:eastAsia="Arial" w:hAnsi="Arial"/>
                <w:sz w:val="14"/>
                <w:szCs w:val="14"/>
                <w:color w:val="auto"/>
              </w:rPr>
              <w:t>10,696,766</w:t>
            </w:r>
          </w:p>
        </w:tc>
        <w:tc>
          <w:tcPr>
            <w:tcW w:w="1220" w:type="dxa"/>
            <w:vAlign w:val="bottom"/>
            <w:tcBorders>
              <w:bottom w:val="single" w:sz="8" w:color="333333"/>
            </w:tcBorders>
          </w:tcPr>
          <w:p>
            <w:pPr>
              <w:jc w:val="right"/>
              <w:ind w:right="5"/>
              <w:spacing w:after="0" w:line="157" w:lineRule="exact"/>
              <w:rPr>
                <w:sz w:val="20"/>
                <w:szCs w:val="20"/>
                <w:color w:val="auto"/>
              </w:rPr>
            </w:pPr>
            <w:r>
              <w:rPr>
                <w:rFonts w:ascii="Arial" w:cs="Arial" w:eastAsia="Arial" w:hAnsi="Arial"/>
                <w:sz w:val="14"/>
                <w:szCs w:val="14"/>
                <w:color w:val="auto"/>
              </w:rPr>
              <w:t>—</w:t>
            </w:r>
          </w:p>
        </w:tc>
        <w:tc>
          <w:tcPr>
            <w:tcW w:w="1140" w:type="dxa"/>
            <w:vAlign w:val="bottom"/>
            <w:tcBorders>
              <w:bottom w:val="single" w:sz="8" w:color="333333"/>
            </w:tcBorders>
          </w:tcPr>
          <w:p>
            <w:pPr>
              <w:jc w:val="right"/>
              <w:ind w:right="169"/>
              <w:spacing w:after="0" w:line="157" w:lineRule="exact"/>
              <w:rPr>
                <w:sz w:val="20"/>
                <w:szCs w:val="20"/>
                <w:color w:val="auto"/>
              </w:rPr>
            </w:pPr>
            <w:r>
              <w:rPr>
                <w:rFonts w:ascii="Arial" w:cs="Arial" w:eastAsia="Arial" w:hAnsi="Arial"/>
                <w:sz w:val="14"/>
                <w:szCs w:val="14"/>
                <w:color w:val="auto"/>
              </w:rPr>
              <w:t>80,384</w:t>
            </w:r>
          </w:p>
        </w:tc>
        <w:tc>
          <w:tcPr>
            <w:tcW w:w="1100" w:type="dxa"/>
            <w:vAlign w:val="bottom"/>
            <w:tcBorders>
              <w:bottom w:val="single" w:sz="8" w:color="333333"/>
            </w:tcBorders>
          </w:tcPr>
          <w:p>
            <w:pPr>
              <w:jc w:val="right"/>
              <w:ind w:right="48"/>
              <w:spacing w:after="0" w:line="157" w:lineRule="exact"/>
              <w:rPr>
                <w:sz w:val="20"/>
                <w:szCs w:val="20"/>
                <w:color w:val="auto"/>
              </w:rPr>
            </w:pPr>
            <w:r>
              <w:rPr>
                <w:rFonts w:ascii="Arial" w:cs="Arial" w:eastAsia="Arial" w:hAnsi="Arial"/>
                <w:sz w:val="14"/>
                <w:szCs w:val="14"/>
                <w:color w:val="auto"/>
              </w:rPr>
              <w:t>19,015,778</w:t>
            </w:r>
          </w:p>
        </w:tc>
      </w:tr>
      <w:tr>
        <w:trPr>
          <w:trHeight w:val="160"/>
        </w:trPr>
        <w:tc>
          <w:tcPr>
            <w:tcW w:w="3180" w:type="dxa"/>
            <w:vAlign w:val="bottom"/>
          </w:tcPr>
          <w:p>
            <w:pPr>
              <w:ind w:left="60"/>
              <w:spacing w:after="0"/>
              <w:rPr>
                <w:sz w:val="20"/>
                <w:szCs w:val="20"/>
                <w:color w:val="auto"/>
              </w:rPr>
            </w:pPr>
            <w:r>
              <w:rPr>
                <w:rFonts w:ascii="Arial" w:cs="Arial" w:eastAsia="Arial" w:hAnsi="Arial"/>
                <w:sz w:val="14"/>
                <w:szCs w:val="14"/>
                <w:b w:val="1"/>
                <w:bCs w:val="1"/>
                <w:color w:val="auto"/>
              </w:rPr>
              <w:t>Gordon Smith</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2019</w:t>
            </w:r>
          </w:p>
        </w:tc>
        <w:tc>
          <w:tcPr>
            <w:tcW w:w="1100" w:type="dxa"/>
            <w:vAlign w:val="bottom"/>
          </w:tcPr>
          <w:p>
            <w:pPr>
              <w:jc w:val="right"/>
              <w:ind w:right="69"/>
              <w:spacing w:after="0"/>
              <w:rPr>
                <w:sz w:val="20"/>
                <w:szCs w:val="20"/>
                <w:color w:val="auto"/>
              </w:rPr>
            </w:pPr>
            <w:r>
              <w:rPr>
                <w:rFonts w:ascii="Arial" w:cs="Arial" w:eastAsia="Arial" w:hAnsi="Arial"/>
                <w:sz w:val="14"/>
                <w:szCs w:val="14"/>
                <w:color w:val="auto"/>
              </w:rPr>
              <w:t>750,000</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8,700,000</w:t>
            </w: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12,750,000</w:t>
            </w:r>
          </w:p>
        </w:tc>
        <w:tc>
          <w:tcPr>
            <w:tcW w:w="1220" w:type="dxa"/>
            <w:vAlign w:val="bottom"/>
          </w:tcPr>
          <w:p>
            <w:pPr>
              <w:jc w:val="right"/>
              <w:ind w:right="5"/>
              <w:spacing w:after="0"/>
              <w:rPr>
                <w:sz w:val="20"/>
                <w:szCs w:val="20"/>
                <w:color w:val="auto"/>
              </w:rPr>
            </w:pPr>
            <w:r>
              <w:rPr>
                <w:rFonts w:ascii="Arial" w:cs="Arial" w:eastAsia="Arial" w:hAnsi="Arial"/>
                <w:sz w:val="14"/>
                <w:szCs w:val="14"/>
                <w:color w:val="auto"/>
              </w:rPr>
              <w:t>9,071</w:t>
            </w:r>
          </w:p>
        </w:tc>
        <w:tc>
          <w:tcPr>
            <w:tcW w:w="11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22,209,071</w:t>
            </w:r>
          </w:p>
        </w:tc>
      </w:tr>
      <w:tr>
        <w:trPr>
          <w:trHeight w:val="162"/>
        </w:trPr>
        <w:tc>
          <w:tcPr>
            <w:tcW w:w="3180" w:type="dxa"/>
            <w:vAlign w:val="bottom"/>
          </w:tcPr>
          <w:p>
            <w:pPr>
              <w:ind w:left="60"/>
              <w:spacing w:after="0"/>
              <w:rPr>
                <w:sz w:val="20"/>
                <w:szCs w:val="20"/>
                <w:color w:val="auto"/>
              </w:rPr>
            </w:pPr>
            <w:r>
              <w:rPr>
                <w:rFonts w:ascii="Arial" w:cs="Arial" w:eastAsia="Arial" w:hAnsi="Arial"/>
                <w:sz w:val="14"/>
                <w:szCs w:val="14"/>
                <w:color w:val="auto"/>
              </w:rPr>
              <w:t>Co-President and Co-COO; CEO CCB</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2018</w:t>
            </w:r>
          </w:p>
        </w:tc>
        <w:tc>
          <w:tcPr>
            <w:tcW w:w="1100" w:type="dxa"/>
            <w:vAlign w:val="bottom"/>
          </w:tcPr>
          <w:p>
            <w:pPr>
              <w:jc w:val="right"/>
              <w:ind w:right="69"/>
              <w:spacing w:after="0"/>
              <w:rPr>
                <w:sz w:val="20"/>
                <w:szCs w:val="20"/>
                <w:color w:val="auto"/>
              </w:rPr>
            </w:pPr>
            <w:r>
              <w:rPr>
                <w:rFonts w:ascii="Arial" w:cs="Arial" w:eastAsia="Arial" w:hAnsi="Arial"/>
                <w:sz w:val="14"/>
                <w:szCs w:val="14"/>
                <w:color w:val="auto"/>
              </w:rPr>
              <w:t>750,000</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8,500,000</w:t>
            </w: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11,550,000</w:t>
            </w:r>
          </w:p>
        </w:tc>
        <w:tc>
          <w:tcPr>
            <w:tcW w:w="1220" w:type="dxa"/>
            <w:vAlign w:val="bottom"/>
          </w:tcPr>
          <w:p>
            <w:pPr>
              <w:jc w:val="right"/>
              <w:ind w:right="5"/>
              <w:spacing w:after="0"/>
              <w:rPr>
                <w:sz w:val="20"/>
                <w:szCs w:val="20"/>
                <w:color w:val="auto"/>
              </w:rPr>
            </w:pPr>
            <w:r>
              <w:rPr>
                <w:rFonts w:ascii="Arial" w:cs="Arial" w:eastAsia="Arial" w:hAnsi="Arial"/>
                <w:sz w:val="14"/>
                <w:szCs w:val="14"/>
                <w:color w:val="auto"/>
              </w:rPr>
              <w:t>4,089</w:t>
            </w:r>
          </w:p>
        </w:tc>
        <w:tc>
          <w:tcPr>
            <w:tcW w:w="11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20,804,089</w:t>
            </w:r>
          </w:p>
        </w:tc>
      </w:tr>
      <w:tr>
        <w:trPr>
          <w:trHeight w:val="157"/>
        </w:trPr>
        <w:tc>
          <w:tcPr>
            <w:tcW w:w="3180" w:type="dxa"/>
            <w:vAlign w:val="bottom"/>
            <w:tcBorders>
              <w:bottom w:val="single" w:sz="8" w:color="333333"/>
            </w:tcBorders>
          </w:tcPr>
          <w:p>
            <w:pPr>
              <w:spacing w:after="0"/>
              <w:rPr>
                <w:sz w:val="13"/>
                <w:szCs w:val="13"/>
                <w:color w:val="auto"/>
              </w:rPr>
            </w:pPr>
          </w:p>
        </w:tc>
        <w:tc>
          <w:tcPr>
            <w:tcW w:w="1100" w:type="dxa"/>
            <w:vAlign w:val="bottom"/>
            <w:tcBorders>
              <w:bottom w:val="single" w:sz="8" w:color="333333"/>
            </w:tcBorders>
          </w:tcPr>
          <w:p>
            <w:pPr>
              <w:jc w:val="right"/>
              <w:ind w:right="48"/>
              <w:spacing w:after="0" w:line="157" w:lineRule="exact"/>
              <w:rPr>
                <w:sz w:val="20"/>
                <w:szCs w:val="20"/>
                <w:color w:val="auto"/>
              </w:rPr>
            </w:pPr>
            <w:r>
              <w:rPr>
                <w:rFonts w:ascii="Arial" w:cs="Arial" w:eastAsia="Arial" w:hAnsi="Arial"/>
                <w:sz w:val="14"/>
                <w:szCs w:val="14"/>
                <w:color w:val="auto"/>
              </w:rPr>
              <w:t>2017</w:t>
            </w:r>
          </w:p>
        </w:tc>
        <w:tc>
          <w:tcPr>
            <w:tcW w:w="1100" w:type="dxa"/>
            <w:vAlign w:val="bottom"/>
            <w:tcBorders>
              <w:bottom w:val="single" w:sz="8" w:color="333333"/>
            </w:tcBorders>
          </w:tcPr>
          <w:p>
            <w:pPr>
              <w:jc w:val="right"/>
              <w:ind w:right="69"/>
              <w:spacing w:after="0" w:line="157" w:lineRule="exact"/>
              <w:rPr>
                <w:sz w:val="20"/>
                <w:szCs w:val="20"/>
                <w:color w:val="auto"/>
              </w:rPr>
            </w:pPr>
            <w:r>
              <w:rPr>
                <w:rFonts w:ascii="Arial" w:cs="Arial" w:eastAsia="Arial" w:hAnsi="Arial"/>
                <w:sz w:val="14"/>
                <w:szCs w:val="14"/>
                <w:color w:val="auto"/>
              </w:rPr>
              <w:t>750,000</w:t>
            </w:r>
          </w:p>
        </w:tc>
        <w:tc>
          <w:tcPr>
            <w:tcW w:w="1000" w:type="dxa"/>
            <w:vAlign w:val="bottom"/>
            <w:tcBorders>
              <w:bottom w:val="single" w:sz="8" w:color="333333"/>
            </w:tcBorders>
          </w:tcPr>
          <w:p>
            <w:pPr>
              <w:jc w:val="right"/>
              <w:ind w:right="28"/>
              <w:spacing w:after="0" w:line="157" w:lineRule="exact"/>
              <w:rPr>
                <w:sz w:val="20"/>
                <w:szCs w:val="20"/>
                <w:color w:val="auto"/>
              </w:rPr>
            </w:pPr>
            <w:r>
              <w:rPr>
                <w:rFonts w:ascii="Arial" w:cs="Arial" w:eastAsia="Arial" w:hAnsi="Arial"/>
                <w:sz w:val="14"/>
                <w:szCs w:val="14"/>
                <w:color w:val="auto"/>
              </w:rPr>
              <w:t>7,700,000</w:t>
            </w:r>
          </w:p>
        </w:tc>
        <w:tc>
          <w:tcPr>
            <w:tcW w:w="1180" w:type="dxa"/>
            <w:vAlign w:val="bottom"/>
            <w:tcBorders>
              <w:bottom w:val="single" w:sz="8" w:color="333333"/>
            </w:tcBorders>
          </w:tcPr>
          <w:p>
            <w:pPr>
              <w:jc w:val="right"/>
              <w:ind w:right="88"/>
              <w:spacing w:after="0" w:line="157" w:lineRule="exact"/>
              <w:rPr>
                <w:sz w:val="20"/>
                <w:szCs w:val="20"/>
                <w:color w:val="auto"/>
              </w:rPr>
            </w:pPr>
            <w:r>
              <w:rPr>
                <w:rFonts w:ascii="Arial" w:cs="Arial" w:eastAsia="Arial" w:hAnsi="Arial"/>
                <w:sz w:val="14"/>
                <w:szCs w:val="14"/>
                <w:color w:val="auto"/>
              </w:rPr>
              <w:t>10,950,000</w:t>
            </w:r>
          </w:p>
        </w:tc>
        <w:tc>
          <w:tcPr>
            <w:tcW w:w="1220" w:type="dxa"/>
            <w:vAlign w:val="bottom"/>
            <w:tcBorders>
              <w:bottom w:val="single" w:sz="8" w:color="333333"/>
            </w:tcBorders>
          </w:tcPr>
          <w:p>
            <w:pPr>
              <w:jc w:val="right"/>
              <w:ind w:right="5"/>
              <w:spacing w:after="0" w:line="157" w:lineRule="exact"/>
              <w:rPr>
                <w:sz w:val="20"/>
                <w:szCs w:val="20"/>
                <w:color w:val="auto"/>
              </w:rPr>
            </w:pPr>
            <w:r>
              <w:rPr>
                <w:rFonts w:ascii="Arial" w:cs="Arial" w:eastAsia="Arial" w:hAnsi="Arial"/>
                <w:sz w:val="14"/>
                <w:szCs w:val="14"/>
                <w:color w:val="auto"/>
              </w:rPr>
              <w:t>6,985</w:t>
            </w:r>
          </w:p>
        </w:tc>
        <w:tc>
          <w:tcPr>
            <w:tcW w:w="1140" w:type="dxa"/>
            <w:vAlign w:val="bottom"/>
            <w:tcBorders>
              <w:bottom w:val="single" w:sz="8" w:color="333333"/>
            </w:tcBorders>
          </w:tcPr>
          <w:p>
            <w:pPr>
              <w:jc w:val="right"/>
              <w:ind w:right="169"/>
              <w:spacing w:after="0" w:line="157" w:lineRule="exact"/>
              <w:rPr>
                <w:sz w:val="20"/>
                <w:szCs w:val="20"/>
                <w:color w:val="auto"/>
              </w:rPr>
            </w:pPr>
            <w:r>
              <w:rPr>
                <w:rFonts w:ascii="Arial" w:cs="Arial" w:eastAsia="Arial" w:hAnsi="Arial"/>
                <w:sz w:val="14"/>
                <w:szCs w:val="14"/>
                <w:color w:val="auto"/>
              </w:rPr>
              <w:t>—</w:t>
            </w:r>
          </w:p>
        </w:tc>
        <w:tc>
          <w:tcPr>
            <w:tcW w:w="1100" w:type="dxa"/>
            <w:vAlign w:val="bottom"/>
            <w:tcBorders>
              <w:bottom w:val="single" w:sz="8" w:color="333333"/>
            </w:tcBorders>
          </w:tcPr>
          <w:p>
            <w:pPr>
              <w:jc w:val="right"/>
              <w:ind w:right="48"/>
              <w:spacing w:after="0" w:line="157" w:lineRule="exact"/>
              <w:rPr>
                <w:sz w:val="20"/>
                <w:szCs w:val="20"/>
                <w:color w:val="auto"/>
              </w:rPr>
            </w:pPr>
            <w:r>
              <w:rPr>
                <w:rFonts w:ascii="Arial" w:cs="Arial" w:eastAsia="Arial" w:hAnsi="Arial"/>
                <w:sz w:val="14"/>
                <w:szCs w:val="14"/>
                <w:color w:val="auto"/>
              </w:rPr>
              <w:t>19,406,985</w:t>
            </w:r>
          </w:p>
        </w:tc>
      </w:tr>
      <w:tr>
        <w:trPr>
          <w:trHeight w:val="160"/>
        </w:trPr>
        <w:tc>
          <w:tcPr>
            <w:tcW w:w="3180" w:type="dxa"/>
            <w:vAlign w:val="bottom"/>
          </w:tcPr>
          <w:p>
            <w:pPr>
              <w:ind w:left="60"/>
              <w:spacing w:after="0"/>
              <w:rPr>
                <w:sz w:val="20"/>
                <w:szCs w:val="20"/>
                <w:color w:val="auto"/>
              </w:rPr>
            </w:pPr>
            <w:r>
              <w:rPr>
                <w:rFonts w:ascii="Arial" w:cs="Arial" w:eastAsia="Arial" w:hAnsi="Arial"/>
                <w:sz w:val="14"/>
                <w:szCs w:val="14"/>
                <w:b w:val="1"/>
                <w:bCs w:val="1"/>
                <w:color w:val="auto"/>
              </w:rPr>
              <w:t>Mary Callahan Erdoes</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2019</w:t>
            </w:r>
          </w:p>
        </w:tc>
        <w:tc>
          <w:tcPr>
            <w:tcW w:w="1100" w:type="dxa"/>
            <w:vAlign w:val="bottom"/>
          </w:tcPr>
          <w:p>
            <w:pPr>
              <w:jc w:val="right"/>
              <w:ind w:right="69"/>
              <w:spacing w:after="0"/>
              <w:rPr>
                <w:sz w:val="20"/>
                <w:szCs w:val="20"/>
                <w:color w:val="auto"/>
              </w:rPr>
            </w:pPr>
            <w:r>
              <w:rPr>
                <w:rFonts w:ascii="Arial" w:cs="Arial" w:eastAsia="Arial" w:hAnsi="Arial"/>
                <w:sz w:val="14"/>
                <w:szCs w:val="14"/>
                <w:color w:val="auto"/>
              </w:rPr>
              <w:t>750,000</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8,100,000</w:t>
            </w: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11,850,000</w:t>
            </w:r>
          </w:p>
        </w:tc>
        <w:tc>
          <w:tcPr>
            <w:tcW w:w="1220" w:type="dxa"/>
            <w:vAlign w:val="bottom"/>
          </w:tcPr>
          <w:p>
            <w:pPr>
              <w:jc w:val="right"/>
              <w:ind w:right="5"/>
              <w:spacing w:after="0"/>
              <w:rPr>
                <w:sz w:val="20"/>
                <w:szCs w:val="20"/>
                <w:color w:val="auto"/>
              </w:rPr>
            </w:pPr>
            <w:r>
              <w:rPr>
                <w:rFonts w:ascii="Arial" w:cs="Arial" w:eastAsia="Arial" w:hAnsi="Arial"/>
                <w:sz w:val="14"/>
                <w:szCs w:val="14"/>
                <w:color w:val="auto"/>
              </w:rPr>
              <w:t>54,269</w:t>
            </w:r>
          </w:p>
        </w:tc>
        <w:tc>
          <w:tcPr>
            <w:tcW w:w="11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20,754,269</w:t>
            </w:r>
          </w:p>
        </w:tc>
      </w:tr>
      <w:tr>
        <w:trPr>
          <w:trHeight w:val="162"/>
        </w:trPr>
        <w:tc>
          <w:tcPr>
            <w:tcW w:w="3180" w:type="dxa"/>
            <w:vAlign w:val="bottom"/>
          </w:tcPr>
          <w:p>
            <w:pPr>
              <w:ind w:left="60"/>
              <w:spacing w:after="0"/>
              <w:rPr>
                <w:sz w:val="20"/>
                <w:szCs w:val="20"/>
                <w:color w:val="auto"/>
              </w:rPr>
            </w:pPr>
            <w:r>
              <w:rPr>
                <w:rFonts w:ascii="Arial" w:cs="Arial" w:eastAsia="Arial" w:hAnsi="Arial"/>
                <w:sz w:val="14"/>
                <w:szCs w:val="14"/>
                <w:color w:val="auto"/>
              </w:rPr>
              <w:t>CEO AWM</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2018</w:t>
            </w:r>
          </w:p>
        </w:tc>
        <w:tc>
          <w:tcPr>
            <w:tcW w:w="1100" w:type="dxa"/>
            <w:vAlign w:val="bottom"/>
          </w:tcPr>
          <w:p>
            <w:pPr>
              <w:jc w:val="right"/>
              <w:ind w:right="69"/>
              <w:spacing w:after="0"/>
              <w:rPr>
                <w:sz w:val="20"/>
                <w:szCs w:val="20"/>
                <w:color w:val="auto"/>
              </w:rPr>
            </w:pPr>
            <w:r>
              <w:rPr>
                <w:rFonts w:ascii="Arial" w:cs="Arial" w:eastAsia="Arial" w:hAnsi="Arial"/>
                <w:sz w:val="14"/>
                <w:szCs w:val="14"/>
                <w:color w:val="auto"/>
              </w:rPr>
              <w:t>750,000</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7,900,000</w:t>
            </w: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11,250,000</w:t>
            </w:r>
          </w:p>
        </w:tc>
        <w:tc>
          <w:tcPr>
            <w:tcW w:w="1220" w:type="dxa"/>
            <w:vAlign w:val="bottom"/>
          </w:tcPr>
          <w:p>
            <w:pPr>
              <w:jc w:val="right"/>
              <w:ind w:right="5"/>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19,900,000</w:t>
            </w:r>
          </w:p>
        </w:tc>
      </w:tr>
      <w:tr>
        <w:trPr>
          <w:trHeight w:val="157"/>
        </w:trPr>
        <w:tc>
          <w:tcPr>
            <w:tcW w:w="3180" w:type="dxa"/>
            <w:vAlign w:val="bottom"/>
            <w:tcBorders>
              <w:bottom w:val="single" w:sz="8" w:color="333333"/>
            </w:tcBorders>
          </w:tcPr>
          <w:p>
            <w:pPr>
              <w:spacing w:after="0"/>
              <w:rPr>
                <w:sz w:val="13"/>
                <w:szCs w:val="13"/>
                <w:color w:val="auto"/>
              </w:rPr>
            </w:pPr>
          </w:p>
        </w:tc>
        <w:tc>
          <w:tcPr>
            <w:tcW w:w="1100" w:type="dxa"/>
            <w:vAlign w:val="bottom"/>
            <w:tcBorders>
              <w:bottom w:val="single" w:sz="8" w:color="333333"/>
            </w:tcBorders>
          </w:tcPr>
          <w:p>
            <w:pPr>
              <w:jc w:val="right"/>
              <w:ind w:right="48"/>
              <w:spacing w:after="0" w:line="157" w:lineRule="exact"/>
              <w:rPr>
                <w:sz w:val="20"/>
                <w:szCs w:val="20"/>
                <w:color w:val="auto"/>
              </w:rPr>
            </w:pPr>
            <w:r>
              <w:rPr>
                <w:rFonts w:ascii="Arial" w:cs="Arial" w:eastAsia="Arial" w:hAnsi="Arial"/>
                <w:sz w:val="14"/>
                <w:szCs w:val="14"/>
                <w:color w:val="auto"/>
              </w:rPr>
              <w:t>2017</w:t>
            </w:r>
          </w:p>
        </w:tc>
        <w:tc>
          <w:tcPr>
            <w:tcW w:w="1100" w:type="dxa"/>
            <w:vAlign w:val="bottom"/>
            <w:tcBorders>
              <w:bottom w:val="single" w:sz="8" w:color="333333"/>
            </w:tcBorders>
          </w:tcPr>
          <w:p>
            <w:pPr>
              <w:jc w:val="right"/>
              <w:ind w:right="69"/>
              <w:spacing w:after="0" w:line="157" w:lineRule="exact"/>
              <w:rPr>
                <w:sz w:val="20"/>
                <w:szCs w:val="20"/>
                <w:color w:val="auto"/>
              </w:rPr>
            </w:pPr>
            <w:r>
              <w:rPr>
                <w:rFonts w:ascii="Arial" w:cs="Arial" w:eastAsia="Arial" w:hAnsi="Arial"/>
                <w:sz w:val="14"/>
                <w:szCs w:val="14"/>
                <w:color w:val="auto"/>
              </w:rPr>
              <w:t>750,000</w:t>
            </w:r>
          </w:p>
        </w:tc>
        <w:tc>
          <w:tcPr>
            <w:tcW w:w="1000" w:type="dxa"/>
            <w:vAlign w:val="bottom"/>
            <w:tcBorders>
              <w:bottom w:val="single" w:sz="8" w:color="333333"/>
            </w:tcBorders>
          </w:tcPr>
          <w:p>
            <w:pPr>
              <w:jc w:val="right"/>
              <w:ind w:right="28"/>
              <w:spacing w:after="0" w:line="157" w:lineRule="exact"/>
              <w:rPr>
                <w:sz w:val="20"/>
                <w:szCs w:val="20"/>
                <w:color w:val="auto"/>
              </w:rPr>
            </w:pPr>
            <w:r>
              <w:rPr>
                <w:rFonts w:ascii="Arial" w:cs="Arial" w:eastAsia="Arial" w:hAnsi="Arial"/>
                <w:sz w:val="14"/>
                <w:szCs w:val="14"/>
                <w:color w:val="auto"/>
              </w:rPr>
              <w:t>7,500,000</w:t>
            </w:r>
          </w:p>
        </w:tc>
        <w:tc>
          <w:tcPr>
            <w:tcW w:w="1180" w:type="dxa"/>
            <w:vAlign w:val="bottom"/>
            <w:tcBorders>
              <w:bottom w:val="single" w:sz="8" w:color="333333"/>
            </w:tcBorders>
          </w:tcPr>
          <w:p>
            <w:pPr>
              <w:jc w:val="right"/>
              <w:ind w:right="88"/>
              <w:spacing w:after="0" w:line="157" w:lineRule="exact"/>
              <w:rPr>
                <w:sz w:val="20"/>
                <w:szCs w:val="20"/>
                <w:color w:val="auto"/>
              </w:rPr>
            </w:pPr>
            <w:r>
              <w:rPr>
                <w:rFonts w:ascii="Arial" w:cs="Arial" w:eastAsia="Arial" w:hAnsi="Arial"/>
                <w:sz w:val="14"/>
                <w:szCs w:val="14"/>
                <w:color w:val="auto"/>
              </w:rPr>
              <w:t>10,950,000</w:t>
            </w:r>
          </w:p>
        </w:tc>
        <w:tc>
          <w:tcPr>
            <w:tcW w:w="1220" w:type="dxa"/>
            <w:vAlign w:val="bottom"/>
            <w:tcBorders>
              <w:bottom w:val="single" w:sz="8" w:color="333333"/>
            </w:tcBorders>
          </w:tcPr>
          <w:p>
            <w:pPr>
              <w:jc w:val="right"/>
              <w:ind w:right="5"/>
              <w:spacing w:after="0" w:line="157" w:lineRule="exact"/>
              <w:rPr>
                <w:sz w:val="20"/>
                <w:szCs w:val="20"/>
                <w:color w:val="auto"/>
              </w:rPr>
            </w:pPr>
            <w:r>
              <w:rPr>
                <w:rFonts w:ascii="Arial" w:cs="Arial" w:eastAsia="Arial" w:hAnsi="Arial"/>
                <w:sz w:val="14"/>
                <w:szCs w:val="14"/>
                <w:color w:val="auto"/>
              </w:rPr>
              <w:t>42,152</w:t>
            </w:r>
          </w:p>
        </w:tc>
        <w:tc>
          <w:tcPr>
            <w:tcW w:w="1140" w:type="dxa"/>
            <w:vAlign w:val="bottom"/>
            <w:tcBorders>
              <w:bottom w:val="single" w:sz="8" w:color="333333"/>
            </w:tcBorders>
          </w:tcPr>
          <w:p>
            <w:pPr>
              <w:jc w:val="right"/>
              <w:ind w:right="169"/>
              <w:spacing w:after="0" w:line="157" w:lineRule="exact"/>
              <w:rPr>
                <w:sz w:val="20"/>
                <w:szCs w:val="20"/>
                <w:color w:val="auto"/>
              </w:rPr>
            </w:pPr>
            <w:r>
              <w:rPr>
                <w:rFonts w:ascii="Arial" w:cs="Arial" w:eastAsia="Arial" w:hAnsi="Arial"/>
                <w:sz w:val="14"/>
                <w:szCs w:val="14"/>
                <w:color w:val="auto"/>
              </w:rPr>
              <w:t>—</w:t>
            </w:r>
          </w:p>
        </w:tc>
        <w:tc>
          <w:tcPr>
            <w:tcW w:w="1100" w:type="dxa"/>
            <w:vAlign w:val="bottom"/>
            <w:tcBorders>
              <w:bottom w:val="single" w:sz="8" w:color="333333"/>
            </w:tcBorders>
          </w:tcPr>
          <w:p>
            <w:pPr>
              <w:jc w:val="right"/>
              <w:ind w:right="48"/>
              <w:spacing w:after="0" w:line="157" w:lineRule="exact"/>
              <w:rPr>
                <w:sz w:val="20"/>
                <w:szCs w:val="20"/>
                <w:color w:val="auto"/>
              </w:rPr>
            </w:pPr>
            <w:r>
              <w:rPr>
                <w:rFonts w:ascii="Arial" w:cs="Arial" w:eastAsia="Arial" w:hAnsi="Arial"/>
                <w:sz w:val="14"/>
                <w:szCs w:val="14"/>
                <w:color w:val="auto"/>
              </w:rPr>
              <w:t>19,242,152</w:t>
            </w:r>
          </w:p>
        </w:tc>
      </w:tr>
      <w:tr>
        <w:trPr>
          <w:trHeight w:val="160"/>
        </w:trPr>
        <w:tc>
          <w:tcPr>
            <w:tcW w:w="3180" w:type="dxa"/>
            <w:vAlign w:val="bottom"/>
          </w:tcPr>
          <w:p>
            <w:pPr>
              <w:ind w:left="60"/>
              <w:spacing w:after="0"/>
              <w:rPr>
                <w:sz w:val="20"/>
                <w:szCs w:val="20"/>
                <w:color w:val="auto"/>
              </w:rPr>
            </w:pPr>
            <w:r>
              <w:rPr>
                <w:rFonts w:ascii="Arial" w:cs="Arial" w:eastAsia="Arial" w:hAnsi="Arial"/>
                <w:sz w:val="14"/>
                <w:szCs w:val="14"/>
                <w:b w:val="1"/>
                <w:bCs w:val="1"/>
                <w:color w:val="auto"/>
              </w:rPr>
              <w:t>Marianne Lake</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2019</w:t>
            </w:r>
          </w:p>
        </w:tc>
        <w:tc>
          <w:tcPr>
            <w:tcW w:w="1100" w:type="dxa"/>
            <w:vAlign w:val="bottom"/>
          </w:tcPr>
          <w:p>
            <w:pPr>
              <w:jc w:val="right"/>
              <w:ind w:right="69"/>
              <w:spacing w:after="0"/>
              <w:rPr>
                <w:sz w:val="20"/>
                <w:szCs w:val="20"/>
                <w:color w:val="auto"/>
              </w:rPr>
            </w:pPr>
            <w:r>
              <w:rPr>
                <w:rFonts w:ascii="Arial" w:cs="Arial" w:eastAsia="Arial" w:hAnsi="Arial"/>
                <w:sz w:val="14"/>
                <w:szCs w:val="14"/>
                <w:color w:val="auto"/>
              </w:rPr>
              <w:t>750,000</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5,840,000</w:t>
            </w: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8,550,000</w:t>
            </w:r>
          </w:p>
        </w:tc>
        <w:tc>
          <w:tcPr>
            <w:tcW w:w="1220" w:type="dxa"/>
            <w:vAlign w:val="bottom"/>
          </w:tcPr>
          <w:p>
            <w:pPr>
              <w:jc w:val="right"/>
              <w:ind w:right="5"/>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9"/>
              <w:spacing w:after="0" w:line="160" w:lineRule="exact"/>
              <w:rPr>
                <w:sz w:val="20"/>
                <w:szCs w:val="20"/>
                <w:color w:val="auto"/>
              </w:rPr>
            </w:pPr>
            <w:r>
              <w:rPr>
                <w:rFonts w:ascii="Arial" w:cs="Arial" w:eastAsia="Arial" w:hAnsi="Arial"/>
                <w:sz w:val="11"/>
                <w:szCs w:val="11"/>
                <w:color w:val="auto"/>
              </w:rPr>
              <w:t>58,165</w:t>
            </w:r>
            <w:r>
              <w:rPr>
                <w:rFonts w:ascii="Arial" w:cs="Arial" w:eastAsia="Arial" w:hAnsi="Arial"/>
                <w:sz w:val="18"/>
                <w:szCs w:val="18"/>
                <w:color w:val="auto"/>
                <w:vertAlign w:val="superscript"/>
              </w:rPr>
              <w:t>10</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15,198,165</w:t>
            </w:r>
          </w:p>
        </w:tc>
      </w:tr>
      <w:tr>
        <w:trPr>
          <w:trHeight w:val="162"/>
        </w:trPr>
        <w:tc>
          <w:tcPr>
            <w:tcW w:w="3180" w:type="dxa"/>
            <w:vAlign w:val="bottom"/>
          </w:tcPr>
          <w:p>
            <w:pPr>
              <w:ind w:left="60"/>
              <w:spacing w:after="0"/>
              <w:rPr>
                <w:sz w:val="20"/>
                <w:szCs w:val="20"/>
                <w:color w:val="auto"/>
              </w:rPr>
            </w:pPr>
            <w:r>
              <w:rPr>
                <w:rFonts w:ascii="Arial" w:cs="Arial" w:eastAsia="Arial" w:hAnsi="Arial"/>
                <w:sz w:val="14"/>
                <w:szCs w:val="14"/>
                <w:color w:val="auto"/>
              </w:rPr>
              <w:t>CEO Consumer Lending</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2018</w:t>
            </w:r>
          </w:p>
        </w:tc>
        <w:tc>
          <w:tcPr>
            <w:tcW w:w="1100" w:type="dxa"/>
            <w:vAlign w:val="bottom"/>
          </w:tcPr>
          <w:p>
            <w:pPr>
              <w:jc w:val="right"/>
              <w:ind w:right="69"/>
              <w:spacing w:after="0"/>
              <w:rPr>
                <w:sz w:val="20"/>
                <w:szCs w:val="20"/>
                <w:color w:val="auto"/>
              </w:rPr>
            </w:pPr>
            <w:r>
              <w:rPr>
                <w:rFonts w:ascii="Arial" w:cs="Arial" w:eastAsia="Arial" w:hAnsi="Arial"/>
                <w:sz w:val="14"/>
                <w:szCs w:val="14"/>
                <w:color w:val="auto"/>
              </w:rPr>
              <w:t>750,000</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5,700,000</w:t>
            </w: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7,650,000</w:t>
            </w:r>
          </w:p>
        </w:tc>
        <w:tc>
          <w:tcPr>
            <w:tcW w:w="1220" w:type="dxa"/>
            <w:vAlign w:val="bottom"/>
          </w:tcPr>
          <w:p>
            <w:pPr>
              <w:jc w:val="right"/>
              <w:ind w:right="5"/>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69"/>
              <w:spacing w:after="0"/>
              <w:rPr>
                <w:sz w:val="20"/>
                <w:szCs w:val="20"/>
                <w:color w:val="auto"/>
              </w:rPr>
            </w:pPr>
            <w:r>
              <w:rPr>
                <w:rFonts w:ascii="Arial" w:cs="Arial" w:eastAsia="Arial" w:hAnsi="Arial"/>
                <w:sz w:val="14"/>
                <w:szCs w:val="14"/>
                <w:color w:val="auto"/>
              </w:rPr>
              <w:t>60,501</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14,160,501</w:t>
            </w:r>
          </w:p>
        </w:tc>
      </w:tr>
      <w:tr>
        <w:trPr>
          <w:trHeight w:val="157"/>
        </w:trPr>
        <w:tc>
          <w:tcPr>
            <w:tcW w:w="3180" w:type="dxa"/>
            <w:vAlign w:val="bottom"/>
            <w:tcBorders>
              <w:bottom w:val="single" w:sz="8" w:color="333333"/>
            </w:tcBorders>
          </w:tcPr>
          <w:p>
            <w:pPr>
              <w:spacing w:after="0"/>
              <w:rPr>
                <w:sz w:val="13"/>
                <w:szCs w:val="13"/>
                <w:color w:val="auto"/>
              </w:rPr>
            </w:pPr>
          </w:p>
        </w:tc>
        <w:tc>
          <w:tcPr>
            <w:tcW w:w="1100" w:type="dxa"/>
            <w:vAlign w:val="bottom"/>
            <w:tcBorders>
              <w:bottom w:val="single" w:sz="8" w:color="333333"/>
            </w:tcBorders>
          </w:tcPr>
          <w:p>
            <w:pPr>
              <w:jc w:val="right"/>
              <w:ind w:right="48"/>
              <w:spacing w:after="0" w:line="157" w:lineRule="exact"/>
              <w:rPr>
                <w:sz w:val="20"/>
                <w:szCs w:val="20"/>
                <w:color w:val="auto"/>
              </w:rPr>
            </w:pPr>
            <w:r>
              <w:rPr>
                <w:rFonts w:ascii="Arial" w:cs="Arial" w:eastAsia="Arial" w:hAnsi="Arial"/>
                <w:sz w:val="14"/>
                <w:szCs w:val="14"/>
                <w:color w:val="auto"/>
              </w:rPr>
              <w:t>2017</w:t>
            </w:r>
          </w:p>
        </w:tc>
        <w:tc>
          <w:tcPr>
            <w:tcW w:w="1100" w:type="dxa"/>
            <w:vAlign w:val="bottom"/>
            <w:tcBorders>
              <w:bottom w:val="single" w:sz="8" w:color="333333"/>
            </w:tcBorders>
          </w:tcPr>
          <w:p>
            <w:pPr>
              <w:jc w:val="right"/>
              <w:ind w:right="69"/>
              <w:spacing w:after="0" w:line="157" w:lineRule="exact"/>
              <w:rPr>
                <w:sz w:val="20"/>
                <w:szCs w:val="20"/>
                <w:color w:val="auto"/>
              </w:rPr>
            </w:pPr>
            <w:r>
              <w:rPr>
                <w:rFonts w:ascii="Arial" w:cs="Arial" w:eastAsia="Arial" w:hAnsi="Arial"/>
                <w:sz w:val="14"/>
                <w:szCs w:val="14"/>
                <w:color w:val="auto"/>
              </w:rPr>
              <w:t>750,000</w:t>
            </w:r>
          </w:p>
        </w:tc>
        <w:tc>
          <w:tcPr>
            <w:tcW w:w="1000" w:type="dxa"/>
            <w:vAlign w:val="bottom"/>
            <w:tcBorders>
              <w:bottom w:val="single" w:sz="8" w:color="333333"/>
            </w:tcBorders>
          </w:tcPr>
          <w:p>
            <w:pPr>
              <w:jc w:val="right"/>
              <w:ind w:right="28"/>
              <w:spacing w:after="0" w:line="157" w:lineRule="exact"/>
              <w:rPr>
                <w:sz w:val="20"/>
                <w:szCs w:val="20"/>
                <w:color w:val="auto"/>
              </w:rPr>
            </w:pPr>
            <w:r>
              <w:rPr>
                <w:rFonts w:ascii="Arial" w:cs="Arial" w:eastAsia="Arial" w:hAnsi="Arial"/>
                <w:sz w:val="14"/>
                <w:szCs w:val="14"/>
                <w:color w:val="auto"/>
              </w:rPr>
              <w:t>5,100,000</w:t>
            </w:r>
          </w:p>
        </w:tc>
        <w:tc>
          <w:tcPr>
            <w:tcW w:w="1180" w:type="dxa"/>
            <w:vAlign w:val="bottom"/>
            <w:tcBorders>
              <w:bottom w:val="single" w:sz="8" w:color="333333"/>
            </w:tcBorders>
          </w:tcPr>
          <w:p>
            <w:pPr>
              <w:jc w:val="right"/>
              <w:ind w:right="88"/>
              <w:spacing w:after="0" w:line="157" w:lineRule="exact"/>
              <w:rPr>
                <w:sz w:val="20"/>
                <w:szCs w:val="20"/>
                <w:color w:val="auto"/>
              </w:rPr>
            </w:pPr>
            <w:r>
              <w:rPr>
                <w:rFonts w:ascii="Arial" w:cs="Arial" w:eastAsia="Arial" w:hAnsi="Arial"/>
                <w:sz w:val="14"/>
                <w:szCs w:val="14"/>
                <w:color w:val="auto"/>
              </w:rPr>
              <w:t>7,050,000</w:t>
            </w:r>
          </w:p>
        </w:tc>
        <w:tc>
          <w:tcPr>
            <w:tcW w:w="1220" w:type="dxa"/>
            <w:vAlign w:val="bottom"/>
            <w:tcBorders>
              <w:bottom w:val="single" w:sz="8" w:color="333333"/>
            </w:tcBorders>
          </w:tcPr>
          <w:p>
            <w:pPr>
              <w:jc w:val="right"/>
              <w:ind w:right="5"/>
              <w:spacing w:after="0" w:line="157" w:lineRule="exact"/>
              <w:rPr>
                <w:sz w:val="20"/>
                <w:szCs w:val="20"/>
                <w:color w:val="auto"/>
              </w:rPr>
            </w:pPr>
            <w:r>
              <w:rPr>
                <w:rFonts w:ascii="Arial" w:cs="Arial" w:eastAsia="Arial" w:hAnsi="Arial"/>
                <w:sz w:val="14"/>
                <w:szCs w:val="14"/>
                <w:color w:val="auto"/>
              </w:rPr>
              <w:t>—</w:t>
            </w:r>
          </w:p>
        </w:tc>
        <w:tc>
          <w:tcPr>
            <w:tcW w:w="1140" w:type="dxa"/>
            <w:vAlign w:val="bottom"/>
            <w:tcBorders>
              <w:bottom w:val="single" w:sz="8" w:color="333333"/>
            </w:tcBorders>
          </w:tcPr>
          <w:p>
            <w:pPr>
              <w:jc w:val="right"/>
              <w:ind w:right="169"/>
              <w:spacing w:after="0" w:line="157" w:lineRule="exact"/>
              <w:rPr>
                <w:sz w:val="20"/>
                <w:szCs w:val="20"/>
                <w:color w:val="auto"/>
              </w:rPr>
            </w:pPr>
            <w:r>
              <w:rPr>
                <w:rFonts w:ascii="Arial" w:cs="Arial" w:eastAsia="Arial" w:hAnsi="Arial"/>
                <w:sz w:val="14"/>
                <w:szCs w:val="14"/>
                <w:color w:val="auto"/>
              </w:rPr>
              <w:t>60,969</w:t>
            </w:r>
          </w:p>
        </w:tc>
        <w:tc>
          <w:tcPr>
            <w:tcW w:w="1100" w:type="dxa"/>
            <w:vAlign w:val="bottom"/>
            <w:tcBorders>
              <w:bottom w:val="single" w:sz="8" w:color="333333"/>
            </w:tcBorders>
          </w:tcPr>
          <w:p>
            <w:pPr>
              <w:jc w:val="right"/>
              <w:ind w:right="48"/>
              <w:spacing w:after="0" w:line="157" w:lineRule="exact"/>
              <w:rPr>
                <w:sz w:val="20"/>
                <w:szCs w:val="20"/>
                <w:color w:val="auto"/>
              </w:rPr>
            </w:pPr>
            <w:r>
              <w:rPr>
                <w:rFonts w:ascii="Arial" w:cs="Arial" w:eastAsia="Arial" w:hAnsi="Arial"/>
                <w:sz w:val="14"/>
                <w:szCs w:val="14"/>
                <w:color w:val="auto"/>
              </w:rPr>
              <w:t>12,960,969</w:t>
            </w:r>
          </w:p>
        </w:tc>
      </w:tr>
      <w:tr>
        <w:trPr>
          <w:trHeight w:val="160"/>
        </w:trPr>
        <w:tc>
          <w:tcPr>
            <w:tcW w:w="3180" w:type="dxa"/>
            <w:vAlign w:val="bottom"/>
          </w:tcPr>
          <w:p>
            <w:pPr>
              <w:ind w:left="60"/>
              <w:spacing w:after="0" w:line="160" w:lineRule="exact"/>
              <w:rPr>
                <w:sz w:val="20"/>
                <w:szCs w:val="20"/>
                <w:color w:val="auto"/>
              </w:rPr>
            </w:pPr>
            <w:r>
              <w:rPr>
                <w:rFonts w:ascii="Arial" w:cs="Arial" w:eastAsia="Arial" w:hAnsi="Arial"/>
                <w:sz w:val="11"/>
                <w:szCs w:val="11"/>
                <w:b w:val="1"/>
                <w:bCs w:val="1"/>
                <w:color w:val="auto"/>
              </w:rPr>
              <w:t>Jennifer Piepszak</w:t>
            </w:r>
            <w:r>
              <w:rPr>
                <w:rFonts w:ascii="Arial" w:cs="Arial" w:eastAsia="Arial" w:hAnsi="Arial"/>
                <w:sz w:val="18"/>
                <w:szCs w:val="18"/>
                <w:b w:val="1"/>
                <w:bCs w:val="1"/>
                <w:color w:val="auto"/>
                <w:vertAlign w:val="superscript"/>
              </w:rPr>
              <w:t>11</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2019</w:t>
            </w:r>
          </w:p>
        </w:tc>
        <w:tc>
          <w:tcPr>
            <w:tcW w:w="1100" w:type="dxa"/>
            <w:vAlign w:val="bottom"/>
          </w:tcPr>
          <w:p>
            <w:pPr>
              <w:jc w:val="right"/>
              <w:ind w:right="69"/>
              <w:spacing w:after="0"/>
              <w:rPr>
                <w:sz w:val="20"/>
                <w:szCs w:val="20"/>
                <w:color w:val="auto"/>
              </w:rPr>
            </w:pPr>
            <w:r>
              <w:rPr>
                <w:rFonts w:ascii="Arial" w:cs="Arial" w:eastAsia="Arial" w:hAnsi="Arial"/>
                <w:sz w:val="14"/>
                <w:szCs w:val="14"/>
                <w:color w:val="auto"/>
              </w:rPr>
              <w:t>666,667</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3,733,333</w:t>
            </w: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3,300,000</w:t>
            </w:r>
          </w:p>
        </w:tc>
        <w:tc>
          <w:tcPr>
            <w:tcW w:w="1220" w:type="dxa"/>
            <w:vAlign w:val="bottom"/>
          </w:tcPr>
          <w:p>
            <w:pPr>
              <w:jc w:val="right"/>
              <w:ind w:right="5"/>
              <w:spacing w:after="0"/>
              <w:rPr>
                <w:sz w:val="20"/>
                <w:szCs w:val="20"/>
                <w:color w:val="auto"/>
              </w:rPr>
            </w:pPr>
            <w:r>
              <w:rPr>
                <w:rFonts w:ascii="Arial" w:cs="Arial" w:eastAsia="Arial" w:hAnsi="Arial"/>
                <w:sz w:val="14"/>
                <w:szCs w:val="14"/>
                <w:color w:val="auto"/>
              </w:rPr>
              <w:t>46,527</w:t>
            </w:r>
          </w:p>
        </w:tc>
        <w:tc>
          <w:tcPr>
            <w:tcW w:w="11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7,746,527</w:t>
            </w:r>
          </w:p>
        </w:tc>
      </w:tr>
      <w:tr>
        <w:trPr>
          <w:trHeight w:val="157"/>
        </w:trPr>
        <w:tc>
          <w:tcPr>
            <w:tcW w:w="3180" w:type="dxa"/>
            <w:vAlign w:val="bottom"/>
            <w:tcBorders>
              <w:bottom w:val="single" w:sz="8" w:color="333333"/>
            </w:tcBorders>
          </w:tcPr>
          <w:p>
            <w:pPr>
              <w:ind w:left="60"/>
              <w:spacing w:after="0" w:line="157" w:lineRule="exact"/>
              <w:rPr>
                <w:sz w:val="20"/>
                <w:szCs w:val="20"/>
                <w:color w:val="auto"/>
              </w:rPr>
            </w:pPr>
            <w:r>
              <w:rPr>
                <w:rFonts w:ascii="Arial" w:cs="Arial" w:eastAsia="Arial" w:hAnsi="Arial"/>
                <w:sz w:val="14"/>
                <w:szCs w:val="14"/>
                <w:color w:val="auto"/>
              </w:rPr>
              <w:t>Chief Financial Officer</w:t>
            </w:r>
          </w:p>
        </w:tc>
        <w:tc>
          <w:tcPr>
            <w:tcW w:w="1100" w:type="dxa"/>
            <w:vAlign w:val="bottom"/>
            <w:tcBorders>
              <w:bottom w:val="single" w:sz="8" w:color="333333"/>
            </w:tcBorders>
          </w:tcPr>
          <w:p>
            <w:pPr>
              <w:spacing w:after="0"/>
              <w:rPr>
                <w:sz w:val="13"/>
                <w:szCs w:val="13"/>
                <w:color w:val="auto"/>
              </w:rPr>
            </w:pPr>
          </w:p>
        </w:tc>
        <w:tc>
          <w:tcPr>
            <w:tcW w:w="1100" w:type="dxa"/>
            <w:vAlign w:val="bottom"/>
            <w:tcBorders>
              <w:bottom w:val="single" w:sz="8" w:color="333333"/>
            </w:tcBorders>
          </w:tcPr>
          <w:p>
            <w:pPr>
              <w:spacing w:after="0"/>
              <w:rPr>
                <w:sz w:val="13"/>
                <w:szCs w:val="13"/>
                <w:color w:val="auto"/>
              </w:rPr>
            </w:pPr>
          </w:p>
        </w:tc>
        <w:tc>
          <w:tcPr>
            <w:tcW w:w="1000" w:type="dxa"/>
            <w:vAlign w:val="bottom"/>
            <w:tcBorders>
              <w:bottom w:val="single" w:sz="8" w:color="333333"/>
            </w:tcBorders>
          </w:tcPr>
          <w:p>
            <w:pPr>
              <w:spacing w:after="0"/>
              <w:rPr>
                <w:sz w:val="13"/>
                <w:szCs w:val="13"/>
                <w:color w:val="auto"/>
              </w:rPr>
            </w:pPr>
          </w:p>
        </w:tc>
        <w:tc>
          <w:tcPr>
            <w:tcW w:w="1180" w:type="dxa"/>
            <w:vAlign w:val="bottom"/>
            <w:tcBorders>
              <w:bottom w:val="single" w:sz="8" w:color="333333"/>
            </w:tcBorders>
          </w:tcPr>
          <w:p>
            <w:pPr>
              <w:spacing w:after="0"/>
              <w:rPr>
                <w:sz w:val="13"/>
                <w:szCs w:val="13"/>
                <w:color w:val="auto"/>
              </w:rPr>
            </w:pPr>
          </w:p>
        </w:tc>
        <w:tc>
          <w:tcPr>
            <w:tcW w:w="1220" w:type="dxa"/>
            <w:vAlign w:val="bottom"/>
            <w:tcBorders>
              <w:bottom w:val="single" w:sz="8" w:color="333333"/>
            </w:tcBorders>
          </w:tcPr>
          <w:p>
            <w:pPr>
              <w:spacing w:after="0"/>
              <w:rPr>
                <w:sz w:val="13"/>
                <w:szCs w:val="13"/>
                <w:color w:val="auto"/>
              </w:rPr>
            </w:pPr>
          </w:p>
        </w:tc>
        <w:tc>
          <w:tcPr>
            <w:tcW w:w="1140" w:type="dxa"/>
            <w:vAlign w:val="bottom"/>
            <w:tcBorders>
              <w:bottom w:val="single" w:sz="8" w:color="333333"/>
            </w:tcBorders>
          </w:tcPr>
          <w:p>
            <w:pPr>
              <w:spacing w:after="0"/>
              <w:rPr>
                <w:sz w:val="13"/>
                <w:szCs w:val="13"/>
                <w:color w:val="auto"/>
              </w:rPr>
            </w:pPr>
          </w:p>
        </w:tc>
        <w:tc>
          <w:tcPr>
            <w:tcW w:w="1100" w:type="dxa"/>
            <w:vAlign w:val="bottom"/>
            <w:tcBorders>
              <w:bottom w:val="single" w:sz="8" w:color="333333"/>
            </w:tcBorders>
          </w:tcPr>
          <w:p>
            <w:pPr>
              <w:spacing w:after="0"/>
              <w:rPr>
                <w:sz w:val="13"/>
                <w:szCs w:val="13"/>
                <w:color w:val="auto"/>
              </w:rPr>
            </w:pPr>
          </w:p>
        </w:tc>
      </w:tr>
    </w:tbl>
    <w:p>
      <w:pPr>
        <w:spacing w:after="0" w:line="116" w:lineRule="exact"/>
        <w:rPr>
          <w:sz w:val="20"/>
          <w:szCs w:val="20"/>
          <w:color w:val="auto"/>
        </w:rPr>
      </w:pPr>
    </w:p>
    <w:p>
      <w:pPr>
        <w:ind w:left="340" w:hanging="175"/>
        <w:spacing w:after="0"/>
        <w:tabs>
          <w:tab w:leader="none" w:pos="340" w:val="left"/>
        </w:tabs>
        <w:numPr>
          <w:ilvl w:val="0"/>
          <w:numId w:val="166"/>
        </w:numPr>
        <w:rPr>
          <w:rFonts w:ascii="Arial" w:cs="Arial" w:eastAsia="Arial" w:hAnsi="Arial"/>
          <w:sz w:val="11"/>
          <w:szCs w:val="11"/>
          <w:color w:val="auto"/>
        </w:rPr>
      </w:pPr>
      <w:r>
        <w:rPr>
          <w:rFonts w:ascii="Arial" w:cs="Arial" w:eastAsia="Arial" w:hAnsi="Arial"/>
          <w:sz w:val="13"/>
          <w:szCs w:val="13"/>
          <w:color w:val="auto"/>
        </w:rPr>
        <w:t>Salary reflects the actual amount paid in each year.</w:t>
      </w:r>
    </w:p>
    <w:p>
      <w:pPr>
        <w:spacing w:after="0" w:line="13" w:lineRule="exact"/>
        <w:rPr>
          <w:sz w:val="20"/>
          <w:szCs w:val="20"/>
          <w:color w:val="auto"/>
        </w:rPr>
      </w:pPr>
    </w:p>
    <w:p>
      <w:pPr>
        <w:ind w:left="340" w:right="480" w:hanging="175"/>
        <w:spacing w:after="0" w:line="216" w:lineRule="auto"/>
        <w:tabs>
          <w:tab w:leader="none" w:pos="340" w:val="left"/>
        </w:tabs>
        <w:numPr>
          <w:ilvl w:val="0"/>
          <w:numId w:val="167"/>
        </w:numPr>
        <w:rPr>
          <w:rFonts w:ascii="Arial" w:cs="Arial" w:eastAsia="Arial" w:hAnsi="Arial"/>
          <w:sz w:val="11"/>
          <w:szCs w:val="11"/>
          <w:color w:val="auto"/>
        </w:rPr>
      </w:pPr>
      <w:r>
        <w:rPr>
          <w:rFonts w:ascii="Arial" w:cs="Arial" w:eastAsia="Arial" w:hAnsi="Arial"/>
          <w:sz w:val="13"/>
          <w:szCs w:val="13"/>
          <w:color w:val="auto"/>
        </w:rPr>
        <w:t>Includes amounts awarded, whether paid or deferred. Cash incentive compensation reflects compensation earned in connection with the performance year shown, which was awarded in January of the following year.</w:t>
      </w:r>
    </w:p>
    <w:p>
      <w:pPr>
        <w:spacing w:after="0" w:line="1" w:lineRule="exact"/>
        <w:rPr>
          <w:sz w:val="20"/>
          <w:szCs w:val="20"/>
          <w:color w:val="auto"/>
        </w:rPr>
      </w:pPr>
    </w:p>
    <w:p>
      <w:pPr>
        <w:ind w:left="340" w:right="120" w:hanging="175"/>
        <w:spacing w:after="0" w:line="216" w:lineRule="auto"/>
        <w:tabs>
          <w:tab w:leader="none" w:pos="340" w:val="left"/>
        </w:tabs>
        <w:numPr>
          <w:ilvl w:val="0"/>
          <w:numId w:val="168"/>
        </w:numPr>
        <w:rPr>
          <w:rFonts w:ascii="Arial" w:cs="Arial" w:eastAsia="Arial" w:hAnsi="Arial"/>
          <w:sz w:val="11"/>
          <w:szCs w:val="11"/>
          <w:color w:val="auto"/>
        </w:rPr>
      </w:pPr>
      <w:r>
        <w:rPr>
          <w:rFonts w:ascii="Arial" w:cs="Arial" w:eastAsia="Arial" w:hAnsi="Arial"/>
          <w:sz w:val="13"/>
          <w:szCs w:val="13"/>
          <w:color w:val="auto"/>
        </w:rPr>
        <w:t>Includes amounts awarded during the year shown. Amounts are the fair value on the grant date in accordance with applicable accounting guidance (i.e., at target for PSUs awarded in 2019). At the maximum level of performance, the value of PSUs awarded in 2019 would be: $36,750,000 for Mr. Dimon; $10,292,980 for Mr. Pinto; $9,562,500 for Mr. Smith; $8,887,500 for Ms. Erdoes; and $6,412,500 for Ms. Lake. Ms. Piepszak did not receive a PSU award in 2019. The Firm’s accounting for employee stock-based incentives is described in Note 9 to the Firm’s Consolidated Financial Statements in the 2019 Annual Report on pages 206-207, which may be accessed on our website at jpmorganchase.com, under Investor Relations. No SARs or stock options were granted to NEOs in 2019.</w:t>
      </w:r>
    </w:p>
    <w:p>
      <w:pPr>
        <w:spacing w:after="0" w:line="2" w:lineRule="exact"/>
        <w:rPr>
          <w:sz w:val="20"/>
          <w:szCs w:val="20"/>
          <w:color w:val="auto"/>
        </w:rPr>
      </w:pPr>
    </w:p>
    <w:p>
      <w:pPr>
        <w:ind w:left="340" w:right="200" w:hanging="175"/>
        <w:spacing w:after="0" w:line="234" w:lineRule="auto"/>
        <w:tabs>
          <w:tab w:leader="none" w:pos="340" w:val="left"/>
        </w:tabs>
        <w:numPr>
          <w:ilvl w:val="0"/>
          <w:numId w:val="169"/>
        </w:numPr>
        <w:rPr>
          <w:rFonts w:ascii="Arial" w:cs="Arial" w:eastAsia="Arial" w:hAnsi="Arial"/>
          <w:sz w:val="10"/>
          <w:szCs w:val="10"/>
          <w:color w:val="auto"/>
        </w:rPr>
      </w:pPr>
      <w:r>
        <w:rPr>
          <w:rFonts w:ascii="Arial" w:cs="Arial" w:eastAsia="Arial" w:hAnsi="Arial"/>
          <w:sz w:val="12"/>
          <w:szCs w:val="12"/>
          <w:color w:val="auto"/>
        </w:rPr>
        <w:t>Amounts for years 2019, 2018 and 2017 are the aggregate change in the actuarial present value of the accumulated benefits under all defined benefit pension plans (including supplemental plans). Amounts shown also include earnings in excess of 120% of the applicable federal rate on deferred compensation balances where the rate of return is not calculated in the same or in a similar manner as earnings on hypothetical investments available under the Firm’s qualified plans. For all NEOs this amount was $0 for each of 2019, 2018 and 2017.</w:t>
      </w:r>
    </w:p>
    <w:p>
      <w:pPr>
        <w:spacing w:after="0" w:line="1" w:lineRule="exact"/>
        <w:rPr>
          <w:sz w:val="20"/>
          <w:szCs w:val="20"/>
          <w:color w:val="auto"/>
        </w:rPr>
      </w:pPr>
    </w:p>
    <w:p>
      <w:pPr>
        <w:ind w:left="340" w:right="340" w:hanging="175"/>
        <w:spacing w:after="0" w:line="216" w:lineRule="auto"/>
        <w:tabs>
          <w:tab w:leader="none" w:pos="340" w:val="left"/>
        </w:tabs>
        <w:numPr>
          <w:ilvl w:val="0"/>
          <w:numId w:val="170"/>
        </w:numPr>
        <w:rPr>
          <w:rFonts w:ascii="Arial" w:cs="Arial" w:eastAsia="Arial" w:hAnsi="Arial"/>
          <w:sz w:val="11"/>
          <w:szCs w:val="11"/>
          <w:color w:val="auto"/>
        </w:rPr>
      </w:pPr>
      <w:r>
        <w:rPr>
          <w:rFonts w:ascii="Arial" w:cs="Arial" w:eastAsia="Arial" w:hAnsi="Arial"/>
          <w:sz w:val="13"/>
          <w:szCs w:val="13"/>
          <w:color w:val="auto"/>
        </w:rPr>
        <w:t>“All other compensation” includes the cost, if any, for a named executive officer’s spouse to attend business-related events where spousal attendance is expected or customary. This did not exceed the greater of $25,000 or 10% of the named executive officer’s total perquisites and personal benefits except as specifically noted in the footnotes that follow.</w:t>
      </w:r>
    </w:p>
    <w:p>
      <w:pPr>
        <w:spacing w:after="0" w:line="1" w:lineRule="exact"/>
        <w:rPr>
          <w:sz w:val="20"/>
          <w:szCs w:val="20"/>
          <w:color w:val="auto"/>
        </w:rPr>
      </w:pPr>
    </w:p>
    <w:p>
      <w:pPr>
        <w:ind w:left="340" w:right="60" w:hanging="175"/>
        <w:spacing w:after="0" w:line="216" w:lineRule="auto"/>
        <w:tabs>
          <w:tab w:leader="none" w:pos="340" w:val="left"/>
        </w:tabs>
        <w:numPr>
          <w:ilvl w:val="0"/>
          <w:numId w:val="171"/>
        </w:numPr>
        <w:rPr>
          <w:rFonts w:ascii="Arial" w:cs="Arial" w:eastAsia="Arial" w:hAnsi="Arial"/>
          <w:sz w:val="11"/>
          <w:szCs w:val="11"/>
          <w:color w:val="auto"/>
        </w:rPr>
      </w:pPr>
      <w:r>
        <w:rPr>
          <w:rFonts w:ascii="Arial" w:cs="Arial" w:eastAsia="Arial" w:hAnsi="Arial"/>
          <w:sz w:val="13"/>
          <w:szCs w:val="13"/>
          <w:color w:val="auto"/>
        </w:rPr>
        <w:t>Mr. Dimon’s 2019 reported compensation in the SCT ($31.6 million) differs from the NEO Compensation table on page 65 ($31.5 million) partially due to a change in his year-over-year pay being delivered in equity. Pursuant to SEC rules, equity received for performance year 2018 ($24.5 million), which was granted in January 2019, is included in the 2019 SCT. For performance year 2019, Mr. Dimon’s equity compensation ($25 million, which was granted in January 2020), will be reported in the 2020 SCT. A portion of Mr. Dimon’s performance year 2019 compensation was not awarded in equity ($5 million was awarded in the form of a cash incentive with no year-over-year change), and is therefore included in the 2019 SCT. The SCT also includes the Change in Pension Value and Non-Qualified Deferred Compensation Earnings of $34,370 and the value of All Other Compensation of $578,246.</w:t>
      </w:r>
    </w:p>
    <w:p>
      <w:pPr>
        <w:spacing w:after="0" w:line="2" w:lineRule="exact"/>
        <w:rPr>
          <w:sz w:val="20"/>
          <w:szCs w:val="20"/>
          <w:color w:val="auto"/>
        </w:rPr>
      </w:pPr>
    </w:p>
    <w:p>
      <w:pPr>
        <w:jc w:val="both"/>
        <w:ind w:left="340" w:right="160" w:hanging="175"/>
        <w:spacing w:after="0" w:line="216" w:lineRule="auto"/>
        <w:tabs>
          <w:tab w:leader="none" w:pos="340" w:val="left"/>
        </w:tabs>
        <w:numPr>
          <w:ilvl w:val="0"/>
          <w:numId w:val="172"/>
        </w:numPr>
        <w:rPr>
          <w:rFonts w:ascii="Arial" w:cs="Arial" w:eastAsia="Arial" w:hAnsi="Arial"/>
          <w:sz w:val="11"/>
          <w:szCs w:val="11"/>
          <w:color w:val="auto"/>
        </w:rPr>
      </w:pPr>
      <w:r>
        <w:rPr>
          <w:rFonts w:ascii="Arial" w:cs="Arial" w:eastAsia="Arial" w:hAnsi="Arial"/>
          <w:sz w:val="13"/>
          <w:szCs w:val="13"/>
          <w:color w:val="auto"/>
        </w:rPr>
        <w:t>The “All other compensation” column for Mr. Dimon includes: $280,800 filing fee and related accounting fees paid by the Firm on Mr. Dimon’s behalf in order for Mr. Dimon to maintain his stock ownership in the Firm in compliance with the Hart-Scott-Rodino Antitrust Improvements Act of 1976 (this amount was imputed as income to Mr. Dimon); $201,632 for personal use of corporate aircraft; $38,032 for personal use of corporate cars; and $56,766 for the cost of residential, personal travel, and related security paid by the Firm. Mr. Dimon’s personal use of corporate aircraft and cars, and certain related security, is required pursuant to security measures approved by the Board.</w:t>
      </w:r>
    </w:p>
    <w:p>
      <w:pPr>
        <w:spacing w:after="0" w:line="1" w:lineRule="exact"/>
        <w:rPr>
          <w:rFonts w:ascii="Arial" w:cs="Arial" w:eastAsia="Arial" w:hAnsi="Arial"/>
          <w:sz w:val="11"/>
          <w:szCs w:val="11"/>
          <w:color w:val="auto"/>
        </w:rPr>
      </w:pPr>
    </w:p>
    <w:p>
      <w:pPr>
        <w:ind w:left="340"/>
        <w:spacing w:after="0"/>
        <w:rPr>
          <w:rFonts w:ascii="Arial" w:cs="Arial" w:eastAsia="Arial" w:hAnsi="Arial"/>
          <w:sz w:val="11"/>
          <w:szCs w:val="11"/>
          <w:color w:val="auto"/>
        </w:rPr>
      </w:pPr>
      <w:r>
        <w:rPr>
          <w:rFonts w:ascii="Arial" w:cs="Arial" w:eastAsia="Arial" w:hAnsi="Arial"/>
          <w:sz w:val="13"/>
          <w:szCs w:val="13"/>
          <w:color w:val="auto"/>
        </w:rPr>
        <w:t>Incremental costs are determined as follows:</w:t>
      </w:r>
    </w:p>
    <w:p>
      <w:pPr>
        <w:sectPr>
          <w:pgSz w:w="11900" w:h="16838" w:orient="portrait"/>
          <w:cols w:equalWidth="0" w:num="1">
            <w:col w:w="11140"/>
          </w:cols>
          <w:pgMar w:left="320" w:top="459" w:right="439" w:bottom="1440" w:gutter="0" w:footer="0" w:header="0"/>
        </w:sectPr>
      </w:pPr>
    </w:p>
    <w:p>
      <w:pPr>
        <w:spacing w:after="0" w:line="23" w:lineRule="exact"/>
        <w:rPr>
          <w:sz w:val="20"/>
          <w:szCs w:val="20"/>
          <w:color w:val="auto"/>
        </w:rPr>
      </w:pPr>
    </w:p>
    <w:p>
      <w:pPr>
        <w:ind w:left="360"/>
        <w:spacing w:after="0"/>
        <w:rPr>
          <w:sz w:val="20"/>
          <w:szCs w:val="20"/>
          <w:color w:val="auto"/>
        </w:rPr>
      </w:pPr>
      <w:r>
        <w:rPr>
          <w:rFonts w:ascii="Arial" w:cs="Arial" w:eastAsia="Arial" w:hAnsi="Arial"/>
          <w:sz w:val="11"/>
          <w:szCs w:val="11"/>
          <w:color w:val="auto"/>
        </w:rPr>
        <w:t>¡</w:t>
      </w:r>
    </w:p>
    <w:p>
      <w:pPr>
        <w:spacing w:after="0" w:line="144" w:lineRule="exact"/>
        <w:rPr>
          <w:sz w:val="20"/>
          <w:szCs w:val="20"/>
          <w:color w:val="auto"/>
        </w:rPr>
      </w:pPr>
    </w:p>
    <w:p>
      <w:pPr>
        <w:ind w:left="360"/>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tabs>
          <w:tab w:leader="none" w:pos="9160" w:val="left"/>
        </w:tabs>
        <w:rPr>
          <w:sz w:val="20"/>
          <w:szCs w:val="20"/>
          <w:color w:val="auto"/>
        </w:rPr>
      </w:pPr>
      <w:r>
        <w:rPr>
          <w:rFonts w:ascii="Arial" w:cs="Arial" w:eastAsia="Arial" w:hAnsi="Arial"/>
          <w:sz w:val="13"/>
          <w:szCs w:val="13"/>
          <w:color w:val="auto"/>
        </w:rPr>
        <w:t>Aircraft: operating cost per flight hour for the aircraft type used, developed by an independent reference source, including fuel, fuel additives and lubricants; landing</w:t>
      </w:r>
      <w:r>
        <w:rPr>
          <w:sz w:val="20"/>
          <w:szCs w:val="20"/>
          <w:color w:val="auto"/>
        </w:rPr>
        <w:tab/>
      </w:r>
      <w:r>
        <w:rPr>
          <w:rFonts w:ascii="Arial" w:cs="Arial" w:eastAsia="Arial" w:hAnsi="Arial"/>
          <w:sz w:val="12"/>
          <w:szCs w:val="12"/>
          <w:color w:val="auto"/>
        </w:rPr>
        <w:t>and parking fees; crew</w:t>
      </w:r>
    </w:p>
    <w:p>
      <w:pPr>
        <w:spacing w:after="0" w:line="216" w:lineRule="auto"/>
        <w:rPr>
          <w:sz w:val="20"/>
          <w:szCs w:val="20"/>
          <w:color w:val="auto"/>
        </w:rPr>
      </w:pPr>
      <w:r>
        <w:rPr>
          <w:rFonts w:ascii="Arial" w:cs="Arial" w:eastAsia="Arial" w:hAnsi="Arial"/>
          <w:sz w:val="13"/>
          <w:szCs w:val="13"/>
          <w:color w:val="auto"/>
        </w:rPr>
        <w:t>expenses; small supplies and catering; maintenance, labor and parts; engine restoration costs; and a maintenance service plan.</w:t>
      </w:r>
    </w:p>
    <w:p>
      <w:pPr>
        <w:spacing w:after="0" w:line="235" w:lineRule="auto"/>
        <w:tabs>
          <w:tab w:leader="none" w:pos="9020" w:val="left"/>
        </w:tabs>
        <w:rPr>
          <w:sz w:val="20"/>
          <w:szCs w:val="20"/>
          <w:color w:val="auto"/>
        </w:rPr>
      </w:pPr>
      <w:r>
        <w:rPr>
          <w:rFonts w:ascii="Arial" w:cs="Arial" w:eastAsia="Arial" w:hAnsi="Arial"/>
          <w:sz w:val="13"/>
          <w:szCs w:val="13"/>
          <w:color w:val="auto"/>
        </w:rPr>
        <w:t>Cars: annual lease valuation of the assigned cars; annual insurance premiums; fuel expense; estimated annual maintenance; other miscellaneous expense; and</w:t>
      </w:r>
      <w:r>
        <w:rPr>
          <w:sz w:val="20"/>
          <w:szCs w:val="20"/>
          <w:color w:val="auto"/>
        </w:rPr>
        <w:tab/>
      </w:r>
      <w:r>
        <w:rPr>
          <w:rFonts w:ascii="Arial" w:cs="Arial" w:eastAsia="Arial" w:hAnsi="Arial"/>
          <w:sz w:val="12"/>
          <w:szCs w:val="12"/>
          <w:color w:val="auto"/>
        </w:rPr>
        <w:t>annual drivers’</w:t>
      </w:r>
    </w:p>
    <w:p>
      <w:pPr>
        <w:spacing w:after="0"/>
        <w:rPr>
          <w:sz w:val="20"/>
          <w:szCs w:val="20"/>
          <w:color w:val="auto"/>
        </w:rPr>
      </w:pPr>
      <w:r>
        <w:rPr>
          <w:rFonts w:ascii="Arial" w:cs="Arial" w:eastAsia="Arial" w:hAnsi="Arial"/>
          <w:sz w:val="13"/>
          <w:szCs w:val="13"/>
          <w:color w:val="auto"/>
        </w:rPr>
        <w:t>compensation, including salary, overtime, benefits and bonus. The resulting total is allocated between personal and business use based on mileage.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243205</wp:posOffset>
            </wp:positionV>
            <wp:extent cx="7029450" cy="19748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029450" cy="1974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00" w:space="140"/>
            <w:col w:w="10600"/>
          </w:cols>
          <w:pgMar w:left="320" w:top="459" w:right="439" w:bottom="1440" w:gutter="0" w:footer="0" w:header="0"/>
          <w:type w:val="continuous"/>
        </w:sectPr>
      </w:pPr>
    </w:p>
    <w:p>
      <w:pPr>
        <w:spacing w:after="0" w:line="261" w:lineRule="exact"/>
        <w:rPr>
          <w:sz w:val="20"/>
          <w:szCs w:val="20"/>
          <w:color w:val="auto"/>
        </w:rPr>
      </w:pPr>
    </w:p>
    <w:p>
      <w:pPr>
        <w:jc w:val="center"/>
        <w:ind w:right="-99"/>
        <w:spacing w:after="0"/>
        <w:rPr>
          <w:sz w:val="20"/>
          <w:szCs w:val="20"/>
          <w:color w:val="auto"/>
        </w:rPr>
      </w:pPr>
      <w:r>
        <w:rPr>
          <w:rFonts w:ascii="Arial" w:cs="Arial" w:eastAsia="Arial" w:hAnsi="Arial"/>
          <w:sz w:val="13"/>
          <w:szCs w:val="13"/>
          <w:b w:val="1"/>
          <w:bCs w:val="1"/>
          <w:color w:val="004876"/>
        </w:rPr>
        <w:t>73</w:t>
      </w:r>
    </w:p>
    <w:p>
      <w:pPr>
        <w:sectPr>
          <w:pgSz w:w="11900" w:h="16838" w:orient="portrait"/>
          <w:cols w:equalWidth="0" w:num="1">
            <w:col w:w="11140"/>
          </w:cols>
          <w:pgMar w:left="320" w:top="459" w:right="439" w:bottom="1440" w:gutter="0" w:footer="0" w:header="0"/>
          <w:type w:val="continuous"/>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4876"/>
        </w:rPr>
        <w:t>EXECUTIVE COMPENSATION TABLES |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08" w:lineRule="exact"/>
        <w:rPr>
          <w:sz w:val="20"/>
          <w:szCs w:val="20"/>
          <w:color w:val="auto"/>
        </w:rPr>
      </w:pPr>
    </w:p>
    <w:p>
      <w:pPr>
        <w:ind w:left="340" w:right="60" w:hanging="210"/>
        <w:spacing w:after="0" w:line="234" w:lineRule="auto"/>
        <w:tabs>
          <w:tab w:leader="none" w:pos="340" w:val="left"/>
        </w:tabs>
        <w:numPr>
          <w:ilvl w:val="0"/>
          <w:numId w:val="173"/>
        </w:numPr>
        <w:rPr>
          <w:rFonts w:ascii="Arial" w:cs="Arial" w:eastAsia="Arial" w:hAnsi="Arial"/>
          <w:sz w:val="10"/>
          <w:szCs w:val="10"/>
          <w:color w:val="auto"/>
        </w:rPr>
      </w:pPr>
      <w:r>
        <w:rPr>
          <w:rFonts w:ascii="Arial" w:cs="Arial" w:eastAsia="Arial" w:hAnsi="Arial"/>
          <w:sz w:val="12"/>
          <w:szCs w:val="12"/>
          <w:color w:val="auto"/>
        </w:rPr>
        <w:t>Since Mr. Pinto is located in the U.K., the terms and composition of his compensation reflect the requirements of local regulations, including changes that came into effect in 2014 to comply with the Capital Requirements Directive IV. These requirements include that at least 60% of his incentive compensation is deferred, and that his incentive compensation is not more than twice his fixed compensation in respect of any given performance year. Mr. Pinto’s fixed compensation is comprised of salary and an annual cash fixed allowance, which from June 2017, has been payable in equal monthly installments. Mr. Pinto’s salary of £475,000 is denominated and paid in British pound sterling (“GBP”) and his fixed allowance of $7,635,000 is denominated in USD and paid in GBP. Both are unchanged since 2016. The CMDC elected to defer 100% of Mr. Pinto’s variable compensation into equity – 50% into RSUs and 50% into PSUs – in order to maintain a comparable deferred equity portion to similarly situated Firm employees. For the purposes of this table, a blended applicable rate of 1.27205 U.S. dollars per GBP, which was based on a</w:t>
      </w:r>
    </w:p>
    <w:p>
      <w:pPr>
        <w:spacing w:after="0" w:line="2" w:lineRule="exact"/>
        <w:rPr>
          <w:rFonts w:ascii="Arial" w:cs="Arial" w:eastAsia="Arial" w:hAnsi="Arial"/>
          <w:sz w:val="10"/>
          <w:szCs w:val="10"/>
          <w:color w:val="auto"/>
        </w:rPr>
      </w:pPr>
    </w:p>
    <w:p>
      <w:pPr>
        <w:ind w:left="340" w:right="60"/>
        <w:spacing w:after="0" w:line="216" w:lineRule="auto"/>
        <w:rPr>
          <w:rFonts w:ascii="Arial" w:cs="Arial" w:eastAsia="Arial" w:hAnsi="Arial"/>
          <w:sz w:val="10"/>
          <w:szCs w:val="10"/>
          <w:color w:val="auto"/>
        </w:rPr>
      </w:pPr>
      <w:r>
        <w:rPr>
          <w:rFonts w:ascii="Arial" w:cs="Arial" w:eastAsia="Arial" w:hAnsi="Arial"/>
          <w:sz w:val="13"/>
          <w:szCs w:val="13"/>
          <w:color w:val="auto"/>
        </w:rPr>
        <w:t>10-month average rate, has been used to convert Mr. Pinto’s salary to U.S. dollars for 2019. The blended applicable rates used to convert Mr. Pinto’s salary for 2018 and 2017 were 1.34953 and 1.27079 U.S. dollars per GBP, respectively.</w:t>
      </w:r>
    </w:p>
    <w:p>
      <w:pPr>
        <w:spacing w:after="0" w:line="1" w:lineRule="exact"/>
        <w:rPr>
          <w:sz w:val="20"/>
          <w:szCs w:val="20"/>
          <w:color w:val="auto"/>
        </w:rPr>
      </w:pPr>
    </w:p>
    <w:p>
      <w:pPr>
        <w:ind w:left="340" w:right="20" w:hanging="224"/>
        <w:spacing w:after="0" w:line="216" w:lineRule="auto"/>
        <w:tabs>
          <w:tab w:leader="none" w:pos="340" w:val="left"/>
        </w:tabs>
        <w:numPr>
          <w:ilvl w:val="0"/>
          <w:numId w:val="174"/>
        </w:numPr>
        <w:rPr>
          <w:rFonts w:ascii="Arial" w:cs="Arial" w:eastAsia="Arial" w:hAnsi="Arial"/>
          <w:sz w:val="11"/>
          <w:szCs w:val="11"/>
          <w:color w:val="auto"/>
        </w:rPr>
      </w:pPr>
      <w:r>
        <w:rPr>
          <w:rFonts w:ascii="Arial" w:cs="Arial" w:eastAsia="Arial" w:hAnsi="Arial"/>
          <w:sz w:val="13"/>
          <w:szCs w:val="13"/>
          <w:color w:val="auto"/>
        </w:rPr>
        <w:t>The “All other compensation” column for Mr. Pinto includes $20,218 in employer contributions to a non-U.S. defined contribution plan; $18,461 in tax compliance assistance for non-U.K. business travel; $7,358 for personal use of cars; and $26,209 for spousal travel related to business events.</w:t>
      </w:r>
    </w:p>
    <w:p>
      <w:pPr>
        <w:spacing w:after="0" w:line="1" w:lineRule="exact"/>
        <w:rPr>
          <w:sz w:val="20"/>
          <w:szCs w:val="20"/>
          <w:color w:val="auto"/>
        </w:rPr>
      </w:pPr>
    </w:p>
    <w:p>
      <w:pPr>
        <w:ind w:left="340" w:right="60" w:hanging="224"/>
        <w:spacing w:after="0" w:line="216" w:lineRule="auto"/>
        <w:tabs>
          <w:tab w:leader="none" w:pos="340" w:val="left"/>
        </w:tabs>
        <w:numPr>
          <w:ilvl w:val="0"/>
          <w:numId w:val="175"/>
        </w:numPr>
        <w:rPr>
          <w:rFonts w:ascii="Arial" w:cs="Arial" w:eastAsia="Arial" w:hAnsi="Arial"/>
          <w:sz w:val="11"/>
          <w:szCs w:val="11"/>
          <w:color w:val="auto"/>
        </w:rPr>
      </w:pPr>
      <w:r>
        <w:rPr>
          <w:rFonts w:ascii="Arial" w:cs="Arial" w:eastAsia="Arial" w:hAnsi="Arial"/>
          <w:sz w:val="13"/>
          <w:szCs w:val="13"/>
          <w:color w:val="auto"/>
        </w:rPr>
        <w:t>The “All other compensation” column for Ms. Lake includes $21,523 in employer contributions to a non-U.S. defined contribution plan and $36,642 for tax settlement payments made on behalf of Ms. Lake in connection with her international assignment at the Firm’s request and consistent with the Firm’s policy for employees working on international assignments. The Firm’s expatriate assignment policy provides that the Firm will be responsible for any incremental U.S. and state income taxes due on home-country employer-provided benefits that would not otherwise be taxable to the employee in their home country.</w:t>
      </w:r>
    </w:p>
    <w:p>
      <w:pPr>
        <w:spacing w:after="0" w:line="1" w:lineRule="exact"/>
        <w:rPr>
          <w:rFonts w:ascii="Arial" w:cs="Arial" w:eastAsia="Arial" w:hAnsi="Arial"/>
          <w:sz w:val="11"/>
          <w:szCs w:val="11"/>
          <w:color w:val="auto"/>
        </w:rPr>
      </w:pPr>
    </w:p>
    <w:p>
      <w:pPr>
        <w:ind w:left="340" w:hanging="224"/>
        <w:spacing w:after="0"/>
        <w:tabs>
          <w:tab w:leader="none" w:pos="340" w:val="left"/>
        </w:tabs>
        <w:numPr>
          <w:ilvl w:val="0"/>
          <w:numId w:val="175"/>
        </w:numPr>
        <w:rPr>
          <w:rFonts w:ascii="Arial" w:cs="Arial" w:eastAsia="Arial" w:hAnsi="Arial"/>
          <w:sz w:val="11"/>
          <w:szCs w:val="11"/>
          <w:color w:val="auto"/>
        </w:rPr>
      </w:pPr>
      <w:r>
        <w:rPr>
          <w:rFonts w:ascii="Arial" w:cs="Arial" w:eastAsia="Arial" w:hAnsi="Arial"/>
          <w:sz w:val="13"/>
          <w:szCs w:val="13"/>
          <w:color w:val="auto"/>
        </w:rPr>
        <w:t>Ms. Piepszak was not a NEO in 2017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243205</wp:posOffset>
            </wp:positionV>
            <wp:extent cx="7029450" cy="19685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029450" cy="19685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3"/>
          <w:szCs w:val="13"/>
          <w:b w:val="1"/>
          <w:bCs w:val="1"/>
          <w:color w:val="004876"/>
        </w:rPr>
        <w:t>74</w:t>
      </w:r>
    </w:p>
    <w:p>
      <w:pPr>
        <w:sectPr>
          <w:pgSz w:w="11900" w:h="16838" w:orient="portrait"/>
          <w:cols w:equalWidth="0" w:num="1">
            <w:col w:w="11140"/>
          </w:cols>
          <w:pgMar w:left="320" w:top="459" w:right="4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04876"/>
        </w:rPr>
        <w:t>EXECUTIVE COMPENSATION | 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10" w:lineRule="exact"/>
        <w:rPr>
          <w:sz w:val="20"/>
          <w:szCs w:val="20"/>
          <w:color w:val="auto"/>
        </w:rPr>
      </w:pPr>
    </w:p>
    <w:p>
      <w:pPr>
        <w:ind w:left="120"/>
        <w:spacing w:after="0"/>
        <w:rPr>
          <w:sz w:val="20"/>
          <w:szCs w:val="20"/>
          <w:color w:val="auto"/>
        </w:rPr>
      </w:pPr>
      <w:r>
        <w:rPr>
          <w:rFonts w:ascii="Arial" w:cs="Arial" w:eastAsia="Arial" w:hAnsi="Arial"/>
          <w:sz w:val="20"/>
          <w:szCs w:val="20"/>
          <w:color w:val="004876"/>
        </w:rPr>
        <w:t>II. 2019 GRANTS OF PLAN-BASED AWARDS</w:t>
      </w:r>
      <w:r>
        <w:rPr>
          <w:rFonts w:ascii="Arial" w:cs="Arial" w:eastAsia="Arial" w:hAnsi="Arial"/>
          <w:sz w:val="16"/>
          <w:szCs w:val="16"/>
          <w:color w:val="004876"/>
        </w:rPr>
        <w:t>1</w:t>
      </w:r>
    </w:p>
    <w:p>
      <w:pPr>
        <w:spacing w:after="0" w:line="9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shows grants of plan-based awards made in 2019 for the 2018 performance year.</w:t>
      </w:r>
    </w:p>
    <w:p>
      <w:pPr>
        <w:spacing w:after="0" w:line="241"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244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500" w:type="dxa"/>
            <w:vAlign w:val="bottom"/>
            <w:gridSpan w:val="4"/>
          </w:tcPr>
          <w:p>
            <w:pPr>
              <w:ind w:left="220"/>
              <w:spacing w:after="0"/>
              <w:rPr>
                <w:sz w:val="20"/>
                <w:szCs w:val="20"/>
                <w:color w:val="auto"/>
              </w:rPr>
            </w:pPr>
            <w:r>
              <w:rPr>
                <w:rFonts w:ascii="Arial" w:cs="Arial" w:eastAsia="Arial" w:hAnsi="Arial"/>
                <w:sz w:val="16"/>
                <w:szCs w:val="16"/>
                <w:color w:val="auto"/>
              </w:rPr>
              <w:t>Estimated Future Payout Under Equity</w:t>
            </w:r>
          </w:p>
        </w:tc>
        <w:tc>
          <w:tcPr>
            <w:tcW w:w="164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192"/>
        </w:trPr>
        <w:tc>
          <w:tcPr>
            <w:tcW w:w="244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500" w:type="dxa"/>
            <w:vAlign w:val="bottom"/>
            <w:gridSpan w:val="4"/>
          </w:tcPr>
          <w:p>
            <w:pPr>
              <w:ind w:left="480"/>
              <w:spacing w:after="0" w:line="192" w:lineRule="exact"/>
              <w:rPr>
                <w:sz w:val="20"/>
                <w:szCs w:val="20"/>
                <w:color w:val="auto"/>
              </w:rPr>
            </w:pPr>
            <w:r>
              <w:rPr>
                <w:rFonts w:ascii="Arial" w:cs="Arial" w:eastAsia="Arial" w:hAnsi="Arial"/>
                <w:sz w:val="14"/>
                <w:szCs w:val="14"/>
                <w:color w:val="auto"/>
              </w:rPr>
              <w:t>Incentive Plan Awards (PSUs)</w:t>
            </w:r>
            <w:r>
              <w:rPr>
                <w:rFonts w:ascii="Arial" w:cs="Arial" w:eastAsia="Arial" w:hAnsi="Arial"/>
                <w:sz w:val="22"/>
                <w:szCs w:val="22"/>
                <w:color w:val="auto"/>
                <w:vertAlign w:val="superscript"/>
              </w:rPr>
              <w:t>2</w:t>
            </w:r>
          </w:p>
        </w:tc>
        <w:tc>
          <w:tcPr>
            <w:tcW w:w="1640" w:type="dxa"/>
            <w:vAlign w:val="bottom"/>
          </w:tcPr>
          <w:p>
            <w:pPr>
              <w:jc w:val="right"/>
              <w:spacing w:after="0" w:line="192" w:lineRule="exact"/>
              <w:rPr>
                <w:sz w:val="20"/>
                <w:szCs w:val="20"/>
                <w:color w:val="auto"/>
              </w:rPr>
            </w:pPr>
            <w:r>
              <w:rPr>
                <w:rFonts w:ascii="Arial" w:cs="Arial" w:eastAsia="Arial" w:hAnsi="Arial"/>
                <w:sz w:val="14"/>
                <w:szCs w:val="14"/>
                <w:color w:val="auto"/>
              </w:rPr>
              <w:t>Stock awards (RSUs)</w:t>
            </w:r>
            <w:r>
              <w:rPr>
                <w:rFonts w:ascii="Arial" w:cs="Arial" w:eastAsia="Arial" w:hAnsi="Arial"/>
                <w:sz w:val="22"/>
                <w:szCs w:val="22"/>
                <w:color w:val="auto"/>
                <w:vertAlign w:val="superscript"/>
              </w:rPr>
              <w:t>3</w:t>
            </w:r>
          </w:p>
        </w:tc>
        <w:tc>
          <w:tcPr>
            <w:tcW w:w="1540" w:type="dxa"/>
            <w:vAlign w:val="bottom"/>
          </w:tcPr>
          <w:p>
            <w:pPr>
              <w:spacing w:after="0"/>
              <w:rPr>
                <w:sz w:val="16"/>
                <w:szCs w:val="16"/>
                <w:color w:val="auto"/>
              </w:rPr>
            </w:pPr>
          </w:p>
        </w:tc>
      </w:tr>
      <w:tr>
        <w:trPr>
          <w:trHeight w:val="184"/>
        </w:trPr>
        <w:tc>
          <w:tcPr>
            <w:tcW w:w="244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120" w:type="dxa"/>
            <w:vAlign w:val="bottom"/>
            <w:tcBorders>
              <w:top w:val="single" w:sz="8" w:color="333333"/>
            </w:tcBorders>
          </w:tcPr>
          <w:p>
            <w:pPr>
              <w:spacing w:after="0"/>
              <w:rPr>
                <w:sz w:val="16"/>
                <w:szCs w:val="16"/>
                <w:color w:val="auto"/>
              </w:rPr>
            </w:pPr>
          </w:p>
        </w:tc>
        <w:tc>
          <w:tcPr>
            <w:tcW w:w="960" w:type="dxa"/>
            <w:vAlign w:val="bottom"/>
            <w:tcBorders>
              <w:top w:val="single" w:sz="8" w:color="333333"/>
            </w:tcBorders>
          </w:tcPr>
          <w:p>
            <w:pPr>
              <w:spacing w:after="0"/>
              <w:rPr>
                <w:sz w:val="16"/>
                <w:szCs w:val="16"/>
                <w:color w:val="auto"/>
              </w:rPr>
            </w:pPr>
          </w:p>
        </w:tc>
        <w:tc>
          <w:tcPr>
            <w:tcW w:w="1120" w:type="dxa"/>
            <w:vAlign w:val="bottom"/>
            <w:tcBorders>
              <w:top w:val="single" w:sz="8" w:color="333333"/>
            </w:tcBorders>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tcBorders>
              <w:top w:val="single" w:sz="8" w:color="333333"/>
            </w:tcBorders>
          </w:tcPr>
          <w:p>
            <w:pPr>
              <w:jc w:val="right"/>
              <w:spacing w:after="0"/>
              <w:rPr>
                <w:sz w:val="20"/>
                <w:szCs w:val="20"/>
                <w:color w:val="auto"/>
              </w:rPr>
            </w:pPr>
            <w:r>
              <w:rPr>
                <w:rFonts w:ascii="Arial" w:cs="Arial" w:eastAsia="Arial" w:hAnsi="Arial"/>
                <w:sz w:val="16"/>
                <w:szCs w:val="16"/>
                <w:color w:val="004876"/>
              </w:rPr>
              <w:t>Number of shares of</w:t>
            </w:r>
          </w:p>
        </w:tc>
        <w:tc>
          <w:tcPr>
            <w:tcW w:w="1540" w:type="dxa"/>
            <w:vAlign w:val="bottom"/>
          </w:tcPr>
          <w:p>
            <w:pPr>
              <w:spacing w:after="0"/>
              <w:rPr>
                <w:sz w:val="16"/>
                <w:szCs w:val="16"/>
                <w:color w:val="auto"/>
              </w:rPr>
            </w:pPr>
          </w:p>
        </w:tc>
      </w:tr>
      <w:tr>
        <w:trPr>
          <w:trHeight w:val="184"/>
        </w:trPr>
        <w:tc>
          <w:tcPr>
            <w:tcW w:w="244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tcPr>
          <w:p>
            <w:pPr>
              <w:jc w:val="right"/>
              <w:ind w:right="420"/>
              <w:spacing w:after="0"/>
              <w:rPr>
                <w:sz w:val="20"/>
                <w:szCs w:val="20"/>
                <w:color w:val="auto"/>
              </w:rPr>
            </w:pPr>
            <w:r>
              <w:rPr>
                <w:rFonts w:ascii="Arial" w:cs="Arial" w:eastAsia="Arial" w:hAnsi="Arial"/>
                <w:sz w:val="16"/>
                <w:szCs w:val="16"/>
                <w:color w:val="004876"/>
              </w:rPr>
              <w:t>restricted</w:t>
            </w:r>
          </w:p>
        </w:tc>
        <w:tc>
          <w:tcPr>
            <w:tcW w:w="1540" w:type="dxa"/>
            <w:vAlign w:val="bottom"/>
          </w:tcPr>
          <w:p>
            <w:pPr>
              <w:jc w:val="right"/>
              <w:ind w:right="220"/>
              <w:spacing w:after="0"/>
              <w:rPr>
                <w:sz w:val="20"/>
                <w:szCs w:val="20"/>
                <w:color w:val="auto"/>
              </w:rPr>
            </w:pPr>
            <w:r>
              <w:rPr>
                <w:rFonts w:ascii="Arial" w:cs="Arial" w:eastAsia="Arial" w:hAnsi="Arial"/>
                <w:sz w:val="16"/>
                <w:szCs w:val="16"/>
                <w:color w:val="004876"/>
              </w:rPr>
              <w:t>Grant date</w:t>
            </w:r>
          </w:p>
        </w:tc>
      </w:tr>
      <w:tr>
        <w:trPr>
          <w:trHeight w:val="206"/>
        </w:trPr>
        <w:tc>
          <w:tcPr>
            <w:tcW w:w="2440" w:type="dxa"/>
            <w:vAlign w:val="bottom"/>
            <w:tcBorders>
              <w:bottom w:val="single" w:sz="8" w:color="333333"/>
            </w:tcBorders>
          </w:tcPr>
          <w:p>
            <w:pPr>
              <w:ind w:left="60"/>
              <w:spacing w:after="0"/>
              <w:rPr>
                <w:sz w:val="20"/>
                <w:szCs w:val="20"/>
                <w:color w:val="auto"/>
              </w:rPr>
            </w:pPr>
            <w:r>
              <w:rPr>
                <w:rFonts w:ascii="Arial" w:cs="Arial" w:eastAsia="Arial" w:hAnsi="Arial"/>
                <w:sz w:val="16"/>
                <w:szCs w:val="16"/>
                <w:color w:val="004876"/>
              </w:rPr>
              <w:t>Name</w:t>
            </w:r>
          </w:p>
        </w:tc>
        <w:tc>
          <w:tcPr>
            <w:tcW w:w="1900" w:type="dxa"/>
            <w:vAlign w:val="bottom"/>
            <w:tcBorders>
              <w:bottom w:val="single" w:sz="8" w:color="333333"/>
            </w:tcBorders>
          </w:tcPr>
          <w:p>
            <w:pPr>
              <w:jc w:val="right"/>
              <w:ind w:right="179"/>
              <w:spacing w:after="0"/>
              <w:rPr>
                <w:sz w:val="20"/>
                <w:szCs w:val="20"/>
                <w:color w:val="auto"/>
              </w:rPr>
            </w:pPr>
            <w:r>
              <w:rPr>
                <w:rFonts w:ascii="Arial" w:cs="Arial" w:eastAsia="Arial" w:hAnsi="Arial"/>
                <w:sz w:val="16"/>
                <w:szCs w:val="16"/>
                <w:color w:val="004876"/>
              </w:rPr>
              <w:t>Grant date</w:t>
            </w:r>
          </w:p>
        </w:tc>
        <w:tc>
          <w:tcPr>
            <w:tcW w:w="1120" w:type="dxa"/>
            <w:vAlign w:val="bottom"/>
            <w:tcBorders>
              <w:bottom w:val="single" w:sz="8" w:color="333333"/>
            </w:tcBorders>
          </w:tcPr>
          <w:p>
            <w:pPr>
              <w:ind w:left="80"/>
              <w:spacing w:after="0"/>
              <w:rPr>
                <w:sz w:val="20"/>
                <w:szCs w:val="20"/>
                <w:color w:val="auto"/>
              </w:rPr>
            </w:pPr>
            <w:r>
              <w:rPr>
                <w:rFonts w:ascii="Arial" w:cs="Arial" w:eastAsia="Arial" w:hAnsi="Arial"/>
                <w:sz w:val="16"/>
                <w:szCs w:val="16"/>
                <w:color w:val="004876"/>
              </w:rPr>
              <w:t>Threshold (#)</w:t>
            </w:r>
          </w:p>
        </w:tc>
        <w:tc>
          <w:tcPr>
            <w:tcW w:w="960" w:type="dxa"/>
            <w:vAlign w:val="bottom"/>
            <w:tcBorders>
              <w:bottom w:val="single" w:sz="8" w:color="333333"/>
            </w:tcBorders>
          </w:tcPr>
          <w:p>
            <w:pPr>
              <w:jc w:val="right"/>
              <w:ind w:right="99"/>
              <w:spacing w:after="0"/>
              <w:rPr>
                <w:sz w:val="20"/>
                <w:szCs w:val="20"/>
                <w:color w:val="auto"/>
              </w:rPr>
            </w:pPr>
            <w:r>
              <w:rPr>
                <w:rFonts w:ascii="Arial" w:cs="Arial" w:eastAsia="Arial" w:hAnsi="Arial"/>
                <w:sz w:val="16"/>
                <w:szCs w:val="16"/>
                <w:color w:val="004876"/>
              </w:rPr>
              <w:t>Target (#)</w:t>
            </w:r>
          </w:p>
        </w:tc>
        <w:tc>
          <w:tcPr>
            <w:tcW w:w="1420" w:type="dxa"/>
            <w:vAlign w:val="bottom"/>
            <w:tcBorders>
              <w:bottom w:val="single" w:sz="8" w:color="333333"/>
            </w:tcBorders>
            <w:gridSpan w:val="2"/>
          </w:tcPr>
          <w:p>
            <w:pPr>
              <w:ind w:left="180"/>
              <w:spacing w:after="0"/>
              <w:rPr>
                <w:sz w:val="20"/>
                <w:szCs w:val="20"/>
                <w:color w:val="auto"/>
              </w:rPr>
            </w:pPr>
            <w:r>
              <w:rPr>
                <w:rFonts w:ascii="Arial" w:cs="Arial" w:eastAsia="Arial" w:hAnsi="Arial"/>
                <w:sz w:val="16"/>
                <w:szCs w:val="16"/>
                <w:color w:val="004876"/>
              </w:rPr>
              <w:t>Maximum (#)</w:t>
            </w:r>
          </w:p>
        </w:tc>
        <w:tc>
          <w:tcPr>
            <w:tcW w:w="1640" w:type="dxa"/>
            <w:vAlign w:val="bottom"/>
            <w:tcBorders>
              <w:bottom w:val="single" w:sz="8" w:color="333333"/>
            </w:tcBorders>
          </w:tcPr>
          <w:p>
            <w:pPr>
              <w:jc w:val="right"/>
              <w:ind w:right="100"/>
              <w:spacing w:after="0"/>
              <w:rPr>
                <w:sz w:val="20"/>
                <w:szCs w:val="20"/>
                <w:color w:val="auto"/>
              </w:rPr>
            </w:pPr>
            <w:r>
              <w:rPr>
                <w:rFonts w:ascii="Arial" w:cs="Arial" w:eastAsia="Arial" w:hAnsi="Arial"/>
                <w:sz w:val="16"/>
                <w:szCs w:val="16"/>
                <w:color w:val="004876"/>
              </w:rPr>
              <w:t>stock or units (#)</w:t>
            </w:r>
          </w:p>
        </w:tc>
        <w:tc>
          <w:tcPr>
            <w:tcW w:w="1540" w:type="dxa"/>
            <w:vAlign w:val="bottom"/>
            <w:tcBorders>
              <w:bottom w:val="single" w:sz="8" w:color="333333"/>
            </w:tcBorders>
          </w:tcPr>
          <w:p>
            <w:pPr>
              <w:jc w:val="right"/>
              <w:ind w:right="120"/>
              <w:spacing w:after="0" w:line="205" w:lineRule="exact"/>
              <w:rPr>
                <w:sz w:val="20"/>
                <w:szCs w:val="20"/>
                <w:color w:val="auto"/>
              </w:rPr>
            </w:pPr>
            <w:r>
              <w:rPr>
                <w:rFonts w:ascii="Arial" w:cs="Arial" w:eastAsia="Arial" w:hAnsi="Arial"/>
                <w:sz w:val="14"/>
                <w:szCs w:val="14"/>
                <w:color w:val="004876"/>
              </w:rPr>
              <w:t>fair value ($)</w:t>
            </w:r>
            <w:r>
              <w:rPr>
                <w:rFonts w:ascii="Arial" w:cs="Arial" w:eastAsia="Arial" w:hAnsi="Arial"/>
                <w:sz w:val="23"/>
                <w:szCs w:val="23"/>
                <w:color w:val="004876"/>
                <w:vertAlign w:val="superscript"/>
              </w:rPr>
              <w:t>4</w:t>
            </w:r>
          </w:p>
        </w:tc>
      </w:tr>
      <w:tr>
        <w:trPr>
          <w:trHeight w:val="217"/>
        </w:trPr>
        <w:tc>
          <w:tcPr>
            <w:tcW w:w="2440" w:type="dxa"/>
            <w:vAlign w:val="bottom"/>
            <w:tcBorders>
              <w:bottom w:val="single" w:sz="8" w:color="333333"/>
            </w:tcBorders>
          </w:tcPr>
          <w:p>
            <w:pPr>
              <w:ind w:left="60"/>
              <w:spacing w:after="0"/>
              <w:rPr>
                <w:sz w:val="20"/>
                <w:szCs w:val="20"/>
                <w:color w:val="auto"/>
              </w:rPr>
            </w:pPr>
            <w:r>
              <w:rPr>
                <w:rFonts w:ascii="Arial" w:cs="Arial" w:eastAsia="Arial" w:hAnsi="Arial"/>
                <w:sz w:val="14"/>
                <w:szCs w:val="14"/>
                <w:b w:val="1"/>
                <w:bCs w:val="1"/>
                <w:color w:val="auto"/>
              </w:rPr>
              <w:t>James Dimon</w:t>
            </w:r>
          </w:p>
        </w:tc>
        <w:tc>
          <w:tcPr>
            <w:tcW w:w="1900" w:type="dxa"/>
            <w:vAlign w:val="bottom"/>
            <w:tcBorders>
              <w:bottom w:val="single" w:sz="8" w:color="333333"/>
            </w:tcBorders>
          </w:tcPr>
          <w:p>
            <w:pPr>
              <w:jc w:val="right"/>
              <w:ind w:right="179"/>
              <w:spacing w:after="0"/>
              <w:rPr>
                <w:sz w:val="20"/>
                <w:szCs w:val="20"/>
                <w:color w:val="auto"/>
              </w:rPr>
            </w:pPr>
            <w:r>
              <w:rPr>
                <w:rFonts w:ascii="Arial" w:cs="Arial" w:eastAsia="Arial" w:hAnsi="Arial"/>
                <w:sz w:val="16"/>
                <w:szCs w:val="16"/>
                <w:color w:val="auto"/>
              </w:rPr>
              <w:t>1/15/2019</w:t>
            </w:r>
          </w:p>
        </w:tc>
        <w:tc>
          <w:tcPr>
            <w:tcW w:w="1120" w:type="dxa"/>
            <w:vAlign w:val="bottom"/>
            <w:tcBorders>
              <w:bottom w:val="single" w:sz="8" w:color="333333"/>
            </w:tcBorders>
          </w:tcPr>
          <w:p>
            <w:pPr>
              <w:ind w:left="44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333333"/>
            </w:tcBorders>
          </w:tcPr>
          <w:p>
            <w:pPr>
              <w:jc w:val="right"/>
              <w:ind w:right="99"/>
              <w:spacing w:after="0"/>
              <w:rPr>
                <w:sz w:val="20"/>
                <w:szCs w:val="20"/>
                <w:color w:val="auto"/>
              </w:rPr>
            </w:pPr>
            <w:r>
              <w:rPr>
                <w:rFonts w:ascii="Arial" w:cs="Arial" w:eastAsia="Arial" w:hAnsi="Arial"/>
                <w:sz w:val="16"/>
                <w:szCs w:val="16"/>
                <w:color w:val="auto"/>
              </w:rPr>
              <w:t>243,697</w:t>
            </w:r>
          </w:p>
        </w:tc>
        <w:tc>
          <w:tcPr>
            <w:tcW w:w="1120" w:type="dxa"/>
            <w:vAlign w:val="bottom"/>
            <w:tcBorders>
              <w:bottom w:val="single" w:sz="8" w:color="333333"/>
            </w:tcBorders>
          </w:tcPr>
          <w:p>
            <w:pPr>
              <w:jc w:val="right"/>
              <w:ind w:right="139"/>
              <w:spacing w:after="0"/>
              <w:rPr>
                <w:sz w:val="20"/>
                <w:szCs w:val="20"/>
                <w:color w:val="auto"/>
              </w:rPr>
            </w:pPr>
            <w:r>
              <w:rPr>
                <w:rFonts w:ascii="Arial" w:cs="Arial" w:eastAsia="Arial" w:hAnsi="Arial"/>
                <w:sz w:val="16"/>
                <w:szCs w:val="16"/>
                <w:color w:val="auto"/>
              </w:rPr>
              <w:t>365,546</w:t>
            </w:r>
          </w:p>
        </w:tc>
        <w:tc>
          <w:tcPr>
            <w:tcW w:w="300" w:type="dxa"/>
            <w:vAlign w:val="bottom"/>
            <w:tcBorders>
              <w:bottom w:val="single" w:sz="8" w:color="333333"/>
            </w:tcBorders>
          </w:tcPr>
          <w:p>
            <w:pPr>
              <w:spacing w:after="0"/>
              <w:rPr>
                <w:sz w:val="18"/>
                <w:szCs w:val="18"/>
                <w:color w:val="auto"/>
              </w:rPr>
            </w:pPr>
          </w:p>
        </w:tc>
        <w:tc>
          <w:tcPr>
            <w:tcW w:w="1640" w:type="dxa"/>
            <w:vAlign w:val="bottom"/>
            <w:tcBorders>
              <w:bottom w:val="single" w:sz="8" w:color="333333"/>
            </w:tcBorders>
          </w:tcPr>
          <w:p>
            <w:pPr>
              <w:jc w:val="right"/>
              <w:ind w:right="460"/>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333333"/>
            </w:tcBorders>
          </w:tcPr>
          <w:p>
            <w:pPr>
              <w:jc w:val="right"/>
              <w:ind w:right="120"/>
              <w:spacing w:after="0"/>
              <w:rPr>
                <w:sz w:val="20"/>
                <w:szCs w:val="20"/>
                <w:color w:val="auto"/>
              </w:rPr>
            </w:pPr>
            <w:r>
              <w:rPr>
                <w:rFonts w:ascii="Arial" w:cs="Arial" w:eastAsia="Arial" w:hAnsi="Arial"/>
                <w:sz w:val="16"/>
                <w:szCs w:val="16"/>
                <w:color w:val="auto"/>
              </w:rPr>
              <w:t>$  24,500,000</w:t>
            </w:r>
          </w:p>
        </w:tc>
      </w:tr>
      <w:tr>
        <w:trPr>
          <w:trHeight w:val="210"/>
        </w:trPr>
        <w:tc>
          <w:tcPr>
            <w:tcW w:w="2440" w:type="dxa"/>
            <w:vAlign w:val="bottom"/>
          </w:tcPr>
          <w:p>
            <w:pPr>
              <w:ind w:left="60"/>
              <w:spacing w:after="0"/>
              <w:rPr>
                <w:sz w:val="20"/>
                <w:szCs w:val="20"/>
                <w:color w:val="auto"/>
              </w:rPr>
            </w:pPr>
            <w:r>
              <w:rPr>
                <w:rFonts w:ascii="Arial" w:cs="Arial" w:eastAsia="Arial" w:hAnsi="Arial"/>
                <w:sz w:val="14"/>
                <w:szCs w:val="14"/>
                <w:b w:val="1"/>
                <w:bCs w:val="1"/>
                <w:color w:val="auto"/>
              </w:rPr>
              <w:t>Daniel Pinto</w:t>
            </w:r>
          </w:p>
        </w:tc>
        <w:tc>
          <w:tcPr>
            <w:tcW w:w="1900" w:type="dxa"/>
            <w:vAlign w:val="bottom"/>
          </w:tcPr>
          <w:p>
            <w:pPr>
              <w:jc w:val="right"/>
              <w:ind w:right="179"/>
              <w:spacing w:after="0"/>
              <w:rPr>
                <w:sz w:val="20"/>
                <w:szCs w:val="20"/>
                <w:color w:val="auto"/>
              </w:rPr>
            </w:pPr>
            <w:r>
              <w:rPr>
                <w:rFonts w:ascii="Arial" w:cs="Arial" w:eastAsia="Arial" w:hAnsi="Arial"/>
                <w:sz w:val="16"/>
                <w:szCs w:val="16"/>
                <w:color w:val="auto"/>
              </w:rPr>
              <w:t>1/15/2019</w:t>
            </w:r>
          </w:p>
        </w:tc>
        <w:tc>
          <w:tcPr>
            <w:tcW w:w="1120" w:type="dxa"/>
            <w:vAlign w:val="bottom"/>
          </w:tcPr>
          <w:p>
            <w:pPr>
              <w:ind w:left="44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20" w:type="dxa"/>
            <w:vAlign w:val="bottom"/>
            <w:gridSpan w:val="2"/>
          </w:tcPr>
          <w:p>
            <w:pPr>
              <w:jc w:val="right"/>
              <w:ind w:right="520"/>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460"/>
              <w:spacing w:after="0"/>
              <w:rPr>
                <w:sz w:val="20"/>
                <w:szCs w:val="20"/>
                <w:color w:val="auto"/>
              </w:rPr>
            </w:pPr>
            <w:r>
              <w:rPr>
                <w:rFonts w:ascii="Arial" w:cs="Arial" w:eastAsia="Arial" w:hAnsi="Arial"/>
                <w:sz w:val="16"/>
                <w:szCs w:val="16"/>
                <w:color w:val="auto"/>
              </w:rPr>
              <w:t>83,586</w:t>
            </w:r>
          </w:p>
        </w:tc>
        <w:tc>
          <w:tcPr>
            <w:tcW w:w="1540" w:type="dxa"/>
            <w:vAlign w:val="bottom"/>
          </w:tcPr>
          <w:p>
            <w:pPr>
              <w:jc w:val="right"/>
              <w:ind w:right="120"/>
              <w:spacing w:after="0"/>
              <w:rPr>
                <w:sz w:val="20"/>
                <w:szCs w:val="20"/>
                <w:color w:val="auto"/>
              </w:rPr>
            </w:pPr>
            <w:r>
              <w:rPr>
                <w:rFonts w:ascii="Arial" w:cs="Arial" w:eastAsia="Arial" w:hAnsi="Arial"/>
                <w:sz w:val="16"/>
                <w:szCs w:val="16"/>
                <w:color w:val="auto"/>
              </w:rPr>
              <w:t>6,861,987</w:t>
            </w:r>
          </w:p>
        </w:tc>
      </w:tr>
      <w:tr>
        <w:trPr>
          <w:trHeight w:val="243"/>
        </w:trPr>
        <w:tc>
          <w:tcPr>
            <w:tcW w:w="2440" w:type="dxa"/>
            <w:vAlign w:val="bottom"/>
            <w:tcBorders>
              <w:bottom w:val="single" w:sz="8" w:color="333333"/>
            </w:tcBorders>
          </w:tcPr>
          <w:p>
            <w:pPr>
              <w:spacing w:after="0"/>
              <w:rPr>
                <w:sz w:val="21"/>
                <w:szCs w:val="21"/>
                <w:color w:val="auto"/>
              </w:rPr>
            </w:pPr>
          </w:p>
        </w:tc>
        <w:tc>
          <w:tcPr>
            <w:tcW w:w="1900" w:type="dxa"/>
            <w:vAlign w:val="bottom"/>
            <w:tcBorders>
              <w:bottom w:val="single" w:sz="8" w:color="333333"/>
            </w:tcBorders>
          </w:tcPr>
          <w:p>
            <w:pPr>
              <w:jc w:val="right"/>
              <w:ind w:right="179"/>
              <w:spacing w:after="0"/>
              <w:rPr>
                <w:sz w:val="20"/>
                <w:szCs w:val="20"/>
                <w:color w:val="auto"/>
              </w:rPr>
            </w:pPr>
            <w:r>
              <w:rPr>
                <w:rFonts w:ascii="Arial" w:cs="Arial" w:eastAsia="Arial" w:hAnsi="Arial"/>
                <w:sz w:val="16"/>
                <w:szCs w:val="16"/>
                <w:color w:val="auto"/>
              </w:rPr>
              <w:t>1/15/2019</w:t>
            </w:r>
          </w:p>
        </w:tc>
        <w:tc>
          <w:tcPr>
            <w:tcW w:w="1120" w:type="dxa"/>
            <w:vAlign w:val="bottom"/>
            <w:tcBorders>
              <w:bottom w:val="single" w:sz="8" w:color="333333"/>
            </w:tcBorders>
          </w:tcPr>
          <w:p>
            <w:pPr>
              <w:ind w:left="44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333333"/>
            </w:tcBorders>
          </w:tcPr>
          <w:p>
            <w:pPr>
              <w:jc w:val="right"/>
              <w:ind w:right="99"/>
              <w:spacing w:after="0"/>
              <w:rPr>
                <w:sz w:val="20"/>
                <w:szCs w:val="20"/>
                <w:color w:val="auto"/>
              </w:rPr>
            </w:pPr>
            <w:r>
              <w:rPr>
                <w:rFonts w:ascii="Arial" w:cs="Arial" w:eastAsia="Arial" w:hAnsi="Arial"/>
                <w:sz w:val="16"/>
                <w:szCs w:val="16"/>
                <w:color w:val="auto"/>
              </w:rPr>
              <w:t>78,140</w:t>
            </w:r>
          </w:p>
        </w:tc>
        <w:tc>
          <w:tcPr>
            <w:tcW w:w="1120" w:type="dxa"/>
            <w:vAlign w:val="bottom"/>
            <w:tcBorders>
              <w:bottom w:val="single" w:sz="8" w:color="333333"/>
            </w:tcBorders>
          </w:tcPr>
          <w:p>
            <w:pPr>
              <w:jc w:val="right"/>
              <w:ind w:right="139"/>
              <w:spacing w:after="0"/>
              <w:rPr>
                <w:sz w:val="20"/>
                <w:szCs w:val="20"/>
                <w:color w:val="auto"/>
              </w:rPr>
            </w:pPr>
            <w:r>
              <w:rPr>
                <w:rFonts w:ascii="Arial" w:cs="Arial" w:eastAsia="Arial" w:hAnsi="Arial"/>
                <w:sz w:val="16"/>
                <w:szCs w:val="16"/>
                <w:color w:val="auto"/>
              </w:rPr>
              <w:t>117,210</w:t>
            </w:r>
          </w:p>
        </w:tc>
        <w:tc>
          <w:tcPr>
            <w:tcW w:w="300" w:type="dxa"/>
            <w:vAlign w:val="bottom"/>
            <w:tcBorders>
              <w:bottom w:val="single" w:sz="8" w:color="333333"/>
            </w:tcBorders>
          </w:tcPr>
          <w:p>
            <w:pPr>
              <w:spacing w:after="0"/>
              <w:rPr>
                <w:sz w:val="21"/>
                <w:szCs w:val="21"/>
                <w:color w:val="auto"/>
              </w:rPr>
            </w:pPr>
          </w:p>
        </w:tc>
        <w:tc>
          <w:tcPr>
            <w:tcW w:w="1640" w:type="dxa"/>
            <w:vAlign w:val="bottom"/>
            <w:tcBorders>
              <w:bottom w:val="single" w:sz="8" w:color="333333"/>
            </w:tcBorders>
          </w:tcPr>
          <w:p>
            <w:pPr>
              <w:jc w:val="right"/>
              <w:ind w:right="460"/>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333333"/>
            </w:tcBorders>
          </w:tcPr>
          <w:p>
            <w:pPr>
              <w:jc w:val="right"/>
              <w:ind w:right="120"/>
              <w:spacing w:after="0"/>
              <w:rPr>
                <w:sz w:val="20"/>
                <w:szCs w:val="20"/>
                <w:color w:val="auto"/>
              </w:rPr>
            </w:pPr>
            <w:r>
              <w:rPr>
                <w:rFonts w:ascii="Arial" w:cs="Arial" w:eastAsia="Arial" w:hAnsi="Arial"/>
                <w:sz w:val="16"/>
                <w:szCs w:val="16"/>
                <w:color w:val="auto"/>
              </w:rPr>
              <w:t>6,861,987</w:t>
            </w:r>
          </w:p>
        </w:tc>
      </w:tr>
      <w:tr>
        <w:trPr>
          <w:trHeight w:val="210"/>
        </w:trPr>
        <w:tc>
          <w:tcPr>
            <w:tcW w:w="2440" w:type="dxa"/>
            <w:vAlign w:val="bottom"/>
          </w:tcPr>
          <w:p>
            <w:pPr>
              <w:ind w:left="60"/>
              <w:spacing w:after="0"/>
              <w:rPr>
                <w:sz w:val="20"/>
                <w:szCs w:val="20"/>
                <w:color w:val="auto"/>
              </w:rPr>
            </w:pPr>
            <w:r>
              <w:rPr>
                <w:rFonts w:ascii="Arial" w:cs="Arial" w:eastAsia="Arial" w:hAnsi="Arial"/>
                <w:sz w:val="14"/>
                <w:szCs w:val="14"/>
                <w:b w:val="1"/>
                <w:bCs w:val="1"/>
                <w:color w:val="auto"/>
              </w:rPr>
              <w:t>Gordon Smith</w:t>
            </w:r>
          </w:p>
        </w:tc>
        <w:tc>
          <w:tcPr>
            <w:tcW w:w="1900" w:type="dxa"/>
            <w:vAlign w:val="bottom"/>
          </w:tcPr>
          <w:p>
            <w:pPr>
              <w:jc w:val="right"/>
              <w:ind w:right="179"/>
              <w:spacing w:after="0"/>
              <w:rPr>
                <w:sz w:val="20"/>
                <w:szCs w:val="20"/>
                <w:color w:val="auto"/>
              </w:rPr>
            </w:pPr>
            <w:r>
              <w:rPr>
                <w:rFonts w:ascii="Arial" w:cs="Arial" w:eastAsia="Arial" w:hAnsi="Arial"/>
                <w:sz w:val="16"/>
                <w:szCs w:val="16"/>
                <w:color w:val="auto"/>
              </w:rPr>
              <w:t>1/15/2019</w:t>
            </w:r>
          </w:p>
        </w:tc>
        <w:tc>
          <w:tcPr>
            <w:tcW w:w="1120" w:type="dxa"/>
            <w:vAlign w:val="bottom"/>
          </w:tcPr>
          <w:p>
            <w:pPr>
              <w:ind w:left="44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20" w:type="dxa"/>
            <w:vAlign w:val="bottom"/>
            <w:gridSpan w:val="2"/>
          </w:tcPr>
          <w:p>
            <w:pPr>
              <w:jc w:val="right"/>
              <w:ind w:right="520"/>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460"/>
              <w:spacing w:after="0"/>
              <w:rPr>
                <w:sz w:val="20"/>
                <w:szCs w:val="20"/>
                <w:color w:val="auto"/>
              </w:rPr>
            </w:pPr>
            <w:r>
              <w:rPr>
                <w:rFonts w:ascii="Arial" w:cs="Arial" w:eastAsia="Arial" w:hAnsi="Arial"/>
                <w:sz w:val="16"/>
                <w:szCs w:val="16"/>
                <w:color w:val="auto"/>
              </w:rPr>
              <w:t>63,411</w:t>
            </w:r>
          </w:p>
        </w:tc>
        <w:tc>
          <w:tcPr>
            <w:tcW w:w="1540" w:type="dxa"/>
            <w:vAlign w:val="bottom"/>
          </w:tcPr>
          <w:p>
            <w:pPr>
              <w:jc w:val="right"/>
              <w:ind w:right="120"/>
              <w:spacing w:after="0"/>
              <w:rPr>
                <w:sz w:val="20"/>
                <w:szCs w:val="20"/>
                <w:color w:val="auto"/>
              </w:rPr>
            </w:pPr>
            <w:r>
              <w:rPr>
                <w:rFonts w:ascii="Arial" w:cs="Arial" w:eastAsia="Arial" w:hAnsi="Arial"/>
                <w:sz w:val="16"/>
                <w:szCs w:val="16"/>
                <w:color w:val="auto"/>
              </w:rPr>
              <w:t>6,375,000</w:t>
            </w:r>
          </w:p>
        </w:tc>
      </w:tr>
      <w:tr>
        <w:trPr>
          <w:trHeight w:val="243"/>
        </w:trPr>
        <w:tc>
          <w:tcPr>
            <w:tcW w:w="2440" w:type="dxa"/>
            <w:vAlign w:val="bottom"/>
            <w:tcBorders>
              <w:bottom w:val="single" w:sz="8" w:color="333333"/>
            </w:tcBorders>
          </w:tcPr>
          <w:p>
            <w:pPr>
              <w:spacing w:after="0"/>
              <w:rPr>
                <w:sz w:val="21"/>
                <w:szCs w:val="21"/>
                <w:color w:val="auto"/>
              </w:rPr>
            </w:pPr>
          </w:p>
        </w:tc>
        <w:tc>
          <w:tcPr>
            <w:tcW w:w="1900" w:type="dxa"/>
            <w:vAlign w:val="bottom"/>
            <w:tcBorders>
              <w:bottom w:val="single" w:sz="8" w:color="333333"/>
            </w:tcBorders>
          </w:tcPr>
          <w:p>
            <w:pPr>
              <w:jc w:val="right"/>
              <w:ind w:right="179"/>
              <w:spacing w:after="0"/>
              <w:rPr>
                <w:sz w:val="20"/>
                <w:szCs w:val="20"/>
                <w:color w:val="auto"/>
              </w:rPr>
            </w:pPr>
            <w:r>
              <w:rPr>
                <w:rFonts w:ascii="Arial" w:cs="Arial" w:eastAsia="Arial" w:hAnsi="Arial"/>
                <w:sz w:val="16"/>
                <w:szCs w:val="16"/>
                <w:color w:val="auto"/>
              </w:rPr>
              <w:t>1/15/2019</w:t>
            </w:r>
          </w:p>
        </w:tc>
        <w:tc>
          <w:tcPr>
            <w:tcW w:w="1120" w:type="dxa"/>
            <w:vAlign w:val="bottom"/>
            <w:tcBorders>
              <w:bottom w:val="single" w:sz="8" w:color="333333"/>
            </w:tcBorders>
          </w:tcPr>
          <w:p>
            <w:pPr>
              <w:ind w:left="44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333333"/>
            </w:tcBorders>
          </w:tcPr>
          <w:p>
            <w:pPr>
              <w:jc w:val="right"/>
              <w:ind w:right="99"/>
              <w:spacing w:after="0"/>
              <w:rPr>
                <w:sz w:val="20"/>
                <w:szCs w:val="20"/>
                <w:color w:val="auto"/>
              </w:rPr>
            </w:pPr>
            <w:r>
              <w:rPr>
                <w:rFonts w:ascii="Arial" w:cs="Arial" w:eastAsia="Arial" w:hAnsi="Arial"/>
                <w:sz w:val="16"/>
                <w:szCs w:val="16"/>
                <w:color w:val="auto"/>
              </w:rPr>
              <w:t>63,411</w:t>
            </w:r>
          </w:p>
        </w:tc>
        <w:tc>
          <w:tcPr>
            <w:tcW w:w="1120" w:type="dxa"/>
            <w:vAlign w:val="bottom"/>
            <w:tcBorders>
              <w:bottom w:val="single" w:sz="8" w:color="333333"/>
            </w:tcBorders>
          </w:tcPr>
          <w:p>
            <w:pPr>
              <w:jc w:val="right"/>
              <w:ind w:right="139"/>
              <w:spacing w:after="0"/>
              <w:rPr>
                <w:sz w:val="20"/>
                <w:szCs w:val="20"/>
                <w:color w:val="auto"/>
              </w:rPr>
            </w:pPr>
            <w:r>
              <w:rPr>
                <w:rFonts w:ascii="Arial" w:cs="Arial" w:eastAsia="Arial" w:hAnsi="Arial"/>
                <w:sz w:val="16"/>
                <w:szCs w:val="16"/>
                <w:color w:val="auto"/>
              </w:rPr>
              <w:t>95,117</w:t>
            </w:r>
          </w:p>
        </w:tc>
        <w:tc>
          <w:tcPr>
            <w:tcW w:w="300" w:type="dxa"/>
            <w:vAlign w:val="bottom"/>
            <w:tcBorders>
              <w:bottom w:val="single" w:sz="8" w:color="333333"/>
            </w:tcBorders>
          </w:tcPr>
          <w:p>
            <w:pPr>
              <w:spacing w:after="0"/>
              <w:rPr>
                <w:sz w:val="21"/>
                <w:szCs w:val="21"/>
                <w:color w:val="auto"/>
              </w:rPr>
            </w:pPr>
          </w:p>
        </w:tc>
        <w:tc>
          <w:tcPr>
            <w:tcW w:w="1640" w:type="dxa"/>
            <w:vAlign w:val="bottom"/>
            <w:tcBorders>
              <w:bottom w:val="single" w:sz="8" w:color="333333"/>
            </w:tcBorders>
          </w:tcPr>
          <w:p>
            <w:pPr>
              <w:jc w:val="right"/>
              <w:ind w:right="460"/>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333333"/>
            </w:tcBorders>
          </w:tcPr>
          <w:p>
            <w:pPr>
              <w:jc w:val="right"/>
              <w:ind w:right="120"/>
              <w:spacing w:after="0"/>
              <w:rPr>
                <w:sz w:val="20"/>
                <w:szCs w:val="20"/>
                <w:color w:val="auto"/>
              </w:rPr>
            </w:pPr>
            <w:r>
              <w:rPr>
                <w:rFonts w:ascii="Arial" w:cs="Arial" w:eastAsia="Arial" w:hAnsi="Arial"/>
                <w:sz w:val="16"/>
                <w:szCs w:val="16"/>
                <w:color w:val="auto"/>
              </w:rPr>
              <w:t>6,375,000</w:t>
            </w:r>
          </w:p>
        </w:tc>
      </w:tr>
      <w:tr>
        <w:trPr>
          <w:trHeight w:val="210"/>
        </w:trPr>
        <w:tc>
          <w:tcPr>
            <w:tcW w:w="2440" w:type="dxa"/>
            <w:vAlign w:val="bottom"/>
          </w:tcPr>
          <w:p>
            <w:pPr>
              <w:ind w:left="60"/>
              <w:spacing w:after="0"/>
              <w:rPr>
                <w:sz w:val="20"/>
                <w:szCs w:val="20"/>
                <w:color w:val="auto"/>
              </w:rPr>
            </w:pPr>
            <w:r>
              <w:rPr>
                <w:rFonts w:ascii="Arial" w:cs="Arial" w:eastAsia="Arial" w:hAnsi="Arial"/>
                <w:sz w:val="14"/>
                <w:szCs w:val="14"/>
                <w:b w:val="1"/>
                <w:bCs w:val="1"/>
                <w:color w:val="auto"/>
              </w:rPr>
              <w:t>Mary Callahan Erdoes</w:t>
            </w:r>
          </w:p>
        </w:tc>
        <w:tc>
          <w:tcPr>
            <w:tcW w:w="1900" w:type="dxa"/>
            <w:vAlign w:val="bottom"/>
          </w:tcPr>
          <w:p>
            <w:pPr>
              <w:jc w:val="right"/>
              <w:ind w:right="179"/>
              <w:spacing w:after="0"/>
              <w:rPr>
                <w:sz w:val="20"/>
                <w:szCs w:val="20"/>
                <w:color w:val="auto"/>
              </w:rPr>
            </w:pPr>
            <w:r>
              <w:rPr>
                <w:rFonts w:ascii="Arial" w:cs="Arial" w:eastAsia="Arial" w:hAnsi="Arial"/>
                <w:sz w:val="16"/>
                <w:szCs w:val="16"/>
                <w:color w:val="auto"/>
              </w:rPr>
              <w:t>1/15/2019</w:t>
            </w:r>
          </w:p>
        </w:tc>
        <w:tc>
          <w:tcPr>
            <w:tcW w:w="1120" w:type="dxa"/>
            <w:vAlign w:val="bottom"/>
          </w:tcPr>
          <w:p>
            <w:pPr>
              <w:ind w:left="44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20" w:type="dxa"/>
            <w:vAlign w:val="bottom"/>
            <w:gridSpan w:val="2"/>
          </w:tcPr>
          <w:p>
            <w:pPr>
              <w:jc w:val="right"/>
              <w:ind w:right="520"/>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460"/>
              <w:spacing w:after="0"/>
              <w:rPr>
                <w:sz w:val="20"/>
                <w:szCs w:val="20"/>
                <w:color w:val="auto"/>
              </w:rPr>
            </w:pPr>
            <w:r>
              <w:rPr>
                <w:rFonts w:ascii="Arial" w:cs="Arial" w:eastAsia="Arial" w:hAnsi="Arial"/>
                <w:sz w:val="16"/>
                <w:szCs w:val="16"/>
                <w:color w:val="auto"/>
              </w:rPr>
              <w:t>58,935</w:t>
            </w:r>
          </w:p>
        </w:tc>
        <w:tc>
          <w:tcPr>
            <w:tcW w:w="1540" w:type="dxa"/>
            <w:vAlign w:val="bottom"/>
          </w:tcPr>
          <w:p>
            <w:pPr>
              <w:jc w:val="right"/>
              <w:ind w:right="120"/>
              <w:spacing w:after="0"/>
              <w:rPr>
                <w:sz w:val="20"/>
                <w:szCs w:val="20"/>
                <w:color w:val="auto"/>
              </w:rPr>
            </w:pPr>
            <w:r>
              <w:rPr>
                <w:rFonts w:ascii="Arial" w:cs="Arial" w:eastAsia="Arial" w:hAnsi="Arial"/>
                <w:sz w:val="16"/>
                <w:szCs w:val="16"/>
                <w:color w:val="auto"/>
              </w:rPr>
              <w:t>5,925,000</w:t>
            </w:r>
          </w:p>
        </w:tc>
      </w:tr>
      <w:tr>
        <w:trPr>
          <w:trHeight w:val="243"/>
        </w:trPr>
        <w:tc>
          <w:tcPr>
            <w:tcW w:w="2440" w:type="dxa"/>
            <w:vAlign w:val="bottom"/>
            <w:tcBorders>
              <w:bottom w:val="single" w:sz="8" w:color="333333"/>
            </w:tcBorders>
          </w:tcPr>
          <w:p>
            <w:pPr>
              <w:spacing w:after="0"/>
              <w:rPr>
                <w:sz w:val="21"/>
                <w:szCs w:val="21"/>
                <w:color w:val="auto"/>
              </w:rPr>
            </w:pPr>
          </w:p>
        </w:tc>
        <w:tc>
          <w:tcPr>
            <w:tcW w:w="1900" w:type="dxa"/>
            <w:vAlign w:val="bottom"/>
            <w:tcBorders>
              <w:bottom w:val="single" w:sz="8" w:color="333333"/>
            </w:tcBorders>
          </w:tcPr>
          <w:p>
            <w:pPr>
              <w:jc w:val="right"/>
              <w:ind w:right="179"/>
              <w:spacing w:after="0"/>
              <w:rPr>
                <w:sz w:val="20"/>
                <w:szCs w:val="20"/>
                <w:color w:val="auto"/>
              </w:rPr>
            </w:pPr>
            <w:r>
              <w:rPr>
                <w:rFonts w:ascii="Arial" w:cs="Arial" w:eastAsia="Arial" w:hAnsi="Arial"/>
                <w:sz w:val="16"/>
                <w:szCs w:val="16"/>
                <w:color w:val="auto"/>
              </w:rPr>
              <w:t>1/15/2019</w:t>
            </w:r>
          </w:p>
        </w:tc>
        <w:tc>
          <w:tcPr>
            <w:tcW w:w="1120" w:type="dxa"/>
            <w:vAlign w:val="bottom"/>
            <w:tcBorders>
              <w:bottom w:val="single" w:sz="8" w:color="333333"/>
            </w:tcBorders>
          </w:tcPr>
          <w:p>
            <w:pPr>
              <w:ind w:left="44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333333"/>
            </w:tcBorders>
          </w:tcPr>
          <w:p>
            <w:pPr>
              <w:jc w:val="right"/>
              <w:ind w:right="99"/>
              <w:spacing w:after="0"/>
              <w:rPr>
                <w:sz w:val="20"/>
                <w:szCs w:val="20"/>
                <w:color w:val="auto"/>
              </w:rPr>
            </w:pPr>
            <w:r>
              <w:rPr>
                <w:rFonts w:ascii="Arial" w:cs="Arial" w:eastAsia="Arial" w:hAnsi="Arial"/>
                <w:sz w:val="16"/>
                <w:szCs w:val="16"/>
                <w:color w:val="auto"/>
              </w:rPr>
              <w:t>58,935</w:t>
            </w:r>
          </w:p>
        </w:tc>
        <w:tc>
          <w:tcPr>
            <w:tcW w:w="1120" w:type="dxa"/>
            <w:vAlign w:val="bottom"/>
            <w:tcBorders>
              <w:bottom w:val="single" w:sz="8" w:color="333333"/>
            </w:tcBorders>
          </w:tcPr>
          <w:p>
            <w:pPr>
              <w:jc w:val="right"/>
              <w:ind w:right="139"/>
              <w:spacing w:after="0"/>
              <w:rPr>
                <w:sz w:val="20"/>
                <w:szCs w:val="20"/>
                <w:color w:val="auto"/>
              </w:rPr>
            </w:pPr>
            <w:r>
              <w:rPr>
                <w:rFonts w:ascii="Arial" w:cs="Arial" w:eastAsia="Arial" w:hAnsi="Arial"/>
                <w:sz w:val="16"/>
                <w:szCs w:val="16"/>
                <w:color w:val="auto"/>
              </w:rPr>
              <w:t>88,403</w:t>
            </w:r>
          </w:p>
        </w:tc>
        <w:tc>
          <w:tcPr>
            <w:tcW w:w="300" w:type="dxa"/>
            <w:vAlign w:val="bottom"/>
            <w:tcBorders>
              <w:bottom w:val="single" w:sz="8" w:color="333333"/>
            </w:tcBorders>
          </w:tcPr>
          <w:p>
            <w:pPr>
              <w:spacing w:after="0"/>
              <w:rPr>
                <w:sz w:val="21"/>
                <w:szCs w:val="21"/>
                <w:color w:val="auto"/>
              </w:rPr>
            </w:pPr>
          </w:p>
        </w:tc>
        <w:tc>
          <w:tcPr>
            <w:tcW w:w="1640" w:type="dxa"/>
            <w:vAlign w:val="bottom"/>
            <w:tcBorders>
              <w:bottom w:val="single" w:sz="8" w:color="333333"/>
            </w:tcBorders>
          </w:tcPr>
          <w:p>
            <w:pPr>
              <w:jc w:val="right"/>
              <w:ind w:right="460"/>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333333"/>
            </w:tcBorders>
          </w:tcPr>
          <w:p>
            <w:pPr>
              <w:jc w:val="right"/>
              <w:ind w:right="120"/>
              <w:spacing w:after="0"/>
              <w:rPr>
                <w:sz w:val="20"/>
                <w:szCs w:val="20"/>
                <w:color w:val="auto"/>
              </w:rPr>
            </w:pPr>
            <w:r>
              <w:rPr>
                <w:rFonts w:ascii="Arial" w:cs="Arial" w:eastAsia="Arial" w:hAnsi="Arial"/>
                <w:sz w:val="16"/>
                <w:szCs w:val="16"/>
                <w:color w:val="auto"/>
              </w:rPr>
              <w:t>5,925,000</w:t>
            </w:r>
          </w:p>
        </w:tc>
      </w:tr>
      <w:tr>
        <w:trPr>
          <w:trHeight w:val="210"/>
        </w:trPr>
        <w:tc>
          <w:tcPr>
            <w:tcW w:w="2440" w:type="dxa"/>
            <w:vAlign w:val="bottom"/>
          </w:tcPr>
          <w:p>
            <w:pPr>
              <w:ind w:left="60"/>
              <w:spacing w:after="0"/>
              <w:rPr>
                <w:sz w:val="20"/>
                <w:szCs w:val="20"/>
                <w:color w:val="auto"/>
              </w:rPr>
            </w:pPr>
            <w:r>
              <w:rPr>
                <w:rFonts w:ascii="Arial" w:cs="Arial" w:eastAsia="Arial" w:hAnsi="Arial"/>
                <w:sz w:val="14"/>
                <w:szCs w:val="14"/>
                <w:b w:val="1"/>
                <w:bCs w:val="1"/>
                <w:color w:val="auto"/>
              </w:rPr>
              <w:t>Marianne Lake</w:t>
            </w:r>
          </w:p>
        </w:tc>
        <w:tc>
          <w:tcPr>
            <w:tcW w:w="1900" w:type="dxa"/>
            <w:vAlign w:val="bottom"/>
          </w:tcPr>
          <w:p>
            <w:pPr>
              <w:jc w:val="right"/>
              <w:ind w:right="179"/>
              <w:spacing w:after="0"/>
              <w:rPr>
                <w:sz w:val="20"/>
                <w:szCs w:val="20"/>
                <w:color w:val="auto"/>
              </w:rPr>
            </w:pPr>
            <w:r>
              <w:rPr>
                <w:rFonts w:ascii="Arial" w:cs="Arial" w:eastAsia="Arial" w:hAnsi="Arial"/>
                <w:sz w:val="16"/>
                <w:szCs w:val="16"/>
                <w:color w:val="auto"/>
              </w:rPr>
              <w:t>1/15/2019</w:t>
            </w:r>
          </w:p>
        </w:tc>
        <w:tc>
          <w:tcPr>
            <w:tcW w:w="1120" w:type="dxa"/>
            <w:vAlign w:val="bottom"/>
          </w:tcPr>
          <w:p>
            <w:pPr>
              <w:ind w:left="44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20" w:type="dxa"/>
            <w:vAlign w:val="bottom"/>
            <w:gridSpan w:val="2"/>
          </w:tcPr>
          <w:p>
            <w:pPr>
              <w:jc w:val="right"/>
              <w:ind w:right="520"/>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460"/>
              <w:spacing w:after="0"/>
              <w:rPr>
                <w:sz w:val="20"/>
                <w:szCs w:val="20"/>
                <w:color w:val="auto"/>
              </w:rPr>
            </w:pPr>
            <w:r>
              <w:rPr>
                <w:rFonts w:ascii="Arial" w:cs="Arial" w:eastAsia="Arial" w:hAnsi="Arial"/>
                <w:sz w:val="16"/>
                <w:szCs w:val="16"/>
                <w:color w:val="auto"/>
              </w:rPr>
              <w:t>42,523</w:t>
            </w:r>
          </w:p>
        </w:tc>
        <w:tc>
          <w:tcPr>
            <w:tcW w:w="1540" w:type="dxa"/>
            <w:vAlign w:val="bottom"/>
          </w:tcPr>
          <w:p>
            <w:pPr>
              <w:jc w:val="right"/>
              <w:ind w:right="120"/>
              <w:spacing w:after="0"/>
              <w:rPr>
                <w:sz w:val="20"/>
                <w:szCs w:val="20"/>
                <w:color w:val="auto"/>
              </w:rPr>
            </w:pPr>
            <w:r>
              <w:rPr>
                <w:rFonts w:ascii="Arial" w:cs="Arial" w:eastAsia="Arial" w:hAnsi="Arial"/>
                <w:sz w:val="16"/>
                <w:szCs w:val="16"/>
                <w:color w:val="auto"/>
              </w:rPr>
              <w:t>4,275,000</w:t>
            </w:r>
          </w:p>
        </w:tc>
      </w:tr>
      <w:tr>
        <w:trPr>
          <w:trHeight w:val="243"/>
        </w:trPr>
        <w:tc>
          <w:tcPr>
            <w:tcW w:w="2440" w:type="dxa"/>
            <w:vAlign w:val="bottom"/>
            <w:tcBorders>
              <w:bottom w:val="single" w:sz="8" w:color="333333"/>
            </w:tcBorders>
          </w:tcPr>
          <w:p>
            <w:pPr>
              <w:spacing w:after="0"/>
              <w:rPr>
                <w:sz w:val="21"/>
                <w:szCs w:val="21"/>
                <w:color w:val="auto"/>
              </w:rPr>
            </w:pPr>
          </w:p>
        </w:tc>
        <w:tc>
          <w:tcPr>
            <w:tcW w:w="1900" w:type="dxa"/>
            <w:vAlign w:val="bottom"/>
            <w:tcBorders>
              <w:bottom w:val="single" w:sz="8" w:color="333333"/>
            </w:tcBorders>
          </w:tcPr>
          <w:p>
            <w:pPr>
              <w:jc w:val="right"/>
              <w:ind w:right="179"/>
              <w:spacing w:after="0"/>
              <w:rPr>
                <w:sz w:val="20"/>
                <w:szCs w:val="20"/>
                <w:color w:val="auto"/>
              </w:rPr>
            </w:pPr>
            <w:r>
              <w:rPr>
                <w:rFonts w:ascii="Arial" w:cs="Arial" w:eastAsia="Arial" w:hAnsi="Arial"/>
                <w:sz w:val="16"/>
                <w:szCs w:val="16"/>
                <w:color w:val="auto"/>
              </w:rPr>
              <w:t>1/15/2019</w:t>
            </w:r>
          </w:p>
        </w:tc>
        <w:tc>
          <w:tcPr>
            <w:tcW w:w="1120" w:type="dxa"/>
            <w:vAlign w:val="bottom"/>
            <w:tcBorders>
              <w:bottom w:val="single" w:sz="8" w:color="333333"/>
            </w:tcBorders>
          </w:tcPr>
          <w:p>
            <w:pPr>
              <w:ind w:left="44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333333"/>
            </w:tcBorders>
          </w:tcPr>
          <w:p>
            <w:pPr>
              <w:jc w:val="right"/>
              <w:ind w:right="99"/>
              <w:spacing w:after="0"/>
              <w:rPr>
                <w:sz w:val="20"/>
                <w:szCs w:val="20"/>
                <w:color w:val="auto"/>
              </w:rPr>
            </w:pPr>
            <w:r>
              <w:rPr>
                <w:rFonts w:ascii="Arial" w:cs="Arial" w:eastAsia="Arial" w:hAnsi="Arial"/>
                <w:sz w:val="16"/>
                <w:szCs w:val="16"/>
                <w:color w:val="auto"/>
              </w:rPr>
              <w:t>42,523</w:t>
            </w:r>
          </w:p>
        </w:tc>
        <w:tc>
          <w:tcPr>
            <w:tcW w:w="1120" w:type="dxa"/>
            <w:vAlign w:val="bottom"/>
            <w:tcBorders>
              <w:bottom w:val="single" w:sz="8" w:color="333333"/>
            </w:tcBorders>
          </w:tcPr>
          <w:p>
            <w:pPr>
              <w:jc w:val="right"/>
              <w:ind w:right="139"/>
              <w:spacing w:after="0"/>
              <w:rPr>
                <w:sz w:val="20"/>
                <w:szCs w:val="20"/>
                <w:color w:val="auto"/>
              </w:rPr>
            </w:pPr>
            <w:r>
              <w:rPr>
                <w:rFonts w:ascii="Arial" w:cs="Arial" w:eastAsia="Arial" w:hAnsi="Arial"/>
                <w:sz w:val="16"/>
                <w:szCs w:val="16"/>
                <w:color w:val="auto"/>
              </w:rPr>
              <w:t>63,785</w:t>
            </w:r>
          </w:p>
        </w:tc>
        <w:tc>
          <w:tcPr>
            <w:tcW w:w="300" w:type="dxa"/>
            <w:vAlign w:val="bottom"/>
            <w:tcBorders>
              <w:bottom w:val="single" w:sz="8" w:color="333333"/>
            </w:tcBorders>
          </w:tcPr>
          <w:p>
            <w:pPr>
              <w:spacing w:after="0"/>
              <w:rPr>
                <w:sz w:val="21"/>
                <w:szCs w:val="21"/>
                <w:color w:val="auto"/>
              </w:rPr>
            </w:pPr>
          </w:p>
        </w:tc>
        <w:tc>
          <w:tcPr>
            <w:tcW w:w="1640" w:type="dxa"/>
            <w:vAlign w:val="bottom"/>
            <w:tcBorders>
              <w:bottom w:val="single" w:sz="8" w:color="333333"/>
            </w:tcBorders>
          </w:tcPr>
          <w:p>
            <w:pPr>
              <w:jc w:val="right"/>
              <w:ind w:right="460"/>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333333"/>
            </w:tcBorders>
          </w:tcPr>
          <w:p>
            <w:pPr>
              <w:jc w:val="right"/>
              <w:ind w:right="120"/>
              <w:spacing w:after="0"/>
              <w:rPr>
                <w:sz w:val="20"/>
                <w:szCs w:val="20"/>
                <w:color w:val="auto"/>
              </w:rPr>
            </w:pPr>
            <w:r>
              <w:rPr>
                <w:rFonts w:ascii="Arial" w:cs="Arial" w:eastAsia="Arial" w:hAnsi="Arial"/>
                <w:sz w:val="16"/>
                <w:szCs w:val="16"/>
                <w:color w:val="auto"/>
              </w:rPr>
              <w:t>4,275,000</w:t>
            </w:r>
          </w:p>
        </w:tc>
      </w:tr>
      <w:tr>
        <w:trPr>
          <w:trHeight w:val="223"/>
        </w:trPr>
        <w:tc>
          <w:tcPr>
            <w:tcW w:w="2440" w:type="dxa"/>
            <w:vAlign w:val="bottom"/>
            <w:tcBorders>
              <w:bottom w:val="single" w:sz="8" w:color="333333"/>
            </w:tcBorders>
          </w:tcPr>
          <w:p>
            <w:pPr>
              <w:ind w:left="60"/>
              <w:spacing w:after="0"/>
              <w:rPr>
                <w:sz w:val="20"/>
                <w:szCs w:val="20"/>
                <w:color w:val="auto"/>
              </w:rPr>
            </w:pPr>
            <w:r>
              <w:rPr>
                <w:rFonts w:ascii="Arial" w:cs="Arial" w:eastAsia="Arial" w:hAnsi="Arial"/>
                <w:sz w:val="14"/>
                <w:szCs w:val="14"/>
                <w:b w:val="1"/>
                <w:bCs w:val="1"/>
                <w:color w:val="auto"/>
              </w:rPr>
              <w:t>Jennifer Piepszak</w:t>
            </w:r>
          </w:p>
        </w:tc>
        <w:tc>
          <w:tcPr>
            <w:tcW w:w="1900" w:type="dxa"/>
            <w:vAlign w:val="bottom"/>
            <w:tcBorders>
              <w:bottom w:val="single" w:sz="8" w:color="333333"/>
            </w:tcBorders>
          </w:tcPr>
          <w:p>
            <w:pPr>
              <w:jc w:val="right"/>
              <w:ind w:right="179"/>
              <w:spacing w:after="0"/>
              <w:rPr>
                <w:sz w:val="20"/>
                <w:szCs w:val="20"/>
                <w:color w:val="auto"/>
              </w:rPr>
            </w:pPr>
            <w:r>
              <w:rPr>
                <w:rFonts w:ascii="Arial" w:cs="Arial" w:eastAsia="Arial" w:hAnsi="Arial"/>
                <w:sz w:val="16"/>
                <w:szCs w:val="16"/>
                <w:color w:val="auto"/>
              </w:rPr>
              <w:t>1/15/2019</w:t>
            </w:r>
          </w:p>
        </w:tc>
        <w:tc>
          <w:tcPr>
            <w:tcW w:w="1120" w:type="dxa"/>
            <w:vAlign w:val="bottom"/>
            <w:tcBorders>
              <w:bottom w:val="single" w:sz="8" w:color="333333"/>
            </w:tcBorders>
          </w:tcPr>
          <w:p>
            <w:pPr>
              <w:ind w:left="44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333333"/>
            </w:tcBorders>
          </w:tcPr>
          <w:p>
            <w:pPr>
              <w:jc w:val="right"/>
              <w:ind w:right="9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333333"/>
            </w:tcBorders>
            <w:gridSpan w:val="2"/>
          </w:tcPr>
          <w:p>
            <w:pPr>
              <w:jc w:val="right"/>
              <w:ind w:right="520"/>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333333"/>
            </w:tcBorders>
          </w:tcPr>
          <w:p>
            <w:pPr>
              <w:jc w:val="right"/>
              <w:ind w:right="460"/>
              <w:spacing w:after="0"/>
              <w:rPr>
                <w:sz w:val="20"/>
                <w:szCs w:val="20"/>
                <w:color w:val="auto"/>
              </w:rPr>
            </w:pPr>
            <w:r>
              <w:rPr>
                <w:rFonts w:ascii="Arial" w:cs="Arial" w:eastAsia="Arial" w:hAnsi="Arial"/>
                <w:sz w:val="16"/>
                <w:szCs w:val="16"/>
                <w:color w:val="auto"/>
              </w:rPr>
              <w:t>32,825</w:t>
            </w:r>
          </w:p>
        </w:tc>
        <w:tc>
          <w:tcPr>
            <w:tcW w:w="1540" w:type="dxa"/>
            <w:vAlign w:val="bottom"/>
            <w:tcBorders>
              <w:bottom w:val="single" w:sz="8" w:color="333333"/>
            </w:tcBorders>
          </w:tcPr>
          <w:p>
            <w:pPr>
              <w:jc w:val="right"/>
              <w:ind w:right="120"/>
              <w:spacing w:after="0"/>
              <w:rPr>
                <w:sz w:val="20"/>
                <w:szCs w:val="20"/>
                <w:color w:val="auto"/>
              </w:rPr>
            </w:pPr>
            <w:r>
              <w:rPr>
                <w:rFonts w:ascii="Arial" w:cs="Arial" w:eastAsia="Arial" w:hAnsi="Arial"/>
                <w:sz w:val="16"/>
                <w:szCs w:val="16"/>
                <w:color w:val="auto"/>
              </w:rPr>
              <w:t>3,300,000</w:t>
            </w:r>
          </w:p>
        </w:tc>
      </w:tr>
    </w:tbl>
    <w:p>
      <w:pPr>
        <w:spacing w:after="0" w:line="75" w:lineRule="exact"/>
        <w:rPr>
          <w:sz w:val="20"/>
          <w:szCs w:val="20"/>
          <w:color w:val="auto"/>
        </w:rPr>
      </w:pPr>
    </w:p>
    <w:p>
      <w:pPr>
        <w:ind w:left="340" w:right="200" w:hanging="175"/>
        <w:spacing w:after="0" w:line="216" w:lineRule="auto"/>
        <w:tabs>
          <w:tab w:leader="none" w:pos="340" w:val="left"/>
        </w:tabs>
        <w:numPr>
          <w:ilvl w:val="0"/>
          <w:numId w:val="176"/>
        </w:numPr>
        <w:rPr>
          <w:rFonts w:ascii="Arial" w:cs="Arial" w:eastAsia="Arial" w:hAnsi="Arial"/>
          <w:sz w:val="11"/>
          <w:szCs w:val="11"/>
          <w:color w:val="auto"/>
        </w:rPr>
      </w:pPr>
      <w:r>
        <w:rPr>
          <w:rFonts w:ascii="Arial" w:cs="Arial" w:eastAsia="Arial" w:hAnsi="Arial"/>
          <w:sz w:val="13"/>
          <w:szCs w:val="13"/>
          <w:color w:val="auto"/>
        </w:rPr>
        <w:t>Equity grants are awarded as part of the annual compensation process and as part of employment offers for new hires. Grants made as part of the annual incentive compensation process are generally awarded in January after fourth quarter earnings are released. RSUs and PSUs carry no voting rights.</w:t>
      </w:r>
    </w:p>
    <w:p>
      <w:pPr>
        <w:ind w:left="340" w:right="60"/>
        <w:spacing w:after="0" w:line="216" w:lineRule="auto"/>
        <w:rPr>
          <w:rFonts w:ascii="Arial" w:cs="Arial" w:eastAsia="Arial" w:hAnsi="Arial"/>
          <w:sz w:val="11"/>
          <w:szCs w:val="11"/>
          <w:color w:val="auto"/>
        </w:rPr>
      </w:pPr>
      <w:r>
        <w:rPr>
          <w:rFonts w:ascii="Arial" w:cs="Arial" w:eastAsia="Arial" w:hAnsi="Arial"/>
          <w:sz w:val="13"/>
          <w:szCs w:val="13"/>
          <w:color w:val="auto"/>
        </w:rPr>
        <w:t>On January 21, 2020, the Firm awarded RSU and PSU awards as part of the 2019 annual incentive compensation. Because these awards were granted in 2020, they do not appear in this table, which is required to include only equity awards actually granted during 2019. These 2020 awards are however reflected in the “NEO Compensation” table on page 65. No SARs have been awarded since 2013.</w:t>
      </w:r>
    </w:p>
    <w:p>
      <w:pPr>
        <w:spacing w:after="0" w:line="1" w:lineRule="exact"/>
        <w:rPr>
          <w:sz w:val="20"/>
          <w:szCs w:val="20"/>
          <w:color w:val="auto"/>
        </w:rPr>
      </w:pPr>
    </w:p>
    <w:p>
      <w:pPr>
        <w:ind w:left="340" w:right="180" w:hanging="175"/>
        <w:spacing w:after="0" w:line="216" w:lineRule="auto"/>
        <w:tabs>
          <w:tab w:leader="none" w:pos="340" w:val="left"/>
        </w:tabs>
        <w:numPr>
          <w:ilvl w:val="0"/>
          <w:numId w:val="177"/>
        </w:numPr>
        <w:rPr>
          <w:rFonts w:ascii="Arial" w:cs="Arial" w:eastAsia="Arial" w:hAnsi="Arial"/>
          <w:sz w:val="11"/>
          <w:szCs w:val="11"/>
          <w:color w:val="auto"/>
        </w:rPr>
      </w:pPr>
      <w:r>
        <w:rPr>
          <w:rFonts w:ascii="Arial" w:cs="Arial" w:eastAsia="Arial" w:hAnsi="Arial"/>
          <w:sz w:val="13"/>
          <w:szCs w:val="13"/>
          <w:color w:val="auto"/>
        </w:rPr>
        <w:t>For NEOs other than Mr. Pinto, PSUs vest on March 25, 2022, and are subject to a two-year holding period post-vesting. In accordance with U.K. regulations, for Mr. Pinto, PSUs vest in five equal installments on March 25, 2022, 2023, 2024, 2025 and 2026, and are subject to: (i) a twelve-month holding period for all installments post-vesting, (ii) a two-year holding period for the installment vesting on March 25, 2022, with the holding periods associated with (i) and (ii) above running concurrently. Each PSU represents the right to receive one share of common stock on the vesting date.</w:t>
      </w:r>
    </w:p>
    <w:p>
      <w:pPr>
        <w:spacing w:after="0" w:line="1" w:lineRule="exact"/>
        <w:rPr>
          <w:rFonts w:ascii="Arial" w:cs="Arial" w:eastAsia="Arial" w:hAnsi="Arial"/>
          <w:sz w:val="11"/>
          <w:szCs w:val="11"/>
          <w:color w:val="auto"/>
        </w:rPr>
      </w:pPr>
    </w:p>
    <w:p>
      <w:pPr>
        <w:ind w:left="340" w:right="60"/>
        <w:spacing w:after="0" w:line="216" w:lineRule="auto"/>
        <w:rPr>
          <w:rFonts w:ascii="Arial" w:cs="Arial" w:eastAsia="Arial" w:hAnsi="Arial"/>
          <w:sz w:val="11"/>
          <w:szCs w:val="11"/>
          <w:color w:val="auto"/>
        </w:rPr>
      </w:pPr>
      <w:r>
        <w:rPr>
          <w:rFonts w:ascii="Arial" w:cs="Arial" w:eastAsia="Arial" w:hAnsi="Arial"/>
          <w:sz w:val="13"/>
          <w:szCs w:val="13"/>
          <w:color w:val="auto"/>
        </w:rPr>
        <w:t>The ultimate number of PSUs that will vest will be determined by the Firm’s performance for each applicable performance year, and for NEOs other than Mr. Pinto, will include any accumulated reinvested dividend equivalent shares. The dividend equivalent shares, if any, will be based on: (1) the number of PSUs earned at vesting; and (2) on dividends that would have been paid on the Firm’s common stock during the vesting period as of each dividend payment date, if any. Under rules applicable in the U.K., for Mr. Pinto, the PSUs are not eligible for reinvested dividend equivalent shares and an assessment is also made of his qualitative performance in determining the ultimate number of PSUs that will vest.</w:t>
      </w:r>
    </w:p>
    <w:p>
      <w:pPr>
        <w:spacing w:after="0" w:line="2" w:lineRule="exact"/>
        <w:rPr>
          <w:sz w:val="20"/>
          <w:szCs w:val="20"/>
          <w:color w:val="auto"/>
        </w:rPr>
      </w:pPr>
    </w:p>
    <w:p>
      <w:pPr>
        <w:ind w:left="340" w:right="20" w:hanging="175"/>
        <w:spacing w:after="0" w:line="216" w:lineRule="auto"/>
        <w:tabs>
          <w:tab w:leader="none" w:pos="340" w:val="left"/>
        </w:tabs>
        <w:numPr>
          <w:ilvl w:val="0"/>
          <w:numId w:val="178"/>
        </w:numPr>
        <w:rPr>
          <w:rFonts w:ascii="Arial" w:cs="Arial" w:eastAsia="Arial" w:hAnsi="Arial"/>
          <w:sz w:val="11"/>
          <w:szCs w:val="11"/>
          <w:color w:val="auto"/>
        </w:rPr>
      </w:pPr>
      <w:r>
        <w:rPr>
          <w:rFonts w:ascii="Arial" w:cs="Arial" w:eastAsia="Arial" w:hAnsi="Arial"/>
          <w:sz w:val="13"/>
          <w:szCs w:val="13"/>
          <w:color w:val="auto"/>
        </w:rPr>
        <w:t>For NEOs other than Mr. Pinto, RSUs vest in two equal installments on January 13, 2021 and 2022. Each RSU represents the right to receive one share of common stock on the vesting date and non-preferential dividend equivalents, payable in cash, equal to any dividends paid on the Firm’s common stock during the vesting period.</w:t>
      </w:r>
    </w:p>
    <w:p>
      <w:pPr>
        <w:ind w:left="340" w:right="220"/>
        <w:spacing w:after="0" w:line="216" w:lineRule="auto"/>
        <w:rPr>
          <w:rFonts w:ascii="Arial" w:cs="Arial" w:eastAsia="Arial" w:hAnsi="Arial"/>
          <w:sz w:val="11"/>
          <w:szCs w:val="11"/>
          <w:color w:val="auto"/>
        </w:rPr>
      </w:pPr>
      <w:r>
        <w:rPr>
          <w:rFonts w:ascii="Arial" w:cs="Arial" w:eastAsia="Arial" w:hAnsi="Arial"/>
          <w:sz w:val="13"/>
          <w:szCs w:val="13"/>
          <w:color w:val="auto"/>
        </w:rPr>
        <w:t>Under rules applicable in the U.K., for Mr. Pinto, RSUs vest in five equal installments on January 13, 2022, 2023, 2024, 2025 and 2026, and are subject to a twelve-month holding period post-vesting. Mr. Pinto’s RSUs are not eligible for dividend equivalents.</w:t>
      </w:r>
    </w:p>
    <w:p>
      <w:pPr>
        <w:spacing w:after="0" w:line="1" w:lineRule="exact"/>
        <w:rPr>
          <w:sz w:val="20"/>
          <w:szCs w:val="20"/>
          <w:color w:val="auto"/>
        </w:rPr>
      </w:pPr>
    </w:p>
    <w:p>
      <w:pPr>
        <w:ind w:left="340" w:hanging="175"/>
        <w:spacing w:after="0" w:line="225" w:lineRule="auto"/>
        <w:tabs>
          <w:tab w:leader="none" w:pos="340" w:val="left"/>
        </w:tabs>
        <w:numPr>
          <w:ilvl w:val="0"/>
          <w:numId w:val="179"/>
        </w:numPr>
        <w:rPr>
          <w:rFonts w:ascii="Arial" w:cs="Arial" w:eastAsia="Arial" w:hAnsi="Arial"/>
          <w:sz w:val="11"/>
          <w:szCs w:val="11"/>
          <w:color w:val="auto"/>
        </w:rPr>
      </w:pPr>
      <w:r>
        <w:rPr>
          <w:rFonts w:ascii="Arial" w:cs="Arial" w:eastAsia="Arial" w:hAnsi="Arial"/>
          <w:sz w:val="13"/>
          <w:szCs w:val="13"/>
          <w:color w:val="auto"/>
        </w:rPr>
        <w:t>Represents the aggregate grant date fair value for RSUs and PSUs. For NEOs other than Mr. Pinto, the aggregate grant date fair value is based on the average of the high and the low prices of JPMorgan Chase common stock on the grant date multiplied by the number of shares granted (for RSUs) or target number of PSUs. For Mr. Pinto, the grant date fair value takes into account that these awards do not carry the right to dividends or dividend equivalents prior to vesting, in accordance with local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242570</wp:posOffset>
            </wp:positionV>
            <wp:extent cx="7029450" cy="19748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029450" cy="19748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jc w:val="center"/>
        <w:ind w:right="-99"/>
        <w:spacing w:after="0"/>
        <w:rPr>
          <w:sz w:val="20"/>
          <w:szCs w:val="20"/>
          <w:color w:val="auto"/>
        </w:rPr>
      </w:pPr>
      <w:r>
        <w:rPr>
          <w:rFonts w:ascii="Arial" w:cs="Arial" w:eastAsia="Arial" w:hAnsi="Arial"/>
          <w:sz w:val="13"/>
          <w:szCs w:val="13"/>
          <w:b w:val="1"/>
          <w:bCs w:val="1"/>
          <w:color w:val="004876"/>
        </w:rPr>
        <w:t>75</w:t>
      </w:r>
    </w:p>
    <w:p>
      <w:pPr>
        <w:sectPr>
          <w:pgSz w:w="11900" w:h="16838" w:orient="portrait"/>
          <w:cols w:equalWidth="0" w:num="1">
            <w:col w:w="11140"/>
          </w:cols>
          <w:pgMar w:left="320" w:top="459" w:right="4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4876"/>
        </w:rPr>
        <w:t>EXECUTIVE COMPENSATION TABLES |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10" w:lineRule="exact"/>
        <w:rPr>
          <w:sz w:val="20"/>
          <w:szCs w:val="20"/>
          <w:color w:val="auto"/>
        </w:rPr>
      </w:pPr>
    </w:p>
    <w:p>
      <w:pPr>
        <w:ind w:left="120"/>
        <w:spacing w:after="0"/>
        <w:rPr>
          <w:sz w:val="20"/>
          <w:szCs w:val="20"/>
          <w:color w:val="auto"/>
        </w:rPr>
      </w:pPr>
      <w:r>
        <w:rPr>
          <w:rFonts w:ascii="Arial" w:cs="Arial" w:eastAsia="Arial" w:hAnsi="Arial"/>
          <w:sz w:val="20"/>
          <w:szCs w:val="20"/>
          <w:color w:val="004876"/>
        </w:rPr>
        <w:t>III. OUTSTANDING EQUITY AWARDS AT FISCAL YEAR-END 2019</w:t>
      </w:r>
    </w:p>
    <w:p>
      <w:pPr>
        <w:spacing w:after="0" w:line="97" w:lineRule="exact"/>
        <w:rPr>
          <w:sz w:val="20"/>
          <w:szCs w:val="20"/>
          <w:color w:val="auto"/>
        </w:rPr>
      </w:pPr>
    </w:p>
    <w:p>
      <w:pPr>
        <w:ind w:left="120" w:right="80"/>
        <w:spacing w:after="0" w:line="246" w:lineRule="auto"/>
        <w:rPr>
          <w:sz w:val="20"/>
          <w:szCs w:val="20"/>
          <w:color w:val="auto"/>
        </w:rPr>
      </w:pPr>
      <w:r>
        <w:rPr>
          <w:rFonts w:ascii="Arial" w:cs="Arial" w:eastAsia="Arial" w:hAnsi="Arial"/>
          <w:sz w:val="18"/>
          <w:szCs w:val="18"/>
          <w:color w:val="auto"/>
        </w:rPr>
        <w:t>The following table shows the number of shares of the Firm’s common stock underlying (i) exercisable SARs and (ii) RSUs and PSUs that had not yet vested held by the Firm’s Named Executive Officers on December 31, 2019.</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24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340" w:type="dxa"/>
            <w:vAlign w:val="bottom"/>
            <w:tcBorders>
              <w:bottom w:val="single" w:sz="8" w:color="333333"/>
            </w:tcBorders>
          </w:tcPr>
          <w:p>
            <w:pPr>
              <w:spacing w:after="0"/>
              <w:rPr>
                <w:sz w:val="16"/>
                <w:szCs w:val="16"/>
                <w:color w:val="auto"/>
              </w:rPr>
            </w:pPr>
          </w:p>
        </w:tc>
        <w:tc>
          <w:tcPr>
            <w:tcW w:w="2020" w:type="dxa"/>
            <w:vAlign w:val="bottom"/>
            <w:tcBorders>
              <w:bottom w:val="single" w:sz="8" w:color="333333"/>
            </w:tcBorders>
            <w:gridSpan w:val="4"/>
          </w:tcPr>
          <w:p>
            <w:pPr>
              <w:jc w:val="right"/>
              <w:ind w:right="99"/>
              <w:spacing w:after="0"/>
              <w:rPr>
                <w:sz w:val="20"/>
                <w:szCs w:val="20"/>
                <w:color w:val="auto"/>
              </w:rPr>
            </w:pPr>
            <w:r>
              <w:rPr>
                <w:rFonts w:ascii="Arial" w:cs="Arial" w:eastAsia="Arial" w:hAnsi="Arial"/>
                <w:sz w:val="16"/>
                <w:szCs w:val="16"/>
                <w:color w:val="auto"/>
              </w:rPr>
              <w:t>Option awards</w:t>
            </w:r>
          </w:p>
        </w:tc>
        <w:tc>
          <w:tcPr>
            <w:tcW w:w="940" w:type="dxa"/>
            <w:vAlign w:val="bottom"/>
            <w:tcBorders>
              <w:bottom w:val="single" w:sz="8" w:color="333333"/>
            </w:tcBorders>
          </w:tcPr>
          <w:p>
            <w:pPr>
              <w:spacing w:after="0"/>
              <w:rPr>
                <w:sz w:val="16"/>
                <w:szCs w:val="16"/>
                <w:color w:val="auto"/>
              </w:rPr>
            </w:pPr>
          </w:p>
        </w:tc>
        <w:tc>
          <w:tcPr>
            <w:tcW w:w="160" w:type="dxa"/>
            <w:vAlign w:val="bottom"/>
          </w:tcPr>
          <w:p>
            <w:pPr>
              <w:spacing w:after="0"/>
              <w:rPr>
                <w:sz w:val="16"/>
                <w:szCs w:val="16"/>
                <w:color w:val="auto"/>
              </w:rPr>
            </w:pPr>
          </w:p>
        </w:tc>
        <w:tc>
          <w:tcPr>
            <w:tcW w:w="2440" w:type="dxa"/>
            <w:vAlign w:val="bottom"/>
            <w:tcBorders>
              <w:bottom w:val="single" w:sz="8" w:color="333333"/>
            </w:tcBorders>
            <w:gridSpan w:val="4"/>
          </w:tcPr>
          <w:p>
            <w:pPr>
              <w:jc w:val="right"/>
              <w:ind w:right="660"/>
              <w:spacing w:after="0"/>
              <w:rPr>
                <w:sz w:val="20"/>
                <w:szCs w:val="20"/>
                <w:color w:val="auto"/>
              </w:rPr>
            </w:pPr>
            <w:r>
              <w:rPr>
                <w:rFonts w:ascii="Arial" w:cs="Arial" w:eastAsia="Arial" w:hAnsi="Arial"/>
                <w:sz w:val="16"/>
                <w:szCs w:val="16"/>
                <w:color w:val="auto"/>
              </w:rPr>
              <w:t>Stock awards</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4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004876"/>
              </w:rPr>
              <w:t>Number of</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420" w:type="dxa"/>
            <w:vAlign w:val="bottom"/>
            <w:gridSpan w:val="3"/>
          </w:tcPr>
          <w:p>
            <w:pPr>
              <w:ind w:left="240"/>
              <w:spacing w:after="0"/>
              <w:rPr>
                <w:sz w:val="20"/>
                <w:szCs w:val="20"/>
                <w:color w:val="auto"/>
              </w:rPr>
            </w:pPr>
            <w:r>
              <w:rPr>
                <w:rFonts w:ascii="Arial" w:cs="Arial" w:eastAsia="Arial" w:hAnsi="Arial"/>
                <w:sz w:val="16"/>
                <w:szCs w:val="16"/>
                <w:color w:val="004876"/>
              </w:rPr>
              <w:t>Number of</w:t>
            </w: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gridSpan w:val="2"/>
          </w:tcPr>
          <w:p>
            <w:pPr>
              <w:jc w:val="center"/>
              <w:ind w:right="20"/>
              <w:spacing w:after="0"/>
              <w:rPr>
                <w:sz w:val="20"/>
                <w:szCs w:val="20"/>
                <w:color w:val="auto"/>
              </w:rPr>
            </w:pPr>
            <w:r>
              <w:rPr>
                <w:rFonts w:ascii="Arial" w:cs="Arial" w:eastAsia="Arial" w:hAnsi="Arial"/>
                <w:sz w:val="16"/>
                <w:szCs w:val="16"/>
                <w:color w:val="004876"/>
              </w:rPr>
              <w:t>unearned</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420" w:type="dxa"/>
            <w:vAlign w:val="bottom"/>
            <w:gridSpan w:val="3"/>
          </w:tcPr>
          <w:p>
            <w:pPr>
              <w:ind w:left="240"/>
              <w:spacing w:after="0"/>
              <w:rPr>
                <w:sz w:val="20"/>
                <w:szCs w:val="20"/>
                <w:color w:val="auto"/>
              </w:rPr>
            </w:pPr>
            <w:r>
              <w:rPr>
                <w:rFonts w:ascii="Arial" w:cs="Arial" w:eastAsia="Arial" w:hAnsi="Arial"/>
                <w:sz w:val="16"/>
                <w:szCs w:val="16"/>
                <w:color w:val="004876"/>
              </w:rPr>
              <w:t>securities</w:t>
            </w: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ind w:left="180"/>
              <w:spacing w:after="0"/>
              <w:rPr>
                <w:sz w:val="20"/>
                <w:szCs w:val="20"/>
                <w:color w:val="auto"/>
              </w:rPr>
            </w:pPr>
            <w:r>
              <w:rPr>
                <w:rFonts w:ascii="Arial" w:cs="Arial" w:eastAsia="Arial" w:hAnsi="Arial"/>
                <w:sz w:val="16"/>
                <w:szCs w:val="16"/>
                <w:color w:val="004876"/>
              </w:rPr>
              <w:t>Number of</w:t>
            </w:r>
          </w:p>
        </w:tc>
        <w:tc>
          <w:tcPr>
            <w:tcW w:w="280" w:type="dxa"/>
            <w:vAlign w:val="bottom"/>
          </w:tcPr>
          <w:p>
            <w:pPr>
              <w:spacing w:after="0"/>
              <w:rPr>
                <w:sz w:val="16"/>
                <w:szCs w:val="16"/>
                <w:color w:val="auto"/>
              </w:rPr>
            </w:pPr>
          </w:p>
        </w:tc>
        <w:tc>
          <w:tcPr>
            <w:tcW w:w="1100" w:type="dxa"/>
            <w:vAlign w:val="bottom"/>
            <w:gridSpan w:val="2"/>
          </w:tcPr>
          <w:p>
            <w:pPr>
              <w:jc w:val="center"/>
              <w:ind w:right="20"/>
              <w:spacing w:after="0"/>
              <w:rPr>
                <w:sz w:val="20"/>
                <w:szCs w:val="20"/>
                <w:color w:val="auto"/>
              </w:rPr>
            </w:pPr>
            <w:r>
              <w:rPr>
                <w:rFonts w:ascii="Arial" w:cs="Arial" w:eastAsia="Arial" w:hAnsi="Arial"/>
                <w:sz w:val="16"/>
                <w:szCs w:val="16"/>
                <w:color w:val="004876"/>
              </w:rPr>
              <w:t>performance</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20" w:type="dxa"/>
            <w:vAlign w:val="bottom"/>
          </w:tcPr>
          <w:p>
            <w:pPr>
              <w:spacing w:after="0"/>
              <w:rPr>
                <w:sz w:val="16"/>
                <w:szCs w:val="16"/>
                <w:color w:val="auto"/>
              </w:rPr>
            </w:pPr>
          </w:p>
        </w:tc>
        <w:tc>
          <w:tcPr>
            <w:tcW w:w="2480" w:type="dxa"/>
            <w:vAlign w:val="bottom"/>
            <w:vMerge w:val="restart"/>
          </w:tcPr>
          <w:p>
            <w:pPr>
              <w:ind w:left="1320"/>
              <w:spacing w:after="0"/>
              <w:rPr>
                <w:sz w:val="20"/>
                <w:szCs w:val="20"/>
                <w:color w:val="auto"/>
              </w:rPr>
            </w:pPr>
            <w:r>
              <w:rPr>
                <w:rFonts w:ascii="Arial" w:cs="Arial" w:eastAsia="Arial" w:hAnsi="Arial"/>
                <w:sz w:val="16"/>
                <w:szCs w:val="16"/>
                <w:color w:val="004876"/>
              </w:rPr>
              <w:t>Option/</w:t>
            </w:r>
          </w:p>
        </w:tc>
        <w:tc>
          <w:tcPr>
            <w:tcW w:w="1420" w:type="dxa"/>
            <w:vAlign w:val="bottom"/>
            <w:gridSpan w:val="3"/>
          </w:tcPr>
          <w:p>
            <w:pPr>
              <w:jc w:val="center"/>
              <w:ind w:right="260"/>
              <w:spacing w:after="0"/>
              <w:rPr>
                <w:sz w:val="20"/>
                <w:szCs w:val="20"/>
                <w:color w:val="auto"/>
              </w:rPr>
            </w:pPr>
            <w:r>
              <w:rPr>
                <w:rFonts w:ascii="Arial" w:cs="Arial" w:eastAsia="Arial" w:hAnsi="Arial"/>
                <w:sz w:val="16"/>
                <w:szCs w:val="16"/>
                <w:color w:val="004876"/>
              </w:rPr>
              <w:t>underlying</w:t>
            </w:r>
          </w:p>
        </w:tc>
        <w:tc>
          <w:tcPr>
            <w:tcW w:w="940" w:type="dxa"/>
            <w:vAlign w:val="bottom"/>
            <w:gridSpan w:val="2"/>
            <w:vMerge w:val="restart"/>
          </w:tcPr>
          <w:p>
            <w:pPr>
              <w:jc w:val="right"/>
              <w:ind w:right="139"/>
              <w:spacing w:after="0"/>
              <w:rPr>
                <w:sz w:val="20"/>
                <w:szCs w:val="20"/>
                <w:color w:val="auto"/>
              </w:rPr>
            </w:pPr>
            <w:r>
              <w:rPr>
                <w:rFonts w:ascii="Arial" w:cs="Arial" w:eastAsia="Arial" w:hAnsi="Arial"/>
                <w:sz w:val="16"/>
                <w:szCs w:val="16"/>
                <w:color w:val="004876"/>
              </w:rPr>
              <w:t>Option</w:t>
            </w:r>
          </w:p>
        </w:tc>
        <w:tc>
          <w:tcPr>
            <w:tcW w:w="1100" w:type="dxa"/>
            <w:vAlign w:val="bottom"/>
            <w:gridSpan w:val="2"/>
            <w:vMerge w:val="restart"/>
          </w:tcPr>
          <w:p>
            <w:pPr>
              <w:jc w:val="center"/>
              <w:spacing w:after="0"/>
              <w:rPr>
                <w:sz w:val="20"/>
                <w:szCs w:val="20"/>
                <w:color w:val="auto"/>
              </w:rPr>
            </w:pPr>
            <w:r>
              <w:rPr>
                <w:rFonts w:ascii="Arial" w:cs="Arial" w:eastAsia="Arial" w:hAnsi="Arial"/>
                <w:sz w:val="16"/>
                <w:szCs w:val="16"/>
                <w:color w:val="004876"/>
              </w:rPr>
              <w:t>Option</w:t>
            </w:r>
          </w:p>
        </w:tc>
        <w:tc>
          <w:tcPr>
            <w:tcW w:w="1100" w:type="dxa"/>
            <w:vAlign w:val="bottom"/>
            <w:gridSpan w:val="2"/>
          </w:tcPr>
          <w:p>
            <w:pPr>
              <w:jc w:val="center"/>
              <w:ind w:right="40"/>
              <w:spacing w:after="0"/>
              <w:rPr>
                <w:sz w:val="20"/>
                <w:szCs w:val="20"/>
                <w:color w:val="auto"/>
              </w:rPr>
            </w:pPr>
            <w:r>
              <w:rPr>
                <w:rFonts w:ascii="Arial" w:cs="Arial" w:eastAsia="Arial" w:hAnsi="Arial"/>
                <w:sz w:val="16"/>
                <w:szCs w:val="16"/>
                <w:color w:val="004876"/>
              </w:rPr>
              <w:t>shares or units</w:t>
            </w:r>
          </w:p>
        </w:tc>
        <w:tc>
          <w:tcPr>
            <w:tcW w:w="280" w:type="dxa"/>
            <w:vAlign w:val="bottom"/>
          </w:tcPr>
          <w:p>
            <w:pPr>
              <w:spacing w:after="0"/>
              <w:rPr>
                <w:sz w:val="16"/>
                <w:szCs w:val="16"/>
                <w:color w:val="auto"/>
              </w:rPr>
            </w:pPr>
          </w:p>
        </w:tc>
        <w:tc>
          <w:tcPr>
            <w:tcW w:w="1100" w:type="dxa"/>
            <w:vAlign w:val="bottom"/>
            <w:gridSpan w:val="2"/>
          </w:tcPr>
          <w:p>
            <w:pPr>
              <w:jc w:val="center"/>
              <w:ind w:right="40"/>
              <w:spacing w:after="0"/>
              <w:rPr>
                <w:sz w:val="20"/>
                <w:szCs w:val="20"/>
                <w:color w:val="auto"/>
              </w:rPr>
            </w:pPr>
            <w:r>
              <w:rPr>
                <w:rFonts w:ascii="Arial" w:cs="Arial" w:eastAsia="Arial" w:hAnsi="Arial"/>
                <w:sz w:val="16"/>
                <w:szCs w:val="16"/>
                <w:color w:val="004876"/>
              </w:rPr>
              <w:t>shares or units</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420" w:type="dxa"/>
            <w:vAlign w:val="bottom"/>
          </w:tcPr>
          <w:p>
            <w:pPr>
              <w:spacing w:after="0"/>
              <w:rPr>
                <w:sz w:val="15"/>
                <w:szCs w:val="15"/>
                <w:color w:val="auto"/>
              </w:rPr>
            </w:pPr>
          </w:p>
        </w:tc>
        <w:tc>
          <w:tcPr>
            <w:tcW w:w="2480" w:type="dxa"/>
            <w:vAlign w:val="bottom"/>
            <w:vMerge w:val="continue"/>
          </w:tcPr>
          <w:p>
            <w:pPr>
              <w:spacing w:after="0"/>
              <w:rPr>
                <w:sz w:val="15"/>
                <w:szCs w:val="15"/>
                <w:color w:val="auto"/>
              </w:rPr>
            </w:pPr>
          </w:p>
        </w:tc>
        <w:tc>
          <w:tcPr>
            <w:tcW w:w="1420" w:type="dxa"/>
            <w:vAlign w:val="bottom"/>
            <w:gridSpan w:val="3"/>
          </w:tcPr>
          <w:p>
            <w:pPr>
              <w:jc w:val="center"/>
              <w:ind w:right="260"/>
              <w:spacing w:after="0" w:line="175" w:lineRule="exact"/>
              <w:rPr>
                <w:sz w:val="20"/>
                <w:szCs w:val="20"/>
                <w:color w:val="auto"/>
              </w:rPr>
            </w:pPr>
            <w:r>
              <w:rPr>
                <w:rFonts w:ascii="Arial" w:cs="Arial" w:eastAsia="Arial" w:hAnsi="Arial"/>
                <w:sz w:val="16"/>
                <w:szCs w:val="16"/>
                <w:color w:val="004876"/>
              </w:rPr>
              <w:t>unexercised</w:t>
            </w:r>
          </w:p>
        </w:tc>
        <w:tc>
          <w:tcPr>
            <w:tcW w:w="940" w:type="dxa"/>
            <w:vAlign w:val="bottom"/>
            <w:gridSpan w:val="2"/>
            <w:vMerge w:val="continue"/>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100" w:type="dxa"/>
            <w:vAlign w:val="bottom"/>
            <w:gridSpan w:val="2"/>
          </w:tcPr>
          <w:p>
            <w:pPr>
              <w:jc w:val="center"/>
              <w:ind w:right="60"/>
              <w:spacing w:after="0" w:line="175" w:lineRule="exact"/>
              <w:rPr>
                <w:sz w:val="20"/>
                <w:szCs w:val="20"/>
                <w:color w:val="auto"/>
              </w:rPr>
            </w:pPr>
            <w:r>
              <w:rPr>
                <w:rFonts w:ascii="Arial" w:cs="Arial" w:eastAsia="Arial" w:hAnsi="Arial"/>
                <w:sz w:val="16"/>
                <w:szCs w:val="16"/>
                <w:color w:val="004876"/>
              </w:rPr>
              <w:t>of stock that</w:t>
            </w:r>
          </w:p>
        </w:tc>
        <w:tc>
          <w:tcPr>
            <w:tcW w:w="280" w:type="dxa"/>
            <w:vAlign w:val="bottom"/>
          </w:tcPr>
          <w:p>
            <w:pPr>
              <w:spacing w:after="0"/>
              <w:rPr>
                <w:sz w:val="15"/>
                <w:szCs w:val="15"/>
                <w:color w:val="auto"/>
              </w:rPr>
            </w:pPr>
          </w:p>
        </w:tc>
        <w:tc>
          <w:tcPr>
            <w:tcW w:w="1100" w:type="dxa"/>
            <w:vAlign w:val="bottom"/>
            <w:gridSpan w:val="2"/>
          </w:tcPr>
          <w:p>
            <w:pPr>
              <w:jc w:val="center"/>
              <w:ind w:right="20"/>
              <w:spacing w:after="0" w:line="175" w:lineRule="exact"/>
              <w:rPr>
                <w:sz w:val="20"/>
                <w:szCs w:val="20"/>
                <w:color w:val="auto"/>
              </w:rPr>
            </w:pPr>
            <w:r>
              <w:rPr>
                <w:rFonts w:ascii="Arial" w:cs="Arial" w:eastAsia="Arial" w:hAnsi="Arial"/>
                <w:sz w:val="16"/>
                <w:szCs w:val="16"/>
                <w:color w:val="004876"/>
              </w:rPr>
              <w:t>of stock that</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420" w:type="dxa"/>
            <w:vAlign w:val="bottom"/>
          </w:tcPr>
          <w:p>
            <w:pPr>
              <w:spacing w:after="0"/>
              <w:rPr>
                <w:sz w:val="16"/>
                <w:szCs w:val="16"/>
                <w:color w:val="auto"/>
              </w:rPr>
            </w:pPr>
          </w:p>
        </w:tc>
        <w:tc>
          <w:tcPr>
            <w:tcW w:w="2480" w:type="dxa"/>
            <w:vAlign w:val="bottom"/>
          </w:tcPr>
          <w:p>
            <w:pPr>
              <w:jc w:val="right"/>
              <w:ind w:right="420"/>
              <w:spacing w:after="0"/>
              <w:rPr>
                <w:sz w:val="20"/>
                <w:szCs w:val="20"/>
                <w:color w:val="auto"/>
              </w:rPr>
            </w:pPr>
            <w:r>
              <w:rPr>
                <w:rFonts w:ascii="Arial" w:cs="Arial" w:eastAsia="Arial" w:hAnsi="Arial"/>
                <w:sz w:val="16"/>
                <w:szCs w:val="16"/>
                <w:color w:val="004876"/>
              </w:rPr>
              <w:t>stock award</w:t>
            </w:r>
          </w:p>
        </w:tc>
        <w:tc>
          <w:tcPr>
            <w:tcW w:w="1420" w:type="dxa"/>
            <w:vAlign w:val="bottom"/>
            <w:gridSpan w:val="3"/>
          </w:tcPr>
          <w:p>
            <w:pPr>
              <w:ind w:left="220"/>
              <w:spacing w:after="0"/>
              <w:rPr>
                <w:sz w:val="20"/>
                <w:szCs w:val="20"/>
                <w:color w:val="auto"/>
              </w:rPr>
            </w:pPr>
            <w:r>
              <w:rPr>
                <w:rFonts w:ascii="Arial" w:cs="Arial" w:eastAsia="Arial" w:hAnsi="Arial"/>
                <w:sz w:val="16"/>
                <w:szCs w:val="16"/>
                <w:color w:val="004876"/>
              </w:rPr>
              <w:t>options: #</w:t>
            </w:r>
          </w:p>
        </w:tc>
        <w:tc>
          <w:tcPr>
            <w:tcW w:w="940" w:type="dxa"/>
            <w:vAlign w:val="bottom"/>
            <w:gridSpan w:val="2"/>
          </w:tcPr>
          <w:p>
            <w:pPr>
              <w:jc w:val="right"/>
              <w:ind w:right="79"/>
              <w:spacing w:after="0"/>
              <w:rPr>
                <w:sz w:val="20"/>
                <w:szCs w:val="20"/>
                <w:color w:val="auto"/>
              </w:rPr>
            </w:pPr>
            <w:r>
              <w:rPr>
                <w:rFonts w:ascii="Arial" w:cs="Arial" w:eastAsia="Arial" w:hAnsi="Arial"/>
                <w:sz w:val="16"/>
                <w:szCs w:val="16"/>
                <w:color w:val="004876"/>
              </w:rPr>
              <w:t>exercise</w:t>
            </w:r>
          </w:p>
        </w:tc>
        <w:tc>
          <w:tcPr>
            <w:tcW w:w="1100" w:type="dxa"/>
            <w:vAlign w:val="bottom"/>
            <w:gridSpan w:val="2"/>
          </w:tcPr>
          <w:p>
            <w:pPr>
              <w:jc w:val="center"/>
              <w:spacing w:after="0"/>
              <w:rPr>
                <w:sz w:val="20"/>
                <w:szCs w:val="20"/>
                <w:color w:val="auto"/>
              </w:rPr>
            </w:pPr>
            <w:r>
              <w:rPr>
                <w:rFonts w:ascii="Arial" w:cs="Arial" w:eastAsia="Arial" w:hAnsi="Arial"/>
                <w:sz w:val="16"/>
                <w:szCs w:val="16"/>
                <w:color w:val="004876"/>
              </w:rPr>
              <w:t>expiration</w:t>
            </w:r>
          </w:p>
        </w:tc>
        <w:tc>
          <w:tcPr>
            <w:tcW w:w="1100" w:type="dxa"/>
            <w:vAlign w:val="bottom"/>
            <w:gridSpan w:val="2"/>
          </w:tcPr>
          <w:p>
            <w:pPr>
              <w:jc w:val="center"/>
              <w:ind w:right="40"/>
              <w:spacing w:after="0"/>
              <w:rPr>
                <w:sz w:val="20"/>
                <w:szCs w:val="20"/>
                <w:color w:val="auto"/>
              </w:rPr>
            </w:pPr>
            <w:r>
              <w:rPr>
                <w:rFonts w:ascii="Arial" w:cs="Arial" w:eastAsia="Arial" w:hAnsi="Arial"/>
                <w:sz w:val="16"/>
                <w:szCs w:val="16"/>
                <w:color w:val="004876"/>
              </w:rPr>
              <w:t>have not</w:t>
            </w:r>
          </w:p>
        </w:tc>
        <w:tc>
          <w:tcPr>
            <w:tcW w:w="280" w:type="dxa"/>
            <w:vAlign w:val="bottom"/>
          </w:tcPr>
          <w:p>
            <w:pPr>
              <w:spacing w:after="0"/>
              <w:rPr>
                <w:sz w:val="16"/>
                <w:szCs w:val="16"/>
                <w:color w:val="auto"/>
              </w:rPr>
            </w:pPr>
          </w:p>
        </w:tc>
        <w:tc>
          <w:tcPr>
            <w:tcW w:w="1100" w:type="dxa"/>
            <w:vAlign w:val="bottom"/>
            <w:gridSpan w:val="2"/>
          </w:tcPr>
          <w:p>
            <w:pPr>
              <w:jc w:val="center"/>
              <w:ind w:right="20"/>
              <w:spacing w:after="0"/>
              <w:rPr>
                <w:sz w:val="20"/>
                <w:szCs w:val="20"/>
                <w:color w:val="auto"/>
              </w:rPr>
            </w:pPr>
            <w:r>
              <w:rPr>
                <w:rFonts w:ascii="Arial" w:cs="Arial" w:eastAsia="Arial" w:hAnsi="Arial"/>
                <w:sz w:val="16"/>
                <w:szCs w:val="16"/>
                <w:color w:val="004876"/>
              </w:rPr>
              <w:t>have</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420" w:type="dxa"/>
            <w:vAlign w:val="bottom"/>
            <w:tcBorders>
              <w:bottom w:val="single" w:sz="8" w:color="333333"/>
            </w:tcBorders>
          </w:tcPr>
          <w:p>
            <w:pPr>
              <w:ind w:left="60"/>
              <w:spacing w:after="0"/>
              <w:rPr>
                <w:sz w:val="20"/>
                <w:szCs w:val="20"/>
                <w:color w:val="auto"/>
              </w:rPr>
            </w:pPr>
            <w:r>
              <w:rPr>
                <w:rFonts w:ascii="Arial" w:cs="Arial" w:eastAsia="Arial" w:hAnsi="Arial"/>
                <w:sz w:val="16"/>
                <w:szCs w:val="16"/>
                <w:color w:val="004876"/>
              </w:rPr>
              <w:t>Name</w:t>
            </w:r>
          </w:p>
        </w:tc>
        <w:tc>
          <w:tcPr>
            <w:tcW w:w="2480" w:type="dxa"/>
            <w:vAlign w:val="bottom"/>
            <w:tcBorders>
              <w:bottom w:val="single" w:sz="8" w:color="333333"/>
            </w:tcBorders>
          </w:tcPr>
          <w:p>
            <w:pPr>
              <w:jc w:val="right"/>
              <w:ind w:right="420"/>
              <w:spacing w:after="0" w:line="205" w:lineRule="exact"/>
              <w:rPr>
                <w:sz w:val="20"/>
                <w:szCs w:val="20"/>
                <w:color w:val="auto"/>
              </w:rPr>
            </w:pPr>
            <w:r>
              <w:rPr>
                <w:rFonts w:ascii="Arial" w:cs="Arial" w:eastAsia="Arial" w:hAnsi="Arial"/>
                <w:sz w:val="14"/>
                <w:szCs w:val="14"/>
                <w:color w:val="004876"/>
              </w:rPr>
              <w:t>grant date</w:t>
            </w:r>
            <w:r>
              <w:rPr>
                <w:rFonts w:ascii="Arial" w:cs="Arial" w:eastAsia="Arial" w:hAnsi="Arial"/>
                <w:sz w:val="23"/>
                <w:szCs w:val="23"/>
                <w:color w:val="004876"/>
                <w:vertAlign w:val="superscript"/>
              </w:rPr>
              <w:t>1</w:t>
            </w:r>
          </w:p>
        </w:tc>
        <w:tc>
          <w:tcPr>
            <w:tcW w:w="1420" w:type="dxa"/>
            <w:vAlign w:val="bottom"/>
            <w:tcBorders>
              <w:bottom w:val="single" w:sz="8" w:color="333333"/>
            </w:tcBorders>
            <w:gridSpan w:val="3"/>
          </w:tcPr>
          <w:p>
            <w:pPr>
              <w:jc w:val="center"/>
              <w:ind w:right="260"/>
              <w:spacing w:after="0" w:line="205" w:lineRule="exact"/>
              <w:rPr>
                <w:sz w:val="20"/>
                <w:szCs w:val="20"/>
                <w:color w:val="auto"/>
              </w:rPr>
            </w:pPr>
            <w:r>
              <w:rPr>
                <w:rFonts w:ascii="Arial" w:cs="Arial" w:eastAsia="Arial" w:hAnsi="Arial"/>
                <w:sz w:val="14"/>
                <w:szCs w:val="14"/>
                <w:color w:val="004876"/>
              </w:rPr>
              <w:t>exercisable</w:t>
            </w:r>
            <w:r>
              <w:rPr>
                <w:rFonts w:ascii="Arial" w:cs="Arial" w:eastAsia="Arial" w:hAnsi="Arial"/>
                <w:sz w:val="23"/>
                <w:szCs w:val="23"/>
                <w:color w:val="004876"/>
                <w:vertAlign w:val="superscript"/>
              </w:rPr>
              <w:t>1,2,3</w:t>
            </w:r>
          </w:p>
        </w:tc>
        <w:tc>
          <w:tcPr>
            <w:tcW w:w="940" w:type="dxa"/>
            <w:vAlign w:val="bottom"/>
            <w:tcBorders>
              <w:bottom w:val="single" w:sz="8" w:color="333333"/>
            </w:tcBorders>
            <w:gridSpan w:val="2"/>
          </w:tcPr>
          <w:p>
            <w:pPr>
              <w:jc w:val="right"/>
              <w:ind w:right="79"/>
              <w:spacing w:after="0"/>
              <w:rPr>
                <w:sz w:val="20"/>
                <w:szCs w:val="20"/>
                <w:color w:val="auto"/>
              </w:rPr>
            </w:pPr>
            <w:r>
              <w:rPr>
                <w:rFonts w:ascii="Arial" w:cs="Arial" w:eastAsia="Arial" w:hAnsi="Arial"/>
                <w:sz w:val="16"/>
                <w:szCs w:val="16"/>
                <w:color w:val="004876"/>
              </w:rPr>
              <w:t>price ($)</w:t>
            </w:r>
          </w:p>
        </w:tc>
        <w:tc>
          <w:tcPr>
            <w:tcW w:w="1100" w:type="dxa"/>
            <w:vAlign w:val="bottom"/>
            <w:tcBorders>
              <w:bottom w:val="single" w:sz="8" w:color="333333"/>
            </w:tcBorders>
            <w:gridSpan w:val="2"/>
          </w:tcPr>
          <w:p>
            <w:pPr>
              <w:jc w:val="center"/>
              <w:spacing w:after="0"/>
              <w:rPr>
                <w:sz w:val="20"/>
                <w:szCs w:val="20"/>
                <w:color w:val="auto"/>
              </w:rPr>
            </w:pPr>
            <w:r>
              <w:rPr>
                <w:rFonts w:ascii="Arial" w:cs="Arial" w:eastAsia="Arial" w:hAnsi="Arial"/>
                <w:sz w:val="16"/>
                <w:szCs w:val="16"/>
                <w:color w:val="004876"/>
              </w:rPr>
              <w:t>date</w:t>
            </w:r>
          </w:p>
        </w:tc>
        <w:tc>
          <w:tcPr>
            <w:tcW w:w="1100" w:type="dxa"/>
            <w:vAlign w:val="bottom"/>
            <w:tcBorders>
              <w:bottom w:val="single" w:sz="8" w:color="333333"/>
            </w:tcBorders>
            <w:gridSpan w:val="2"/>
          </w:tcPr>
          <w:p>
            <w:pPr>
              <w:jc w:val="center"/>
              <w:ind w:right="40"/>
              <w:spacing w:after="0" w:line="205" w:lineRule="exact"/>
              <w:rPr>
                <w:sz w:val="20"/>
                <w:szCs w:val="20"/>
                <w:color w:val="auto"/>
              </w:rPr>
            </w:pPr>
            <w:r>
              <w:rPr>
                <w:rFonts w:ascii="Arial" w:cs="Arial" w:eastAsia="Arial" w:hAnsi="Arial"/>
                <w:sz w:val="14"/>
                <w:szCs w:val="14"/>
                <w:color w:val="004876"/>
              </w:rPr>
              <w:t>vested</w:t>
            </w:r>
            <w:r>
              <w:rPr>
                <w:rFonts w:ascii="Arial" w:cs="Arial" w:eastAsia="Arial" w:hAnsi="Arial"/>
                <w:sz w:val="23"/>
                <w:szCs w:val="23"/>
                <w:color w:val="004876"/>
                <w:vertAlign w:val="superscript"/>
              </w:rPr>
              <w:t>1,3</w:t>
            </w:r>
          </w:p>
        </w:tc>
        <w:tc>
          <w:tcPr>
            <w:tcW w:w="280" w:type="dxa"/>
            <w:vAlign w:val="bottom"/>
            <w:tcBorders>
              <w:bottom w:val="single" w:sz="8" w:color="333333"/>
            </w:tcBorders>
          </w:tcPr>
          <w:p>
            <w:pPr>
              <w:spacing w:after="0"/>
              <w:rPr>
                <w:sz w:val="17"/>
                <w:szCs w:val="17"/>
                <w:color w:val="auto"/>
              </w:rPr>
            </w:pPr>
          </w:p>
        </w:tc>
        <w:tc>
          <w:tcPr>
            <w:tcW w:w="1100" w:type="dxa"/>
            <w:vAlign w:val="bottom"/>
            <w:tcBorders>
              <w:bottom w:val="single" w:sz="8" w:color="333333"/>
            </w:tcBorders>
            <w:gridSpan w:val="2"/>
          </w:tcPr>
          <w:p>
            <w:pPr>
              <w:jc w:val="center"/>
              <w:ind w:right="40"/>
              <w:spacing w:after="0" w:line="205" w:lineRule="exact"/>
              <w:rPr>
                <w:sz w:val="20"/>
                <w:szCs w:val="20"/>
                <w:color w:val="auto"/>
              </w:rPr>
            </w:pPr>
            <w:r>
              <w:rPr>
                <w:rFonts w:ascii="Arial" w:cs="Arial" w:eastAsia="Arial" w:hAnsi="Arial"/>
                <w:sz w:val="14"/>
                <w:szCs w:val="14"/>
                <w:color w:val="004876"/>
              </w:rPr>
              <w:t>not vested</w:t>
            </w:r>
            <w:r>
              <w:rPr>
                <w:rFonts w:ascii="Arial" w:cs="Arial" w:eastAsia="Arial" w:hAnsi="Arial"/>
                <w:sz w:val="23"/>
                <w:szCs w:val="23"/>
                <w:color w:val="004876"/>
                <w:vertAlign w:val="superscript"/>
              </w:rPr>
              <w:t>1,3,4</w:t>
            </w:r>
          </w:p>
        </w:tc>
        <w:tc>
          <w:tcPr>
            <w:tcW w:w="180" w:type="dxa"/>
            <w:vAlign w:val="bottom"/>
            <w:tcBorders>
              <w:bottom w:val="single" w:sz="8" w:color="333333"/>
            </w:tcBorders>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2420" w:type="dxa"/>
            <w:vAlign w:val="bottom"/>
          </w:tcPr>
          <w:p>
            <w:pPr>
              <w:ind w:left="60"/>
              <w:spacing w:after="0"/>
              <w:rPr>
                <w:sz w:val="20"/>
                <w:szCs w:val="20"/>
                <w:color w:val="auto"/>
              </w:rPr>
            </w:pPr>
            <w:r>
              <w:rPr>
                <w:rFonts w:ascii="Arial" w:cs="Arial" w:eastAsia="Arial" w:hAnsi="Arial"/>
                <w:sz w:val="16"/>
                <w:szCs w:val="16"/>
                <w:b w:val="1"/>
                <w:bCs w:val="1"/>
                <w:color w:val="auto"/>
              </w:rPr>
              <w:t>James Dimon</w:t>
            </w:r>
          </w:p>
        </w:tc>
        <w:tc>
          <w:tcPr>
            <w:tcW w:w="2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2420" w:type="dxa"/>
            <w:vAlign w:val="bottom"/>
          </w:tcPr>
          <w:p>
            <w:pPr>
              <w:spacing w:after="0"/>
              <w:rPr>
                <w:sz w:val="24"/>
                <w:szCs w:val="24"/>
                <w:color w:val="auto"/>
              </w:rPr>
            </w:pPr>
          </w:p>
        </w:tc>
        <w:tc>
          <w:tcPr>
            <w:tcW w:w="2480" w:type="dxa"/>
            <w:vAlign w:val="bottom"/>
          </w:tcPr>
          <w:p>
            <w:pPr>
              <w:ind w:left="1260"/>
              <w:spacing w:after="0"/>
              <w:rPr>
                <w:sz w:val="20"/>
                <w:szCs w:val="20"/>
                <w:color w:val="auto"/>
              </w:rPr>
            </w:pPr>
            <w:r>
              <w:rPr>
                <w:rFonts w:ascii="Arial" w:cs="Arial" w:eastAsia="Arial" w:hAnsi="Arial"/>
                <w:sz w:val="16"/>
                <w:szCs w:val="16"/>
                <w:color w:val="auto"/>
              </w:rPr>
              <w:t>2/16/2011</w:t>
            </w:r>
          </w:p>
        </w:tc>
        <w:tc>
          <w:tcPr>
            <w:tcW w:w="340" w:type="dxa"/>
            <w:vAlign w:val="bottom"/>
          </w:tcPr>
          <w:p>
            <w:pPr>
              <w:spacing w:after="0"/>
              <w:rPr>
                <w:sz w:val="24"/>
                <w:szCs w:val="24"/>
                <w:color w:val="auto"/>
              </w:rPr>
            </w:pPr>
          </w:p>
        </w:tc>
        <w:tc>
          <w:tcPr>
            <w:tcW w:w="1080" w:type="dxa"/>
            <w:vAlign w:val="bottom"/>
            <w:gridSpan w:val="2"/>
          </w:tcPr>
          <w:p>
            <w:pPr>
              <w:jc w:val="right"/>
              <w:ind w:right="160"/>
              <w:spacing w:after="0" w:line="292" w:lineRule="exact"/>
              <w:rPr>
                <w:sz w:val="20"/>
                <w:szCs w:val="20"/>
                <w:color w:val="auto"/>
              </w:rPr>
            </w:pPr>
            <w:r>
              <w:rPr>
                <w:rFonts w:ascii="Arial" w:cs="Arial" w:eastAsia="Arial" w:hAnsi="Arial"/>
                <w:sz w:val="16"/>
                <w:szCs w:val="16"/>
                <w:color w:val="auto"/>
              </w:rPr>
              <w:t xml:space="preserve">367,377 </w:t>
            </w:r>
            <w:r>
              <w:rPr>
                <w:rFonts w:ascii="Arial" w:cs="Arial" w:eastAsia="Arial" w:hAnsi="Arial"/>
                <w:sz w:val="27"/>
                <w:szCs w:val="27"/>
                <w:color w:val="auto"/>
                <w:vertAlign w:val="superscript"/>
              </w:rPr>
              <w:t>a</w:t>
            </w:r>
          </w:p>
        </w:tc>
        <w:tc>
          <w:tcPr>
            <w:tcW w:w="940" w:type="dxa"/>
            <w:vAlign w:val="bottom"/>
            <w:gridSpan w:val="2"/>
          </w:tcPr>
          <w:p>
            <w:pPr>
              <w:jc w:val="right"/>
              <w:ind w:right="79"/>
              <w:spacing w:after="0"/>
              <w:rPr>
                <w:sz w:val="20"/>
                <w:szCs w:val="20"/>
                <w:color w:val="auto"/>
              </w:rPr>
            </w:pPr>
            <w:r>
              <w:rPr>
                <w:rFonts w:ascii="Arial" w:cs="Arial" w:eastAsia="Arial" w:hAnsi="Arial"/>
                <w:sz w:val="16"/>
                <w:szCs w:val="16"/>
                <w:color w:val="auto"/>
              </w:rPr>
              <w:t>$47.73</w:t>
            </w:r>
          </w:p>
        </w:tc>
        <w:tc>
          <w:tcPr>
            <w:tcW w:w="940" w:type="dxa"/>
            <w:vAlign w:val="bottom"/>
          </w:tcPr>
          <w:p>
            <w:pPr>
              <w:jc w:val="right"/>
              <w:spacing w:after="0"/>
              <w:rPr>
                <w:sz w:val="20"/>
                <w:szCs w:val="20"/>
                <w:color w:val="auto"/>
              </w:rPr>
            </w:pPr>
            <w:r>
              <w:rPr>
                <w:rFonts w:ascii="Arial" w:cs="Arial" w:eastAsia="Arial" w:hAnsi="Arial"/>
                <w:sz w:val="16"/>
                <w:szCs w:val="16"/>
                <w:color w:val="auto"/>
              </w:rPr>
              <w:t>2/16/2021</w:t>
            </w:r>
          </w:p>
        </w:tc>
        <w:tc>
          <w:tcPr>
            <w:tcW w:w="160" w:type="dxa"/>
            <w:vAlign w:val="bottom"/>
          </w:tcPr>
          <w:p>
            <w:pPr>
              <w:spacing w:after="0"/>
              <w:rPr>
                <w:sz w:val="24"/>
                <w:szCs w:val="24"/>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420" w:type="dxa"/>
            <w:vAlign w:val="bottom"/>
          </w:tcPr>
          <w:p>
            <w:pPr>
              <w:spacing w:after="0"/>
              <w:rPr>
                <w:sz w:val="20"/>
                <w:szCs w:val="20"/>
                <w:color w:val="auto"/>
              </w:rPr>
            </w:pPr>
          </w:p>
        </w:tc>
        <w:tc>
          <w:tcPr>
            <w:tcW w:w="2480" w:type="dxa"/>
            <w:vAlign w:val="bottom"/>
          </w:tcPr>
          <w:p>
            <w:pPr>
              <w:ind w:left="1260"/>
              <w:spacing w:after="0"/>
              <w:rPr>
                <w:sz w:val="20"/>
                <w:szCs w:val="20"/>
                <w:color w:val="auto"/>
              </w:rPr>
            </w:pPr>
            <w:r>
              <w:rPr>
                <w:rFonts w:ascii="Arial" w:cs="Arial" w:eastAsia="Arial" w:hAnsi="Arial"/>
                <w:sz w:val="16"/>
                <w:szCs w:val="16"/>
                <w:color w:val="auto"/>
              </w:rPr>
              <w:t>1/18/2012</w:t>
            </w:r>
          </w:p>
        </w:tc>
        <w:tc>
          <w:tcPr>
            <w:tcW w:w="340" w:type="dxa"/>
            <w:vAlign w:val="bottom"/>
          </w:tcPr>
          <w:p>
            <w:pPr>
              <w:spacing w:after="0"/>
              <w:rPr>
                <w:sz w:val="20"/>
                <w:szCs w:val="20"/>
                <w:color w:val="auto"/>
              </w:rPr>
            </w:pPr>
          </w:p>
        </w:tc>
        <w:tc>
          <w:tcPr>
            <w:tcW w:w="1080" w:type="dxa"/>
            <w:vAlign w:val="bottom"/>
            <w:gridSpan w:val="2"/>
          </w:tcPr>
          <w:p>
            <w:pPr>
              <w:jc w:val="right"/>
              <w:ind w:right="160"/>
              <w:spacing w:after="0" w:line="237" w:lineRule="exact"/>
              <w:rPr>
                <w:sz w:val="20"/>
                <w:szCs w:val="20"/>
                <w:color w:val="auto"/>
              </w:rPr>
            </w:pPr>
            <w:r>
              <w:rPr>
                <w:rFonts w:ascii="Arial" w:cs="Arial" w:eastAsia="Arial" w:hAnsi="Arial"/>
                <w:sz w:val="16"/>
                <w:szCs w:val="16"/>
                <w:color w:val="auto"/>
              </w:rPr>
              <w:t xml:space="preserve">562,430 </w:t>
            </w:r>
            <w:r>
              <w:rPr>
                <w:rFonts w:ascii="Arial" w:cs="Arial" w:eastAsia="Arial" w:hAnsi="Arial"/>
                <w:sz w:val="27"/>
                <w:szCs w:val="27"/>
                <w:color w:val="auto"/>
                <w:vertAlign w:val="superscript"/>
              </w:rPr>
              <w:t>a</w:t>
            </w:r>
          </w:p>
        </w:tc>
        <w:tc>
          <w:tcPr>
            <w:tcW w:w="340" w:type="dxa"/>
            <w:vAlign w:val="bottom"/>
          </w:tcPr>
          <w:p>
            <w:pPr>
              <w:spacing w:after="0"/>
              <w:rPr>
                <w:sz w:val="20"/>
                <w:szCs w:val="20"/>
                <w:color w:val="auto"/>
              </w:rPr>
            </w:pPr>
          </w:p>
        </w:tc>
        <w:tc>
          <w:tcPr>
            <w:tcW w:w="600" w:type="dxa"/>
            <w:vAlign w:val="bottom"/>
          </w:tcPr>
          <w:p>
            <w:pPr>
              <w:jc w:val="right"/>
              <w:ind w:right="79"/>
              <w:spacing w:after="0"/>
              <w:rPr>
                <w:sz w:val="20"/>
                <w:szCs w:val="20"/>
                <w:color w:val="auto"/>
              </w:rPr>
            </w:pPr>
            <w:r>
              <w:rPr>
                <w:rFonts w:ascii="Arial" w:cs="Arial" w:eastAsia="Arial" w:hAnsi="Arial"/>
                <w:sz w:val="16"/>
                <w:szCs w:val="16"/>
                <w:color w:val="auto"/>
              </w:rPr>
              <w:t>35.61</w:t>
            </w:r>
          </w:p>
        </w:tc>
        <w:tc>
          <w:tcPr>
            <w:tcW w:w="940" w:type="dxa"/>
            <w:vAlign w:val="bottom"/>
          </w:tcPr>
          <w:p>
            <w:pPr>
              <w:jc w:val="right"/>
              <w:spacing w:after="0"/>
              <w:rPr>
                <w:sz w:val="20"/>
                <w:szCs w:val="20"/>
                <w:color w:val="auto"/>
              </w:rPr>
            </w:pPr>
            <w:r>
              <w:rPr>
                <w:rFonts w:ascii="Arial" w:cs="Arial" w:eastAsia="Arial" w:hAnsi="Arial"/>
                <w:sz w:val="16"/>
                <w:szCs w:val="16"/>
                <w:color w:val="auto"/>
              </w:rPr>
              <w:t>1/18/2022</w:t>
            </w:r>
          </w:p>
        </w:tc>
        <w:tc>
          <w:tcPr>
            <w:tcW w:w="16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2420" w:type="dxa"/>
            <w:vAlign w:val="bottom"/>
          </w:tcPr>
          <w:p>
            <w:pPr>
              <w:spacing w:after="0"/>
              <w:rPr>
                <w:sz w:val="21"/>
                <w:szCs w:val="21"/>
                <w:color w:val="auto"/>
              </w:rPr>
            </w:pPr>
          </w:p>
        </w:tc>
        <w:tc>
          <w:tcPr>
            <w:tcW w:w="2480" w:type="dxa"/>
            <w:vAlign w:val="bottom"/>
          </w:tcPr>
          <w:p>
            <w:pPr>
              <w:ind w:left="1260"/>
              <w:spacing w:after="0" w:line="248" w:lineRule="exact"/>
              <w:rPr>
                <w:sz w:val="20"/>
                <w:szCs w:val="20"/>
                <w:color w:val="auto"/>
              </w:rPr>
            </w:pPr>
            <w:r>
              <w:rPr>
                <w:rFonts w:ascii="Arial" w:cs="Arial" w:eastAsia="Arial" w:hAnsi="Arial"/>
                <w:sz w:val="16"/>
                <w:szCs w:val="16"/>
                <w:color w:val="auto"/>
              </w:rPr>
              <w:t xml:space="preserve">1/17/2017 </w:t>
            </w:r>
            <w:r>
              <w:rPr>
                <w:rFonts w:ascii="Arial" w:cs="Arial" w:eastAsia="Arial" w:hAnsi="Arial"/>
                <w:sz w:val="27"/>
                <w:szCs w:val="27"/>
                <w:color w:val="auto"/>
                <w:vertAlign w:val="superscript"/>
              </w:rPr>
              <w:t>5</w:t>
            </w:r>
          </w:p>
        </w:tc>
        <w:tc>
          <w:tcPr>
            <w:tcW w:w="340" w:type="dxa"/>
            <w:vAlign w:val="bottom"/>
          </w:tcPr>
          <w:p>
            <w:pPr>
              <w:spacing w:after="0"/>
              <w:rPr>
                <w:sz w:val="21"/>
                <w:szCs w:val="21"/>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1"/>
                <w:szCs w:val="21"/>
                <w:color w:val="auto"/>
              </w:rPr>
            </w:pPr>
          </w:p>
        </w:tc>
        <w:tc>
          <w:tcPr>
            <w:tcW w:w="6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409,467</w:t>
            </w:r>
          </w:p>
        </w:tc>
        <w:tc>
          <w:tcPr>
            <w:tcW w:w="280" w:type="dxa"/>
            <w:vAlign w:val="bottom"/>
          </w:tcPr>
          <w:p>
            <w:pPr>
              <w:ind w:left="40"/>
              <w:spacing w:after="0"/>
              <w:rPr>
                <w:sz w:val="20"/>
                <w:szCs w:val="20"/>
                <w:color w:val="auto"/>
              </w:rPr>
            </w:pPr>
            <w:r>
              <w:rPr>
                <w:rFonts w:ascii="Arial" w:cs="Arial" w:eastAsia="Arial" w:hAnsi="Arial"/>
                <w:sz w:val="14"/>
                <w:szCs w:val="14"/>
                <w:color w:val="auto"/>
              </w:rPr>
              <w:t>b</w:t>
            </w: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420" w:type="dxa"/>
            <w:vAlign w:val="bottom"/>
          </w:tcPr>
          <w:p>
            <w:pPr>
              <w:spacing w:after="0"/>
              <w:rPr>
                <w:sz w:val="18"/>
                <w:szCs w:val="18"/>
                <w:color w:val="auto"/>
              </w:rPr>
            </w:pPr>
          </w:p>
        </w:tc>
        <w:tc>
          <w:tcPr>
            <w:tcW w:w="2480" w:type="dxa"/>
            <w:vAlign w:val="bottom"/>
          </w:tcPr>
          <w:p>
            <w:pPr>
              <w:ind w:left="1260"/>
              <w:spacing w:after="0"/>
              <w:rPr>
                <w:sz w:val="20"/>
                <w:szCs w:val="20"/>
                <w:color w:val="auto"/>
              </w:rPr>
            </w:pPr>
            <w:r>
              <w:rPr>
                <w:rFonts w:ascii="Arial" w:cs="Arial" w:eastAsia="Arial" w:hAnsi="Arial"/>
                <w:sz w:val="16"/>
                <w:szCs w:val="16"/>
                <w:color w:val="auto"/>
              </w:rPr>
              <w:t>1/16/2018</w:t>
            </w:r>
          </w:p>
        </w:tc>
        <w:tc>
          <w:tcPr>
            <w:tcW w:w="34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6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321,786</w:t>
            </w:r>
          </w:p>
        </w:tc>
        <w:tc>
          <w:tcPr>
            <w:tcW w:w="40" w:type="dxa"/>
            <w:vAlign w:val="bottom"/>
          </w:tcPr>
          <w:p>
            <w:pPr>
              <w:spacing w:after="0"/>
              <w:rPr>
                <w:sz w:val="18"/>
                <w:szCs w:val="18"/>
                <w:color w:val="auto"/>
              </w:rPr>
            </w:pPr>
          </w:p>
        </w:tc>
        <w:tc>
          <w:tcPr>
            <w:tcW w:w="180" w:type="dxa"/>
            <w:vAlign w:val="bottom"/>
          </w:tcPr>
          <w:p>
            <w:pPr>
              <w:ind w:left="40"/>
              <w:spacing w:after="0"/>
              <w:rPr>
                <w:sz w:val="20"/>
                <w:szCs w:val="20"/>
                <w:color w:val="auto"/>
              </w:rPr>
            </w:pPr>
            <w:r>
              <w:rPr>
                <w:rFonts w:ascii="Arial" w:cs="Arial" w:eastAsia="Arial" w:hAnsi="Arial"/>
                <w:sz w:val="14"/>
                <w:szCs w:val="14"/>
                <w:color w:val="auto"/>
              </w:rPr>
              <w:t>b</w:t>
            </w:r>
          </w:p>
        </w:tc>
        <w:tc>
          <w:tcPr>
            <w:tcW w:w="0" w:type="dxa"/>
            <w:vAlign w:val="bottom"/>
          </w:tcPr>
          <w:p>
            <w:pPr>
              <w:spacing w:after="0"/>
              <w:rPr>
                <w:sz w:val="1"/>
                <w:szCs w:val="1"/>
                <w:color w:val="auto"/>
              </w:rPr>
            </w:pPr>
          </w:p>
        </w:tc>
      </w:tr>
      <w:tr>
        <w:trPr>
          <w:trHeight w:val="235"/>
        </w:trPr>
        <w:tc>
          <w:tcPr>
            <w:tcW w:w="2420" w:type="dxa"/>
            <w:vAlign w:val="bottom"/>
          </w:tcPr>
          <w:p>
            <w:pPr>
              <w:spacing w:after="0"/>
              <w:rPr>
                <w:sz w:val="20"/>
                <w:szCs w:val="20"/>
                <w:color w:val="auto"/>
              </w:rPr>
            </w:pPr>
          </w:p>
        </w:tc>
        <w:tc>
          <w:tcPr>
            <w:tcW w:w="2480" w:type="dxa"/>
            <w:vAlign w:val="bottom"/>
          </w:tcPr>
          <w:p>
            <w:pPr>
              <w:ind w:left="1260"/>
              <w:spacing w:after="0"/>
              <w:rPr>
                <w:sz w:val="20"/>
                <w:szCs w:val="20"/>
                <w:color w:val="auto"/>
              </w:rPr>
            </w:pPr>
            <w:r>
              <w:rPr>
                <w:rFonts w:ascii="Arial" w:cs="Arial" w:eastAsia="Arial" w:hAnsi="Arial"/>
                <w:sz w:val="16"/>
                <w:szCs w:val="16"/>
                <w:color w:val="auto"/>
              </w:rPr>
              <w:t>1/15/2019</w:t>
            </w:r>
          </w:p>
        </w:tc>
        <w:tc>
          <w:tcPr>
            <w:tcW w:w="340" w:type="dxa"/>
            <w:vAlign w:val="bottom"/>
          </w:tcPr>
          <w:p>
            <w:pPr>
              <w:spacing w:after="0"/>
              <w:rPr>
                <w:sz w:val="20"/>
                <w:szCs w:val="20"/>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6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280" w:type="dxa"/>
            <w:vAlign w:val="bottom"/>
            <w:gridSpan w:val="3"/>
          </w:tcPr>
          <w:p>
            <w:pPr>
              <w:jc w:val="right"/>
              <w:ind w:right="31"/>
              <w:spacing w:after="0" w:line="236" w:lineRule="exact"/>
              <w:rPr>
                <w:sz w:val="20"/>
                <w:szCs w:val="20"/>
                <w:color w:val="auto"/>
              </w:rPr>
            </w:pPr>
            <w:r>
              <w:rPr>
                <w:rFonts w:ascii="Arial" w:cs="Arial" w:eastAsia="Arial" w:hAnsi="Arial"/>
                <w:sz w:val="16"/>
                <w:szCs w:val="16"/>
                <w:color w:val="auto"/>
              </w:rPr>
              <w:t xml:space="preserve">373,289 </w:t>
            </w:r>
            <w:r>
              <w:rPr>
                <w:rFonts w:ascii="Arial" w:cs="Arial" w:eastAsia="Arial" w:hAnsi="Arial"/>
                <w:sz w:val="27"/>
                <w:szCs w:val="27"/>
                <w:color w:val="auto"/>
                <w:vertAlign w:val="superscript"/>
              </w:rPr>
              <w:t>b</w:t>
            </w:r>
          </w:p>
        </w:tc>
        <w:tc>
          <w:tcPr>
            <w:tcW w:w="0" w:type="dxa"/>
            <w:vAlign w:val="bottom"/>
          </w:tcPr>
          <w:p>
            <w:pPr>
              <w:spacing w:after="0"/>
              <w:rPr>
                <w:sz w:val="1"/>
                <w:szCs w:val="1"/>
                <w:color w:val="auto"/>
              </w:rPr>
            </w:pPr>
          </w:p>
        </w:tc>
      </w:tr>
      <w:tr>
        <w:trPr>
          <w:trHeight w:val="244"/>
        </w:trPr>
        <w:tc>
          <w:tcPr>
            <w:tcW w:w="2420" w:type="dxa"/>
            <w:vAlign w:val="bottom"/>
          </w:tcPr>
          <w:p>
            <w:pPr>
              <w:ind w:left="60"/>
              <w:spacing w:after="0"/>
              <w:rPr>
                <w:sz w:val="20"/>
                <w:szCs w:val="20"/>
                <w:color w:val="auto"/>
              </w:rPr>
            </w:pPr>
            <w:r>
              <w:rPr>
                <w:rFonts w:ascii="Arial" w:cs="Arial" w:eastAsia="Arial" w:hAnsi="Arial"/>
                <w:sz w:val="16"/>
                <w:szCs w:val="16"/>
                <w:color w:val="auto"/>
              </w:rPr>
              <w:t>Total awards (#)</w:t>
            </w:r>
          </w:p>
        </w:tc>
        <w:tc>
          <w:tcPr>
            <w:tcW w:w="2480" w:type="dxa"/>
            <w:vAlign w:val="bottom"/>
          </w:tcPr>
          <w:p>
            <w:pPr>
              <w:spacing w:after="0"/>
              <w:rPr>
                <w:sz w:val="21"/>
                <w:szCs w:val="21"/>
                <w:color w:val="auto"/>
              </w:rPr>
            </w:pPr>
          </w:p>
        </w:tc>
        <w:tc>
          <w:tcPr>
            <w:tcW w:w="340" w:type="dxa"/>
            <w:vAlign w:val="bottom"/>
            <w:tcBorders>
              <w:top w:val="single" w:sz="8" w:color="333333"/>
            </w:tcBorders>
          </w:tcPr>
          <w:p>
            <w:pPr>
              <w:spacing w:after="0"/>
              <w:rPr>
                <w:sz w:val="21"/>
                <w:szCs w:val="21"/>
                <w:color w:val="auto"/>
              </w:rPr>
            </w:pPr>
          </w:p>
        </w:tc>
        <w:tc>
          <w:tcPr>
            <w:tcW w:w="800" w:type="dxa"/>
            <w:vAlign w:val="bottom"/>
            <w:tcBorders>
              <w:top w:val="single" w:sz="8" w:color="333333"/>
            </w:tcBorders>
          </w:tcPr>
          <w:p>
            <w:pPr>
              <w:jc w:val="right"/>
              <w:spacing w:after="0"/>
              <w:rPr>
                <w:sz w:val="20"/>
                <w:szCs w:val="20"/>
                <w:color w:val="auto"/>
              </w:rPr>
            </w:pPr>
            <w:r>
              <w:rPr>
                <w:rFonts w:ascii="Arial" w:cs="Arial" w:eastAsia="Arial" w:hAnsi="Arial"/>
                <w:sz w:val="16"/>
                <w:szCs w:val="16"/>
                <w:color w:val="auto"/>
              </w:rPr>
              <w:t>929,807</w:t>
            </w: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Borders>
              <w:top w:val="single" w:sz="8" w:color="333333"/>
            </w:tcBorders>
          </w:tcPr>
          <w:p>
            <w:pPr>
              <w:jc w:val="right"/>
              <w:spacing w:after="0"/>
              <w:rPr>
                <w:sz w:val="20"/>
                <w:szCs w:val="20"/>
                <w:color w:val="auto"/>
              </w:rPr>
            </w:pPr>
            <w:r>
              <w:rPr>
                <w:rFonts w:ascii="Arial" w:cs="Arial" w:eastAsia="Arial" w:hAnsi="Arial"/>
                <w:sz w:val="16"/>
                <w:szCs w:val="16"/>
                <w:color w:val="auto"/>
              </w:rPr>
              <w:t>409,467</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Borders>
              <w:top w:val="single" w:sz="8" w:color="333333"/>
            </w:tcBorders>
          </w:tcPr>
          <w:p>
            <w:pPr>
              <w:jc w:val="right"/>
              <w:spacing w:after="0"/>
              <w:rPr>
                <w:sz w:val="20"/>
                <w:szCs w:val="20"/>
                <w:color w:val="auto"/>
              </w:rPr>
            </w:pPr>
            <w:r>
              <w:rPr>
                <w:rFonts w:ascii="Arial" w:cs="Arial" w:eastAsia="Arial" w:hAnsi="Arial"/>
                <w:sz w:val="16"/>
                <w:szCs w:val="16"/>
                <w:color w:val="auto"/>
              </w:rPr>
              <w:t>695,075</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420" w:type="dxa"/>
            <w:vAlign w:val="bottom"/>
            <w:vMerge w:val="restart"/>
          </w:tcPr>
          <w:p>
            <w:pPr>
              <w:ind w:left="60"/>
              <w:spacing w:after="0"/>
              <w:rPr>
                <w:sz w:val="20"/>
                <w:szCs w:val="20"/>
                <w:color w:val="auto"/>
              </w:rPr>
            </w:pPr>
            <w:r>
              <w:rPr>
                <w:rFonts w:ascii="Arial" w:cs="Arial" w:eastAsia="Arial" w:hAnsi="Arial"/>
                <w:sz w:val="16"/>
                <w:szCs w:val="16"/>
                <w:color w:val="auto"/>
              </w:rPr>
              <w:t>Market value ($)</w:t>
            </w:r>
            <w:r>
              <w:rPr>
                <w:rFonts w:ascii="Arial" w:cs="Arial" w:eastAsia="Arial" w:hAnsi="Arial"/>
                <w:sz w:val="27"/>
                <w:szCs w:val="27"/>
                <w:color w:val="auto"/>
                <w:vertAlign w:val="superscript"/>
              </w:rPr>
              <w:t>6</w:t>
            </w:r>
          </w:p>
        </w:tc>
        <w:tc>
          <w:tcPr>
            <w:tcW w:w="2480" w:type="dxa"/>
            <w:vAlign w:val="bottom"/>
          </w:tcPr>
          <w:p>
            <w:pPr>
              <w:spacing w:after="0"/>
              <w:rPr>
                <w:sz w:val="4"/>
                <w:szCs w:val="4"/>
                <w:color w:val="auto"/>
              </w:rPr>
            </w:pPr>
          </w:p>
        </w:tc>
        <w:tc>
          <w:tcPr>
            <w:tcW w:w="340" w:type="dxa"/>
            <w:vAlign w:val="bottom"/>
            <w:tcBorders>
              <w:bottom w:val="single" w:sz="8" w:color="333333"/>
            </w:tcBorders>
          </w:tcPr>
          <w:p>
            <w:pPr>
              <w:spacing w:after="0"/>
              <w:rPr>
                <w:sz w:val="4"/>
                <w:szCs w:val="4"/>
                <w:color w:val="auto"/>
              </w:rPr>
            </w:pPr>
          </w:p>
        </w:tc>
        <w:tc>
          <w:tcPr>
            <w:tcW w:w="800" w:type="dxa"/>
            <w:vAlign w:val="bottom"/>
            <w:tcBorders>
              <w:bottom w:val="single" w:sz="8" w:color="333333"/>
            </w:tcBorders>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60" w:type="dxa"/>
            <w:vAlign w:val="bottom"/>
            <w:tcBorders>
              <w:bottom w:val="single" w:sz="8" w:color="333333"/>
            </w:tcBorders>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60" w:type="dxa"/>
            <w:vAlign w:val="bottom"/>
            <w:tcBorders>
              <w:bottom w:val="single" w:sz="8" w:color="333333"/>
            </w:tcBorders>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420" w:type="dxa"/>
            <w:vAlign w:val="bottom"/>
            <w:tcBorders>
              <w:bottom w:val="single" w:sz="8" w:color="333333"/>
            </w:tcBorders>
            <w:vMerge w:val="continue"/>
          </w:tcPr>
          <w:p>
            <w:pPr>
              <w:spacing w:after="0"/>
              <w:rPr>
                <w:sz w:val="21"/>
                <w:szCs w:val="21"/>
                <w:color w:val="auto"/>
              </w:rPr>
            </w:pPr>
          </w:p>
        </w:tc>
        <w:tc>
          <w:tcPr>
            <w:tcW w:w="2480" w:type="dxa"/>
            <w:vAlign w:val="bottom"/>
            <w:tcBorders>
              <w:bottom w:val="single" w:sz="8" w:color="333333"/>
            </w:tcBorders>
          </w:tcPr>
          <w:p>
            <w:pPr>
              <w:spacing w:after="0"/>
              <w:rPr>
                <w:sz w:val="21"/>
                <w:szCs w:val="21"/>
                <w:color w:val="auto"/>
              </w:rPr>
            </w:pPr>
          </w:p>
        </w:tc>
        <w:tc>
          <w:tcPr>
            <w:tcW w:w="340" w:type="dxa"/>
            <w:vAlign w:val="bottom"/>
            <w:tcBorders>
              <w:bottom w:val="single" w:sz="8" w:color="333333"/>
            </w:tcBorders>
          </w:tcPr>
          <w:p>
            <w:pPr>
              <w:ind w:left="240"/>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333333"/>
            </w:tcBorders>
          </w:tcPr>
          <w:p>
            <w:pPr>
              <w:jc w:val="right"/>
              <w:spacing w:after="0"/>
              <w:rPr>
                <w:sz w:val="20"/>
                <w:szCs w:val="20"/>
                <w:color w:val="auto"/>
              </w:rPr>
            </w:pPr>
            <w:r>
              <w:rPr>
                <w:rFonts w:ascii="Arial" w:cs="Arial" w:eastAsia="Arial" w:hAnsi="Arial"/>
                <w:sz w:val="16"/>
                <w:szCs w:val="16"/>
                <w:color w:val="auto"/>
                <w:w w:val="97"/>
              </w:rPr>
              <w:t>92,052,059</w:t>
            </w:r>
          </w:p>
        </w:tc>
        <w:tc>
          <w:tcPr>
            <w:tcW w:w="280" w:type="dxa"/>
            <w:vAlign w:val="bottom"/>
            <w:tcBorders>
              <w:bottom w:val="single" w:sz="8" w:color="333333"/>
            </w:tcBorders>
          </w:tcPr>
          <w:p>
            <w:pPr>
              <w:spacing w:after="0"/>
              <w:rPr>
                <w:sz w:val="21"/>
                <w:szCs w:val="21"/>
                <w:color w:val="auto"/>
              </w:rPr>
            </w:pPr>
          </w:p>
        </w:tc>
        <w:tc>
          <w:tcPr>
            <w:tcW w:w="340" w:type="dxa"/>
            <w:vAlign w:val="bottom"/>
            <w:tcBorders>
              <w:bottom w:val="single" w:sz="8" w:color="333333"/>
            </w:tcBorders>
          </w:tcPr>
          <w:p>
            <w:pPr>
              <w:spacing w:after="0"/>
              <w:rPr>
                <w:sz w:val="21"/>
                <w:szCs w:val="21"/>
                <w:color w:val="auto"/>
              </w:rPr>
            </w:pPr>
          </w:p>
        </w:tc>
        <w:tc>
          <w:tcPr>
            <w:tcW w:w="600" w:type="dxa"/>
            <w:vAlign w:val="bottom"/>
            <w:tcBorders>
              <w:bottom w:val="single" w:sz="8" w:color="333333"/>
            </w:tcBorders>
          </w:tcPr>
          <w:p>
            <w:pPr>
              <w:spacing w:after="0"/>
              <w:rPr>
                <w:sz w:val="21"/>
                <w:szCs w:val="21"/>
                <w:color w:val="auto"/>
              </w:rPr>
            </w:pPr>
          </w:p>
        </w:tc>
        <w:tc>
          <w:tcPr>
            <w:tcW w:w="940" w:type="dxa"/>
            <w:vAlign w:val="bottom"/>
            <w:tcBorders>
              <w:bottom w:val="single" w:sz="8" w:color="333333"/>
            </w:tcBorders>
          </w:tcPr>
          <w:p>
            <w:pPr>
              <w:spacing w:after="0"/>
              <w:rPr>
                <w:sz w:val="21"/>
                <w:szCs w:val="21"/>
                <w:color w:val="auto"/>
              </w:rPr>
            </w:pPr>
          </w:p>
        </w:tc>
        <w:tc>
          <w:tcPr>
            <w:tcW w:w="160" w:type="dxa"/>
            <w:vAlign w:val="bottom"/>
            <w:tcBorders>
              <w:bottom w:val="single" w:sz="8" w:color="333333"/>
            </w:tcBorders>
          </w:tcPr>
          <w:p>
            <w:pPr>
              <w:spacing w:after="0"/>
              <w:rPr>
                <w:sz w:val="21"/>
                <w:szCs w:val="21"/>
                <w:color w:val="auto"/>
              </w:rPr>
            </w:pPr>
          </w:p>
        </w:tc>
        <w:tc>
          <w:tcPr>
            <w:tcW w:w="1100" w:type="dxa"/>
            <w:vAlign w:val="bottom"/>
            <w:tcBorders>
              <w:bottom w:val="single" w:sz="8" w:color="333333"/>
            </w:tcBorders>
            <w:gridSpan w:val="2"/>
          </w:tcPr>
          <w:p>
            <w:pPr>
              <w:jc w:val="right"/>
              <w:ind w:right="40"/>
              <w:spacing w:after="0"/>
              <w:rPr>
                <w:sz w:val="20"/>
                <w:szCs w:val="20"/>
                <w:color w:val="auto"/>
              </w:rPr>
            </w:pPr>
            <w:r>
              <w:rPr>
                <w:rFonts w:ascii="Arial" w:cs="Arial" w:eastAsia="Arial" w:hAnsi="Arial"/>
                <w:sz w:val="16"/>
                <w:szCs w:val="16"/>
                <w:color w:val="auto"/>
              </w:rPr>
              <w:t>$57,079,700</w:t>
            </w:r>
          </w:p>
        </w:tc>
        <w:tc>
          <w:tcPr>
            <w:tcW w:w="280" w:type="dxa"/>
            <w:vAlign w:val="bottom"/>
            <w:tcBorders>
              <w:bottom w:val="single" w:sz="8" w:color="333333"/>
            </w:tcBorders>
          </w:tcPr>
          <w:p>
            <w:pPr>
              <w:spacing w:after="0"/>
              <w:rPr>
                <w:sz w:val="21"/>
                <w:szCs w:val="21"/>
                <w:color w:val="auto"/>
              </w:rPr>
            </w:pPr>
          </w:p>
        </w:tc>
        <w:tc>
          <w:tcPr>
            <w:tcW w:w="1100" w:type="dxa"/>
            <w:vAlign w:val="bottom"/>
            <w:tcBorders>
              <w:bottom w:val="single" w:sz="8" w:color="333333"/>
            </w:tcBorders>
            <w:gridSpan w:val="2"/>
          </w:tcPr>
          <w:p>
            <w:pPr>
              <w:jc w:val="right"/>
              <w:ind w:right="40"/>
              <w:spacing w:after="0"/>
              <w:rPr>
                <w:sz w:val="20"/>
                <w:szCs w:val="20"/>
                <w:color w:val="auto"/>
              </w:rPr>
            </w:pPr>
            <w:r>
              <w:rPr>
                <w:rFonts w:ascii="Arial" w:cs="Arial" w:eastAsia="Arial" w:hAnsi="Arial"/>
                <w:sz w:val="16"/>
                <w:szCs w:val="16"/>
                <w:color w:val="auto"/>
              </w:rPr>
              <w:t>$96,893,455</w:t>
            </w:r>
          </w:p>
        </w:tc>
        <w:tc>
          <w:tcPr>
            <w:tcW w:w="180" w:type="dxa"/>
            <w:vAlign w:val="bottom"/>
            <w:tcBorders>
              <w:bottom w:val="single" w:sz="8" w:color="333333"/>
            </w:tcBorders>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2420" w:type="dxa"/>
            <w:vAlign w:val="bottom"/>
          </w:tcPr>
          <w:p>
            <w:pPr>
              <w:ind w:left="60"/>
              <w:spacing w:after="0"/>
              <w:rPr>
                <w:sz w:val="20"/>
                <w:szCs w:val="20"/>
                <w:color w:val="auto"/>
              </w:rPr>
            </w:pPr>
            <w:r>
              <w:rPr>
                <w:rFonts w:ascii="Arial" w:cs="Arial" w:eastAsia="Arial" w:hAnsi="Arial"/>
                <w:sz w:val="16"/>
                <w:szCs w:val="16"/>
                <w:b w:val="1"/>
                <w:bCs w:val="1"/>
                <w:color w:val="auto"/>
              </w:rPr>
              <w:t>Daniel Pinto</w:t>
            </w:r>
          </w:p>
        </w:tc>
        <w:tc>
          <w:tcPr>
            <w:tcW w:w="2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2420" w:type="dxa"/>
            <w:vAlign w:val="bottom"/>
          </w:tcPr>
          <w:p>
            <w:pPr>
              <w:spacing w:after="0"/>
              <w:rPr>
                <w:sz w:val="24"/>
                <w:szCs w:val="24"/>
                <w:color w:val="auto"/>
              </w:rPr>
            </w:pPr>
          </w:p>
        </w:tc>
        <w:tc>
          <w:tcPr>
            <w:tcW w:w="2480" w:type="dxa"/>
            <w:vAlign w:val="bottom"/>
          </w:tcPr>
          <w:p>
            <w:pPr>
              <w:ind w:left="1260"/>
              <w:spacing w:after="0"/>
              <w:rPr>
                <w:sz w:val="20"/>
                <w:szCs w:val="20"/>
                <w:color w:val="auto"/>
              </w:rPr>
            </w:pPr>
            <w:r>
              <w:rPr>
                <w:rFonts w:ascii="Arial" w:cs="Arial" w:eastAsia="Arial" w:hAnsi="Arial"/>
                <w:sz w:val="16"/>
                <w:szCs w:val="16"/>
                <w:color w:val="auto"/>
              </w:rPr>
              <w:t>1/19/2011</w:t>
            </w:r>
          </w:p>
        </w:tc>
        <w:tc>
          <w:tcPr>
            <w:tcW w:w="340" w:type="dxa"/>
            <w:vAlign w:val="bottom"/>
          </w:tcPr>
          <w:p>
            <w:pPr>
              <w:spacing w:after="0"/>
              <w:rPr>
                <w:sz w:val="24"/>
                <w:szCs w:val="24"/>
                <w:color w:val="auto"/>
              </w:rPr>
            </w:pPr>
          </w:p>
        </w:tc>
        <w:tc>
          <w:tcPr>
            <w:tcW w:w="1080" w:type="dxa"/>
            <w:vAlign w:val="bottom"/>
            <w:gridSpan w:val="2"/>
          </w:tcPr>
          <w:p>
            <w:pPr>
              <w:jc w:val="right"/>
              <w:ind w:right="160"/>
              <w:spacing w:after="0" w:line="292" w:lineRule="exact"/>
              <w:rPr>
                <w:sz w:val="20"/>
                <w:szCs w:val="20"/>
                <w:color w:val="auto"/>
              </w:rPr>
            </w:pPr>
            <w:r>
              <w:rPr>
                <w:rFonts w:ascii="Arial" w:cs="Arial" w:eastAsia="Arial" w:hAnsi="Arial"/>
                <w:sz w:val="16"/>
                <w:szCs w:val="16"/>
                <w:color w:val="auto"/>
              </w:rPr>
              <w:t xml:space="preserve">75,000 </w:t>
            </w:r>
            <w:r>
              <w:rPr>
                <w:rFonts w:ascii="Arial" w:cs="Arial" w:eastAsia="Arial" w:hAnsi="Arial"/>
                <w:sz w:val="27"/>
                <w:szCs w:val="27"/>
                <w:color w:val="auto"/>
                <w:vertAlign w:val="superscript"/>
              </w:rPr>
              <w:t>a</w:t>
            </w:r>
          </w:p>
        </w:tc>
        <w:tc>
          <w:tcPr>
            <w:tcW w:w="940" w:type="dxa"/>
            <w:vAlign w:val="bottom"/>
            <w:gridSpan w:val="2"/>
          </w:tcPr>
          <w:p>
            <w:pPr>
              <w:jc w:val="right"/>
              <w:ind w:right="79"/>
              <w:spacing w:after="0"/>
              <w:rPr>
                <w:sz w:val="20"/>
                <w:szCs w:val="20"/>
                <w:color w:val="auto"/>
              </w:rPr>
            </w:pPr>
            <w:r>
              <w:rPr>
                <w:rFonts w:ascii="Arial" w:cs="Arial" w:eastAsia="Arial" w:hAnsi="Arial"/>
                <w:sz w:val="16"/>
                <w:szCs w:val="16"/>
                <w:color w:val="auto"/>
              </w:rPr>
              <w:t>$44.29</w:t>
            </w:r>
          </w:p>
        </w:tc>
        <w:tc>
          <w:tcPr>
            <w:tcW w:w="940" w:type="dxa"/>
            <w:vAlign w:val="bottom"/>
          </w:tcPr>
          <w:p>
            <w:pPr>
              <w:jc w:val="right"/>
              <w:spacing w:after="0"/>
              <w:rPr>
                <w:sz w:val="20"/>
                <w:szCs w:val="20"/>
                <w:color w:val="auto"/>
              </w:rPr>
            </w:pPr>
            <w:r>
              <w:rPr>
                <w:rFonts w:ascii="Arial" w:cs="Arial" w:eastAsia="Arial" w:hAnsi="Arial"/>
                <w:sz w:val="16"/>
                <w:szCs w:val="16"/>
                <w:color w:val="auto"/>
              </w:rPr>
              <w:t>1/19/2021</w:t>
            </w:r>
          </w:p>
        </w:tc>
        <w:tc>
          <w:tcPr>
            <w:tcW w:w="160" w:type="dxa"/>
            <w:vAlign w:val="bottom"/>
          </w:tcPr>
          <w:p>
            <w:pPr>
              <w:spacing w:after="0"/>
              <w:rPr>
                <w:sz w:val="24"/>
                <w:szCs w:val="24"/>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420" w:type="dxa"/>
            <w:vAlign w:val="bottom"/>
          </w:tcPr>
          <w:p>
            <w:pPr>
              <w:spacing w:after="0"/>
              <w:rPr>
                <w:sz w:val="21"/>
                <w:szCs w:val="21"/>
                <w:color w:val="auto"/>
              </w:rPr>
            </w:pPr>
          </w:p>
        </w:tc>
        <w:tc>
          <w:tcPr>
            <w:tcW w:w="2480" w:type="dxa"/>
            <w:vAlign w:val="bottom"/>
          </w:tcPr>
          <w:p>
            <w:pPr>
              <w:ind w:left="1260"/>
              <w:spacing w:after="0"/>
              <w:rPr>
                <w:sz w:val="20"/>
                <w:szCs w:val="20"/>
                <w:color w:val="auto"/>
              </w:rPr>
            </w:pPr>
            <w:r>
              <w:rPr>
                <w:rFonts w:ascii="Arial" w:cs="Arial" w:eastAsia="Arial" w:hAnsi="Arial"/>
                <w:sz w:val="16"/>
                <w:szCs w:val="16"/>
                <w:color w:val="auto"/>
              </w:rPr>
              <w:t>1/18/2012</w:t>
            </w:r>
          </w:p>
        </w:tc>
        <w:tc>
          <w:tcPr>
            <w:tcW w:w="340" w:type="dxa"/>
            <w:vAlign w:val="bottom"/>
          </w:tcPr>
          <w:p>
            <w:pPr>
              <w:spacing w:after="0"/>
              <w:rPr>
                <w:sz w:val="21"/>
                <w:szCs w:val="21"/>
                <w:color w:val="auto"/>
              </w:rPr>
            </w:pPr>
          </w:p>
        </w:tc>
        <w:tc>
          <w:tcPr>
            <w:tcW w:w="1080" w:type="dxa"/>
            <w:vAlign w:val="bottom"/>
            <w:gridSpan w:val="2"/>
          </w:tcPr>
          <w:p>
            <w:pPr>
              <w:jc w:val="right"/>
              <w:ind w:right="160"/>
              <w:spacing w:after="0" w:line="242" w:lineRule="exact"/>
              <w:rPr>
                <w:sz w:val="20"/>
                <w:szCs w:val="20"/>
                <w:color w:val="auto"/>
              </w:rPr>
            </w:pPr>
            <w:r>
              <w:rPr>
                <w:rFonts w:ascii="Arial" w:cs="Arial" w:eastAsia="Arial" w:hAnsi="Arial"/>
                <w:sz w:val="16"/>
                <w:szCs w:val="16"/>
                <w:color w:val="auto"/>
              </w:rPr>
              <w:t xml:space="preserve">82,115 </w:t>
            </w:r>
            <w:r>
              <w:rPr>
                <w:rFonts w:ascii="Arial" w:cs="Arial" w:eastAsia="Arial" w:hAnsi="Arial"/>
                <w:sz w:val="27"/>
                <w:szCs w:val="27"/>
                <w:color w:val="auto"/>
                <w:vertAlign w:val="superscript"/>
              </w:rPr>
              <w:t>a</w:t>
            </w:r>
          </w:p>
        </w:tc>
        <w:tc>
          <w:tcPr>
            <w:tcW w:w="340" w:type="dxa"/>
            <w:vAlign w:val="bottom"/>
          </w:tcPr>
          <w:p>
            <w:pPr>
              <w:spacing w:after="0"/>
              <w:rPr>
                <w:sz w:val="21"/>
                <w:szCs w:val="21"/>
                <w:color w:val="auto"/>
              </w:rPr>
            </w:pPr>
          </w:p>
        </w:tc>
        <w:tc>
          <w:tcPr>
            <w:tcW w:w="600" w:type="dxa"/>
            <w:vAlign w:val="bottom"/>
          </w:tcPr>
          <w:p>
            <w:pPr>
              <w:jc w:val="right"/>
              <w:ind w:right="79"/>
              <w:spacing w:after="0"/>
              <w:rPr>
                <w:sz w:val="20"/>
                <w:szCs w:val="20"/>
                <w:color w:val="auto"/>
              </w:rPr>
            </w:pPr>
            <w:r>
              <w:rPr>
                <w:rFonts w:ascii="Arial" w:cs="Arial" w:eastAsia="Arial" w:hAnsi="Arial"/>
                <w:sz w:val="16"/>
                <w:szCs w:val="16"/>
                <w:color w:val="auto"/>
              </w:rPr>
              <w:t>35.61</w:t>
            </w:r>
          </w:p>
        </w:tc>
        <w:tc>
          <w:tcPr>
            <w:tcW w:w="940" w:type="dxa"/>
            <w:vAlign w:val="bottom"/>
          </w:tcPr>
          <w:p>
            <w:pPr>
              <w:jc w:val="right"/>
              <w:spacing w:after="0"/>
              <w:rPr>
                <w:sz w:val="20"/>
                <w:szCs w:val="20"/>
                <w:color w:val="auto"/>
              </w:rPr>
            </w:pPr>
            <w:r>
              <w:rPr>
                <w:rFonts w:ascii="Arial" w:cs="Arial" w:eastAsia="Arial" w:hAnsi="Arial"/>
                <w:sz w:val="16"/>
                <w:szCs w:val="16"/>
                <w:color w:val="auto"/>
              </w:rPr>
              <w:t>1/18/2022</w:t>
            </w:r>
          </w:p>
        </w:tc>
        <w:tc>
          <w:tcPr>
            <w:tcW w:w="16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420" w:type="dxa"/>
            <w:vAlign w:val="bottom"/>
          </w:tcPr>
          <w:p>
            <w:pPr>
              <w:spacing w:after="0"/>
              <w:rPr>
                <w:sz w:val="20"/>
                <w:szCs w:val="20"/>
                <w:color w:val="auto"/>
              </w:rPr>
            </w:pPr>
          </w:p>
        </w:tc>
        <w:tc>
          <w:tcPr>
            <w:tcW w:w="2480" w:type="dxa"/>
            <w:vAlign w:val="bottom"/>
          </w:tcPr>
          <w:p>
            <w:pPr>
              <w:ind w:left="1260"/>
              <w:spacing w:after="0"/>
              <w:rPr>
                <w:sz w:val="20"/>
                <w:szCs w:val="20"/>
                <w:color w:val="auto"/>
              </w:rPr>
            </w:pPr>
            <w:r>
              <w:rPr>
                <w:rFonts w:ascii="Arial" w:cs="Arial" w:eastAsia="Arial" w:hAnsi="Arial"/>
                <w:sz w:val="16"/>
                <w:szCs w:val="16"/>
                <w:color w:val="auto"/>
              </w:rPr>
              <w:t>1/17/2013</w:t>
            </w:r>
          </w:p>
        </w:tc>
        <w:tc>
          <w:tcPr>
            <w:tcW w:w="340" w:type="dxa"/>
            <w:vAlign w:val="bottom"/>
          </w:tcPr>
          <w:p>
            <w:pPr>
              <w:spacing w:after="0"/>
              <w:rPr>
                <w:sz w:val="20"/>
                <w:szCs w:val="20"/>
                <w:color w:val="auto"/>
              </w:rPr>
            </w:pPr>
          </w:p>
        </w:tc>
        <w:tc>
          <w:tcPr>
            <w:tcW w:w="1080" w:type="dxa"/>
            <w:vAlign w:val="bottom"/>
            <w:gridSpan w:val="2"/>
          </w:tcPr>
          <w:p>
            <w:pPr>
              <w:jc w:val="right"/>
              <w:ind w:right="160"/>
              <w:spacing w:after="0" w:line="237" w:lineRule="exact"/>
              <w:rPr>
                <w:sz w:val="20"/>
                <w:szCs w:val="20"/>
                <w:color w:val="auto"/>
              </w:rPr>
            </w:pPr>
            <w:r>
              <w:rPr>
                <w:rFonts w:ascii="Arial" w:cs="Arial" w:eastAsia="Arial" w:hAnsi="Arial"/>
                <w:sz w:val="16"/>
                <w:szCs w:val="16"/>
                <w:color w:val="auto"/>
              </w:rPr>
              <w:t xml:space="preserve">104,603 </w:t>
            </w:r>
            <w:r>
              <w:rPr>
                <w:rFonts w:ascii="Arial" w:cs="Arial" w:eastAsia="Arial" w:hAnsi="Arial"/>
                <w:sz w:val="27"/>
                <w:szCs w:val="27"/>
                <w:color w:val="auto"/>
                <w:vertAlign w:val="superscript"/>
              </w:rPr>
              <w:t>a</w:t>
            </w:r>
          </w:p>
        </w:tc>
        <w:tc>
          <w:tcPr>
            <w:tcW w:w="340" w:type="dxa"/>
            <w:vAlign w:val="bottom"/>
          </w:tcPr>
          <w:p>
            <w:pPr>
              <w:spacing w:after="0"/>
              <w:rPr>
                <w:sz w:val="20"/>
                <w:szCs w:val="20"/>
                <w:color w:val="auto"/>
              </w:rPr>
            </w:pPr>
          </w:p>
        </w:tc>
        <w:tc>
          <w:tcPr>
            <w:tcW w:w="600" w:type="dxa"/>
            <w:vAlign w:val="bottom"/>
          </w:tcPr>
          <w:p>
            <w:pPr>
              <w:jc w:val="right"/>
              <w:ind w:right="79"/>
              <w:spacing w:after="0"/>
              <w:rPr>
                <w:sz w:val="20"/>
                <w:szCs w:val="20"/>
                <w:color w:val="auto"/>
              </w:rPr>
            </w:pPr>
            <w:r>
              <w:rPr>
                <w:rFonts w:ascii="Arial" w:cs="Arial" w:eastAsia="Arial" w:hAnsi="Arial"/>
                <w:sz w:val="16"/>
                <w:szCs w:val="16"/>
                <w:color w:val="auto"/>
              </w:rPr>
              <w:t>46.58</w:t>
            </w:r>
          </w:p>
        </w:tc>
        <w:tc>
          <w:tcPr>
            <w:tcW w:w="940" w:type="dxa"/>
            <w:vAlign w:val="bottom"/>
          </w:tcPr>
          <w:p>
            <w:pPr>
              <w:jc w:val="right"/>
              <w:spacing w:after="0"/>
              <w:rPr>
                <w:sz w:val="20"/>
                <w:szCs w:val="20"/>
                <w:color w:val="auto"/>
              </w:rPr>
            </w:pPr>
            <w:r>
              <w:rPr>
                <w:rFonts w:ascii="Arial" w:cs="Arial" w:eastAsia="Arial" w:hAnsi="Arial"/>
                <w:sz w:val="16"/>
                <w:szCs w:val="16"/>
                <w:color w:val="auto"/>
              </w:rPr>
              <w:t>1/17/2023</w:t>
            </w:r>
          </w:p>
        </w:tc>
        <w:tc>
          <w:tcPr>
            <w:tcW w:w="16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2420" w:type="dxa"/>
            <w:vAlign w:val="bottom"/>
          </w:tcPr>
          <w:p>
            <w:pPr>
              <w:spacing w:after="0"/>
              <w:rPr>
                <w:sz w:val="21"/>
                <w:szCs w:val="21"/>
                <w:color w:val="auto"/>
              </w:rPr>
            </w:pPr>
          </w:p>
        </w:tc>
        <w:tc>
          <w:tcPr>
            <w:tcW w:w="2480" w:type="dxa"/>
            <w:vAlign w:val="bottom"/>
          </w:tcPr>
          <w:p>
            <w:pPr>
              <w:ind w:left="1260"/>
              <w:spacing w:after="0" w:line="248" w:lineRule="exact"/>
              <w:rPr>
                <w:sz w:val="20"/>
                <w:szCs w:val="20"/>
                <w:color w:val="auto"/>
              </w:rPr>
            </w:pPr>
            <w:r>
              <w:rPr>
                <w:rFonts w:ascii="Arial" w:cs="Arial" w:eastAsia="Arial" w:hAnsi="Arial"/>
                <w:sz w:val="16"/>
                <w:szCs w:val="16"/>
                <w:color w:val="auto"/>
              </w:rPr>
              <w:t xml:space="preserve">1/17/2017 </w:t>
            </w:r>
            <w:r>
              <w:rPr>
                <w:rFonts w:ascii="Arial" w:cs="Arial" w:eastAsia="Arial" w:hAnsi="Arial"/>
                <w:sz w:val="27"/>
                <w:szCs w:val="27"/>
                <w:color w:val="auto"/>
                <w:vertAlign w:val="superscript"/>
              </w:rPr>
              <w:t>5</w:t>
            </w:r>
          </w:p>
        </w:tc>
        <w:tc>
          <w:tcPr>
            <w:tcW w:w="340" w:type="dxa"/>
            <w:vAlign w:val="bottom"/>
          </w:tcPr>
          <w:p>
            <w:pPr>
              <w:spacing w:after="0"/>
              <w:rPr>
                <w:sz w:val="21"/>
                <w:szCs w:val="21"/>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1"/>
                <w:szCs w:val="21"/>
                <w:color w:val="auto"/>
              </w:rPr>
            </w:pPr>
          </w:p>
        </w:tc>
        <w:tc>
          <w:tcPr>
            <w:tcW w:w="6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101,861</w:t>
            </w:r>
          </w:p>
        </w:tc>
        <w:tc>
          <w:tcPr>
            <w:tcW w:w="280" w:type="dxa"/>
            <w:vAlign w:val="bottom"/>
          </w:tcPr>
          <w:p>
            <w:pPr>
              <w:ind w:left="40"/>
              <w:spacing w:after="0"/>
              <w:rPr>
                <w:sz w:val="20"/>
                <w:szCs w:val="20"/>
                <w:color w:val="auto"/>
              </w:rPr>
            </w:pPr>
            <w:r>
              <w:rPr>
                <w:rFonts w:ascii="Arial" w:cs="Arial" w:eastAsia="Arial" w:hAnsi="Arial"/>
                <w:sz w:val="14"/>
                <w:szCs w:val="14"/>
                <w:color w:val="auto"/>
              </w:rPr>
              <w:t>c</w:t>
            </w: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20" w:type="dxa"/>
            <w:vAlign w:val="bottom"/>
          </w:tcPr>
          <w:p>
            <w:pPr>
              <w:spacing w:after="0"/>
              <w:rPr>
                <w:sz w:val="21"/>
                <w:szCs w:val="21"/>
                <w:color w:val="auto"/>
              </w:rPr>
            </w:pPr>
          </w:p>
        </w:tc>
        <w:tc>
          <w:tcPr>
            <w:tcW w:w="2480" w:type="dxa"/>
            <w:vAlign w:val="bottom"/>
          </w:tcPr>
          <w:p>
            <w:pPr>
              <w:ind w:left="1260"/>
              <w:spacing w:after="0"/>
              <w:rPr>
                <w:sz w:val="20"/>
                <w:szCs w:val="20"/>
                <w:color w:val="auto"/>
              </w:rPr>
            </w:pPr>
            <w:r>
              <w:rPr>
                <w:rFonts w:ascii="Arial" w:cs="Arial" w:eastAsia="Arial" w:hAnsi="Arial"/>
                <w:sz w:val="16"/>
                <w:szCs w:val="16"/>
                <w:color w:val="auto"/>
              </w:rPr>
              <w:t>1/17/2017</w:t>
            </w:r>
          </w:p>
        </w:tc>
        <w:tc>
          <w:tcPr>
            <w:tcW w:w="340" w:type="dxa"/>
            <w:vAlign w:val="bottom"/>
          </w:tcPr>
          <w:p>
            <w:pPr>
              <w:spacing w:after="0"/>
              <w:rPr>
                <w:sz w:val="21"/>
                <w:szCs w:val="21"/>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1"/>
                <w:szCs w:val="21"/>
                <w:color w:val="auto"/>
              </w:rPr>
            </w:pPr>
          </w:p>
        </w:tc>
        <w:tc>
          <w:tcPr>
            <w:tcW w:w="6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80" w:type="dxa"/>
            <w:vAlign w:val="bottom"/>
            <w:gridSpan w:val="3"/>
          </w:tcPr>
          <w:p>
            <w:pPr>
              <w:ind w:left="560"/>
              <w:spacing w:after="0" w:line="242" w:lineRule="exact"/>
              <w:rPr>
                <w:sz w:val="20"/>
                <w:szCs w:val="20"/>
                <w:color w:val="auto"/>
              </w:rPr>
            </w:pPr>
            <w:r>
              <w:rPr>
                <w:rFonts w:ascii="Arial" w:cs="Arial" w:eastAsia="Arial" w:hAnsi="Arial"/>
                <w:sz w:val="16"/>
                <w:szCs w:val="16"/>
                <w:color w:val="auto"/>
              </w:rPr>
              <w:t xml:space="preserve">63,483 </w:t>
            </w:r>
            <w:r>
              <w:rPr>
                <w:rFonts w:ascii="Arial" w:cs="Arial" w:eastAsia="Arial" w:hAnsi="Arial"/>
                <w:sz w:val="27"/>
                <w:szCs w:val="27"/>
                <w:color w:val="auto"/>
                <w:vertAlign w:val="superscript"/>
              </w:rPr>
              <w:t>d</w:t>
            </w: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20" w:type="dxa"/>
            <w:vAlign w:val="bottom"/>
          </w:tcPr>
          <w:p>
            <w:pPr>
              <w:spacing w:after="0"/>
              <w:rPr>
                <w:sz w:val="21"/>
                <w:szCs w:val="21"/>
                <w:color w:val="auto"/>
              </w:rPr>
            </w:pPr>
          </w:p>
        </w:tc>
        <w:tc>
          <w:tcPr>
            <w:tcW w:w="2480" w:type="dxa"/>
            <w:vAlign w:val="bottom"/>
          </w:tcPr>
          <w:p>
            <w:pPr>
              <w:ind w:left="1260"/>
              <w:spacing w:after="0"/>
              <w:rPr>
                <w:sz w:val="20"/>
                <w:szCs w:val="20"/>
                <w:color w:val="auto"/>
              </w:rPr>
            </w:pPr>
            <w:r>
              <w:rPr>
                <w:rFonts w:ascii="Arial" w:cs="Arial" w:eastAsia="Arial" w:hAnsi="Arial"/>
                <w:sz w:val="16"/>
                <w:szCs w:val="16"/>
                <w:color w:val="auto"/>
              </w:rPr>
              <w:t>1/16/2018</w:t>
            </w:r>
          </w:p>
        </w:tc>
        <w:tc>
          <w:tcPr>
            <w:tcW w:w="340" w:type="dxa"/>
            <w:vAlign w:val="bottom"/>
          </w:tcPr>
          <w:p>
            <w:pPr>
              <w:spacing w:after="0"/>
              <w:rPr>
                <w:sz w:val="21"/>
                <w:szCs w:val="21"/>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1"/>
                <w:szCs w:val="21"/>
                <w:color w:val="auto"/>
              </w:rPr>
            </w:pPr>
          </w:p>
        </w:tc>
        <w:tc>
          <w:tcPr>
            <w:tcW w:w="6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80" w:type="dxa"/>
            <w:vAlign w:val="bottom"/>
            <w:gridSpan w:val="3"/>
          </w:tcPr>
          <w:p>
            <w:pPr>
              <w:ind w:left="560"/>
              <w:spacing w:after="0" w:line="242" w:lineRule="exact"/>
              <w:rPr>
                <w:sz w:val="20"/>
                <w:szCs w:val="20"/>
                <w:color w:val="auto"/>
              </w:rPr>
            </w:pPr>
            <w:r>
              <w:rPr>
                <w:rFonts w:ascii="Arial" w:cs="Arial" w:eastAsia="Arial" w:hAnsi="Arial"/>
                <w:sz w:val="16"/>
                <w:szCs w:val="16"/>
                <w:color w:val="auto"/>
              </w:rPr>
              <w:t xml:space="preserve">63,680 </w:t>
            </w:r>
            <w:r>
              <w:rPr>
                <w:rFonts w:ascii="Arial" w:cs="Arial" w:eastAsia="Arial" w:hAnsi="Arial"/>
                <w:sz w:val="27"/>
                <w:szCs w:val="27"/>
                <w:color w:val="auto"/>
                <w:vertAlign w:val="superscript"/>
              </w:rPr>
              <w:t>d</w:t>
            </w:r>
          </w:p>
        </w:tc>
        <w:tc>
          <w:tcPr>
            <w:tcW w:w="1280" w:type="dxa"/>
            <w:vAlign w:val="bottom"/>
            <w:gridSpan w:val="3"/>
          </w:tcPr>
          <w:p>
            <w:pPr>
              <w:jc w:val="right"/>
              <w:ind w:right="31"/>
              <w:spacing w:after="0" w:line="242" w:lineRule="exact"/>
              <w:rPr>
                <w:sz w:val="20"/>
                <w:szCs w:val="20"/>
                <w:color w:val="auto"/>
              </w:rPr>
            </w:pPr>
            <w:r>
              <w:rPr>
                <w:rFonts w:ascii="Arial" w:cs="Arial" w:eastAsia="Arial" w:hAnsi="Arial"/>
                <w:sz w:val="16"/>
                <w:szCs w:val="16"/>
                <w:color w:val="auto"/>
              </w:rPr>
              <w:t xml:space="preserve">97,614 </w:t>
            </w:r>
            <w:r>
              <w:rPr>
                <w:rFonts w:ascii="Arial" w:cs="Arial" w:eastAsia="Arial" w:hAnsi="Arial"/>
                <w:sz w:val="27"/>
                <w:szCs w:val="27"/>
                <w:color w:val="auto"/>
                <w:vertAlign w:val="superscript"/>
              </w:rPr>
              <w:t>d</w:t>
            </w:r>
          </w:p>
        </w:tc>
        <w:tc>
          <w:tcPr>
            <w:tcW w:w="0" w:type="dxa"/>
            <w:vAlign w:val="bottom"/>
          </w:tcPr>
          <w:p>
            <w:pPr>
              <w:spacing w:after="0"/>
              <w:rPr>
                <w:sz w:val="1"/>
                <w:szCs w:val="1"/>
                <w:color w:val="auto"/>
              </w:rPr>
            </w:pPr>
          </w:p>
        </w:tc>
      </w:tr>
      <w:tr>
        <w:trPr>
          <w:trHeight w:val="201"/>
        </w:trPr>
        <w:tc>
          <w:tcPr>
            <w:tcW w:w="2420" w:type="dxa"/>
            <w:vAlign w:val="bottom"/>
          </w:tcPr>
          <w:p>
            <w:pPr>
              <w:spacing w:after="0"/>
              <w:rPr>
                <w:sz w:val="17"/>
                <w:szCs w:val="17"/>
                <w:color w:val="auto"/>
              </w:rPr>
            </w:pPr>
          </w:p>
        </w:tc>
        <w:tc>
          <w:tcPr>
            <w:tcW w:w="2480" w:type="dxa"/>
            <w:vAlign w:val="bottom"/>
          </w:tcPr>
          <w:p>
            <w:pPr>
              <w:ind w:left="1260"/>
              <w:spacing w:after="0"/>
              <w:rPr>
                <w:sz w:val="20"/>
                <w:szCs w:val="20"/>
                <w:color w:val="auto"/>
              </w:rPr>
            </w:pPr>
            <w:r>
              <w:rPr>
                <w:rFonts w:ascii="Arial" w:cs="Arial" w:eastAsia="Arial" w:hAnsi="Arial"/>
                <w:sz w:val="16"/>
                <w:szCs w:val="16"/>
                <w:color w:val="auto"/>
              </w:rPr>
              <w:t>1/15/2019</w:t>
            </w:r>
          </w:p>
        </w:tc>
        <w:tc>
          <w:tcPr>
            <w:tcW w:w="340" w:type="dxa"/>
            <w:vAlign w:val="bottom"/>
          </w:tcPr>
          <w:p>
            <w:pPr>
              <w:spacing w:after="0"/>
              <w:rPr>
                <w:sz w:val="17"/>
                <w:szCs w:val="17"/>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6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80" w:type="dxa"/>
            <w:vAlign w:val="bottom"/>
            <w:gridSpan w:val="3"/>
          </w:tcPr>
          <w:p>
            <w:pPr>
              <w:ind w:left="560"/>
              <w:spacing w:after="0" w:line="201" w:lineRule="exact"/>
              <w:rPr>
                <w:sz w:val="20"/>
                <w:szCs w:val="20"/>
                <w:color w:val="auto"/>
              </w:rPr>
            </w:pPr>
            <w:r>
              <w:rPr>
                <w:rFonts w:ascii="Arial" w:cs="Arial" w:eastAsia="Arial" w:hAnsi="Arial"/>
                <w:sz w:val="14"/>
                <w:szCs w:val="14"/>
                <w:color w:val="auto"/>
              </w:rPr>
              <w:t xml:space="preserve">83,586 </w:t>
            </w:r>
            <w:r>
              <w:rPr>
                <w:rFonts w:ascii="Arial" w:cs="Arial" w:eastAsia="Arial" w:hAnsi="Arial"/>
                <w:sz w:val="23"/>
                <w:szCs w:val="23"/>
                <w:color w:val="auto"/>
                <w:vertAlign w:val="superscript"/>
              </w:rPr>
              <w:t>d</w:t>
            </w:r>
          </w:p>
        </w:tc>
        <w:tc>
          <w:tcPr>
            <w:tcW w:w="1280" w:type="dxa"/>
            <w:vAlign w:val="bottom"/>
            <w:gridSpan w:val="3"/>
          </w:tcPr>
          <w:p>
            <w:pPr>
              <w:jc w:val="right"/>
              <w:ind w:right="31"/>
              <w:spacing w:after="0" w:line="201" w:lineRule="exact"/>
              <w:rPr>
                <w:sz w:val="20"/>
                <w:szCs w:val="20"/>
                <w:color w:val="auto"/>
              </w:rPr>
            </w:pPr>
            <w:r>
              <w:rPr>
                <w:rFonts w:ascii="Arial" w:cs="Arial" w:eastAsia="Arial" w:hAnsi="Arial"/>
                <w:sz w:val="14"/>
                <w:szCs w:val="14"/>
                <w:color w:val="auto"/>
              </w:rPr>
              <w:t xml:space="preserve">117,210 </w:t>
            </w:r>
            <w:r>
              <w:rPr>
                <w:rFonts w:ascii="Arial" w:cs="Arial" w:eastAsia="Arial" w:hAnsi="Arial"/>
                <w:sz w:val="23"/>
                <w:szCs w:val="23"/>
                <w:color w:val="auto"/>
                <w:vertAlign w:val="superscript"/>
              </w:rPr>
              <w:t>d</w:t>
            </w:r>
          </w:p>
        </w:tc>
        <w:tc>
          <w:tcPr>
            <w:tcW w:w="0" w:type="dxa"/>
            <w:vAlign w:val="bottom"/>
          </w:tcPr>
          <w:p>
            <w:pPr>
              <w:spacing w:after="0"/>
              <w:rPr>
                <w:sz w:val="1"/>
                <w:szCs w:val="1"/>
                <w:color w:val="auto"/>
              </w:rPr>
            </w:pPr>
          </w:p>
        </w:tc>
      </w:tr>
      <w:tr>
        <w:trPr>
          <w:trHeight w:val="244"/>
        </w:trPr>
        <w:tc>
          <w:tcPr>
            <w:tcW w:w="2420" w:type="dxa"/>
            <w:vAlign w:val="bottom"/>
          </w:tcPr>
          <w:p>
            <w:pPr>
              <w:ind w:left="60"/>
              <w:spacing w:after="0"/>
              <w:rPr>
                <w:sz w:val="20"/>
                <w:szCs w:val="20"/>
                <w:color w:val="auto"/>
              </w:rPr>
            </w:pPr>
            <w:r>
              <w:rPr>
                <w:rFonts w:ascii="Arial" w:cs="Arial" w:eastAsia="Arial" w:hAnsi="Arial"/>
                <w:sz w:val="16"/>
                <w:szCs w:val="16"/>
                <w:color w:val="auto"/>
              </w:rPr>
              <w:t>Total awards (#)</w:t>
            </w:r>
          </w:p>
        </w:tc>
        <w:tc>
          <w:tcPr>
            <w:tcW w:w="2480" w:type="dxa"/>
            <w:vAlign w:val="bottom"/>
          </w:tcPr>
          <w:p>
            <w:pPr>
              <w:spacing w:after="0"/>
              <w:rPr>
                <w:sz w:val="21"/>
                <w:szCs w:val="21"/>
                <w:color w:val="auto"/>
              </w:rPr>
            </w:pPr>
          </w:p>
        </w:tc>
        <w:tc>
          <w:tcPr>
            <w:tcW w:w="340" w:type="dxa"/>
            <w:vAlign w:val="bottom"/>
            <w:tcBorders>
              <w:top w:val="single" w:sz="8" w:color="333333"/>
            </w:tcBorders>
          </w:tcPr>
          <w:p>
            <w:pPr>
              <w:spacing w:after="0"/>
              <w:rPr>
                <w:sz w:val="21"/>
                <w:szCs w:val="21"/>
                <w:color w:val="auto"/>
              </w:rPr>
            </w:pPr>
          </w:p>
        </w:tc>
        <w:tc>
          <w:tcPr>
            <w:tcW w:w="800" w:type="dxa"/>
            <w:vAlign w:val="bottom"/>
            <w:tcBorders>
              <w:top w:val="single" w:sz="8" w:color="333333"/>
            </w:tcBorders>
          </w:tcPr>
          <w:p>
            <w:pPr>
              <w:jc w:val="right"/>
              <w:spacing w:after="0"/>
              <w:rPr>
                <w:sz w:val="20"/>
                <w:szCs w:val="20"/>
                <w:color w:val="auto"/>
              </w:rPr>
            </w:pPr>
            <w:r>
              <w:rPr>
                <w:rFonts w:ascii="Arial" w:cs="Arial" w:eastAsia="Arial" w:hAnsi="Arial"/>
                <w:sz w:val="16"/>
                <w:szCs w:val="16"/>
                <w:color w:val="auto"/>
              </w:rPr>
              <w:t>261,718</w:t>
            </w: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Borders>
              <w:top w:val="single" w:sz="8" w:color="333333"/>
            </w:tcBorders>
          </w:tcPr>
          <w:p>
            <w:pPr>
              <w:jc w:val="right"/>
              <w:spacing w:after="0"/>
              <w:rPr>
                <w:sz w:val="20"/>
                <w:szCs w:val="20"/>
                <w:color w:val="auto"/>
              </w:rPr>
            </w:pPr>
            <w:r>
              <w:rPr>
                <w:rFonts w:ascii="Arial" w:cs="Arial" w:eastAsia="Arial" w:hAnsi="Arial"/>
                <w:sz w:val="16"/>
                <w:szCs w:val="16"/>
                <w:color w:val="auto"/>
              </w:rPr>
              <w:t>312,610</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Borders>
              <w:top w:val="single" w:sz="8" w:color="333333"/>
            </w:tcBorders>
          </w:tcPr>
          <w:p>
            <w:pPr>
              <w:jc w:val="right"/>
              <w:spacing w:after="0"/>
              <w:rPr>
                <w:sz w:val="20"/>
                <w:szCs w:val="20"/>
                <w:color w:val="auto"/>
              </w:rPr>
            </w:pPr>
            <w:r>
              <w:rPr>
                <w:rFonts w:ascii="Arial" w:cs="Arial" w:eastAsia="Arial" w:hAnsi="Arial"/>
                <w:sz w:val="16"/>
                <w:szCs w:val="16"/>
                <w:color w:val="auto"/>
              </w:rPr>
              <w:t>214,824</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420" w:type="dxa"/>
            <w:vAlign w:val="bottom"/>
            <w:vMerge w:val="restart"/>
          </w:tcPr>
          <w:p>
            <w:pPr>
              <w:ind w:left="60"/>
              <w:spacing w:after="0"/>
              <w:rPr>
                <w:sz w:val="20"/>
                <w:szCs w:val="20"/>
                <w:color w:val="auto"/>
              </w:rPr>
            </w:pPr>
            <w:r>
              <w:rPr>
                <w:rFonts w:ascii="Arial" w:cs="Arial" w:eastAsia="Arial" w:hAnsi="Arial"/>
                <w:sz w:val="16"/>
                <w:szCs w:val="16"/>
                <w:color w:val="auto"/>
              </w:rPr>
              <w:t>Market value ($)</w:t>
            </w:r>
            <w:r>
              <w:rPr>
                <w:rFonts w:ascii="Arial" w:cs="Arial" w:eastAsia="Arial" w:hAnsi="Arial"/>
                <w:sz w:val="27"/>
                <w:szCs w:val="27"/>
                <w:color w:val="auto"/>
                <w:vertAlign w:val="superscript"/>
              </w:rPr>
              <w:t>6</w:t>
            </w:r>
          </w:p>
        </w:tc>
        <w:tc>
          <w:tcPr>
            <w:tcW w:w="2480" w:type="dxa"/>
            <w:vAlign w:val="bottom"/>
          </w:tcPr>
          <w:p>
            <w:pPr>
              <w:spacing w:after="0"/>
              <w:rPr>
                <w:sz w:val="4"/>
                <w:szCs w:val="4"/>
                <w:color w:val="auto"/>
              </w:rPr>
            </w:pPr>
          </w:p>
        </w:tc>
        <w:tc>
          <w:tcPr>
            <w:tcW w:w="340" w:type="dxa"/>
            <w:vAlign w:val="bottom"/>
            <w:tcBorders>
              <w:bottom w:val="single" w:sz="8" w:color="333333"/>
            </w:tcBorders>
          </w:tcPr>
          <w:p>
            <w:pPr>
              <w:spacing w:after="0"/>
              <w:rPr>
                <w:sz w:val="4"/>
                <w:szCs w:val="4"/>
                <w:color w:val="auto"/>
              </w:rPr>
            </w:pPr>
          </w:p>
        </w:tc>
        <w:tc>
          <w:tcPr>
            <w:tcW w:w="800" w:type="dxa"/>
            <w:vAlign w:val="bottom"/>
            <w:tcBorders>
              <w:bottom w:val="single" w:sz="8" w:color="333333"/>
            </w:tcBorders>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60" w:type="dxa"/>
            <w:vAlign w:val="bottom"/>
            <w:tcBorders>
              <w:bottom w:val="single" w:sz="8" w:color="333333"/>
            </w:tcBorders>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60" w:type="dxa"/>
            <w:vAlign w:val="bottom"/>
            <w:tcBorders>
              <w:bottom w:val="single" w:sz="8" w:color="333333"/>
            </w:tcBorders>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420" w:type="dxa"/>
            <w:vAlign w:val="bottom"/>
            <w:tcBorders>
              <w:bottom w:val="single" w:sz="8" w:color="333333"/>
            </w:tcBorders>
            <w:vMerge w:val="continue"/>
          </w:tcPr>
          <w:p>
            <w:pPr>
              <w:spacing w:after="0"/>
              <w:rPr>
                <w:sz w:val="21"/>
                <w:szCs w:val="21"/>
                <w:color w:val="auto"/>
              </w:rPr>
            </w:pPr>
          </w:p>
        </w:tc>
        <w:tc>
          <w:tcPr>
            <w:tcW w:w="2480" w:type="dxa"/>
            <w:vAlign w:val="bottom"/>
            <w:tcBorders>
              <w:bottom w:val="single" w:sz="8" w:color="333333"/>
            </w:tcBorders>
          </w:tcPr>
          <w:p>
            <w:pPr>
              <w:spacing w:after="0"/>
              <w:rPr>
                <w:sz w:val="21"/>
                <w:szCs w:val="21"/>
                <w:color w:val="auto"/>
              </w:rPr>
            </w:pPr>
          </w:p>
        </w:tc>
        <w:tc>
          <w:tcPr>
            <w:tcW w:w="340" w:type="dxa"/>
            <w:vAlign w:val="bottom"/>
            <w:tcBorders>
              <w:bottom w:val="single" w:sz="8" w:color="333333"/>
            </w:tcBorders>
          </w:tcPr>
          <w:p>
            <w:pPr>
              <w:ind w:left="240"/>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333333"/>
            </w:tcBorders>
          </w:tcPr>
          <w:p>
            <w:pPr>
              <w:jc w:val="right"/>
              <w:spacing w:after="0"/>
              <w:rPr>
                <w:sz w:val="20"/>
                <w:szCs w:val="20"/>
                <w:color w:val="auto"/>
              </w:rPr>
            </w:pPr>
            <w:r>
              <w:rPr>
                <w:rFonts w:ascii="Arial" w:cs="Arial" w:eastAsia="Arial" w:hAnsi="Arial"/>
                <w:sz w:val="16"/>
                <w:szCs w:val="16"/>
                <w:color w:val="auto"/>
                <w:w w:val="97"/>
              </w:rPr>
              <w:t>25,365,216</w:t>
            </w:r>
          </w:p>
        </w:tc>
        <w:tc>
          <w:tcPr>
            <w:tcW w:w="280" w:type="dxa"/>
            <w:vAlign w:val="bottom"/>
            <w:tcBorders>
              <w:bottom w:val="single" w:sz="8" w:color="333333"/>
            </w:tcBorders>
          </w:tcPr>
          <w:p>
            <w:pPr>
              <w:spacing w:after="0"/>
              <w:rPr>
                <w:sz w:val="21"/>
                <w:szCs w:val="21"/>
                <w:color w:val="auto"/>
              </w:rPr>
            </w:pPr>
          </w:p>
        </w:tc>
        <w:tc>
          <w:tcPr>
            <w:tcW w:w="340" w:type="dxa"/>
            <w:vAlign w:val="bottom"/>
            <w:tcBorders>
              <w:bottom w:val="single" w:sz="8" w:color="333333"/>
            </w:tcBorders>
          </w:tcPr>
          <w:p>
            <w:pPr>
              <w:spacing w:after="0"/>
              <w:rPr>
                <w:sz w:val="21"/>
                <w:szCs w:val="21"/>
                <w:color w:val="auto"/>
              </w:rPr>
            </w:pPr>
          </w:p>
        </w:tc>
        <w:tc>
          <w:tcPr>
            <w:tcW w:w="600" w:type="dxa"/>
            <w:vAlign w:val="bottom"/>
            <w:tcBorders>
              <w:bottom w:val="single" w:sz="8" w:color="333333"/>
            </w:tcBorders>
          </w:tcPr>
          <w:p>
            <w:pPr>
              <w:spacing w:after="0"/>
              <w:rPr>
                <w:sz w:val="21"/>
                <w:szCs w:val="21"/>
                <w:color w:val="auto"/>
              </w:rPr>
            </w:pPr>
          </w:p>
        </w:tc>
        <w:tc>
          <w:tcPr>
            <w:tcW w:w="940" w:type="dxa"/>
            <w:vAlign w:val="bottom"/>
            <w:tcBorders>
              <w:bottom w:val="single" w:sz="8" w:color="333333"/>
            </w:tcBorders>
          </w:tcPr>
          <w:p>
            <w:pPr>
              <w:spacing w:after="0"/>
              <w:rPr>
                <w:sz w:val="21"/>
                <w:szCs w:val="21"/>
                <w:color w:val="auto"/>
              </w:rPr>
            </w:pPr>
          </w:p>
        </w:tc>
        <w:tc>
          <w:tcPr>
            <w:tcW w:w="160" w:type="dxa"/>
            <w:vAlign w:val="bottom"/>
            <w:tcBorders>
              <w:bottom w:val="single" w:sz="8" w:color="333333"/>
            </w:tcBorders>
          </w:tcPr>
          <w:p>
            <w:pPr>
              <w:spacing w:after="0"/>
              <w:rPr>
                <w:sz w:val="21"/>
                <w:szCs w:val="21"/>
                <w:color w:val="auto"/>
              </w:rPr>
            </w:pPr>
          </w:p>
        </w:tc>
        <w:tc>
          <w:tcPr>
            <w:tcW w:w="1100" w:type="dxa"/>
            <w:vAlign w:val="bottom"/>
            <w:tcBorders>
              <w:bottom w:val="single" w:sz="8" w:color="333333"/>
            </w:tcBorders>
            <w:gridSpan w:val="2"/>
          </w:tcPr>
          <w:p>
            <w:pPr>
              <w:jc w:val="right"/>
              <w:ind w:right="40"/>
              <w:spacing w:after="0"/>
              <w:rPr>
                <w:sz w:val="20"/>
                <w:szCs w:val="20"/>
                <w:color w:val="auto"/>
              </w:rPr>
            </w:pPr>
            <w:r>
              <w:rPr>
                <w:rFonts w:ascii="Arial" w:cs="Arial" w:eastAsia="Arial" w:hAnsi="Arial"/>
                <w:sz w:val="16"/>
                <w:szCs w:val="16"/>
                <w:color w:val="auto"/>
              </w:rPr>
              <w:t>$43,577,834</w:t>
            </w:r>
          </w:p>
        </w:tc>
        <w:tc>
          <w:tcPr>
            <w:tcW w:w="280" w:type="dxa"/>
            <w:vAlign w:val="bottom"/>
            <w:tcBorders>
              <w:bottom w:val="single" w:sz="8" w:color="333333"/>
            </w:tcBorders>
          </w:tcPr>
          <w:p>
            <w:pPr>
              <w:spacing w:after="0"/>
              <w:rPr>
                <w:sz w:val="21"/>
                <w:szCs w:val="21"/>
                <w:color w:val="auto"/>
              </w:rPr>
            </w:pPr>
          </w:p>
        </w:tc>
        <w:tc>
          <w:tcPr>
            <w:tcW w:w="1100" w:type="dxa"/>
            <w:vAlign w:val="bottom"/>
            <w:tcBorders>
              <w:bottom w:val="single" w:sz="8" w:color="333333"/>
            </w:tcBorders>
            <w:gridSpan w:val="2"/>
          </w:tcPr>
          <w:p>
            <w:pPr>
              <w:jc w:val="right"/>
              <w:ind w:right="40"/>
              <w:spacing w:after="0"/>
              <w:rPr>
                <w:sz w:val="20"/>
                <w:szCs w:val="20"/>
                <w:color w:val="auto"/>
              </w:rPr>
            </w:pPr>
            <w:r>
              <w:rPr>
                <w:rFonts w:ascii="Arial" w:cs="Arial" w:eastAsia="Arial" w:hAnsi="Arial"/>
                <w:sz w:val="16"/>
                <w:szCs w:val="16"/>
                <w:color w:val="auto"/>
              </w:rPr>
              <w:t>$29,946,466</w:t>
            </w:r>
          </w:p>
        </w:tc>
        <w:tc>
          <w:tcPr>
            <w:tcW w:w="180" w:type="dxa"/>
            <w:vAlign w:val="bottom"/>
            <w:tcBorders>
              <w:bottom w:val="single" w:sz="8" w:color="333333"/>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60"/>
              <w:spacing w:after="0"/>
              <w:rPr>
                <w:sz w:val="20"/>
                <w:szCs w:val="20"/>
                <w:color w:val="auto"/>
              </w:rPr>
            </w:pPr>
            <w:r>
              <w:rPr>
                <w:rFonts w:ascii="Arial" w:cs="Arial" w:eastAsia="Arial" w:hAnsi="Arial"/>
                <w:sz w:val="16"/>
                <w:szCs w:val="16"/>
                <w:b w:val="1"/>
                <w:bCs w:val="1"/>
                <w:color w:val="auto"/>
              </w:rPr>
              <w:t>Gordon Smith</w:t>
            </w:r>
          </w:p>
        </w:tc>
        <w:tc>
          <w:tcPr>
            <w:tcW w:w="2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2420" w:type="dxa"/>
            <w:vAlign w:val="bottom"/>
          </w:tcPr>
          <w:p>
            <w:pPr>
              <w:spacing w:after="0"/>
              <w:rPr>
                <w:sz w:val="24"/>
                <w:szCs w:val="24"/>
                <w:color w:val="auto"/>
              </w:rPr>
            </w:pPr>
          </w:p>
        </w:tc>
        <w:tc>
          <w:tcPr>
            <w:tcW w:w="2480" w:type="dxa"/>
            <w:vAlign w:val="bottom"/>
          </w:tcPr>
          <w:p>
            <w:pPr>
              <w:ind w:left="1260"/>
              <w:spacing w:after="0" w:line="292" w:lineRule="exact"/>
              <w:rPr>
                <w:sz w:val="20"/>
                <w:szCs w:val="20"/>
                <w:color w:val="auto"/>
              </w:rPr>
            </w:pPr>
            <w:r>
              <w:rPr>
                <w:rFonts w:ascii="Arial" w:cs="Arial" w:eastAsia="Arial" w:hAnsi="Arial"/>
                <w:sz w:val="16"/>
                <w:szCs w:val="16"/>
                <w:color w:val="auto"/>
              </w:rPr>
              <w:t xml:space="preserve">1/17/2017 </w:t>
            </w:r>
            <w:r>
              <w:rPr>
                <w:rFonts w:ascii="Arial" w:cs="Arial" w:eastAsia="Arial" w:hAnsi="Arial"/>
                <w:sz w:val="27"/>
                <w:szCs w:val="27"/>
                <w:color w:val="auto"/>
                <w:vertAlign w:val="superscript"/>
              </w:rPr>
              <w:t>5</w:t>
            </w:r>
          </w:p>
        </w:tc>
        <w:tc>
          <w:tcPr>
            <w:tcW w:w="340" w:type="dxa"/>
            <w:vAlign w:val="bottom"/>
          </w:tcPr>
          <w:p>
            <w:pPr>
              <w:spacing w:after="0"/>
              <w:rPr>
                <w:sz w:val="24"/>
                <w:szCs w:val="24"/>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104,273</w:t>
            </w:r>
          </w:p>
        </w:tc>
        <w:tc>
          <w:tcPr>
            <w:tcW w:w="280" w:type="dxa"/>
            <w:vAlign w:val="bottom"/>
          </w:tcPr>
          <w:p>
            <w:pPr>
              <w:ind w:left="40"/>
              <w:spacing w:after="0"/>
              <w:rPr>
                <w:sz w:val="20"/>
                <w:szCs w:val="20"/>
                <w:color w:val="auto"/>
              </w:rPr>
            </w:pPr>
            <w:r>
              <w:rPr>
                <w:rFonts w:ascii="Arial" w:cs="Arial" w:eastAsia="Arial" w:hAnsi="Arial"/>
                <w:sz w:val="14"/>
                <w:szCs w:val="14"/>
                <w:color w:val="auto"/>
              </w:rPr>
              <w:t>b</w:t>
            </w: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420" w:type="dxa"/>
            <w:vAlign w:val="bottom"/>
          </w:tcPr>
          <w:p>
            <w:pPr>
              <w:spacing w:after="0"/>
              <w:rPr>
                <w:sz w:val="18"/>
                <w:szCs w:val="18"/>
                <w:color w:val="auto"/>
              </w:rPr>
            </w:pPr>
          </w:p>
        </w:tc>
        <w:tc>
          <w:tcPr>
            <w:tcW w:w="2480" w:type="dxa"/>
            <w:vAlign w:val="bottom"/>
          </w:tcPr>
          <w:p>
            <w:pPr>
              <w:ind w:left="1260"/>
              <w:spacing w:after="0"/>
              <w:rPr>
                <w:sz w:val="20"/>
                <w:szCs w:val="20"/>
                <w:color w:val="auto"/>
              </w:rPr>
            </w:pPr>
            <w:r>
              <w:rPr>
                <w:rFonts w:ascii="Arial" w:cs="Arial" w:eastAsia="Arial" w:hAnsi="Arial"/>
                <w:sz w:val="16"/>
                <w:szCs w:val="16"/>
                <w:color w:val="auto"/>
              </w:rPr>
              <w:t>1/17/2017</w:t>
            </w:r>
          </w:p>
        </w:tc>
        <w:tc>
          <w:tcPr>
            <w:tcW w:w="34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6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32,493</w:t>
            </w:r>
          </w:p>
        </w:tc>
        <w:tc>
          <w:tcPr>
            <w:tcW w:w="280" w:type="dxa"/>
            <w:vAlign w:val="bottom"/>
          </w:tcPr>
          <w:p>
            <w:pPr>
              <w:ind w:left="40"/>
              <w:spacing w:after="0"/>
              <w:rPr>
                <w:sz w:val="20"/>
                <w:szCs w:val="20"/>
                <w:color w:val="auto"/>
              </w:rPr>
            </w:pPr>
            <w:r>
              <w:rPr>
                <w:rFonts w:ascii="Arial" w:cs="Arial" w:eastAsia="Arial" w:hAnsi="Arial"/>
                <w:sz w:val="14"/>
                <w:szCs w:val="14"/>
                <w:color w:val="auto"/>
              </w:rPr>
              <w:t>e</w:t>
            </w: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420" w:type="dxa"/>
            <w:vAlign w:val="bottom"/>
          </w:tcPr>
          <w:p>
            <w:pPr>
              <w:spacing w:after="0"/>
              <w:rPr>
                <w:sz w:val="21"/>
                <w:szCs w:val="21"/>
                <w:color w:val="auto"/>
              </w:rPr>
            </w:pPr>
          </w:p>
        </w:tc>
        <w:tc>
          <w:tcPr>
            <w:tcW w:w="2480" w:type="dxa"/>
            <w:vAlign w:val="bottom"/>
          </w:tcPr>
          <w:p>
            <w:pPr>
              <w:ind w:left="1260"/>
              <w:spacing w:after="0"/>
              <w:rPr>
                <w:sz w:val="20"/>
                <w:szCs w:val="20"/>
                <w:color w:val="auto"/>
              </w:rPr>
            </w:pPr>
            <w:r>
              <w:rPr>
                <w:rFonts w:ascii="Arial" w:cs="Arial" w:eastAsia="Arial" w:hAnsi="Arial"/>
                <w:sz w:val="16"/>
                <w:szCs w:val="16"/>
                <w:color w:val="auto"/>
              </w:rPr>
              <w:t>1/16/2018</w:t>
            </w:r>
          </w:p>
        </w:tc>
        <w:tc>
          <w:tcPr>
            <w:tcW w:w="340" w:type="dxa"/>
            <w:vAlign w:val="bottom"/>
          </w:tcPr>
          <w:p>
            <w:pPr>
              <w:spacing w:after="0"/>
              <w:rPr>
                <w:sz w:val="21"/>
                <w:szCs w:val="21"/>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1"/>
                <w:szCs w:val="21"/>
                <w:color w:val="auto"/>
              </w:rPr>
            </w:pPr>
          </w:p>
        </w:tc>
        <w:tc>
          <w:tcPr>
            <w:tcW w:w="6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51,448</w:t>
            </w:r>
          </w:p>
        </w:tc>
        <w:tc>
          <w:tcPr>
            <w:tcW w:w="280" w:type="dxa"/>
            <w:vAlign w:val="bottom"/>
          </w:tcPr>
          <w:p>
            <w:pPr>
              <w:ind w:left="40"/>
              <w:spacing w:after="0"/>
              <w:rPr>
                <w:sz w:val="20"/>
                <w:szCs w:val="20"/>
                <w:color w:val="auto"/>
              </w:rPr>
            </w:pPr>
            <w:r>
              <w:rPr>
                <w:rFonts w:ascii="Arial" w:cs="Arial" w:eastAsia="Arial" w:hAnsi="Arial"/>
                <w:sz w:val="14"/>
                <w:szCs w:val="14"/>
                <w:color w:val="auto"/>
              </w:rPr>
              <w:t>e</w:t>
            </w:r>
          </w:p>
        </w:tc>
        <w:tc>
          <w:tcPr>
            <w:tcW w:w="1060" w:type="dxa"/>
            <w:vAlign w:val="bottom"/>
          </w:tcPr>
          <w:p>
            <w:pPr>
              <w:jc w:val="right"/>
              <w:spacing w:after="0"/>
              <w:rPr>
                <w:sz w:val="20"/>
                <w:szCs w:val="20"/>
                <w:color w:val="auto"/>
              </w:rPr>
            </w:pPr>
            <w:r>
              <w:rPr>
                <w:rFonts w:ascii="Arial" w:cs="Arial" w:eastAsia="Arial" w:hAnsi="Arial"/>
                <w:sz w:val="16"/>
                <w:szCs w:val="16"/>
                <w:color w:val="auto"/>
              </w:rPr>
              <w:t>80,797</w:t>
            </w:r>
          </w:p>
        </w:tc>
        <w:tc>
          <w:tcPr>
            <w:tcW w:w="40" w:type="dxa"/>
            <w:vAlign w:val="bottom"/>
          </w:tcPr>
          <w:p>
            <w:pPr>
              <w:spacing w:after="0"/>
              <w:rPr>
                <w:sz w:val="21"/>
                <w:szCs w:val="21"/>
                <w:color w:val="auto"/>
              </w:rPr>
            </w:pPr>
          </w:p>
        </w:tc>
        <w:tc>
          <w:tcPr>
            <w:tcW w:w="180" w:type="dxa"/>
            <w:vAlign w:val="bottom"/>
          </w:tcPr>
          <w:p>
            <w:pPr>
              <w:ind w:left="40"/>
              <w:spacing w:after="0"/>
              <w:rPr>
                <w:sz w:val="20"/>
                <w:szCs w:val="20"/>
                <w:color w:val="auto"/>
              </w:rPr>
            </w:pPr>
            <w:r>
              <w:rPr>
                <w:rFonts w:ascii="Arial" w:cs="Arial" w:eastAsia="Arial" w:hAnsi="Arial"/>
                <w:sz w:val="14"/>
                <w:szCs w:val="14"/>
                <w:color w:val="auto"/>
              </w:rPr>
              <w:t>b</w:t>
            </w:r>
          </w:p>
        </w:tc>
        <w:tc>
          <w:tcPr>
            <w:tcW w:w="0" w:type="dxa"/>
            <w:vAlign w:val="bottom"/>
          </w:tcPr>
          <w:p>
            <w:pPr>
              <w:spacing w:after="0"/>
              <w:rPr>
                <w:sz w:val="1"/>
                <w:szCs w:val="1"/>
                <w:color w:val="auto"/>
              </w:rPr>
            </w:pPr>
          </w:p>
        </w:tc>
      </w:tr>
      <w:tr>
        <w:trPr>
          <w:trHeight w:val="236"/>
        </w:trPr>
        <w:tc>
          <w:tcPr>
            <w:tcW w:w="2420" w:type="dxa"/>
            <w:vAlign w:val="bottom"/>
          </w:tcPr>
          <w:p>
            <w:pPr>
              <w:spacing w:after="0"/>
              <w:rPr>
                <w:sz w:val="20"/>
                <w:szCs w:val="20"/>
                <w:color w:val="auto"/>
              </w:rPr>
            </w:pPr>
          </w:p>
        </w:tc>
        <w:tc>
          <w:tcPr>
            <w:tcW w:w="2480" w:type="dxa"/>
            <w:vAlign w:val="bottom"/>
          </w:tcPr>
          <w:p>
            <w:pPr>
              <w:ind w:left="1260"/>
              <w:spacing w:after="0"/>
              <w:rPr>
                <w:sz w:val="20"/>
                <w:szCs w:val="20"/>
                <w:color w:val="auto"/>
              </w:rPr>
            </w:pPr>
            <w:r>
              <w:rPr>
                <w:rFonts w:ascii="Arial" w:cs="Arial" w:eastAsia="Arial" w:hAnsi="Arial"/>
                <w:sz w:val="16"/>
                <w:szCs w:val="16"/>
                <w:color w:val="auto"/>
              </w:rPr>
              <w:t>1/15/2019</w:t>
            </w:r>
          </w:p>
        </w:tc>
        <w:tc>
          <w:tcPr>
            <w:tcW w:w="340" w:type="dxa"/>
            <w:vAlign w:val="bottom"/>
          </w:tcPr>
          <w:p>
            <w:pPr>
              <w:spacing w:after="0"/>
              <w:rPr>
                <w:sz w:val="20"/>
                <w:szCs w:val="20"/>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6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80" w:type="dxa"/>
            <w:vAlign w:val="bottom"/>
            <w:gridSpan w:val="3"/>
          </w:tcPr>
          <w:p>
            <w:pPr>
              <w:ind w:left="560"/>
              <w:spacing w:after="0" w:line="236" w:lineRule="exact"/>
              <w:rPr>
                <w:sz w:val="20"/>
                <w:szCs w:val="20"/>
                <w:color w:val="auto"/>
              </w:rPr>
            </w:pPr>
            <w:r>
              <w:rPr>
                <w:rFonts w:ascii="Arial" w:cs="Arial" w:eastAsia="Arial" w:hAnsi="Arial"/>
                <w:sz w:val="16"/>
                <w:szCs w:val="16"/>
                <w:color w:val="auto"/>
              </w:rPr>
              <w:t xml:space="preserve">63,411 </w:t>
            </w:r>
            <w:r>
              <w:rPr>
                <w:rFonts w:ascii="Arial" w:cs="Arial" w:eastAsia="Arial" w:hAnsi="Arial"/>
                <w:sz w:val="27"/>
                <w:szCs w:val="27"/>
                <w:color w:val="auto"/>
                <w:vertAlign w:val="superscript"/>
              </w:rPr>
              <w:t>e</w:t>
            </w:r>
          </w:p>
        </w:tc>
        <w:tc>
          <w:tcPr>
            <w:tcW w:w="1060" w:type="dxa"/>
            <w:vAlign w:val="bottom"/>
          </w:tcPr>
          <w:p>
            <w:pPr>
              <w:jc w:val="right"/>
              <w:spacing w:after="0"/>
              <w:rPr>
                <w:sz w:val="20"/>
                <w:szCs w:val="20"/>
                <w:color w:val="auto"/>
              </w:rPr>
            </w:pPr>
            <w:r>
              <w:rPr>
                <w:rFonts w:ascii="Arial" w:cs="Arial" w:eastAsia="Arial" w:hAnsi="Arial"/>
                <w:sz w:val="16"/>
                <w:szCs w:val="16"/>
                <w:color w:val="auto"/>
              </w:rPr>
              <w:t>97,132</w:t>
            </w:r>
          </w:p>
        </w:tc>
        <w:tc>
          <w:tcPr>
            <w:tcW w:w="40" w:type="dxa"/>
            <w:vAlign w:val="bottom"/>
          </w:tcPr>
          <w:p>
            <w:pPr>
              <w:spacing w:after="0"/>
              <w:rPr>
                <w:sz w:val="20"/>
                <w:szCs w:val="20"/>
                <w:color w:val="auto"/>
              </w:rPr>
            </w:pPr>
          </w:p>
        </w:tc>
        <w:tc>
          <w:tcPr>
            <w:tcW w:w="180" w:type="dxa"/>
            <w:vAlign w:val="bottom"/>
          </w:tcPr>
          <w:p>
            <w:pPr>
              <w:ind w:left="40"/>
              <w:spacing w:after="0"/>
              <w:rPr>
                <w:sz w:val="20"/>
                <w:szCs w:val="20"/>
                <w:color w:val="auto"/>
              </w:rPr>
            </w:pPr>
            <w:r>
              <w:rPr>
                <w:rFonts w:ascii="Arial" w:cs="Arial" w:eastAsia="Arial" w:hAnsi="Arial"/>
                <w:sz w:val="14"/>
                <w:szCs w:val="14"/>
                <w:color w:val="auto"/>
              </w:rPr>
              <w:t>b</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40" w:type="dxa"/>
            <w:vAlign w:val="bottom"/>
            <w:shd w:val="clear" w:color="auto" w:fill="333333"/>
          </w:tcPr>
          <w:p>
            <w:pPr>
              <w:spacing w:after="0" w:line="20" w:lineRule="exact"/>
              <w:rPr>
                <w:sz w:val="1"/>
                <w:szCs w:val="1"/>
                <w:color w:val="auto"/>
              </w:rPr>
            </w:pPr>
          </w:p>
        </w:tc>
        <w:tc>
          <w:tcPr>
            <w:tcW w:w="800" w:type="dxa"/>
            <w:vAlign w:val="bottom"/>
            <w:shd w:val="clear" w:color="auto" w:fill="33333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shd w:val="clear" w:color="auto" w:fill="33333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shd w:val="clear" w:color="auto" w:fill="33333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420" w:type="dxa"/>
            <w:vAlign w:val="bottom"/>
          </w:tcPr>
          <w:p>
            <w:pPr>
              <w:ind w:left="60"/>
              <w:spacing w:after="0"/>
              <w:rPr>
                <w:sz w:val="20"/>
                <w:szCs w:val="20"/>
                <w:color w:val="auto"/>
              </w:rPr>
            </w:pPr>
            <w:r>
              <w:rPr>
                <w:rFonts w:ascii="Arial" w:cs="Arial" w:eastAsia="Arial" w:hAnsi="Arial"/>
                <w:sz w:val="16"/>
                <w:szCs w:val="16"/>
                <w:color w:val="auto"/>
              </w:rPr>
              <w:t>Total awards (#)</w:t>
            </w:r>
          </w:p>
        </w:tc>
        <w:tc>
          <w:tcPr>
            <w:tcW w:w="2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251,625</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177,929</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420" w:type="dxa"/>
            <w:vAlign w:val="bottom"/>
            <w:vMerge w:val="restart"/>
          </w:tcPr>
          <w:p>
            <w:pPr>
              <w:ind w:left="60"/>
              <w:spacing w:after="0"/>
              <w:rPr>
                <w:sz w:val="20"/>
                <w:szCs w:val="20"/>
                <w:color w:val="auto"/>
              </w:rPr>
            </w:pPr>
            <w:r>
              <w:rPr>
                <w:rFonts w:ascii="Arial" w:cs="Arial" w:eastAsia="Arial" w:hAnsi="Arial"/>
                <w:sz w:val="16"/>
                <w:szCs w:val="16"/>
                <w:color w:val="auto"/>
              </w:rPr>
              <w:t>Market value ($)</w:t>
            </w:r>
            <w:r>
              <w:rPr>
                <w:rFonts w:ascii="Arial" w:cs="Arial" w:eastAsia="Arial" w:hAnsi="Arial"/>
                <w:sz w:val="27"/>
                <w:szCs w:val="27"/>
                <w:color w:val="auto"/>
                <w:vertAlign w:val="superscript"/>
              </w:rPr>
              <w:t>6</w:t>
            </w:r>
          </w:p>
        </w:tc>
        <w:tc>
          <w:tcPr>
            <w:tcW w:w="2480" w:type="dxa"/>
            <w:vAlign w:val="bottom"/>
          </w:tcPr>
          <w:p>
            <w:pPr>
              <w:spacing w:after="0"/>
              <w:rPr>
                <w:sz w:val="4"/>
                <w:szCs w:val="4"/>
                <w:color w:val="auto"/>
              </w:rPr>
            </w:pPr>
          </w:p>
        </w:tc>
        <w:tc>
          <w:tcPr>
            <w:tcW w:w="340" w:type="dxa"/>
            <w:vAlign w:val="bottom"/>
            <w:tcBorders>
              <w:bottom w:val="single" w:sz="8" w:color="333333"/>
            </w:tcBorders>
          </w:tcPr>
          <w:p>
            <w:pPr>
              <w:spacing w:after="0"/>
              <w:rPr>
                <w:sz w:val="4"/>
                <w:szCs w:val="4"/>
                <w:color w:val="auto"/>
              </w:rPr>
            </w:pPr>
          </w:p>
        </w:tc>
        <w:tc>
          <w:tcPr>
            <w:tcW w:w="800" w:type="dxa"/>
            <w:vAlign w:val="bottom"/>
            <w:tcBorders>
              <w:bottom w:val="single" w:sz="8" w:color="333333"/>
            </w:tcBorders>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60" w:type="dxa"/>
            <w:vAlign w:val="bottom"/>
            <w:tcBorders>
              <w:bottom w:val="single" w:sz="8" w:color="333333"/>
            </w:tcBorders>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60" w:type="dxa"/>
            <w:vAlign w:val="bottom"/>
            <w:tcBorders>
              <w:bottom w:val="single" w:sz="8" w:color="333333"/>
            </w:tcBorders>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420" w:type="dxa"/>
            <w:vAlign w:val="bottom"/>
            <w:tcBorders>
              <w:bottom w:val="single" w:sz="8" w:color="333333"/>
            </w:tcBorders>
            <w:vMerge w:val="continue"/>
          </w:tcPr>
          <w:p>
            <w:pPr>
              <w:spacing w:after="0"/>
              <w:rPr>
                <w:sz w:val="21"/>
                <w:szCs w:val="21"/>
                <w:color w:val="auto"/>
              </w:rPr>
            </w:pPr>
          </w:p>
        </w:tc>
        <w:tc>
          <w:tcPr>
            <w:tcW w:w="2480" w:type="dxa"/>
            <w:vAlign w:val="bottom"/>
            <w:tcBorders>
              <w:bottom w:val="single" w:sz="8" w:color="333333"/>
            </w:tcBorders>
          </w:tcPr>
          <w:p>
            <w:pPr>
              <w:spacing w:after="0"/>
              <w:rPr>
                <w:sz w:val="21"/>
                <w:szCs w:val="21"/>
                <w:color w:val="auto"/>
              </w:rPr>
            </w:pPr>
          </w:p>
        </w:tc>
        <w:tc>
          <w:tcPr>
            <w:tcW w:w="340" w:type="dxa"/>
            <w:vAlign w:val="bottom"/>
            <w:tcBorders>
              <w:bottom w:val="single" w:sz="8" w:color="333333"/>
            </w:tcBorders>
          </w:tcPr>
          <w:p>
            <w:pPr>
              <w:ind w:left="18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333333"/>
            </w:tcBorders>
            <w:gridSpan w:val="2"/>
          </w:tcPr>
          <w:p>
            <w:pPr>
              <w:jc w:val="right"/>
              <w:ind w:right="28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333333"/>
            </w:tcBorders>
          </w:tcPr>
          <w:p>
            <w:pPr>
              <w:spacing w:after="0"/>
              <w:rPr>
                <w:sz w:val="21"/>
                <w:szCs w:val="21"/>
                <w:color w:val="auto"/>
              </w:rPr>
            </w:pPr>
          </w:p>
        </w:tc>
        <w:tc>
          <w:tcPr>
            <w:tcW w:w="600" w:type="dxa"/>
            <w:vAlign w:val="bottom"/>
            <w:tcBorders>
              <w:bottom w:val="single" w:sz="8" w:color="333333"/>
            </w:tcBorders>
          </w:tcPr>
          <w:p>
            <w:pPr>
              <w:spacing w:after="0"/>
              <w:rPr>
                <w:sz w:val="21"/>
                <w:szCs w:val="21"/>
                <w:color w:val="auto"/>
              </w:rPr>
            </w:pPr>
          </w:p>
        </w:tc>
        <w:tc>
          <w:tcPr>
            <w:tcW w:w="940" w:type="dxa"/>
            <w:vAlign w:val="bottom"/>
            <w:tcBorders>
              <w:bottom w:val="single" w:sz="8" w:color="333333"/>
            </w:tcBorders>
          </w:tcPr>
          <w:p>
            <w:pPr>
              <w:spacing w:after="0"/>
              <w:rPr>
                <w:sz w:val="21"/>
                <w:szCs w:val="21"/>
                <w:color w:val="auto"/>
              </w:rPr>
            </w:pPr>
          </w:p>
        </w:tc>
        <w:tc>
          <w:tcPr>
            <w:tcW w:w="160" w:type="dxa"/>
            <w:vAlign w:val="bottom"/>
            <w:tcBorders>
              <w:bottom w:val="single" w:sz="8" w:color="333333"/>
            </w:tcBorders>
          </w:tcPr>
          <w:p>
            <w:pPr>
              <w:spacing w:after="0"/>
              <w:rPr>
                <w:sz w:val="21"/>
                <w:szCs w:val="21"/>
                <w:color w:val="auto"/>
              </w:rPr>
            </w:pPr>
          </w:p>
        </w:tc>
        <w:tc>
          <w:tcPr>
            <w:tcW w:w="1100" w:type="dxa"/>
            <w:vAlign w:val="bottom"/>
            <w:tcBorders>
              <w:bottom w:val="single" w:sz="8" w:color="333333"/>
            </w:tcBorders>
            <w:gridSpan w:val="2"/>
          </w:tcPr>
          <w:p>
            <w:pPr>
              <w:jc w:val="right"/>
              <w:ind w:right="40"/>
              <w:spacing w:after="0"/>
              <w:rPr>
                <w:sz w:val="20"/>
                <w:szCs w:val="20"/>
                <w:color w:val="auto"/>
              </w:rPr>
            </w:pPr>
            <w:r>
              <w:rPr>
                <w:rFonts w:ascii="Arial" w:cs="Arial" w:eastAsia="Arial" w:hAnsi="Arial"/>
                <w:sz w:val="16"/>
                <w:szCs w:val="16"/>
                <w:color w:val="auto"/>
              </w:rPr>
              <w:t>$35,076,525</w:t>
            </w:r>
          </w:p>
        </w:tc>
        <w:tc>
          <w:tcPr>
            <w:tcW w:w="280" w:type="dxa"/>
            <w:vAlign w:val="bottom"/>
            <w:tcBorders>
              <w:bottom w:val="single" w:sz="8" w:color="333333"/>
            </w:tcBorders>
          </w:tcPr>
          <w:p>
            <w:pPr>
              <w:spacing w:after="0"/>
              <w:rPr>
                <w:sz w:val="21"/>
                <w:szCs w:val="21"/>
                <w:color w:val="auto"/>
              </w:rPr>
            </w:pPr>
          </w:p>
        </w:tc>
        <w:tc>
          <w:tcPr>
            <w:tcW w:w="1100" w:type="dxa"/>
            <w:vAlign w:val="bottom"/>
            <w:tcBorders>
              <w:bottom w:val="single" w:sz="8" w:color="333333"/>
            </w:tcBorders>
            <w:gridSpan w:val="2"/>
          </w:tcPr>
          <w:p>
            <w:pPr>
              <w:jc w:val="right"/>
              <w:ind w:right="40"/>
              <w:spacing w:after="0"/>
              <w:rPr>
                <w:sz w:val="20"/>
                <w:szCs w:val="20"/>
                <w:color w:val="auto"/>
              </w:rPr>
            </w:pPr>
            <w:r>
              <w:rPr>
                <w:rFonts w:ascii="Arial" w:cs="Arial" w:eastAsia="Arial" w:hAnsi="Arial"/>
                <w:sz w:val="16"/>
                <w:szCs w:val="16"/>
                <w:color w:val="auto"/>
              </w:rPr>
              <w:t>$24,803,303</w:t>
            </w:r>
          </w:p>
        </w:tc>
        <w:tc>
          <w:tcPr>
            <w:tcW w:w="180" w:type="dxa"/>
            <w:vAlign w:val="bottom"/>
            <w:tcBorders>
              <w:bottom w:val="single" w:sz="8" w:color="333333"/>
            </w:tcBorders>
          </w:tcPr>
          <w:p>
            <w:pPr>
              <w:spacing w:after="0"/>
              <w:rPr>
                <w:sz w:val="21"/>
                <w:szCs w:val="21"/>
                <w:color w:val="auto"/>
              </w:rPr>
            </w:pPr>
          </w:p>
        </w:tc>
        <w:tc>
          <w:tcPr>
            <w:tcW w:w="0" w:type="dxa"/>
            <w:vAlign w:val="bottom"/>
          </w:tcPr>
          <w:p>
            <w:pPr>
              <w:spacing w:after="0"/>
              <w:rPr>
                <w:sz w:val="1"/>
                <w:szCs w:val="1"/>
                <w:color w:val="auto"/>
              </w:rPr>
            </w:pPr>
          </w:p>
        </w:tc>
      </w:tr>
      <w:tr>
        <w:trPr>
          <w:trHeight w:val="641"/>
        </w:trPr>
        <w:tc>
          <w:tcPr>
            <w:tcW w:w="24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jc w:val="right"/>
              <w:ind w:right="380"/>
              <w:spacing w:after="0"/>
              <w:rPr>
                <w:sz w:val="20"/>
                <w:szCs w:val="20"/>
                <w:color w:val="auto"/>
              </w:rPr>
            </w:pPr>
            <w:r>
              <w:rPr>
                <w:rFonts w:ascii="Arial" w:cs="Arial" w:eastAsia="Arial" w:hAnsi="Arial"/>
                <w:sz w:val="13"/>
                <w:szCs w:val="13"/>
                <w:b w:val="1"/>
                <w:bCs w:val="1"/>
                <w:color w:val="004876"/>
              </w:rPr>
              <w:t>76</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-161925</wp:posOffset>
            </wp:positionV>
            <wp:extent cx="7029450" cy="19748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029450" cy="19748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04876"/>
        </w:rPr>
        <w:t>EXECUTIVE COMPENSATION | 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16"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26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420" w:type="dxa"/>
            <w:vAlign w:val="bottom"/>
            <w:tcBorders>
              <w:bottom w:val="single" w:sz="8" w:color="333333"/>
            </w:tcBorders>
          </w:tcPr>
          <w:p>
            <w:pPr>
              <w:spacing w:after="0"/>
              <w:rPr>
                <w:sz w:val="16"/>
                <w:szCs w:val="16"/>
                <w:color w:val="auto"/>
              </w:rPr>
            </w:pPr>
          </w:p>
        </w:tc>
        <w:tc>
          <w:tcPr>
            <w:tcW w:w="1920" w:type="dxa"/>
            <w:vAlign w:val="bottom"/>
            <w:tcBorders>
              <w:bottom w:val="single" w:sz="8" w:color="333333"/>
            </w:tcBorders>
            <w:gridSpan w:val="4"/>
          </w:tcPr>
          <w:p>
            <w:pPr>
              <w:jc w:val="right"/>
              <w:ind w:right="119"/>
              <w:spacing w:after="0"/>
              <w:rPr>
                <w:sz w:val="20"/>
                <w:szCs w:val="20"/>
                <w:color w:val="auto"/>
              </w:rPr>
            </w:pPr>
            <w:r>
              <w:rPr>
                <w:rFonts w:ascii="Arial" w:cs="Arial" w:eastAsia="Arial" w:hAnsi="Arial"/>
                <w:sz w:val="16"/>
                <w:szCs w:val="16"/>
                <w:color w:val="auto"/>
              </w:rPr>
              <w:t>Option awards</w:t>
            </w:r>
          </w:p>
        </w:tc>
        <w:tc>
          <w:tcPr>
            <w:tcW w:w="900" w:type="dxa"/>
            <w:vAlign w:val="bottom"/>
            <w:tcBorders>
              <w:bottom w:val="single" w:sz="8" w:color="333333"/>
            </w:tcBorders>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Borders>
              <w:bottom w:val="single" w:sz="8" w:color="333333"/>
            </w:tcBorders>
          </w:tcPr>
          <w:p>
            <w:pPr>
              <w:spacing w:after="0"/>
              <w:rPr>
                <w:sz w:val="16"/>
                <w:szCs w:val="16"/>
                <w:color w:val="auto"/>
              </w:rPr>
            </w:pPr>
          </w:p>
        </w:tc>
        <w:tc>
          <w:tcPr>
            <w:tcW w:w="2200" w:type="dxa"/>
            <w:vAlign w:val="bottom"/>
            <w:tcBorders>
              <w:bottom w:val="single" w:sz="8" w:color="333333"/>
            </w:tcBorders>
            <w:gridSpan w:val="5"/>
          </w:tcPr>
          <w:p>
            <w:pPr>
              <w:jc w:val="right"/>
              <w:ind w:right="660"/>
              <w:spacing w:after="0"/>
              <w:rPr>
                <w:sz w:val="20"/>
                <w:szCs w:val="20"/>
                <w:color w:val="auto"/>
              </w:rPr>
            </w:pPr>
            <w:r>
              <w:rPr>
                <w:rFonts w:ascii="Arial" w:cs="Arial" w:eastAsia="Arial" w:hAnsi="Arial"/>
                <w:sz w:val="16"/>
                <w:szCs w:val="16"/>
                <w:color w:val="auto"/>
              </w:rPr>
              <w:t>Stock awards</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6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3"/>
          </w:tcPr>
          <w:p>
            <w:pPr>
              <w:ind w:left="200"/>
              <w:spacing w:after="0"/>
              <w:rPr>
                <w:sz w:val="20"/>
                <w:szCs w:val="20"/>
                <w:color w:val="auto"/>
              </w:rPr>
            </w:pPr>
            <w:r>
              <w:rPr>
                <w:rFonts w:ascii="Arial" w:cs="Arial" w:eastAsia="Arial" w:hAnsi="Arial"/>
                <w:sz w:val="16"/>
                <w:szCs w:val="16"/>
                <w:color w:val="004876"/>
              </w:rPr>
              <w:t>Number of</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420" w:type="dxa"/>
            <w:vAlign w:val="bottom"/>
            <w:gridSpan w:val="3"/>
          </w:tcPr>
          <w:p>
            <w:pPr>
              <w:ind w:left="220"/>
              <w:spacing w:after="0"/>
              <w:rPr>
                <w:sz w:val="20"/>
                <w:szCs w:val="20"/>
                <w:color w:val="auto"/>
              </w:rPr>
            </w:pPr>
            <w:r>
              <w:rPr>
                <w:rFonts w:ascii="Arial" w:cs="Arial" w:eastAsia="Arial" w:hAnsi="Arial"/>
                <w:sz w:val="16"/>
                <w:szCs w:val="16"/>
                <w:color w:val="004876"/>
              </w:rPr>
              <w:t>Number of</w:t>
            </w: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3"/>
          </w:tcPr>
          <w:p>
            <w:pPr>
              <w:jc w:val="center"/>
              <w:ind w:right="40"/>
              <w:spacing w:after="0"/>
              <w:rPr>
                <w:sz w:val="20"/>
                <w:szCs w:val="20"/>
                <w:color w:val="auto"/>
              </w:rPr>
            </w:pPr>
            <w:r>
              <w:rPr>
                <w:rFonts w:ascii="Arial" w:cs="Arial" w:eastAsia="Arial" w:hAnsi="Arial"/>
                <w:sz w:val="16"/>
                <w:szCs w:val="16"/>
                <w:color w:val="004876"/>
              </w:rPr>
              <w:t>unearned</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420" w:type="dxa"/>
            <w:vAlign w:val="bottom"/>
            <w:gridSpan w:val="3"/>
          </w:tcPr>
          <w:p>
            <w:pPr>
              <w:jc w:val="center"/>
              <w:ind w:right="280"/>
              <w:spacing w:after="0"/>
              <w:rPr>
                <w:sz w:val="20"/>
                <w:szCs w:val="20"/>
                <w:color w:val="auto"/>
              </w:rPr>
            </w:pPr>
            <w:r>
              <w:rPr>
                <w:rFonts w:ascii="Arial" w:cs="Arial" w:eastAsia="Arial" w:hAnsi="Arial"/>
                <w:sz w:val="16"/>
                <w:szCs w:val="16"/>
                <w:color w:val="004876"/>
              </w:rPr>
              <w:t>securities</w:t>
            </w: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3"/>
          </w:tcPr>
          <w:p>
            <w:pPr>
              <w:ind w:left="180"/>
              <w:spacing w:after="0"/>
              <w:rPr>
                <w:sz w:val="20"/>
                <w:szCs w:val="20"/>
                <w:color w:val="auto"/>
              </w:rPr>
            </w:pPr>
            <w:r>
              <w:rPr>
                <w:rFonts w:ascii="Arial" w:cs="Arial" w:eastAsia="Arial" w:hAnsi="Arial"/>
                <w:sz w:val="16"/>
                <w:szCs w:val="16"/>
                <w:color w:val="004876"/>
              </w:rPr>
              <w:t>Number of</w:t>
            </w:r>
          </w:p>
        </w:tc>
        <w:tc>
          <w:tcPr>
            <w:tcW w:w="260" w:type="dxa"/>
            <w:vAlign w:val="bottom"/>
          </w:tcPr>
          <w:p>
            <w:pPr>
              <w:spacing w:after="0"/>
              <w:rPr>
                <w:sz w:val="16"/>
                <w:szCs w:val="16"/>
                <w:color w:val="auto"/>
              </w:rPr>
            </w:pPr>
          </w:p>
        </w:tc>
        <w:tc>
          <w:tcPr>
            <w:tcW w:w="1120" w:type="dxa"/>
            <w:vAlign w:val="bottom"/>
            <w:gridSpan w:val="3"/>
          </w:tcPr>
          <w:p>
            <w:pPr>
              <w:jc w:val="center"/>
              <w:ind w:right="40"/>
              <w:spacing w:after="0"/>
              <w:rPr>
                <w:sz w:val="20"/>
                <w:szCs w:val="20"/>
                <w:color w:val="auto"/>
              </w:rPr>
            </w:pPr>
            <w:r>
              <w:rPr>
                <w:rFonts w:ascii="Arial" w:cs="Arial" w:eastAsia="Arial" w:hAnsi="Arial"/>
                <w:sz w:val="16"/>
                <w:szCs w:val="16"/>
                <w:color w:val="004876"/>
              </w:rPr>
              <w:t>performance</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60" w:type="dxa"/>
            <w:vAlign w:val="bottom"/>
          </w:tcPr>
          <w:p>
            <w:pPr>
              <w:spacing w:after="0"/>
              <w:rPr>
                <w:sz w:val="16"/>
                <w:szCs w:val="16"/>
                <w:color w:val="auto"/>
              </w:rPr>
            </w:pPr>
          </w:p>
        </w:tc>
        <w:tc>
          <w:tcPr>
            <w:tcW w:w="2300" w:type="dxa"/>
            <w:vAlign w:val="bottom"/>
            <w:vMerge w:val="restart"/>
          </w:tcPr>
          <w:p>
            <w:pPr>
              <w:ind w:left="1120"/>
              <w:spacing w:after="0"/>
              <w:rPr>
                <w:sz w:val="20"/>
                <w:szCs w:val="20"/>
                <w:color w:val="auto"/>
              </w:rPr>
            </w:pPr>
            <w:r>
              <w:rPr>
                <w:rFonts w:ascii="Arial" w:cs="Arial" w:eastAsia="Arial" w:hAnsi="Arial"/>
                <w:sz w:val="16"/>
                <w:szCs w:val="16"/>
                <w:color w:val="004876"/>
              </w:rPr>
              <w:t>Option/</w:t>
            </w:r>
          </w:p>
        </w:tc>
        <w:tc>
          <w:tcPr>
            <w:tcW w:w="1420" w:type="dxa"/>
            <w:vAlign w:val="bottom"/>
            <w:gridSpan w:val="3"/>
          </w:tcPr>
          <w:p>
            <w:pPr>
              <w:jc w:val="center"/>
              <w:ind w:right="280"/>
              <w:spacing w:after="0"/>
              <w:rPr>
                <w:sz w:val="20"/>
                <w:szCs w:val="20"/>
                <w:color w:val="auto"/>
              </w:rPr>
            </w:pPr>
            <w:r>
              <w:rPr>
                <w:rFonts w:ascii="Arial" w:cs="Arial" w:eastAsia="Arial" w:hAnsi="Arial"/>
                <w:sz w:val="16"/>
                <w:szCs w:val="16"/>
                <w:color w:val="004876"/>
              </w:rPr>
              <w:t>underlying</w:t>
            </w:r>
          </w:p>
        </w:tc>
        <w:tc>
          <w:tcPr>
            <w:tcW w:w="920" w:type="dxa"/>
            <w:vAlign w:val="bottom"/>
            <w:gridSpan w:val="2"/>
            <w:vMerge w:val="restart"/>
          </w:tcPr>
          <w:p>
            <w:pPr>
              <w:jc w:val="right"/>
              <w:ind w:right="139"/>
              <w:spacing w:after="0"/>
              <w:rPr>
                <w:sz w:val="20"/>
                <w:szCs w:val="20"/>
                <w:color w:val="auto"/>
              </w:rPr>
            </w:pPr>
            <w:r>
              <w:rPr>
                <w:rFonts w:ascii="Arial" w:cs="Arial" w:eastAsia="Arial" w:hAnsi="Arial"/>
                <w:sz w:val="16"/>
                <w:szCs w:val="16"/>
                <w:color w:val="004876"/>
              </w:rPr>
              <w:t>Option</w:t>
            </w:r>
          </w:p>
        </w:tc>
        <w:tc>
          <w:tcPr>
            <w:tcW w:w="1060" w:type="dxa"/>
            <w:vAlign w:val="bottom"/>
            <w:gridSpan w:val="2"/>
            <w:vMerge w:val="restart"/>
          </w:tcPr>
          <w:p>
            <w:pPr>
              <w:jc w:val="center"/>
              <w:spacing w:after="0"/>
              <w:rPr>
                <w:sz w:val="20"/>
                <w:szCs w:val="20"/>
                <w:color w:val="auto"/>
              </w:rPr>
            </w:pPr>
            <w:r>
              <w:rPr>
                <w:rFonts w:ascii="Arial" w:cs="Arial" w:eastAsia="Arial" w:hAnsi="Arial"/>
                <w:sz w:val="16"/>
                <w:szCs w:val="16"/>
                <w:color w:val="004876"/>
              </w:rPr>
              <w:t>Option</w:t>
            </w:r>
          </w:p>
        </w:tc>
        <w:tc>
          <w:tcPr>
            <w:tcW w:w="1100" w:type="dxa"/>
            <w:vAlign w:val="bottom"/>
            <w:gridSpan w:val="3"/>
          </w:tcPr>
          <w:p>
            <w:pPr>
              <w:jc w:val="center"/>
              <w:ind w:right="40"/>
              <w:spacing w:after="0"/>
              <w:rPr>
                <w:sz w:val="20"/>
                <w:szCs w:val="20"/>
                <w:color w:val="auto"/>
              </w:rPr>
            </w:pPr>
            <w:r>
              <w:rPr>
                <w:rFonts w:ascii="Arial" w:cs="Arial" w:eastAsia="Arial" w:hAnsi="Arial"/>
                <w:sz w:val="16"/>
                <w:szCs w:val="16"/>
                <w:color w:val="004876"/>
              </w:rPr>
              <w:t>shares or units</w:t>
            </w:r>
          </w:p>
        </w:tc>
        <w:tc>
          <w:tcPr>
            <w:tcW w:w="260" w:type="dxa"/>
            <w:vAlign w:val="bottom"/>
          </w:tcPr>
          <w:p>
            <w:pPr>
              <w:spacing w:after="0"/>
              <w:rPr>
                <w:sz w:val="16"/>
                <w:szCs w:val="16"/>
                <w:color w:val="auto"/>
              </w:rPr>
            </w:pPr>
          </w:p>
        </w:tc>
        <w:tc>
          <w:tcPr>
            <w:tcW w:w="1120" w:type="dxa"/>
            <w:vAlign w:val="bottom"/>
            <w:gridSpan w:val="3"/>
          </w:tcPr>
          <w:p>
            <w:pPr>
              <w:jc w:val="center"/>
              <w:ind w:right="20"/>
              <w:spacing w:after="0"/>
              <w:rPr>
                <w:sz w:val="20"/>
                <w:szCs w:val="20"/>
                <w:color w:val="auto"/>
              </w:rPr>
            </w:pPr>
            <w:r>
              <w:rPr>
                <w:rFonts w:ascii="Arial" w:cs="Arial" w:eastAsia="Arial" w:hAnsi="Arial"/>
                <w:sz w:val="16"/>
                <w:szCs w:val="16"/>
                <w:color w:val="004876"/>
              </w:rPr>
              <w:t>shares or units</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660" w:type="dxa"/>
            <w:vAlign w:val="bottom"/>
          </w:tcPr>
          <w:p>
            <w:pPr>
              <w:spacing w:after="0"/>
              <w:rPr>
                <w:sz w:val="15"/>
                <w:szCs w:val="15"/>
                <w:color w:val="auto"/>
              </w:rPr>
            </w:pPr>
          </w:p>
        </w:tc>
        <w:tc>
          <w:tcPr>
            <w:tcW w:w="2300" w:type="dxa"/>
            <w:vAlign w:val="bottom"/>
            <w:vMerge w:val="continue"/>
          </w:tcPr>
          <w:p>
            <w:pPr>
              <w:spacing w:after="0"/>
              <w:rPr>
                <w:sz w:val="15"/>
                <w:szCs w:val="15"/>
                <w:color w:val="auto"/>
              </w:rPr>
            </w:pPr>
          </w:p>
        </w:tc>
        <w:tc>
          <w:tcPr>
            <w:tcW w:w="1420" w:type="dxa"/>
            <w:vAlign w:val="bottom"/>
            <w:gridSpan w:val="3"/>
          </w:tcPr>
          <w:p>
            <w:pPr>
              <w:jc w:val="center"/>
              <w:ind w:right="280"/>
              <w:spacing w:after="0" w:line="175" w:lineRule="exact"/>
              <w:rPr>
                <w:sz w:val="20"/>
                <w:szCs w:val="20"/>
                <w:color w:val="auto"/>
              </w:rPr>
            </w:pPr>
            <w:r>
              <w:rPr>
                <w:rFonts w:ascii="Arial" w:cs="Arial" w:eastAsia="Arial" w:hAnsi="Arial"/>
                <w:sz w:val="16"/>
                <w:szCs w:val="16"/>
                <w:color w:val="004876"/>
                <w:w w:val="99"/>
              </w:rPr>
              <w:t>unexercised</w:t>
            </w:r>
          </w:p>
        </w:tc>
        <w:tc>
          <w:tcPr>
            <w:tcW w:w="92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100" w:type="dxa"/>
            <w:vAlign w:val="bottom"/>
            <w:gridSpan w:val="3"/>
          </w:tcPr>
          <w:p>
            <w:pPr>
              <w:jc w:val="center"/>
              <w:ind w:right="60"/>
              <w:spacing w:after="0" w:line="175" w:lineRule="exact"/>
              <w:rPr>
                <w:sz w:val="20"/>
                <w:szCs w:val="20"/>
                <w:color w:val="auto"/>
              </w:rPr>
            </w:pPr>
            <w:r>
              <w:rPr>
                <w:rFonts w:ascii="Arial" w:cs="Arial" w:eastAsia="Arial" w:hAnsi="Arial"/>
                <w:sz w:val="16"/>
                <w:szCs w:val="16"/>
                <w:color w:val="004876"/>
              </w:rPr>
              <w:t>of stock that</w:t>
            </w:r>
          </w:p>
        </w:tc>
        <w:tc>
          <w:tcPr>
            <w:tcW w:w="260" w:type="dxa"/>
            <w:vAlign w:val="bottom"/>
          </w:tcPr>
          <w:p>
            <w:pPr>
              <w:spacing w:after="0"/>
              <w:rPr>
                <w:sz w:val="15"/>
                <w:szCs w:val="15"/>
                <w:color w:val="auto"/>
              </w:rPr>
            </w:pPr>
          </w:p>
        </w:tc>
        <w:tc>
          <w:tcPr>
            <w:tcW w:w="1120" w:type="dxa"/>
            <w:vAlign w:val="bottom"/>
            <w:gridSpan w:val="3"/>
          </w:tcPr>
          <w:p>
            <w:pPr>
              <w:jc w:val="center"/>
              <w:ind w:right="40"/>
              <w:spacing w:after="0" w:line="175" w:lineRule="exact"/>
              <w:rPr>
                <w:sz w:val="20"/>
                <w:szCs w:val="20"/>
                <w:color w:val="auto"/>
              </w:rPr>
            </w:pPr>
            <w:r>
              <w:rPr>
                <w:rFonts w:ascii="Arial" w:cs="Arial" w:eastAsia="Arial" w:hAnsi="Arial"/>
                <w:sz w:val="16"/>
                <w:szCs w:val="16"/>
                <w:color w:val="004876"/>
              </w:rPr>
              <w:t>of stock that</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660" w:type="dxa"/>
            <w:vAlign w:val="bottom"/>
          </w:tcPr>
          <w:p>
            <w:pPr>
              <w:spacing w:after="0"/>
              <w:rPr>
                <w:sz w:val="16"/>
                <w:szCs w:val="16"/>
                <w:color w:val="auto"/>
              </w:rPr>
            </w:pPr>
          </w:p>
        </w:tc>
        <w:tc>
          <w:tcPr>
            <w:tcW w:w="2300" w:type="dxa"/>
            <w:vAlign w:val="bottom"/>
          </w:tcPr>
          <w:p>
            <w:pPr>
              <w:jc w:val="right"/>
              <w:ind w:right="440"/>
              <w:spacing w:after="0"/>
              <w:rPr>
                <w:sz w:val="20"/>
                <w:szCs w:val="20"/>
                <w:color w:val="auto"/>
              </w:rPr>
            </w:pPr>
            <w:r>
              <w:rPr>
                <w:rFonts w:ascii="Arial" w:cs="Arial" w:eastAsia="Arial" w:hAnsi="Arial"/>
                <w:sz w:val="16"/>
                <w:szCs w:val="16"/>
                <w:color w:val="004876"/>
              </w:rPr>
              <w:t>stock award</w:t>
            </w:r>
          </w:p>
        </w:tc>
        <w:tc>
          <w:tcPr>
            <w:tcW w:w="1420" w:type="dxa"/>
            <w:vAlign w:val="bottom"/>
            <w:gridSpan w:val="3"/>
          </w:tcPr>
          <w:p>
            <w:pPr>
              <w:jc w:val="center"/>
              <w:ind w:right="280"/>
              <w:spacing w:after="0"/>
              <w:rPr>
                <w:sz w:val="20"/>
                <w:szCs w:val="20"/>
                <w:color w:val="auto"/>
              </w:rPr>
            </w:pPr>
            <w:r>
              <w:rPr>
                <w:rFonts w:ascii="Arial" w:cs="Arial" w:eastAsia="Arial" w:hAnsi="Arial"/>
                <w:sz w:val="16"/>
                <w:szCs w:val="16"/>
                <w:color w:val="004876"/>
              </w:rPr>
              <w:t>options: #</w:t>
            </w:r>
          </w:p>
        </w:tc>
        <w:tc>
          <w:tcPr>
            <w:tcW w:w="920" w:type="dxa"/>
            <w:vAlign w:val="bottom"/>
            <w:gridSpan w:val="2"/>
          </w:tcPr>
          <w:p>
            <w:pPr>
              <w:jc w:val="right"/>
              <w:ind w:right="79"/>
              <w:spacing w:after="0"/>
              <w:rPr>
                <w:sz w:val="20"/>
                <w:szCs w:val="20"/>
                <w:color w:val="auto"/>
              </w:rPr>
            </w:pPr>
            <w:r>
              <w:rPr>
                <w:rFonts w:ascii="Arial" w:cs="Arial" w:eastAsia="Arial" w:hAnsi="Arial"/>
                <w:sz w:val="16"/>
                <w:szCs w:val="16"/>
                <w:color w:val="004876"/>
              </w:rPr>
              <w:t>exercise</w:t>
            </w:r>
          </w:p>
        </w:tc>
        <w:tc>
          <w:tcPr>
            <w:tcW w:w="1060" w:type="dxa"/>
            <w:vAlign w:val="bottom"/>
            <w:gridSpan w:val="2"/>
          </w:tcPr>
          <w:p>
            <w:pPr>
              <w:jc w:val="center"/>
              <w:spacing w:after="0"/>
              <w:rPr>
                <w:sz w:val="20"/>
                <w:szCs w:val="20"/>
                <w:color w:val="auto"/>
              </w:rPr>
            </w:pPr>
            <w:r>
              <w:rPr>
                <w:rFonts w:ascii="Arial" w:cs="Arial" w:eastAsia="Arial" w:hAnsi="Arial"/>
                <w:sz w:val="16"/>
                <w:szCs w:val="16"/>
                <w:color w:val="004876"/>
              </w:rPr>
              <w:t>expiration</w:t>
            </w:r>
          </w:p>
        </w:tc>
        <w:tc>
          <w:tcPr>
            <w:tcW w:w="1100" w:type="dxa"/>
            <w:vAlign w:val="bottom"/>
            <w:gridSpan w:val="3"/>
          </w:tcPr>
          <w:p>
            <w:pPr>
              <w:jc w:val="center"/>
              <w:ind w:right="40"/>
              <w:spacing w:after="0"/>
              <w:rPr>
                <w:sz w:val="20"/>
                <w:szCs w:val="20"/>
                <w:color w:val="auto"/>
              </w:rPr>
            </w:pPr>
            <w:r>
              <w:rPr>
                <w:rFonts w:ascii="Arial" w:cs="Arial" w:eastAsia="Arial" w:hAnsi="Arial"/>
                <w:sz w:val="16"/>
                <w:szCs w:val="16"/>
                <w:color w:val="004876"/>
              </w:rPr>
              <w:t>have not</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6"/>
                <w:szCs w:val="16"/>
                <w:color w:val="004876"/>
              </w:rPr>
              <w:t>have</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660" w:type="dxa"/>
            <w:vAlign w:val="bottom"/>
            <w:tcBorders>
              <w:bottom w:val="single" w:sz="8" w:color="333333"/>
            </w:tcBorders>
          </w:tcPr>
          <w:p>
            <w:pPr>
              <w:ind w:left="60"/>
              <w:spacing w:after="0"/>
              <w:rPr>
                <w:sz w:val="20"/>
                <w:szCs w:val="20"/>
                <w:color w:val="auto"/>
              </w:rPr>
            </w:pPr>
            <w:r>
              <w:rPr>
                <w:rFonts w:ascii="Arial" w:cs="Arial" w:eastAsia="Arial" w:hAnsi="Arial"/>
                <w:sz w:val="16"/>
                <w:szCs w:val="16"/>
                <w:color w:val="004876"/>
              </w:rPr>
              <w:t>Name</w:t>
            </w:r>
          </w:p>
        </w:tc>
        <w:tc>
          <w:tcPr>
            <w:tcW w:w="2300" w:type="dxa"/>
            <w:vAlign w:val="bottom"/>
            <w:tcBorders>
              <w:bottom w:val="single" w:sz="8" w:color="333333"/>
            </w:tcBorders>
          </w:tcPr>
          <w:p>
            <w:pPr>
              <w:jc w:val="right"/>
              <w:ind w:right="420"/>
              <w:spacing w:after="0" w:line="205" w:lineRule="exact"/>
              <w:rPr>
                <w:sz w:val="20"/>
                <w:szCs w:val="20"/>
                <w:color w:val="auto"/>
              </w:rPr>
            </w:pPr>
            <w:r>
              <w:rPr>
                <w:rFonts w:ascii="Arial" w:cs="Arial" w:eastAsia="Arial" w:hAnsi="Arial"/>
                <w:sz w:val="14"/>
                <w:szCs w:val="14"/>
                <w:color w:val="004876"/>
              </w:rPr>
              <w:t>grant date</w:t>
            </w:r>
            <w:r>
              <w:rPr>
                <w:rFonts w:ascii="Arial" w:cs="Arial" w:eastAsia="Arial" w:hAnsi="Arial"/>
                <w:sz w:val="23"/>
                <w:szCs w:val="23"/>
                <w:color w:val="004876"/>
                <w:vertAlign w:val="superscript"/>
              </w:rPr>
              <w:t>1</w:t>
            </w:r>
          </w:p>
        </w:tc>
        <w:tc>
          <w:tcPr>
            <w:tcW w:w="1420" w:type="dxa"/>
            <w:vAlign w:val="bottom"/>
            <w:tcBorders>
              <w:bottom w:val="single" w:sz="8" w:color="333333"/>
            </w:tcBorders>
            <w:gridSpan w:val="3"/>
          </w:tcPr>
          <w:p>
            <w:pPr>
              <w:jc w:val="center"/>
              <w:ind w:right="280"/>
              <w:spacing w:after="0" w:line="205" w:lineRule="exact"/>
              <w:rPr>
                <w:sz w:val="20"/>
                <w:szCs w:val="20"/>
                <w:color w:val="auto"/>
              </w:rPr>
            </w:pPr>
            <w:r>
              <w:rPr>
                <w:rFonts w:ascii="Arial" w:cs="Arial" w:eastAsia="Arial" w:hAnsi="Arial"/>
                <w:sz w:val="14"/>
                <w:szCs w:val="14"/>
                <w:color w:val="004876"/>
              </w:rPr>
              <w:t>exercisable</w:t>
            </w:r>
            <w:r>
              <w:rPr>
                <w:rFonts w:ascii="Arial" w:cs="Arial" w:eastAsia="Arial" w:hAnsi="Arial"/>
                <w:sz w:val="23"/>
                <w:szCs w:val="23"/>
                <w:color w:val="004876"/>
                <w:vertAlign w:val="superscript"/>
              </w:rPr>
              <w:t>1,2,3</w:t>
            </w:r>
          </w:p>
        </w:tc>
        <w:tc>
          <w:tcPr>
            <w:tcW w:w="920" w:type="dxa"/>
            <w:vAlign w:val="bottom"/>
            <w:tcBorders>
              <w:bottom w:val="single" w:sz="8" w:color="333333"/>
            </w:tcBorders>
            <w:gridSpan w:val="2"/>
          </w:tcPr>
          <w:p>
            <w:pPr>
              <w:jc w:val="right"/>
              <w:ind w:right="79"/>
              <w:spacing w:after="0"/>
              <w:rPr>
                <w:sz w:val="20"/>
                <w:szCs w:val="20"/>
                <w:color w:val="auto"/>
              </w:rPr>
            </w:pPr>
            <w:r>
              <w:rPr>
                <w:rFonts w:ascii="Arial" w:cs="Arial" w:eastAsia="Arial" w:hAnsi="Arial"/>
                <w:sz w:val="16"/>
                <w:szCs w:val="16"/>
                <w:color w:val="004876"/>
              </w:rPr>
              <w:t>price ($)</w:t>
            </w:r>
          </w:p>
        </w:tc>
        <w:tc>
          <w:tcPr>
            <w:tcW w:w="1060" w:type="dxa"/>
            <w:vAlign w:val="bottom"/>
            <w:tcBorders>
              <w:bottom w:val="single" w:sz="8" w:color="333333"/>
            </w:tcBorders>
            <w:gridSpan w:val="2"/>
          </w:tcPr>
          <w:p>
            <w:pPr>
              <w:jc w:val="center"/>
              <w:spacing w:after="0"/>
              <w:rPr>
                <w:sz w:val="20"/>
                <w:szCs w:val="20"/>
                <w:color w:val="auto"/>
              </w:rPr>
            </w:pPr>
            <w:r>
              <w:rPr>
                <w:rFonts w:ascii="Arial" w:cs="Arial" w:eastAsia="Arial" w:hAnsi="Arial"/>
                <w:sz w:val="16"/>
                <w:szCs w:val="16"/>
                <w:color w:val="004876"/>
              </w:rPr>
              <w:t>date</w:t>
            </w:r>
          </w:p>
        </w:tc>
        <w:tc>
          <w:tcPr>
            <w:tcW w:w="1100" w:type="dxa"/>
            <w:vAlign w:val="bottom"/>
            <w:tcBorders>
              <w:bottom w:val="single" w:sz="8" w:color="333333"/>
            </w:tcBorders>
            <w:gridSpan w:val="3"/>
          </w:tcPr>
          <w:p>
            <w:pPr>
              <w:jc w:val="center"/>
              <w:ind w:right="40"/>
              <w:spacing w:after="0" w:line="205" w:lineRule="exact"/>
              <w:rPr>
                <w:sz w:val="20"/>
                <w:szCs w:val="20"/>
                <w:color w:val="auto"/>
              </w:rPr>
            </w:pPr>
            <w:r>
              <w:rPr>
                <w:rFonts w:ascii="Arial" w:cs="Arial" w:eastAsia="Arial" w:hAnsi="Arial"/>
                <w:sz w:val="14"/>
                <w:szCs w:val="14"/>
                <w:color w:val="004876"/>
              </w:rPr>
              <w:t>vested</w:t>
            </w:r>
            <w:r>
              <w:rPr>
                <w:rFonts w:ascii="Arial" w:cs="Arial" w:eastAsia="Arial" w:hAnsi="Arial"/>
                <w:sz w:val="23"/>
                <w:szCs w:val="23"/>
                <w:color w:val="004876"/>
                <w:vertAlign w:val="superscript"/>
              </w:rPr>
              <w:t>1,3</w:t>
            </w:r>
          </w:p>
        </w:tc>
        <w:tc>
          <w:tcPr>
            <w:tcW w:w="260" w:type="dxa"/>
            <w:vAlign w:val="bottom"/>
            <w:tcBorders>
              <w:bottom w:val="single" w:sz="8" w:color="333333"/>
            </w:tcBorders>
          </w:tcPr>
          <w:p>
            <w:pPr>
              <w:spacing w:after="0"/>
              <w:rPr>
                <w:sz w:val="17"/>
                <w:szCs w:val="17"/>
                <w:color w:val="auto"/>
              </w:rPr>
            </w:pPr>
          </w:p>
        </w:tc>
        <w:tc>
          <w:tcPr>
            <w:tcW w:w="1120" w:type="dxa"/>
            <w:vAlign w:val="bottom"/>
            <w:tcBorders>
              <w:bottom w:val="single" w:sz="8" w:color="333333"/>
            </w:tcBorders>
            <w:gridSpan w:val="3"/>
          </w:tcPr>
          <w:p>
            <w:pPr>
              <w:jc w:val="center"/>
              <w:ind w:right="40"/>
              <w:spacing w:after="0" w:line="205" w:lineRule="exact"/>
              <w:rPr>
                <w:sz w:val="20"/>
                <w:szCs w:val="20"/>
                <w:color w:val="auto"/>
              </w:rPr>
            </w:pPr>
            <w:r>
              <w:rPr>
                <w:rFonts w:ascii="Arial" w:cs="Arial" w:eastAsia="Arial" w:hAnsi="Arial"/>
                <w:sz w:val="14"/>
                <w:szCs w:val="14"/>
                <w:color w:val="004876"/>
              </w:rPr>
              <w:t>not vested</w:t>
            </w:r>
            <w:r>
              <w:rPr>
                <w:rFonts w:ascii="Arial" w:cs="Arial" w:eastAsia="Arial" w:hAnsi="Arial"/>
                <w:sz w:val="23"/>
                <w:szCs w:val="23"/>
                <w:color w:val="004876"/>
                <w:vertAlign w:val="superscript"/>
              </w:rPr>
              <w:t>1,3,4</w:t>
            </w:r>
          </w:p>
        </w:tc>
        <w:tc>
          <w:tcPr>
            <w:tcW w:w="180" w:type="dxa"/>
            <w:vAlign w:val="bottom"/>
            <w:tcBorders>
              <w:bottom w:val="single" w:sz="8" w:color="333333"/>
            </w:tcBorders>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2660" w:type="dxa"/>
            <w:vAlign w:val="bottom"/>
          </w:tcPr>
          <w:p>
            <w:pPr>
              <w:ind w:left="60"/>
              <w:spacing w:after="0"/>
              <w:rPr>
                <w:sz w:val="20"/>
                <w:szCs w:val="20"/>
                <w:color w:val="auto"/>
              </w:rPr>
            </w:pPr>
            <w:r>
              <w:rPr>
                <w:rFonts w:ascii="Arial" w:cs="Arial" w:eastAsia="Arial" w:hAnsi="Arial"/>
                <w:sz w:val="16"/>
                <w:szCs w:val="16"/>
                <w:b w:val="1"/>
                <w:bCs w:val="1"/>
                <w:color w:val="auto"/>
              </w:rPr>
              <w:t>Mary Callahan Erdoes</w:t>
            </w:r>
          </w:p>
        </w:tc>
        <w:tc>
          <w:tcPr>
            <w:tcW w:w="2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2660" w:type="dxa"/>
            <w:vAlign w:val="bottom"/>
          </w:tcPr>
          <w:p>
            <w:pPr>
              <w:spacing w:after="0"/>
              <w:rPr>
                <w:sz w:val="24"/>
                <w:szCs w:val="24"/>
                <w:color w:val="auto"/>
              </w:rPr>
            </w:pPr>
          </w:p>
        </w:tc>
        <w:tc>
          <w:tcPr>
            <w:tcW w:w="2300" w:type="dxa"/>
            <w:vAlign w:val="bottom"/>
          </w:tcPr>
          <w:p>
            <w:pPr>
              <w:ind w:left="1080"/>
              <w:spacing w:after="0"/>
              <w:rPr>
                <w:sz w:val="20"/>
                <w:szCs w:val="20"/>
                <w:color w:val="auto"/>
              </w:rPr>
            </w:pPr>
            <w:r>
              <w:rPr>
                <w:rFonts w:ascii="Arial" w:cs="Arial" w:eastAsia="Arial" w:hAnsi="Arial"/>
                <w:sz w:val="16"/>
                <w:szCs w:val="16"/>
                <w:color w:val="auto"/>
              </w:rPr>
              <w:t>1/17/2013</w:t>
            </w:r>
          </w:p>
        </w:tc>
        <w:tc>
          <w:tcPr>
            <w:tcW w:w="420" w:type="dxa"/>
            <w:vAlign w:val="bottom"/>
          </w:tcPr>
          <w:p>
            <w:pPr>
              <w:spacing w:after="0"/>
              <w:rPr>
                <w:sz w:val="24"/>
                <w:szCs w:val="24"/>
                <w:color w:val="auto"/>
              </w:rPr>
            </w:pPr>
          </w:p>
        </w:tc>
        <w:tc>
          <w:tcPr>
            <w:tcW w:w="1000" w:type="dxa"/>
            <w:vAlign w:val="bottom"/>
            <w:gridSpan w:val="2"/>
          </w:tcPr>
          <w:p>
            <w:pPr>
              <w:ind w:left="140"/>
              <w:spacing w:after="0" w:line="286" w:lineRule="exact"/>
              <w:rPr>
                <w:sz w:val="20"/>
                <w:szCs w:val="20"/>
                <w:color w:val="auto"/>
              </w:rPr>
            </w:pPr>
            <w:r>
              <w:rPr>
                <w:rFonts w:ascii="Arial" w:cs="Arial" w:eastAsia="Arial" w:hAnsi="Arial"/>
                <w:sz w:val="16"/>
                <w:szCs w:val="16"/>
                <w:color w:val="auto"/>
              </w:rPr>
              <w:t xml:space="preserve">105,143 </w:t>
            </w:r>
            <w:r>
              <w:rPr>
                <w:rFonts w:ascii="Arial" w:cs="Arial" w:eastAsia="Arial" w:hAnsi="Arial"/>
                <w:sz w:val="27"/>
                <w:szCs w:val="27"/>
                <w:color w:val="auto"/>
                <w:vertAlign w:val="superscript"/>
              </w:rPr>
              <w:t>a</w:t>
            </w:r>
          </w:p>
        </w:tc>
        <w:tc>
          <w:tcPr>
            <w:tcW w:w="920" w:type="dxa"/>
            <w:vAlign w:val="bottom"/>
            <w:gridSpan w:val="2"/>
          </w:tcPr>
          <w:p>
            <w:pPr>
              <w:jc w:val="right"/>
              <w:ind w:right="79"/>
              <w:spacing w:after="0"/>
              <w:rPr>
                <w:sz w:val="20"/>
                <w:szCs w:val="20"/>
                <w:color w:val="auto"/>
              </w:rPr>
            </w:pPr>
            <w:r>
              <w:rPr>
                <w:rFonts w:ascii="Arial" w:cs="Arial" w:eastAsia="Arial" w:hAnsi="Arial"/>
                <w:sz w:val="16"/>
                <w:szCs w:val="16"/>
                <w:color w:val="auto"/>
              </w:rPr>
              <w:t>$46.58</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1/17/2023</w:t>
            </w:r>
          </w:p>
        </w:tc>
        <w:tc>
          <w:tcPr>
            <w:tcW w:w="240" w:type="dxa"/>
            <w:vAlign w:val="bottom"/>
          </w:tcPr>
          <w:p>
            <w:pPr>
              <w:spacing w:after="0"/>
              <w:rPr>
                <w:sz w:val="24"/>
                <w:szCs w:val="2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2660" w:type="dxa"/>
            <w:vAlign w:val="bottom"/>
          </w:tcPr>
          <w:p>
            <w:pPr>
              <w:spacing w:after="0"/>
              <w:rPr>
                <w:sz w:val="21"/>
                <w:szCs w:val="21"/>
                <w:color w:val="auto"/>
              </w:rPr>
            </w:pPr>
          </w:p>
        </w:tc>
        <w:tc>
          <w:tcPr>
            <w:tcW w:w="2300" w:type="dxa"/>
            <w:vAlign w:val="bottom"/>
          </w:tcPr>
          <w:p>
            <w:pPr>
              <w:ind w:left="1080"/>
              <w:spacing w:after="0" w:line="248" w:lineRule="exact"/>
              <w:rPr>
                <w:sz w:val="20"/>
                <w:szCs w:val="20"/>
                <w:color w:val="auto"/>
              </w:rPr>
            </w:pPr>
            <w:r>
              <w:rPr>
                <w:rFonts w:ascii="Arial" w:cs="Arial" w:eastAsia="Arial" w:hAnsi="Arial"/>
                <w:sz w:val="16"/>
                <w:szCs w:val="16"/>
                <w:color w:val="auto"/>
              </w:rPr>
              <w:t xml:space="preserve">1/17/2017 </w:t>
            </w:r>
            <w:r>
              <w:rPr>
                <w:rFonts w:ascii="Arial" w:cs="Arial" w:eastAsia="Arial" w:hAnsi="Arial"/>
                <w:sz w:val="27"/>
                <w:szCs w:val="27"/>
                <w:color w:val="auto"/>
                <w:vertAlign w:val="superscript"/>
              </w:rPr>
              <w:t>5</w:t>
            </w:r>
          </w:p>
        </w:tc>
        <w:tc>
          <w:tcPr>
            <w:tcW w:w="420" w:type="dxa"/>
            <w:vAlign w:val="bottom"/>
          </w:tcPr>
          <w:p>
            <w:pPr>
              <w:spacing w:after="0"/>
              <w:rPr>
                <w:sz w:val="21"/>
                <w:szCs w:val="21"/>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1"/>
                <w:szCs w:val="21"/>
                <w:color w:val="auto"/>
              </w:rPr>
            </w:pPr>
          </w:p>
        </w:tc>
        <w:tc>
          <w:tcPr>
            <w:tcW w:w="4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1120" w:type="dxa"/>
            <w:vAlign w:val="bottom"/>
            <w:gridSpan w:val="3"/>
          </w:tcPr>
          <w:p>
            <w:pPr>
              <w:jc w:val="right"/>
              <w:ind w:right="111"/>
              <w:spacing w:after="0" w:line="248" w:lineRule="exact"/>
              <w:rPr>
                <w:sz w:val="20"/>
                <w:szCs w:val="20"/>
                <w:color w:val="auto"/>
              </w:rPr>
            </w:pPr>
            <w:r>
              <w:rPr>
                <w:rFonts w:ascii="Arial" w:cs="Arial" w:eastAsia="Arial" w:hAnsi="Arial"/>
                <w:sz w:val="16"/>
                <w:szCs w:val="16"/>
                <w:color w:val="auto"/>
              </w:rPr>
              <w:t xml:space="preserve">104,273 </w:t>
            </w:r>
            <w:r>
              <w:rPr>
                <w:rFonts w:ascii="Arial" w:cs="Arial" w:eastAsia="Arial" w:hAnsi="Arial"/>
                <w:sz w:val="27"/>
                <w:szCs w:val="27"/>
                <w:color w:val="auto"/>
                <w:vertAlign w:val="superscript"/>
              </w:rPr>
              <w:t>b</w:t>
            </w:r>
          </w:p>
        </w:tc>
        <w:tc>
          <w:tcPr>
            <w:tcW w:w="260" w:type="dxa"/>
            <w:vAlign w:val="bottom"/>
          </w:tcPr>
          <w:p>
            <w:pPr>
              <w:spacing w:after="0"/>
              <w:rPr>
                <w:sz w:val="21"/>
                <w:szCs w:val="21"/>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660" w:type="dxa"/>
            <w:vAlign w:val="bottom"/>
          </w:tcPr>
          <w:p>
            <w:pPr>
              <w:spacing w:after="0"/>
              <w:rPr>
                <w:sz w:val="17"/>
                <w:szCs w:val="17"/>
                <w:color w:val="auto"/>
              </w:rPr>
            </w:pPr>
          </w:p>
        </w:tc>
        <w:tc>
          <w:tcPr>
            <w:tcW w:w="2300" w:type="dxa"/>
            <w:vAlign w:val="bottom"/>
          </w:tcPr>
          <w:p>
            <w:pPr>
              <w:ind w:left="1080"/>
              <w:spacing w:after="0"/>
              <w:rPr>
                <w:sz w:val="20"/>
                <w:szCs w:val="20"/>
                <w:color w:val="auto"/>
              </w:rPr>
            </w:pPr>
            <w:r>
              <w:rPr>
                <w:rFonts w:ascii="Arial" w:cs="Arial" w:eastAsia="Arial" w:hAnsi="Arial"/>
                <w:sz w:val="16"/>
                <w:szCs w:val="16"/>
                <w:color w:val="auto"/>
              </w:rPr>
              <w:t>1/17/2017</w:t>
            </w:r>
          </w:p>
        </w:tc>
        <w:tc>
          <w:tcPr>
            <w:tcW w:w="420" w:type="dxa"/>
            <w:vAlign w:val="bottom"/>
          </w:tcPr>
          <w:p>
            <w:pPr>
              <w:spacing w:after="0"/>
              <w:rPr>
                <w:sz w:val="17"/>
                <w:szCs w:val="17"/>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4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120" w:type="dxa"/>
            <w:vAlign w:val="bottom"/>
            <w:gridSpan w:val="3"/>
          </w:tcPr>
          <w:p>
            <w:pPr>
              <w:jc w:val="right"/>
              <w:ind w:right="111"/>
              <w:spacing w:after="0" w:line="198" w:lineRule="exact"/>
              <w:rPr>
                <w:sz w:val="20"/>
                <w:szCs w:val="20"/>
                <w:color w:val="auto"/>
              </w:rPr>
            </w:pPr>
            <w:r>
              <w:rPr>
                <w:rFonts w:ascii="Arial" w:cs="Arial" w:eastAsia="Arial" w:hAnsi="Arial"/>
                <w:sz w:val="14"/>
                <w:szCs w:val="14"/>
                <w:color w:val="auto"/>
              </w:rPr>
              <w:t xml:space="preserve">32,493 </w:t>
            </w:r>
            <w:r>
              <w:rPr>
                <w:rFonts w:ascii="Arial" w:cs="Arial" w:eastAsia="Arial" w:hAnsi="Arial"/>
                <w:sz w:val="22"/>
                <w:szCs w:val="22"/>
                <w:color w:val="auto"/>
                <w:vertAlign w:val="superscript"/>
              </w:rPr>
              <w:t>e</w:t>
            </w:r>
          </w:p>
        </w:tc>
        <w:tc>
          <w:tcPr>
            <w:tcW w:w="26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660" w:type="dxa"/>
            <w:vAlign w:val="bottom"/>
          </w:tcPr>
          <w:p>
            <w:pPr>
              <w:spacing w:after="0"/>
              <w:rPr>
                <w:sz w:val="16"/>
                <w:szCs w:val="16"/>
                <w:color w:val="auto"/>
              </w:rPr>
            </w:pPr>
          </w:p>
        </w:tc>
        <w:tc>
          <w:tcPr>
            <w:tcW w:w="2300" w:type="dxa"/>
            <w:vAlign w:val="bottom"/>
          </w:tcPr>
          <w:p>
            <w:pPr>
              <w:ind w:left="1080"/>
              <w:spacing w:after="0"/>
              <w:rPr>
                <w:sz w:val="20"/>
                <w:szCs w:val="20"/>
                <w:color w:val="auto"/>
              </w:rPr>
            </w:pPr>
            <w:r>
              <w:rPr>
                <w:rFonts w:ascii="Arial" w:cs="Arial" w:eastAsia="Arial" w:hAnsi="Arial"/>
                <w:sz w:val="16"/>
                <w:szCs w:val="16"/>
                <w:color w:val="auto"/>
              </w:rPr>
              <w:t>1/16/2018</w:t>
            </w:r>
          </w:p>
        </w:tc>
        <w:tc>
          <w:tcPr>
            <w:tcW w:w="420" w:type="dxa"/>
            <w:vAlign w:val="bottom"/>
          </w:tcPr>
          <w:p>
            <w:pPr>
              <w:spacing w:after="0"/>
              <w:rPr>
                <w:sz w:val="16"/>
                <w:szCs w:val="16"/>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6"/>
                <w:szCs w:val="16"/>
                <w:color w:val="auto"/>
              </w:rPr>
            </w:pPr>
          </w:p>
        </w:tc>
        <w:tc>
          <w:tcPr>
            <w:tcW w:w="4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120" w:type="dxa"/>
            <w:vAlign w:val="bottom"/>
            <w:gridSpan w:val="3"/>
          </w:tcPr>
          <w:p>
            <w:pPr>
              <w:jc w:val="right"/>
              <w:ind w:right="111"/>
              <w:spacing w:after="0" w:line="189" w:lineRule="exact"/>
              <w:rPr>
                <w:sz w:val="20"/>
                <w:szCs w:val="20"/>
                <w:color w:val="auto"/>
              </w:rPr>
            </w:pPr>
            <w:r>
              <w:rPr>
                <w:rFonts w:ascii="Arial" w:cs="Arial" w:eastAsia="Arial" w:hAnsi="Arial"/>
                <w:sz w:val="13"/>
                <w:szCs w:val="13"/>
                <w:color w:val="auto"/>
              </w:rPr>
              <w:t xml:space="preserve">50,112 </w:t>
            </w:r>
            <w:r>
              <w:rPr>
                <w:rFonts w:ascii="Arial" w:cs="Arial" w:eastAsia="Arial" w:hAnsi="Arial"/>
                <w:sz w:val="21"/>
                <w:szCs w:val="21"/>
                <w:color w:val="auto"/>
                <w:vertAlign w:val="superscript"/>
              </w:rPr>
              <w:t>e</w:t>
            </w:r>
          </w:p>
        </w:tc>
        <w:tc>
          <w:tcPr>
            <w:tcW w:w="260" w:type="dxa"/>
            <w:vAlign w:val="bottom"/>
          </w:tcPr>
          <w:p>
            <w:pPr>
              <w:spacing w:after="0"/>
              <w:rPr>
                <w:sz w:val="16"/>
                <w:szCs w:val="16"/>
                <w:color w:val="auto"/>
              </w:rPr>
            </w:pPr>
          </w:p>
        </w:tc>
        <w:tc>
          <w:tcPr>
            <w:tcW w:w="1040" w:type="dxa"/>
            <w:vAlign w:val="bottom"/>
            <w:gridSpan w:val="3"/>
          </w:tcPr>
          <w:p>
            <w:pPr>
              <w:ind w:left="320"/>
              <w:spacing w:after="0" w:line="189" w:lineRule="exact"/>
              <w:rPr>
                <w:sz w:val="20"/>
                <w:szCs w:val="20"/>
                <w:color w:val="auto"/>
              </w:rPr>
            </w:pPr>
            <w:r>
              <w:rPr>
                <w:rFonts w:ascii="Arial" w:cs="Arial" w:eastAsia="Arial" w:hAnsi="Arial"/>
                <w:sz w:val="13"/>
                <w:szCs w:val="13"/>
                <w:color w:val="auto"/>
              </w:rPr>
              <w:t xml:space="preserve">78,699 </w:t>
            </w:r>
            <w:r>
              <w:rPr>
                <w:rFonts w:ascii="Arial" w:cs="Arial" w:eastAsia="Arial" w:hAnsi="Arial"/>
                <w:sz w:val="21"/>
                <w:szCs w:val="21"/>
                <w:color w:val="auto"/>
                <w:vertAlign w:val="superscript"/>
              </w:rPr>
              <w:t>b</w:t>
            </w:r>
          </w:p>
        </w:tc>
        <w:tc>
          <w:tcPr>
            <w:tcW w:w="0" w:type="dxa"/>
            <w:vAlign w:val="bottom"/>
          </w:tcPr>
          <w:p>
            <w:pPr>
              <w:spacing w:after="0"/>
              <w:rPr>
                <w:sz w:val="1"/>
                <w:szCs w:val="1"/>
                <w:color w:val="auto"/>
              </w:rPr>
            </w:pPr>
          </w:p>
        </w:tc>
      </w:tr>
      <w:tr>
        <w:trPr>
          <w:trHeight w:val="192"/>
        </w:trPr>
        <w:tc>
          <w:tcPr>
            <w:tcW w:w="2660" w:type="dxa"/>
            <w:vAlign w:val="bottom"/>
          </w:tcPr>
          <w:p>
            <w:pPr>
              <w:spacing w:after="0"/>
              <w:rPr>
                <w:sz w:val="16"/>
                <w:szCs w:val="16"/>
                <w:color w:val="auto"/>
              </w:rPr>
            </w:pPr>
          </w:p>
        </w:tc>
        <w:tc>
          <w:tcPr>
            <w:tcW w:w="2300" w:type="dxa"/>
            <w:vAlign w:val="bottom"/>
          </w:tcPr>
          <w:p>
            <w:pPr>
              <w:ind w:left="1080"/>
              <w:spacing w:after="0"/>
              <w:rPr>
                <w:sz w:val="20"/>
                <w:szCs w:val="20"/>
                <w:color w:val="auto"/>
              </w:rPr>
            </w:pPr>
            <w:r>
              <w:rPr>
                <w:rFonts w:ascii="Arial" w:cs="Arial" w:eastAsia="Arial" w:hAnsi="Arial"/>
                <w:sz w:val="16"/>
                <w:szCs w:val="16"/>
                <w:color w:val="auto"/>
              </w:rPr>
              <w:t>1/15/2019</w:t>
            </w:r>
          </w:p>
        </w:tc>
        <w:tc>
          <w:tcPr>
            <w:tcW w:w="420" w:type="dxa"/>
            <w:vAlign w:val="bottom"/>
            <w:tcBorders>
              <w:bottom w:val="single" w:sz="8" w:color="333333"/>
            </w:tcBorders>
          </w:tcPr>
          <w:p>
            <w:pPr>
              <w:spacing w:after="0"/>
              <w:rPr>
                <w:sz w:val="16"/>
                <w:szCs w:val="16"/>
                <w:color w:val="auto"/>
              </w:rPr>
            </w:pPr>
          </w:p>
        </w:tc>
        <w:tc>
          <w:tcPr>
            <w:tcW w:w="720" w:type="dxa"/>
            <w:vAlign w:val="bottom"/>
            <w:tcBorders>
              <w:bottom w:val="single" w:sz="8" w:color="333333"/>
            </w:tcBorders>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Borders>
              <w:bottom w:val="single" w:sz="8" w:color="333333"/>
            </w:tcBorders>
          </w:tcPr>
          <w:p>
            <w:pPr>
              <w:spacing w:after="0"/>
              <w:rPr>
                <w:sz w:val="16"/>
                <w:szCs w:val="16"/>
                <w:color w:val="auto"/>
              </w:rPr>
            </w:pPr>
          </w:p>
        </w:tc>
        <w:tc>
          <w:tcPr>
            <w:tcW w:w="820" w:type="dxa"/>
            <w:vAlign w:val="bottom"/>
            <w:tcBorders>
              <w:bottom w:val="single" w:sz="8" w:color="333333"/>
            </w:tcBorders>
          </w:tcPr>
          <w:p>
            <w:pPr>
              <w:jc w:val="right"/>
              <w:spacing w:after="0"/>
              <w:rPr>
                <w:sz w:val="20"/>
                <w:szCs w:val="20"/>
                <w:color w:val="auto"/>
              </w:rPr>
            </w:pPr>
            <w:r>
              <w:rPr>
                <w:rFonts w:ascii="Arial" w:cs="Arial" w:eastAsia="Arial" w:hAnsi="Arial"/>
                <w:sz w:val="16"/>
                <w:szCs w:val="16"/>
                <w:color w:val="auto"/>
              </w:rPr>
              <w:t>58,935</w:t>
            </w:r>
          </w:p>
        </w:tc>
        <w:tc>
          <w:tcPr>
            <w:tcW w:w="40" w:type="dxa"/>
            <w:vAlign w:val="bottom"/>
          </w:tcPr>
          <w:p>
            <w:pPr>
              <w:spacing w:after="0"/>
              <w:rPr>
                <w:sz w:val="16"/>
                <w:szCs w:val="16"/>
                <w:color w:val="auto"/>
              </w:rPr>
            </w:pPr>
          </w:p>
        </w:tc>
        <w:tc>
          <w:tcPr>
            <w:tcW w:w="260" w:type="dxa"/>
            <w:vAlign w:val="bottom"/>
          </w:tcPr>
          <w:p>
            <w:pPr>
              <w:ind w:left="40"/>
              <w:spacing w:after="0"/>
              <w:rPr>
                <w:sz w:val="20"/>
                <w:szCs w:val="20"/>
                <w:color w:val="auto"/>
              </w:rPr>
            </w:pPr>
            <w:r>
              <w:rPr>
                <w:rFonts w:ascii="Arial" w:cs="Arial" w:eastAsia="Arial" w:hAnsi="Arial"/>
                <w:sz w:val="14"/>
                <w:szCs w:val="14"/>
                <w:color w:val="auto"/>
              </w:rPr>
              <w:t>e</w:t>
            </w:r>
          </w:p>
        </w:tc>
        <w:tc>
          <w:tcPr>
            <w:tcW w:w="260" w:type="dxa"/>
            <w:vAlign w:val="bottom"/>
            <w:tcBorders>
              <w:bottom w:val="single" w:sz="8" w:color="333333"/>
            </w:tcBorders>
          </w:tcPr>
          <w:p>
            <w:pPr>
              <w:spacing w:after="0"/>
              <w:rPr>
                <w:sz w:val="16"/>
                <w:szCs w:val="16"/>
                <w:color w:val="auto"/>
              </w:rPr>
            </w:pPr>
          </w:p>
        </w:tc>
        <w:tc>
          <w:tcPr>
            <w:tcW w:w="820" w:type="dxa"/>
            <w:vAlign w:val="bottom"/>
            <w:tcBorders>
              <w:bottom w:val="single" w:sz="8" w:color="333333"/>
            </w:tcBorders>
          </w:tcPr>
          <w:p>
            <w:pPr>
              <w:jc w:val="right"/>
              <w:spacing w:after="0"/>
              <w:rPr>
                <w:sz w:val="20"/>
                <w:szCs w:val="20"/>
                <w:color w:val="auto"/>
              </w:rPr>
            </w:pPr>
            <w:r>
              <w:rPr>
                <w:rFonts w:ascii="Arial" w:cs="Arial" w:eastAsia="Arial" w:hAnsi="Arial"/>
                <w:sz w:val="16"/>
                <w:szCs w:val="16"/>
                <w:color w:val="auto"/>
              </w:rPr>
              <w:t>90,276</w:t>
            </w:r>
          </w:p>
        </w:tc>
        <w:tc>
          <w:tcPr>
            <w:tcW w:w="40" w:type="dxa"/>
            <w:vAlign w:val="bottom"/>
          </w:tcPr>
          <w:p>
            <w:pPr>
              <w:spacing w:after="0"/>
              <w:rPr>
                <w:sz w:val="16"/>
                <w:szCs w:val="16"/>
                <w:color w:val="auto"/>
              </w:rPr>
            </w:pPr>
          </w:p>
        </w:tc>
        <w:tc>
          <w:tcPr>
            <w:tcW w:w="180" w:type="dxa"/>
            <w:vAlign w:val="bottom"/>
          </w:tcPr>
          <w:p>
            <w:pPr>
              <w:ind w:left="40"/>
              <w:spacing w:after="0"/>
              <w:rPr>
                <w:sz w:val="20"/>
                <w:szCs w:val="20"/>
                <w:color w:val="auto"/>
              </w:rPr>
            </w:pPr>
            <w:r>
              <w:rPr>
                <w:rFonts w:ascii="Arial" w:cs="Arial" w:eastAsia="Arial" w:hAnsi="Arial"/>
                <w:sz w:val="14"/>
                <w:szCs w:val="14"/>
                <w:color w:val="auto"/>
              </w:rPr>
              <w:t>b</w:t>
            </w:r>
          </w:p>
        </w:tc>
        <w:tc>
          <w:tcPr>
            <w:tcW w:w="0" w:type="dxa"/>
            <w:vAlign w:val="bottom"/>
          </w:tcPr>
          <w:p>
            <w:pPr>
              <w:spacing w:after="0"/>
              <w:rPr>
                <w:sz w:val="1"/>
                <w:szCs w:val="1"/>
                <w:color w:val="auto"/>
              </w:rPr>
            </w:pPr>
          </w:p>
        </w:tc>
      </w:tr>
      <w:tr>
        <w:trPr>
          <w:trHeight w:val="244"/>
        </w:trPr>
        <w:tc>
          <w:tcPr>
            <w:tcW w:w="2660" w:type="dxa"/>
            <w:vAlign w:val="bottom"/>
          </w:tcPr>
          <w:p>
            <w:pPr>
              <w:ind w:left="60"/>
              <w:spacing w:after="0"/>
              <w:rPr>
                <w:sz w:val="20"/>
                <w:szCs w:val="20"/>
                <w:color w:val="auto"/>
              </w:rPr>
            </w:pPr>
            <w:r>
              <w:rPr>
                <w:rFonts w:ascii="Arial" w:cs="Arial" w:eastAsia="Arial" w:hAnsi="Arial"/>
                <w:sz w:val="16"/>
                <w:szCs w:val="16"/>
                <w:color w:val="auto"/>
              </w:rPr>
              <w:t>Total awards (#)</w:t>
            </w:r>
          </w:p>
        </w:tc>
        <w:tc>
          <w:tcPr>
            <w:tcW w:w="2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105,143</w:t>
            </w: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245,813</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168,975</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660" w:type="dxa"/>
            <w:vAlign w:val="bottom"/>
            <w:vMerge w:val="restart"/>
          </w:tcPr>
          <w:p>
            <w:pPr>
              <w:ind w:left="60"/>
              <w:spacing w:after="0"/>
              <w:rPr>
                <w:sz w:val="20"/>
                <w:szCs w:val="20"/>
                <w:color w:val="auto"/>
              </w:rPr>
            </w:pPr>
            <w:r>
              <w:rPr>
                <w:rFonts w:ascii="Arial" w:cs="Arial" w:eastAsia="Arial" w:hAnsi="Arial"/>
                <w:sz w:val="16"/>
                <w:szCs w:val="16"/>
                <w:color w:val="auto"/>
              </w:rPr>
              <w:t>Market value ($)</w:t>
            </w:r>
            <w:r>
              <w:rPr>
                <w:rFonts w:ascii="Arial" w:cs="Arial" w:eastAsia="Arial" w:hAnsi="Arial"/>
                <w:sz w:val="27"/>
                <w:szCs w:val="27"/>
                <w:color w:val="auto"/>
                <w:vertAlign w:val="superscript"/>
              </w:rPr>
              <w:t>6</w:t>
            </w:r>
          </w:p>
        </w:tc>
        <w:tc>
          <w:tcPr>
            <w:tcW w:w="2300" w:type="dxa"/>
            <w:vAlign w:val="bottom"/>
          </w:tcPr>
          <w:p>
            <w:pPr>
              <w:spacing w:after="0"/>
              <w:rPr>
                <w:sz w:val="4"/>
                <w:szCs w:val="4"/>
                <w:color w:val="auto"/>
              </w:rPr>
            </w:pPr>
          </w:p>
        </w:tc>
        <w:tc>
          <w:tcPr>
            <w:tcW w:w="420" w:type="dxa"/>
            <w:vAlign w:val="bottom"/>
            <w:tcBorders>
              <w:bottom w:val="single" w:sz="8" w:color="333333"/>
            </w:tcBorders>
          </w:tcPr>
          <w:p>
            <w:pPr>
              <w:spacing w:after="0"/>
              <w:rPr>
                <w:sz w:val="4"/>
                <w:szCs w:val="4"/>
                <w:color w:val="auto"/>
              </w:rPr>
            </w:pPr>
          </w:p>
        </w:tc>
        <w:tc>
          <w:tcPr>
            <w:tcW w:w="720" w:type="dxa"/>
            <w:vAlign w:val="bottom"/>
            <w:tcBorders>
              <w:bottom w:val="single" w:sz="8" w:color="333333"/>
            </w:tcBorders>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4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Borders>
              <w:bottom w:val="single" w:sz="8" w:color="333333"/>
            </w:tcBorders>
          </w:tcPr>
          <w:p>
            <w:pPr>
              <w:spacing w:after="0"/>
              <w:rPr>
                <w:sz w:val="4"/>
                <w:szCs w:val="4"/>
                <w:color w:val="auto"/>
              </w:rPr>
            </w:pPr>
          </w:p>
        </w:tc>
        <w:tc>
          <w:tcPr>
            <w:tcW w:w="820" w:type="dxa"/>
            <w:vAlign w:val="bottom"/>
            <w:tcBorders>
              <w:bottom w:val="single" w:sz="8" w:color="333333"/>
            </w:tcBorders>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60" w:type="dxa"/>
            <w:vAlign w:val="bottom"/>
            <w:tcBorders>
              <w:bottom w:val="single" w:sz="8" w:color="333333"/>
            </w:tcBorders>
          </w:tcPr>
          <w:p>
            <w:pPr>
              <w:spacing w:after="0"/>
              <w:rPr>
                <w:sz w:val="4"/>
                <w:szCs w:val="4"/>
                <w:color w:val="auto"/>
              </w:rPr>
            </w:pPr>
          </w:p>
        </w:tc>
        <w:tc>
          <w:tcPr>
            <w:tcW w:w="820" w:type="dxa"/>
            <w:vAlign w:val="bottom"/>
            <w:tcBorders>
              <w:bottom w:val="single" w:sz="8" w:color="333333"/>
            </w:tcBorders>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660" w:type="dxa"/>
            <w:vAlign w:val="bottom"/>
            <w:tcBorders>
              <w:bottom w:val="single" w:sz="8" w:color="333333"/>
            </w:tcBorders>
            <w:vMerge w:val="continue"/>
          </w:tcPr>
          <w:p>
            <w:pPr>
              <w:spacing w:after="0"/>
              <w:rPr>
                <w:sz w:val="24"/>
                <w:szCs w:val="24"/>
                <w:color w:val="auto"/>
              </w:rPr>
            </w:pPr>
          </w:p>
        </w:tc>
        <w:tc>
          <w:tcPr>
            <w:tcW w:w="2300" w:type="dxa"/>
            <w:vAlign w:val="bottom"/>
            <w:tcBorders>
              <w:bottom w:val="single" w:sz="8" w:color="333333"/>
            </w:tcBorders>
          </w:tcPr>
          <w:p>
            <w:pPr>
              <w:spacing w:after="0"/>
              <w:rPr>
                <w:sz w:val="24"/>
                <w:szCs w:val="24"/>
                <w:color w:val="auto"/>
              </w:rPr>
            </w:pPr>
          </w:p>
        </w:tc>
        <w:tc>
          <w:tcPr>
            <w:tcW w:w="420" w:type="dxa"/>
            <w:vAlign w:val="bottom"/>
            <w:tcBorders>
              <w:bottom w:val="single" w:sz="8" w:color="333333"/>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333333"/>
            </w:tcBorders>
          </w:tcPr>
          <w:p>
            <w:pPr>
              <w:jc w:val="right"/>
              <w:spacing w:after="0"/>
              <w:rPr>
                <w:sz w:val="20"/>
                <w:szCs w:val="20"/>
                <w:color w:val="auto"/>
              </w:rPr>
            </w:pPr>
            <w:r>
              <w:rPr>
                <w:rFonts w:ascii="Arial" w:cs="Arial" w:eastAsia="Arial" w:hAnsi="Arial"/>
                <w:sz w:val="16"/>
                <w:szCs w:val="16"/>
                <w:color w:val="auto"/>
                <w:w w:val="98"/>
              </w:rPr>
              <w:t>9,759,373</w:t>
            </w:r>
          </w:p>
        </w:tc>
        <w:tc>
          <w:tcPr>
            <w:tcW w:w="280" w:type="dxa"/>
            <w:vAlign w:val="bottom"/>
            <w:tcBorders>
              <w:bottom w:val="single" w:sz="8" w:color="333333"/>
            </w:tcBorders>
          </w:tcPr>
          <w:p>
            <w:pPr>
              <w:spacing w:after="0"/>
              <w:rPr>
                <w:sz w:val="24"/>
                <w:szCs w:val="24"/>
                <w:color w:val="auto"/>
              </w:rPr>
            </w:pPr>
          </w:p>
        </w:tc>
        <w:tc>
          <w:tcPr>
            <w:tcW w:w="440" w:type="dxa"/>
            <w:vAlign w:val="bottom"/>
            <w:tcBorders>
              <w:bottom w:val="single" w:sz="8" w:color="333333"/>
            </w:tcBorders>
          </w:tcPr>
          <w:p>
            <w:pPr>
              <w:spacing w:after="0"/>
              <w:rPr>
                <w:sz w:val="24"/>
                <w:szCs w:val="24"/>
                <w:color w:val="auto"/>
              </w:rPr>
            </w:pPr>
          </w:p>
        </w:tc>
        <w:tc>
          <w:tcPr>
            <w:tcW w:w="480" w:type="dxa"/>
            <w:vAlign w:val="bottom"/>
            <w:tcBorders>
              <w:bottom w:val="single" w:sz="8" w:color="333333"/>
            </w:tcBorders>
          </w:tcPr>
          <w:p>
            <w:pPr>
              <w:spacing w:after="0"/>
              <w:rPr>
                <w:sz w:val="24"/>
                <w:szCs w:val="24"/>
                <w:color w:val="auto"/>
              </w:rPr>
            </w:pPr>
          </w:p>
        </w:tc>
        <w:tc>
          <w:tcPr>
            <w:tcW w:w="900" w:type="dxa"/>
            <w:vAlign w:val="bottom"/>
            <w:tcBorders>
              <w:bottom w:val="single" w:sz="8" w:color="333333"/>
            </w:tcBorders>
          </w:tcPr>
          <w:p>
            <w:pPr>
              <w:spacing w:after="0"/>
              <w:rPr>
                <w:sz w:val="24"/>
                <w:szCs w:val="24"/>
                <w:color w:val="auto"/>
              </w:rPr>
            </w:pPr>
          </w:p>
        </w:tc>
        <w:tc>
          <w:tcPr>
            <w:tcW w:w="160" w:type="dxa"/>
            <w:vAlign w:val="bottom"/>
            <w:tcBorders>
              <w:bottom w:val="single" w:sz="8" w:color="333333"/>
            </w:tcBorders>
          </w:tcPr>
          <w:p>
            <w:pPr>
              <w:spacing w:after="0"/>
              <w:rPr>
                <w:sz w:val="24"/>
                <w:szCs w:val="24"/>
                <w:color w:val="auto"/>
              </w:rPr>
            </w:pPr>
          </w:p>
        </w:tc>
        <w:tc>
          <w:tcPr>
            <w:tcW w:w="240" w:type="dxa"/>
            <w:vAlign w:val="bottom"/>
            <w:tcBorders>
              <w:bottom w:val="single" w:sz="8" w:color="333333"/>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333333"/>
            </w:tcBorders>
            <w:gridSpan w:val="2"/>
          </w:tcPr>
          <w:p>
            <w:pPr>
              <w:jc w:val="right"/>
              <w:ind w:right="40"/>
              <w:spacing w:after="0"/>
              <w:rPr>
                <w:sz w:val="20"/>
                <w:szCs w:val="20"/>
                <w:color w:val="auto"/>
              </w:rPr>
            </w:pPr>
            <w:r>
              <w:rPr>
                <w:rFonts w:ascii="Arial" w:cs="Arial" w:eastAsia="Arial" w:hAnsi="Arial"/>
                <w:sz w:val="16"/>
                <w:szCs w:val="16"/>
                <w:color w:val="auto"/>
                <w:w w:val="99"/>
              </w:rPr>
              <w:t>34,266,332</w:t>
            </w:r>
          </w:p>
        </w:tc>
        <w:tc>
          <w:tcPr>
            <w:tcW w:w="260" w:type="dxa"/>
            <w:vAlign w:val="bottom"/>
            <w:tcBorders>
              <w:bottom w:val="single" w:sz="8" w:color="333333"/>
            </w:tcBorders>
          </w:tcPr>
          <w:p>
            <w:pPr>
              <w:spacing w:after="0"/>
              <w:rPr>
                <w:sz w:val="24"/>
                <w:szCs w:val="24"/>
                <w:color w:val="auto"/>
              </w:rPr>
            </w:pPr>
          </w:p>
        </w:tc>
        <w:tc>
          <w:tcPr>
            <w:tcW w:w="260" w:type="dxa"/>
            <w:vAlign w:val="bottom"/>
            <w:tcBorders>
              <w:bottom w:val="single" w:sz="8" w:color="333333"/>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333333"/>
            </w:tcBorders>
            <w:gridSpan w:val="2"/>
          </w:tcPr>
          <w:p>
            <w:pPr>
              <w:jc w:val="right"/>
              <w:ind w:right="40"/>
              <w:spacing w:after="0"/>
              <w:rPr>
                <w:sz w:val="20"/>
                <w:szCs w:val="20"/>
                <w:color w:val="auto"/>
              </w:rPr>
            </w:pPr>
            <w:r>
              <w:rPr>
                <w:rFonts w:ascii="Arial" w:cs="Arial" w:eastAsia="Arial" w:hAnsi="Arial"/>
                <w:sz w:val="16"/>
                <w:szCs w:val="16"/>
                <w:color w:val="auto"/>
                <w:w w:val="99"/>
              </w:rPr>
              <w:t>23,555,115</w:t>
            </w:r>
          </w:p>
        </w:tc>
        <w:tc>
          <w:tcPr>
            <w:tcW w:w="180" w:type="dxa"/>
            <w:vAlign w:val="bottom"/>
            <w:tcBorders>
              <w:bottom w:val="single" w:sz="8" w:color="333333"/>
            </w:tcBorders>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2660" w:type="dxa"/>
            <w:vAlign w:val="bottom"/>
          </w:tcPr>
          <w:p>
            <w:pPr>
              <w:ind w:left="60"/>
              <w:spacing w:after="0"/>
              <w:rPr>
                <w:sz w:val="20"/>
                <w:szCs w:val="20"/>
                <w:color w:val="auto"/>
              </w:rPr>
            </w:pPr>
            <w:r>
              <w:rPr>
                <w:rFonts w:ascii="Arial" w:cs="Arial" w:eastAsia="Arial" w:hAnsi="Arial"/>
                <w:sz w:val="16"/>
                <w:szCs w:val="16"/>
                <w:b w:val="1"/>
                <w:bCs w:val="1"/>
                <w:color w:val="auto"/>
              </w:rPr>
              <w:t>Marianne Lake</w:t>
            </w:r>
          </w:p>
        </w:tc>
        <w:tc>
          <w:tcPr>
            <w:tcW w:w="2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2660" w:type="dxa"/>
            <w:vAlign w:val="bottom"/>
          </w:tcPr>
          <w:p>
            <w:pPr>
              <w:spacing w:after="0"/>
              <w:rPr>
                <w:sz w:val="24"/>
                <w:szCs w:val="24"/>
                <w:color w:val="auto"/>
              </w:rPr>
            </w:pPr>
          </w:p>
        </w:tc>
        <w:tc>
          <w:tcPr>
            <w:tcW w:w="2300" w:type="dxa"/>
            <w:vAlign w:val="bottom"/>
          </w:tcPr>
          <w:p>
            <w:pPr>
              <w:ind w:left="1080"/>
              <w:spacing w:after="0" w:line="292" w:lineRule="exact"/>
              <w:rPr>
                <w:sz w:val="20"/>
                <w:szCs w:val="20"/>
                <w:color w:val="auto"/>
              </w:rPr>
            </w:pPr>
            <w:r>
              <w:rPr>
                <w:rFonts w:ascii="Arial" w:cs="Arial" w:eastAsia="Arial" w:hAnsi="Arial"/>
                <w:sz w:val="16"/>
                <w:szCs w:val="16"/>
                <w:color w:val="auto"/>
              </w:rPr>
              <w:t xml:space="preserve">1/17/2017 </w:t>
            </w:r>
            <w:r>
              <w:rPr>
                <w:rFonts w:ascii="Arial" w:cs="Arial" w:eastAsia="Arial" w:hAnsi="Arial"/>
                <w:sz w:val="27"/>
                <w:szCs w:val="27"/>
                <w:color w:val="auto"/>
                <w:vertAlign w:val="superscript"/>
              </w:rPr>
              <w:t>5</w:t>
            </w:r>
          </w:p>
        </w:tc>
        <w:tc>
          <w:tcPr>
            <w:tcW w:w="420" w:type="dxa"/>
            <w:vAlign w:val="bottom"/>
          </w:tcPr>
          <w:p>
            <w:pPr>
              <w:spacing w:after="0"/>
              <w:rPr>
                <w:sz w:val="24"/>
                <w:szCs w:val="2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4"/>
                <w:szCs w:val="2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67,134</w:t>
            </w:r>
          </w:p>
        </w:tc>
        <w:tc>
          <w:tcPr>
            <w:tcW w:w="260" w:type="dxa"/>
            <w:vAlign w:val="bottom"/>
          </w:tcPr>
          <w:p>
            <w:pPr>
              <w:ind w:left="40"/>
              <w:spacing w:after="0"/>
              <w:rPr>
                <w:sz w:val="20"/>
                <w:szCs w:val="20"/>
                <w:color w:val="auto"/>
              </w:rPr>
            </w:pPr>
            <w:r>
              <w:rPr>
                <w:rFonts w:ascii="Arial" w:cs="Arial" w:eastAsia="Arial" w:hAnsi="Arial"/>
                <w:sz w:val="14"/>
                <w:szCs w:val="14"/>
                <w:color w:val="auto"/>
              </w:rPr>
              <w:t>b</w:t>
            </w:r>
          </w:p>
        </w:tc>
        <w:tc>
          <w:tcPr>
            <w:tcW w:w="260" w:type="dxa"/>
            <w:vAlign w:val="bottom"/>
          </w:tcPr>
          <w:p>
            <w:pPr>
              <w:spacing w:after="0"/>
              <w:rPr>
                <w:sz w:val="24"/>
                <w:szCs w:val="2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660" w:type="dxa"/>
            <w:vAlign w:val="bottom"/>
          </w:tcPr>
          <w:p>
            <w:pPr>
              <w:spacing w:after="0"/>
              <w:rPr>
                <w:sz w:val="21"/>
                <w:szCs w:val="21"/>
                <w:color w:val="auto"/>
              </w:rPr>
            </w:pPr>
          </w:p>
        </w:tc>
        <w:tc>
          <w:tcPr>
            <w:tcW w:w="2300" w:type="dxa"/>
            <w:vAlign w:val="bottom"/>
          </w:tcPr>
          <w:p>
            <w:pPr>
              <w:ind w:left="1080"/>
              <w:spacing w:after="0"/>
              <w:rPr>
                <w:sz w:val="20"/>
                <w:szCs w:val="20"/>
                <w:color w:val="auto"/>
              </w:rPr>
            </w:pPr>
            <w:r>
              <w:rPr>
                <w:rFonts w:ascii="Arial" w:cs="Arial" w:eastAsia="Arial" w:hAnsi="Arial"/>
                <w:sz w:val="16"/>
                <w:szCs w:val="16"/>
                <w:color w:val="auto"/>
              </w:rPr>
              <w:t>1/17/2017</w:t>
            </w:r>
          </w:p>
        </w:tc>
        <w:tc>
          <w:tcPr>
            <w:tcW w:w="420" w:type="dxa"/>
            <w:vAlign w:val="bottom"/>
          </w:tcPr>
          <w:p>
            <w:pPr>
              <w:spacing w:after="0"/>
              <w:rPr>
                <w:sz w:val="21"/>
                <w:szCs w:val="21"/>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1"/>
                <w:szCs w:val="21"/>
                <w:color w:val="auto"/>
              </w:rPr>
            </w:pPr>
          </w:p>
        </w:tc>
        <w:tc>
          <w:tcPr>
            <w:tcW w:w="4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1120" w:type="dxa"/>
            <w:vAlign w:val="bottom"/>
            <w:gridSpan w:val="3"/>
          </w:tcPr>
          <w:p>
            <w:pPr>
              <w:jc w:val="right"/>
              <w:ind w:right="111"/>
              <w:spacing w:after="0" w:line="242" w:lineRule="exact"/>
              <w:rPr>
                <w:sz w:val="20"/>
                <w:szCs w:val="20"/>
                <w:color w:val="auto"/>
              </w:rPr>
            </w:pPr>
            <w:r>
              <w:rPr>
                <w:rFonts w:ascii="Arial" w:cs="Arial" w:eastAsia="Arial" w:hAnsi="Arial"/>
                <w:sz w:val="16"/>
                <w:szCs w:val="16"/>
                <w:color w:val="auto"/>
              </w:rPr>
              <w:t xml:space="preserve">20,920 </w:t>
            </w:r>
            <w:r>
              <w:rPr>
                <w:rFonts w:ascii="Arial" w:cs="Arial" w:eastAsia="Arial" w:hAnsi="Arial"/>
                <w:sz w:val="27"/>
                <w:szCs w:val="27"/>
                <w:color w:val="auto"/>
                <w:vertAlign w:val="superscript"/>
              </w:rPr>
              <w:t>e</w:t>
            </w:r>
          </w:p>
        </w:tc>
        <w:tc>
          <w:tcPr>
            <w:tcW w:w="260" w:type="dxa"/>
            <w:vAlign w:val="bottom"/>
          </w:tcPr>
          <w:p>
            <w:pPr>
              <w:spacing w:after="0"/>
              <w:rPr>
                <w:sz w:val="21"/>
                <w:szCs w:val="21"/>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60" w:type="dxa"/>
            <w:vAlign w:val="bottom"/>
          </w:tcPr>
          <w:p>
            <w:pPr>
              <w:spacing w:after="0"/>
              <w:rPr>
                <w:sz w:val="21"/>
                <w:szCs w:val="21"/>
                <w:color w:val="auto"/>
              </w:rPr>
            </w:pPr>
          </w:p>
        </w:tc>
        <w:tc>
          <w:tcPr>
            <w:tcW w:w="2300" w:type="dxa"/>
            <w:vAlign w:val="bottom"/>
          </w:tcPr>
          <w:p>
            <w:pPr>
              <w:ind w:left="1080"/>
              <w:spacing w:after="0"/>
              <w:rPr>
                <w:sz w:val="20"/>
                <w:szCs w:val="20"/>
                <w:color w:val="auto"/>
              </w:rPr>
            </w:pPr>
            <w:r>
              <w:rPr>
                <w:rFonts w:ascii="Arial" w:cs="Arial" w:eastAsia="Arial" w:hAnsi="Arial"/>
                <w:sz w:val="16"/>
                <w:szCs w:val="16"/>
                <w:color w:val="auto"/>
              </w:rPr>
              <w:t>1/16/2018</w:t>
            </w:r>
          </w:p>
        </w:tc>
        <w:tc>
          <w:tcPr>
            <w:tcW w:w="420" w:type="dxa"/>
            <w:vAlign w:val="bottom"/>
          </w:tcPr>
          <w:p>
            <w:pPr>
              <w:spacing w:after="0"/>
              <w:rPr>
                <w:sz w:val="21"/>
                <w:szCs w:val="21"/>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1"/>
                <w:szCs w:val="21"/>
                <w:color w:val="auto"/>
              </w:rPr>
            </w:pPr>
          </w:p>
        </w:tc>
        <w:tc>
          <w:tcPr>
            <w:tcW w:w="4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1120" w:type="dxa"/>
            <w:vAlign w:val="bottom"/>
            <w:gridSpan w:val="3"/>
          </w:tcPr>
          <w:p>
            <w:pPr>
              <w:jc w:val="right"/>
              <w:ind w:right="111"/>
              <w:spacing w:after="0" w:line="242" w:lineRule="exact"/>
              <w:rPr>
                <w:sz w:val="20"/>
                <w:szCs w:val="20"/>
                <w:color w:val="auto"/>
              </w:rPr>
            </w:pPr>
            <w:r>
              <w:rPr>
                <w:rFonts w:ascii="Arial" w:cs="Arial" w:eastAsia="Arial" w:hAnsi="Arial"/>
                <w:sz w:val="16"/>
                <w:szCs w:val="16"/>
                <w:color w:val="auto"/>
              </w:rPr>
              <w:t xml:space="preserve">34,076 </w:t>
            </w:r>
            <w:r>
              <w:rPr>
                <w:rFonts w:ascii="Arial" w:cs="Arial" w:eastAsia="Arial" w:hAnsi="Arial"/>
                <w:sz w:val="27"/>
                <w:szCs w:val="27"/>
                <w:color w:val="auto"/>
                <w:vertAlign w:val="superscript"/>
              </w:rPr>
              <w:t>e</w:t>
            </w:r>
          </w:p>
        </w:tc>
        <w:tc>
          <w:tcPr>
            <w:tcW w:w="260" w:type="dxa"/>
            <w:vAlign w:val="bottom"/>
          </w:tcPr>
          <w:p>
            <w:pPr>
              <w:spacing w:after="0"/>
              <w:rPr>
                <w:sz w:val="21"/>
                <w:szCs w:val="21"/>
                <w:color w:val="auto"/>
              </w:rPr>
            </w:pPr>
          </w:p>
        </w:tc>
        <w:tc>
          <w:tcPr>
            <w:tcW w:w="1040" w:type="dxa"/>
            <w:vAlign w:val="bottom"/>
            <w:gridSpan w:val="3"/>
          </w:tcPr>
          <w:p>
            <w:pPr>
              <w:ind w:left="320"/>
              <w:spacing w:after="0" w:line="242" w:lineRule="exact"/>
              <w:rPr>
                <w:sz w:val="20"/>
                <w:szCs w:val="20"/>
                <w:color w:val="auto"/>
              </w:rPr>
            </w:pPr>
            <w:r>
              <w:rPr>
                <w:rFonts w:ascii="Arial" w:cs="Arial" w:eastAsia="Arial" w:hAnsi="Arial"/>
                <w:sz w:val="16"/>
                <w:szCs w:val="16"/>
                <w:color w:val="auto"/>
              </w:rPr>
              <w:t xml:space="preserve">53,515 </w:t>
            </w:r>
            <w:r>
              <w:rPr>
                <w:rFonts w:ascii="Arial" w:cs="Arial" w:eastAsia="Arial" w:hAnsi="Arial"/>
                <w:sz w:val="27"/>
                <w:szCs w:val="27"/>
                <w:color w:val="auto"/>
                <w:vertAlign w:val="superscript"/>
              </w:rPr>
              <w:t>b</w:t>
            </w:r>
          </w:p>
        </w:tc>
        <w:tc>
          <w:tcPr>
            <w:tcW w:w="0" w:type="dxa"/>
            <w:vAlign w:val="bottom"/>
          </w:tcPr>
          <w:p>
            <w:pPr>
              <w:spacing w:after="0"/>
              <w:rPr>
                <w:sz w:val="1"/>
                <w:szCs w:val="1"/>
                <w:color w:val="auto"/>
              </w:rPr>
            </w:pPr>
          </w:p>
        </w:tc>
      </w:tr>
      <w:tr>
        <w:trPr>
          <w:trHeight w:val="201"/>
        </w:trPr>
        <w:tc>
          <w:tcPr>
            <w:tcW w:w="2660" w:type="dxa"/>
            <w:vAlign w:val="bottom"/>
          </w:tcPr>
          <w:p>
            <w:pPr>
              <w:spacing w:after="0"/>
              <w:rPr>
                <w:sz w:val="17"/>
                <w:szCs w:val="17"/>
                <w:color w:val="auto"/>
              </w:rPr>
            </w:pPr>
          </w:p>
        </w:tc>
        <w:tc>
          <w:tcPr>
            <w:tcW w:w="2300" w:type="dxa"/>
            <w:vAlign w:val="bottom"/>
          </w:tcPr>
          <w:p>
            <w:pPr>
              <w:ind w:left="1080"/>
              <w:spacing w:after="0"/>
              <w:rPr>
                <w:sz w:val="20"/>
                <w:szCs w:val="20"/>
                <w:color w:val="auto"/>
              </w:rPr>
            </w:pPr>
            <w:r>
              <w:rPr>
                <w:rFonts w:ascii="Arial" w:cs="Arial" w:eastAsia="Arial" w:hAnsi="Arial"/>
                <w:sz w:val="16"/>
                <w:szCs w:val="16"/>
                <w:color w:val="auto"/>
              </w:rPr>
              <w:t>1/15/2019</w:t>
            </w:r>
          </w:p>
        </w:tc>
        <w:tc>
          <w:tcPr>
            <w:tcW w:w="4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42,523</w:t>
            </w:r>
          </w:p>
        </w:tc>
        <w:tc>
          <w:tcPr>
            <w:tcW w:w="40" w:type="dxa"/>
            <w:vAlign w:val="bottom"/>
          </w:tcPr>
          <w:p>
            <w:pPr>
              <w:spacing w:after="0"/>
              <w:rPr>
                <w:sz w:val="17"/>
                <w:szCs w:val="17"/>
                <w:color w:val="auto"/>
              </w:rPr>
            </w:pPr>
          </w:p>
        </w:tc>
        <w:tc>
          <w:tcPr>
            <w:tcW w:w="260" w:type="dxa"/>
            <w:vAlign w:val="bottom"/>
          </w:tcPr>
          <w:p>
            <w:pPr>
              <w:ind w:left="40"/>
              <w:spacing w:after="0"/>
              <w:rPr>
                <w:sz w:val="20"/>
                <w:szCs w:val="20"/>
                <w:color w:val="auto"/>
              </w:rPr>
            </w:pPr>
            <w:r>
              <w:rPr>
                <w:rFonts w:ascii="Arial" w:cs="Arial" w:eastAsia="Arial" w:hAnsi="Arial"/>
                <w:sz w:val="14"/>
                <w:szCs w:val="14"/>
                <w:color w:val="auto"/>
              </w:rPr>
              <w:t>e</w:t>
            </w:r>
          </w:p>
        </w:tc>
        <w:tc>
          <w:tcPr>
            <w:tcW w:w="260" w:type="dxa"/>
            <w:vAlign w:val="bottom"/>
          </w:tcPr>
          <w:p>
            <w:pPr>
              <w:spacing w:after="0"/>
              <w:rPr>
                <w:sz w:val="17"/>
                <w:szCs w:val="17"/>
                <w:color w:val="auto"/>
              </w:rPr>
            </w:pPr>
          </w:p>
        </w:tc>
        <w:tc>
          <w:tcPr>
            <w:tcW w:w="1040" w:type="dxa"/>
            <w:vAlign w:val="bottom"/>
            <w:gridSpan w:val="3"/>
          </w:tcPr>
          <w:p>
            <w:pPr>
              <w:ind w:left="320"/>
              <w:spacing w:after="0" w:line="201" w:lineRule="exact"/>
              <w:rPr>
                <w:sz w:val="20"/>
                <w:szCs w:val="20"/>
                <w:color w:val="auto"/>
              </w:rPr>
            </w:pPr>
            <w:r>
              <w:rPr>
                <w:rFonts w:ascii="Arial" w:cs="Arial" w:eastAsia="Arial" w:hAnsi="Arial"/>
                <w:sz w:val="14"/>
                <w:szCs w:val="14"/>
                <w:color w:val="auto"/>
              </w:rPr>
              <w:t xml:space="preserve">65,136 </w:t>
            </w:r>
            <w:r>
              <w:rPr>
                <w:rFonts w:ascii="Arial" w:cs="Arial" w:eastAsia="Arial" w:hAnsi="Arial"/>
                <w:sz w:val="23"/>
                <w:szCs w:val="23"/>
                <w:color w:val="auto"/>
                <w:vertAlign w:val="superscript"/>
              </w:rPr>
              <w:t>b</w:t>
            </w:r>
          </w:p>
        </w:tc>
        <w:tc>
          <w:tcPr>
            <w:tcW w:w="0" w:type="dxa"/>
            <w:vAlign w:val="bottom"/>
          </w:tcPr>
          <w:p>
            <w:pPr>
              <w:spacing w:after="0"/>
              <w:rPr>
                <w:sz w:val="1"/>
                <w:szCs w:val="1"/>
                <w:color w:val="auto"/>
              </w:rPr>
            </w:pPr>
          </w:p>
        </w:tc>
      </w:tr>
      <w:tr>
        <w:trPr>
          <w:trHeight w:val="244"/>
        </w:trPr>
        <w:tc>
          <w:tcPr>
            <w:tcW w:w="2660" w:type="dxa"/>
            <w:vAlign w:val="bottom"/>
          </w:tcPr>
          <w:p>
            <w:pPr>
              <w:ind w:left="60"/>
              <w:spacing w:after="0"/>
              <w:rPr>
                <w:sz w:val="20"/>
                <w:szCs w:val="20"/>
                <w:color w:val="auto"/>
              </w:rPr>
            </w:pPr>
            <w:r>
              <w:rPr>
                <w:rFonts w:ascii="Arial" w:cs="Arial" w:eastAsia="Arial" w:hAnsi="Arial"/>
                <w:sz w:val="16"/>
                <w:szCs w:val="16"/>
                <w:color w:val="auto"/>
              </w:rPr>
              <w:t>Total awards (#)</w:t>
            </w:r>
          </w:p>
        </w:tc>
        <w:tc>
          <w:tcPr>
            <w:tcW w:w="2300" w:type="dxa"/>
            <w:vAlign w:val="bottom"/>
          </w:tcPr>
          <w:p>
            <w:pPr>
              <w:spacing w:after="0"/>
              <w:rPr>
                <w:sz w:val="21"/>
                <w:szCs w:val="21"/>
                <w:color w:val="auto"/>
              </w:rPr>
            </w:pPr>
          </w:p>
        </w:tc>
        <w:tc>
          <w:tcPr>
            <w:tcW w:w="420" w:type="dxa"/>
            <w:vAlign w:val="bottom"/>
            <w:tcBorders>
              <w:top w:val="single" w:sz="8" w:color="333333"/>
            </w:tcBorders>
          </w:tcPr>
          <w:p>
            <w:pPr>
              <w:spacing w:after="0"/>
              <w:rPr>
                <w:sz w:val="21"/>
                <w:szCs w:val="21"/>
                <w:color w:val="auto"/>
              </w:rPr>
            </w:pPr>
          </w:p>
        </w:tc>
        <w:tc>
          <w:tcPr>
            <w:tcW w:w="720" w:type="dxa"/>
            <w:vAlign w:val="bottom"/>
            <w:tcBorders>
              <w:top w:val="single" w:sz="8" w:color="333333"/>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Borders>
              <w:top w:val="single" w:sz="8" w:color="333333"/>
            </w:tcBorders>
          </w:tcPr>
          <w:p>
            <w:pPr>
              <w:spacing w:after="0"/>
              <w:rPr>
                <w:sz w:val="21"/>
                <w:szCs w:val="21"/>
                <w:color w:val="auto"/>
              </w:rPr>
            </w:pPr>
          </w:p>
        </w:tc>
        <w:tc>
          <w:tcPr>
            <w:tcW w:w="820" w:type="dxa"/>
            <w:vAlign w:val="bottom"/>
            <w:tcBorders>
              <w:top w:val="single" w:sz="8" w:color="333333"/>
            </w:tcBorders>
          </w:tcPr>
          <w:p>
            <w:pPr>
              <w:jc w:val="right"/>
              <w:spacing w:after="0"/>
              <w:rPr>
                <w:sz w:val="20"/>
                <w:szCs w:val="20"/>
                <w:color w:val="auto"/>
              </w:rPr>
            </w:pPr>
            <w:r>
              <w:rPr>
                <w:rFonts w:ascii="Arial" w:cs="Arial" w:eastAsia="Arial" w:hAnsi="Arial"/>
                <w:sz w:val="16"/>
                <w:szCs w:val="16"/>
                <w:color w:val="auto"/>
              </w:rPr>
              <w:t>164,653</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Borders>
              <w:top w:val="single" w:sz="8" w:color="333333"/>
            </w:tcBorders>
          </w:tcPr>
          <w:p>
            <w:pPr>
              <w:spacing w:after="0"/>
              <w:rPr>
                <w:sz w:val="21"/>
                <w:szCs w:val="21"/>
                <w:color w:val="auto"/>
              </w:rPr>
            </w:pPr>
          </w:p>
        </w:tc>
        <w:tc>
          <w:tcPr>
            <w:tcW w:w="820" w:type="dxa"/>
            <w:vAlign w:val="bottom"/>
            <w:tcBorders>
              <w:top w:val="single" w:sz="8" w:color="333333"/>
            </w:tcBorders>
          </w:tcPr>
          <w:p>
            <w:pPr>
              <w:jc w:val="right"/>
              <w:spacing w:after="0"/>
              <w:rPr>
                <w:sz w:val="20"/>
                <w:szCs w:val="20"/>
                <w:color w:val="auto"/>
              </w:rPr>
            </w:pPr>
            <w:r>
              <w:rPr>
                <w:rFonts w:ascii="Arial" w:cs="Arial" w:eastAsia="Arial" w:hAnsi="Arial"/>
                <w:sz w:val="16"/>
                <w:szCs w:val="16"/>
                <w:color w:val="auto"/>
              </w:rPr>
              <w:t>118,651</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660" w:type="dxa"/>
            <w:vAlign w:val="bottom"/>
            <w:vMerge w:val="restart"/>
          </w:tcPr>
          <w:p>
            <w:pPr>
              <w:ind w:left="60"/>
              <w:spacing w:after="0"/>
              <w:rPr>
                <w:sz w:val="20"/>
                <w:szCs w:val="20"/>
                <w:color w:val="auto"/>
              </w:rPr>
            </w:pPr>
            <w:r>
              <w:rPr>
                <w:rFonts w:ascii="Arial" w:cs="Arial" w:eastAsia="Arial" w:hAnsi="Arial"/>
                <w:sz w:val="16"/>
                <w:szCs w:val="16"/>
                <w:color w:val="auto"/>
              </w:rPr>
              <w:t>Market value ($)</w:t>
            </w:r>
            <w:r>
              <w:rPr>
                <w:rFonts w:ascii="Arial" w:cs="Arial" w:eastAsia="Arial" w:hAnsi="Arial"/>
                <w:sz w:val="27"/>
                <w:szCs w:val="27"/>
                <w:color w:val="auto"/>
                <w:vertAlign w:val="superscript"/>
              </w:rPr>
              <w:t>6</w:t>
            </w:r>
          </w:p>
        </w:tc>
        <w:tc>
          <w:tcPr>
            <w:tcW w:w="2300" w:type="dxa"/>
            <w:vAlign w:val="bottom"/>
          </w:tcPr>
          <w:p>
            <w:pPr>
              <w:spacing w:after="0"/>
              <w:rPr>
                <w:sz w:val="4"/>
                <w:szCs w:val="4"/>
                <w:color w:val="auto"/>
              </w:rPr>
            </w:pPr>
          </w:p>
        </w:tc>
        <w:tc>
          <w:tcPr>
            <w:tcW w:w="420" w:type="dxa"/>
            <w:vAlign w:val="bottom"/>
            <w:tcBorders>
              <w:bottom w:val="single" w:sz="8" w:color="333333"/>
            </w:tcBorders>
          </w:tcPr>
          <w:p>
            <w:pPr>
              <w:spacing w:after="0"/>
              <w:rPr>
                <w:sz w:val="4"/>
                <w:szCs w:val="4"/>
                <w:color w:val="auto"/>
              </w:rPr>
            </w:pPr>
          </w:p>
        </w:tc>
        <w:tc>
          <w:tcPr>
            <w:tcW w:w="720" w:type="dxa"/>
            <w:vAlign w:val="bottom"/>
            <w:tcBorders>
              <w:bottom w:val="single" w:sz="8" w:color="333333"/>
            </w:tcBorders>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4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Borders>
              <w:bottom w:val="single" w:sz="8" w:color="333333"/>
            </w:tcBorders>
          </w:tcPr>
          <w:p>
            <w:pPr>
              <w:spacing w:after="0"/>
              <w:rPr>
                <w:sz w:val="4"/>
                <w:szCs w:val="4"/>
                <w:color w:val="auto"/>
              </w:rPr>
            </w:pPr>
          </w:p>
        </w:tc>
        <w:tc>
          <w:tcPr>
            <w:tcW w:w="820" w:type="dxa"/>
            <w:vAlign w:val="bottom"/>
            <w:tcBorders>
              <w:bottom w:val="single" w:sz="8" w:color="333333"/>
            </w:tcBorders>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60" w:type="dxa"/>
            <w:vAlign w:val="bottom"/>
            <w:tcBorders>
              <w:bottom w:val="single" w:sz="8" w:color="333333"/>
            </w:tcBorders>
          </w:tcPr>
          <w:p>
            <w:pPr>
              <w:spacing w:after="0"/>
              <w:rPr>
                <w:sz w:val="4"/>
                <w:szCs w:val="4"/>
                <w:color w:val="auto"/>
              </w:rPr>
            </w:pPr>
          </w:p>
        </w:tc>
        <w:tc>
          <w:tcPr>
            <w:tcW w:w="820" w:type="dxa"/>
            <w:vAlign w:val="bottom"/>
            <w:tcBorders>
              <w:bottom w:val="single" w:sz="8" w:color="333333"/>
            </w:tcBorders>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660" w:type="dxa"/>
            <w:vAlign w:val="bottom"/>
            <w:tcBorders>
              <w:bottom w:val="single" w:sz="8" w:color="333333"/>
            </w:tcBorders>
            <w:vMerge w:val="continue"/>
          </w:tcPr>
          <w:p>
            <w:pPr>
              <w:spacing w:after="0"/>
              <w:rPr>
                <w:sz w:val="24"/>
                <w:szCs w:val="24"/>
                <w:color w:val="auto"/>
              </w:rPr>
            </w:pPr>
          </w:p>
        </w:tc>
        <w:tc>
          <w:tcPr>
            <w:tcW w:w="2300" w:type="dxa"/>
            <w:vAlign w:val="bottom"/>
            <w:tcBorders>
              <w:bottom w:val="single" w:sz="8" w:color="333333"/>
            </w:tcBorders>
          </w:tcPr>
          <w:p>
            <w:pPr>
              <w:spacing w:after="0"/>
              <w:rPr>
                <w:sz w:val="24"/>
                <w:szCs w:val="24"/>
                <w:color w:val="auto"/>
              </w:rPr>
            </w:pPr>
          </w:p>
        </w:tc>
        <w:tc>
          <w:tcPr>
            <w:tcW w:w="420" w:type="dxa"/>
            <w:vAlign w:val="bottom"/>
            <w:tcBorders>
              <w:bottom w:val="single" w:sz="8" w:color="333333"/>
            </w:tcBorders>
          </w:tcPr>
          <w:p>
            <w:pPr>
              <w:jc w:val="right"/>
              <w:ind w:right="8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333333"/>
            </w:tcBorders>
            <w:gridSpan w:val="2"/>
          </w:tcPr>
          <w:p>
            <w:pPr>
              <w:jc w:val="right"/>
              <w:ind w:right="28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333333"/>
            </w:tcBorders>
          </w:tcPr>
          <w:p>
            <w:pPr>
              <w:spacing w:after="0"/>
              <w:rPr>
                <w:sz w:val="24"/>
                <w:szCs w:val="24"/>
                <w:color w:val="auto"/>
              </w:rPr>
            </w:pPr>
          </w:p>
        </w:tc>
        <w:tc>
          <w:tcPr>
            <w:tcW w:w="480" w:type="dxa"/>
            <w:vAlign w:val="bottom"/>
            <w:tcBorders>
              <w:bottom w:val="single" w:sz="8" w:color="333333"/>
            </w:tcBorders>
          </w:tcPr>
          <w:p>
            <w:pPr>
              <w:spacing w:after="0"/>
              <w:rPr>
                <w:sz w:val="24"/>
                <w:szCs w:val="24"/>
                <w:color w:val="auto"/>
              </w:rPr>
            </w:pPr>
          </w:p>
        </w:tc>
        <w:tc>
          <w:tcPr>
            <w:tcW w:w="900" w:type="dxa"/>
            <w:vAlign w:val="bottom"/>
            <w:tcBorders>
              <w:bottom w:val="single" w:sz="8" w:color="333333"/>
            </w:tcBorders>
          </w:tcPr>
          <w:p>
            <w:pPr>
              <w:spacing w:after="0"/>
              <w:rPr>
                <w:sz w:val="24"/>
                <w:szCs w:val="24"/>
                <w:color w:val="auto"/>
              </w:rPr>
            </w:pPr>
          </w:p>
        </w:tc>
        <w:tc>
          <w:tcPr>
            <w:tcW w:w="160" w:type="dxa"/>
            <w:vAlign w:val="bottom"/>
            <w:tcBorders>
              <w:bottom w:val="single" w:sz="8" w:color="333333"/>
            </w:tcBorders>
          </w:tcPr>
          <w:p>
            <w:pPr>
              <w:spacing w:after="0"/>
              <w:rPr>
                <w:sz w:val="24"/>
                <w:szCs w:val="24"/>
                <w:color w:val="auto"/>
              </w:rPr>
            </w:pPr>
          </w:p>
        </w:tc>
        <w:tc>
          <w:tcPr>
            <w:tcW w:w="240" w:type="dxa"/>
            <w:vAlign w:val="bottom"/>
            <w:tcBorders>
              <w:bottom w:val="single" w:sz="8" w:color="333333"/>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333333"/>
            </w:tcBorders>
            <w:gridSpan w:val="2"/>
          </w:tcPr>
          <w:p>
            <w:pPr>
              <w:jc w:val="right"/>
              <w:ind w:right="40"/>
              <w:spacing w:after="0"/>
              <w:rPr>
                <w:sz w:val="20"/>
                <w:szCs w:val="20"/>
                <w:color w:val="auto"/>
              </w:rPr>
            </w:pPr>
            <w:r>
              <w:rPr>
                <w:rFonts w:ascii="Arial" w:cs="Arial" w:eastAsia="Arial" w:hAnsi="Arial"/>
                <w:sz w:val="16"/>
                <w:szCs w:val="16"/>
                <w:color w:val="auto"/>
                <w:w w:val="99"/>
              </w:rPr>
              <w:t>22,952,628</w:t>
            </w:r>
          </w:p>
        </w:tc>
        <w:tc>
          <w:tcPr>
            <w:tcW w:w="260" w:type="dxa"/>
            <w:vAlign w:val="bottom"/>
            <w:tcBorders>
              <w:bottom w:val="single" w:sz="8" w:color="333333"/>
            </w:tcBorders>
          </w:tcPr>
          <w:p>
            <w:pPr>
              <w:spacing w:after="0"/>
              <w:rPr>
                <w:sz w:val="24"/>
                <w:szCs w:val="24"/>
                <w:color w:val="auto"/>
              </w:rPr>
            </w:pPr>
          </w:p>
        </w:tc>
        <w:tc>
          <w:tcPr>
            <w:tcW w:w="260" w:type="dxa"/>
            <w:vAlign w:val="bottom"/>
            <w:tcBorders>
              <w:bottom w:val="single" w:sz="8" w:color="333333"/>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333333"/>
            </w:tcBorders>
            <w:gridSpan w:val="2"/>
          </w:tcPr>
          <w:p>
            <w:pPr>
              <w:jc w:val="right"/>
              <w:ind w:right="40"/>
              <w:spacing w:after="0"/>
              <w:rPr>
                <w:sz w:val="20"/>
                <w:szCs w:val="20"/>
                <w:color w:val="auto"/>
              </w:rPr>
            </w:pPr>
            <w:r>
              <w:rPr>
                <w:rFonts w:ascii="Arial" w:cs="Arial" w:eastAsia="Arial" w:hAnsi="Arial"/>
                <w:sz w:val="16"/>
                <w:szCs w:val="16"/>
                <w:color w:val="auto"/>
                <w:w w:val="99"/>
              </w:rPr>
              <w:t>16,539,949</w:t>
            </w:r>
          </w:p>
        </w:tc>
        <w:tc>
          <w:tcPr>
            <w:tcW w:w="180" w:type="dxa"/>
            <w:vAlign w:val="bottom"/>
            <w:tcBorders>
              <w:bottom w:val="single" w:sz="8" w:color="333333"/>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660" w:type="dxa"/>
            <w:vAlign w:val="bottom"/>
          </w:tcPr>
          <w:p>
            <w:pPr>
              <w:ind w:left="60"/>
              <w:spacing w:after="0"/>
              <w:rPr>
                <w:sz w:val="20"/>
                <w:szCs w:val="20"/>
                <w:color w:val="auto"/>
              </w:rPr>
            </w:pPr>
            <w:r>
              <w:rPr>
                <w:rFonts w:ascii="Arial" w:cs="Arial" w:eastAsia="Arial" w:hAnsi="Arial"/>
                <w:sz w:val="16"/>
                <w:szCs w:val="16"/>
                <w:b w:val="1"/>
                <w:bCs w:val="1"/>
                <w:color w:val="auto"/>
              </w:rPr>
              <w:t>Jennifer Piepszak</w:t>
            </w:r>
          </w:p>
        </w:tc>
        <w:tc>
          <w:tcPr>
            <w:tcW w:w="2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660" w:type="dxa"/>
            <w:vAlign w:val="bottom"/>
          </w:tcPr>
          <w:p>
            <w:pPr>
              <w:spacing w:after="0"/>
              <w:rPr>
                <w:sz w:val="22"/>
                <w:szCs w:val="22"/>
                <w:color w:val="auto"/>
              </w:rPr>
            </w:pPr>
          </w:p>
        </w:tc>
        <w:tc>
          <w:tcPr>
            <w:tcW w:w="2300" w:type="dxa"/>
            <w:vAlign w:val="bottom"/>
          </w:tcPr>
          <w:p>
            <w:pPr>
              <w:jc w:val="right"/>
              <w:ind w:right="420"/>
              <w:spacing w:after="0"/>
              <w:rPr>
                <w:sz w:val="20"/>
                <w:szCs w:val="20"/>
                <w:color w:val="auto"/>
              </w:rPr>
            </w:pPr>
            <w:r>
              <w:rPr>
                <w:rFonts w:ascii="Arial" w:cs="Arial" w:eastAsia="Arial" w:hAnsi="Arial"/>
                <w:sz w:val="16"/>
                <w:szCs w:val="16"/>
                <w:color w:val="auto"/>
              </w:rPr>
              <w:t>9/8/2016</w:t>
            </w:r>
          </w:p>
        </w:tc>
        <w:tc>
          <w:tcPr>
            <w:tcW w:w="420" w:type="dxa"/>
            <w:vAlign w:val="bottom"/>
          </w:tcPr>
          <w:p>
            <w:pPr>
              <w:spacing w:after="0"/>
              <w:rPr>
                <w:sz w:val="22"/>
                <w:szCs w:val="22"/>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6,497</w:t>
            </w:r>
          </w:p>
        </w:tc>
        <w:tc>
          <w:tcPr>
            <w:tcW w:w="260" w:type="dxa"/>
            <w:vAlign w:val="bottom"/>
          </w:tcPr>
          <w:p>
            <w:pPr>
              <w:ind w:left="40"/>
              <w:spacing w:after="0"/>
              <w:rPr>
                <w:sz w:val="20"/>
                <w:szCs w:val="20"/>
                <w:color w:val="auto"/>
              </w:rPr>
            </w:pPr>
            <w:r>
              <w:rPr>
                <w:rFonts w:ascii="Arial" w:cs="Arial" w:eastAsia="Arial" w:hAnsi="Arial"/>
                <w:sz w:val="14"/>
                <w:szCs w:val="14"/>
                <w:color w:val="auto"/>
              </w:rPr>
              <w:t>f</w:t>
            </w:r>
          </w:p>
        </w:tc>
        <w:tc>
          <w:tcPr>
            <w:tcW w:w="260" w:type="dxa"/>
            <w:vAlign w:val="bottom"/>
          </w:tcPr>
          <w:p>
            <w:pPr>
              <w:spacing w:after="0"/>
              <w:rPr>
                <w:sz w:val="22"/>
                <w:szCs w:val="22"/>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660" w:type="dxa"/>
            <w:vAlign w:val="bottom"/>
          </w:tcPr>
          <w:p>
            <w:pPr>
              <w:spacing w:after="0"/>
              <w:rPr>
                <w:sz w:val="21"/>
                <w:szCs w:val="21"/>
                <w:color w:val="auto"/>
              </w:rPr>
            </w:pPr>
          </w:p>
        </w:tc>
        <w:tc>
          <w:tcPr>
            <w:tcW w:w="2300" w:type="dxa"/>
            <w:vAlign w:val="bottom"/>
          </w:tcPr>
          <w:p>
            <w:pPr>
              <w:ind w:left="1080"/>
              <w:spacing w:after="0"/>
              <w:rPr>
                <w:sz w:val="20"/>
                <w:szCs w:val="20"/>
                <w:color w:val="auto"/>
              </w:rPr>
            </w:pPr>
            <w:r>
              <w:rPr>
                <w:rFonts w:ascii="Arial" w:cs="Arial" w:eastAsia="Arial" w:hAnsi="Arial"/>
                <w:sz w:val="16"/>
                <w:szCs w:val="16"/>
                <w:color w:val="auto"/>
              </w:rPr>
              <w:t>1/17/2017</w:t>
            </w:r>
          </w:p>
        </w:tc>
        <w:tc>
          <w:tcPr>
            <w:tcW w:w="420" w:type="dxa"/>
            <w:vAlign w:val="bottom"/>
          </w:tcPr>
          <w:p>
            <w:pPr>
              <w:spacing w:after="0"/>
              <w:rPr>
                <w:sz w:val="21"/>
                <w:szCs w:val="21"/>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1"/>
                <w:szCs w:val="21"/>
                <w:color w:val="auto"/>
              </w:rPr>
            </w:pPr>
          </w:p>
        </w:tc>
        <w:tc>
          <w:tcPr>
            <w:tcW w:w="4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5,935</w:t>
            </w:r>
          </w:p>
        </w:tc>
        <w:tc>
          <w:tcPr>
            <w:tcW w:w="260" w:type="dxa"/>
            <w:vAlign w:val="bottom"/>
          </w:tcPr>
          <w:p>
            <w:pPr>
              <w:ind w:left="40"/>
              <w:spacing w:after="0"/>
              <w:rPr>
                <w:sz w:val="20"/>
                <w:szCs w:val="20"/>
                <w:color w:val="auto"/>
              </w:rPr>
            </w:pPr>
            <w:r>
              <w:rPr>
                <w:rFonts w:ascii="Arial" w:cs="Arial" w:eastAsia="Arial" w:hAnsi="Arial"/>
                <w:sz w:val="14"/>
                <w:szCs w:val="14"/>
                <w:color w:val="auto"/>
              </w:rPr>
              <w:t>e</w:t>
            </w:r>
          </w:p>
        </w:tc>
        <w:tc>
          <w:tcPr>
            <w:tcW w:w="260" w:type="dxa"/>
            <w:vAlign w:val="bottom"/>
          </w:tcPr>
          <w:p>
            <w:pPr>
              <w:spacing w:after="0"/>
              <w:rPr>
                <w:sz w:val="21"/>
                <w:szCs w:val="21"/>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60" w:type="dxa"/>
            <w:vAlign w:val="bottom"/>
          </w:tcPr>
          <w:p>
            <w:pPr>
              <w:spacing w:after="0"/>
              <w:rPr>
                <w:sz w:val="21"/>
                <w:szCs w:val="21"/>
                <w:color w:val="auto"/>
              </w:rPr>
            </w:pPr>
          </w:p>
        </w:tc>
        <w:tc>
          <w:tcPr>
            <w:tcW w:w="2300" w:type="dxa"/>
            <w:vAlign w:val="bottom"/>
          </w:tcPr>
          <w:p>
            <w:pPr>
              <w:ind w:left="1080"/>
              <w:spacing w:after="0"/>
              <w:rPr>
                <w:sz w:val="20"/>
                <w:szCs w:val="20"/>
                <w:color w:val="auto"/>
              </w:rPr>
            </w:pPr>
            <w:r>
              <w:rPr>
                <w:rFonts w:ascii="Arial" w:cs="Arial" w:eastAsia="Arial" w:hAnsi="Arial"/>
                <w:sz w:val="16"/>
                <w:szCs w:val="16"/>
                <w:color w:val="auto"/>
              </w:rPr>
              <w:t>1/16/2018</w:t>
            </w:r>
          </w:p>
        </w:tc>
        <w:tc>
          <w:tcPr>
            <w:tcW w:w="420" w:type="dxa"/>
            <w:vAlign w:val="bottom"/>
          </w:tcPr>
          <w:p>
            <w:pPr>
              <w:spacing w:after="0"/>
              <w:rPr>
                <w:sz w:val="21"/>
                <w:szCs w:val="21"/>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1"/>
                <w:szCs w:val="21"/>
                <w:color w:val="auto"/>
              </w:rPr>
            </w:pPr>
          </w:p>
        </w:tc>
        <w:tc>
          <w:tcPr>
            <w:tcW w:w="4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17,818</w:t>
            </w:r>
          </w:p>
        </w:tc>
        <w:tc>
          <w:tcPr>
            <w:tcW w:w="260" w:type="dxa"/>
            <w:vAlign w:val="bottom"/>
          </w:tcPr>
          <w:p>
            <w:pPr>
              <w:ind w:left="40"/>
              <w:spacing w:after="0"/>
              <w:rPr>
                <w:sz w:val="20"/>
                <w:szCs w:val="20"/>
                <w:color w:val="auto"/>
              </w:rPr>
            </w:pPr>
            <w:r>
              <w:rPr>
                <w:rFonts w:ascii="Arial" w:cs="Arial" w:eastAsia="Arial" w:hAnsi="Arial"/>
                <w:sz w:val="14"/>
                <w:szCs w:val="14"/>
                <w:color w:val="auto"/>
              </w:rPr>
              <w:t>e</w:t>
            </w:r>
          </w:p>
        </w:tc>
        <w:tc>
          <w:tcPr>
            <w:tcW w:w="260" w:type="dxa"/>
            <w:vAlign w:val="bottom"/>
          </w:tcPr>
          <w:p>
            <w:pPr>
              <w:spacing w:after="0"/>
              <w:rPr>
                <w:sz w:val="21"/>
                <w:szCs w:val="21"/>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660" w:type="dxa"/>
            <w:vAlign w:val="bottom"/>
          </w:tcPr>
          <w:p>
            <w:pPr>
              <w:spacing w:after="0"/>
              <w:rPr>
                <w:sz w:val="20"/>
                <w:szCs w:val="20"/>
                <w:color w:val="auto"/>
              </w:rPr>
            </w:pPr>
          </w:p>
        </w:tc>
        <w:tc>
          <w:tcPr>
            <w:tcW w:w="2300" w:type="dxa"/>
            <w:vAlign w:val="bottom"/>
          </w:tcPr>
          <w:p>
            <w:pPr>
              <w:ind w:left="1080"/>
              <w:spacing w:after="0"/>
              <w:rPr>
                <w:sz w:val="20"/>
                <w:szCs w:val="20"/>
                <w:color w:val="auto"/>
              </w:rPr>
            </w:pPr>
            <w:r>
              <w:rPr>
                <w:rFonts w:ascii="Arial" w:cs="Arial" w:eastAsia="Arial" w:hAnsi="Arial"/>
                <w:sz w:val="16"/>
                <w:szCs w:val="16"/>
                <w:color w:val="auto"/>
              </w:rPr>
              <w:t>1/15/2019</w:t>
            </w:r>
          </w:p>
        </w:tc>
        <w:tc>
          <w:tcPr>
            <w:tcW w:w="420" w:type="dxa"/>
            <w:vAlign w:val="bottom"/>
            <w:tcBorders>
              <w:bottom w:val="single" w:sz="8" w:color="333333"/>
            </w:tcBorders>
          </w:tcPr>
          <w:p>
            <w:pPr>
              <w:spacing w:after="0"/>
              <w:rPr>
                <w:sz w:val="20"/>
                <w:szCs w:val="20"/>
                <w:color w:val="auto"/>
              </w:rPr>
            </w:pPr>
          </w:p>
        </w:tc>
        <w:tc>
          <w:tcPr>
            <w:tcW w:w="720" w:type="dxa"/>
            <w:vAlign w:val="bottom"/>
            <w:tcBorders>
              <w:bottom w:val="single" w:sz="8" w:color="333333"/>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333333"/>
            </w:tcBorders>
          </w:tcPr>
          <w:p>
            <w:pPr>
              <w:spacing w:after="0"/>
              <w:rPr>
                <w:sz w:val="20"/>
                <w:szCs w:val="20"/>
                <w:color w:val="auto"/>
              </w:rPr>
            </w:pPr>
          </w:p>
        </w:tc>
        <w:tc>
          <w:tcPr>
            <w:tcW w:w="820" w:type="dxa"/>
            <w:vAlign w:val="bottom"/>
            <w:tcBorders>
              <w:bottom w:val="single" w:sz="8" w:color="333333"/>
            </w:tcBorders>
          </w:tcPr>
          <w:p>
            <w:pPr>
              <w:jc w:val="right"/>
              <w:spacing w:after="0"/>
              <w:rPr>
                <w:sz w:val="20"/>
                <w:szCs w:val="20"/>
                <w:color w:val="auto"/>
              </w:rPr>
            </w:pPr>
            <w:r>
              <w:rPr>
                <w:rFonts w:ascii="Arial" w:cs="Arial" w:eastAsia="Arial" w:hAnsi="Arial"/>
                <w:sz w:val="16"/>
                <w:szCs w:val="16"/>
                <w:color w:val="auto"/>
              </w:rPr>
              <w:t>32,825</w:t>
            </w:r>
          </w:p>
        </w:tc>
        <w:tc>
          <w:tcPr>
            <w:tcW w:w="40" w:type="dxa"/>
            <w:vAlign w:val="bottom"/>
          </w:tcPr>
          <w:p>
            <w:pPr>
              <w:spacing w:after="0"/>
              <w:rPr>
                <w:sz w:val="20"/>
                <w:szCs w:val="20"/>
                <w:color w:val="auto"/>
              </w:rPr>
            </w:pPr>
          </w:p>
        </w:tc>
        <w:tc>
          <w:tcPr>
            <w:tcW w:w="260" w:type="dxa"/>
            <w:vAlign w:val="bottom"/>
          </w:tcPr>
          <w:p>
            <w:pPr>
              <w:ind w:left="40"/>
              <w:spacing w:after="0"/>
              <w:rPr>
                <w:sz w:val="20"/>
                <w:szCs w:val="20"/>
                <w:color w:val="auto"/>
              </w:rPr>
            </w:pPr>
            <w:r>
              <w:rPr>
                <w:rFonts w:ascii="Arial" w:cs="Arial" w:eastAsia="Arial" w:hAnsi="Arial"/>
                <w:sz w:val="14"/>
                <w:szCs w:val="14"/>
                <w:color w:val="auto"/>
              </w:rPr>
              <w:t>e</w:t>
            </w:r>
          </w:p>
        </w:tc>
        <w:tc>
          <w:tcPr>
            <w:tcW w:w="260" w:type="dxa"/>
            <w:vAlign w:val="bottom"/>
            <w:tcBorders>
              <w:bottom w:val="single" w:sz="8" w:color="333333"/>
            </w:tcBorders>
          </w:tcPr>
          <w:p>
            <w:pPr>
              <w:spacing w:after="0"/>
              <w:rPr>
                <w:sz w:val="20"/>
                <w:szCs w:val="20"/>
                <w:color w:val="auto"/>
              </w:rPr>
            </w:pPr>
          </w:p>
        </w:tc>
        <w:tc>
          <w:tcPr>
            <w:tcW w:w="820" w:type="dxa"/>
            <w:vAlign w:val="bottom"/>
            <w:tcBorders>
              <w:bottom w:val="single" w:sz="8" w:color="333333"/>
            </w:tcBorders>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2660" w:type="dxa"/>
            <w:vAlign w:val="bottom"/>
          </w:tcPr>
          <w:p>
            <w:pPr>
              <w:ind w:left="60"/>
              <w:spacing w:after="0"/>
              <w:rPr>
                <w:sz w:val="20"/>
                <w:szCs w:val="20"/>
                <w:color w:val="auto"/>
              </w:rPr>
            </w:pPr>
            <w:r>
              <w:rPr>
                <w:rFonts w:ascii="Arial" w:cs="Arial" w:eastAsia="Arial" w:hAnsi="Arial"/>
                <w:sz w:val="16"/>
                <w:szCs w:val="16"/>
                <w:color w:val="auto"/>
              </w:rPr>
              <w:t>Total awards (#)</w:t>
            </w:r>
          </w:p>
        </w:tc>
        <w:tc>
          <w:tcPr>
            <w:tcW w:w="2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63,075</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660" w:type="dxa"/>
            <w:vAlign w:val="bottom"/>
            <w:vMerge w:val="restart"/>
          </w:tcPr>
          <w:p>
            <w:pPr>
              <w:ind w:left="60"/>
              <w:spacing w:after="0"/>
              <w:rPr>
                <w:sz w:val="20"/>
                <w:szCs w:val="20"/>
                <w:color w:val="auto"/>
              </w:rPr>
            </w:pPr>
            <w:r>
              <w:rPr>
                <w:rFonts w:ascii="Arial" w:cs="Arial" w:eastAsia="Arial" w:hAnsi="Arial"/>
                <w:sz w:val="16"/>
                <w:szCs w:val="16"/>
                <w:color w:val="auto"/>
              </w:rPr>
              <w:t>Market value ($)</w:t>
            </w:r>
            <w:r>
              <w:rPr>
                <w:rFonts w:ascii="Arial" w:cs="Arial" w:eastAsia="Arial" w:hAnsi="Arial"/>
                <w:sz w:val="27"/>
                <w:szCs w:val="27"/>
                <w:color w:val="auto"/>
                <w:vertAlign w:val="superscript"/>
              </w:rPr>
              <w:t>6</w:t>
            </w:r>
          </w:p>
        </w:tc>
        <w:tc>
          <w:tcPr>
            <w:tcW w:w="2300" w:type="dxa"/>
            <w:vAlign w:val="bottom"/>
          </w:tcPr>
          <w:p>
            <w:pPr>
              <w:spacing w:after="0"/>
              <w:rPr>
                <w:sz w:val="4"/>
                <w:szCs w:val="4"/>
                <w:color w:val="auto"/>
              </w:rPr>
            </w:pPr>
          </w:p>
        </w:tc>
        <w:tc>
          <w:tcPr>
            <w:tcW w:w="420" w:type="dxa"/>
            <w:vAlign w:val="bottom"/>
            <w:tcBorders>
              <w:bottom w:val="single" w:sz="8" w:color="333333"/>
            </w:tcBorders>
          </w:tcPr>
          <w:p>
            <w:pPr>
              <w:spacing w:after="0"/>
              <w:rPr>
                <w:sz w:val="4"/>
                <w:szCs w:val="4"/>
                <w:color w:val="auto"/>
              </w:rPr>
            </w:pPr>
          </w:p>
        </w:tc>
        <w:tc>
          <w:tcPr>
            <w:tcW w:w="720" w:type="dxa"/>
            <w:vAlign w:val="bottom"/>
            <w:tcBorders>
              <w:bottom w:val="single" w:sz="8" w:color="333333"/>
            </w:tcBorders>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4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Borders>
              <w:bottom w:val="single" w:sz="8" w:color="333333"/>
            </w:tcBorders>
          </w:tcPr>
          <w:p>
            <w:pPr>
              <w:spacing w:after="0"/>
              <w:rPr>
                <w:sz w:val="4"/>
                <w:szCs w:val="4"/>
                <w:color w:val="auto"/>
              </w:rPr>
            </w:pPr>
          </w:p>
        </w:tc>
        <w:tc>
          <w:tcPr>
            <w:tcW w:w="820" w:type="dxa"/>
            <w:vAlign w:val="bottom"/>
            <w:tcBorders>
              <w:bottom w:val="single" w:sz="8" w:color="333333"/>
            </w:tcBorders>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60" w:type="dxa"/>
            <w:vAlign w:val="bottom"/>
            <w:tcBorders>
              <w:bottom w:val="single" w:sz="8" w:color="333333"/>
            </w:tcBorders>
          </w:tcPr>
          <w:p>
            <w:pPr>
              <w:spacing w:after="0"/>
              <w:rPr>
                <w:sz w:val="4"/>
                <w:szCs w:val="4"/>
                <w:color w:val="auto"/>
              </w:rPr>
            </w:pPr>
          </w:p>
        </w:tc>
        <w:tc>
          <w:tcPr>
            <w:tcW w:w="820" w:type="dxa"/>
            <w:vAlign w:val="bottom"/>
            <w:tcBorders>
              <w:bottom w:val="single" w:sz="8" w:color="333333"/>
            </w:tcBorders>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96"/>
        </w:trPr>
        <w:tc>
          <w:tcPr>
            <w:tcW w:w="2660" w:type="dxa"/>
            <w:vAlign w:val="bottom"/>
            <w:vMerge w:val="continue"/>
          </w:tcPr>
          <w:p>
            <w:pPr>
              <w:spacing w:after="0"/>
              <w:rPr>
                <w:sz w:val="24"/>
                <w:szCs w:val="24"/>
                <w:color w:val="auto"/>
              </w:rPr>
            </w:pPr>
          </w:p>
        </w:tc>
        <w:tc>
          <w:tcPr>
            <w:tcW w:w="2300" w:type="dxa"/>
            <w:vAlign w:val="bottom"/>
          </w:tcPr>
          <w:p>
            <w:pPr>
              <w:spacing w:after="0"/>
              <w:rPr>
                <w:sz w:val="24"/>
                <w:szCs w:val="24"/>
                <w:color w:val="auto"/>
              </w:rPr>
            </w:pPr>
          </w:p>
        </w:tc>
        <w:tc>
          <w:tcPr>
            <w:tcW w:w="42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8,792,655</w:t>
            </w:r>
          </w:p>
        </w:tc>
        <w:tc>
          <w:tcPr>
            <w:tcW w:w="26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-48895</wp:posOffset>
            </wp:positionV>
            <wp:extent cx="6995160"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ind w:left="380" w:right="6180" w:hanging="215"/>
        <w:spacing w:after="0" w:line="294" w:lineRule="auto"/>
        <w:tabs>
          <w:tab w:leader="none" w:pos="331" w:val="left"/>
        </w:tabs>
        <w:numPr>
          <w:ilvl w:val="0"/>
          <w:numId w:val="180"/>
        </w:numPr>
        <w:rPr>
          <w:rFonts w:ascii="Arial" w:cs="Arial" w:eastAsia="Arial" w:hAnsi="Arial"/>
          <w:sz w:val="10"/>
          <w:szCs w:val="10"/>
          <w:color w:val="auto"/>
        </w:rPr>
      </w:pPr>
      <w:r>
        <w:rPr>
          <w:rFonts w:ascii="Arial" w:cs="Arial" w:eastAsia="Arial" w:hAnsi="Arial"/>
          <w:sz w:val="12"/>
          <w:szCs w:val="12"/>
          <w:color w:val="auto"/>
        </w:rPr>
        <w:t xml:space="preserve">The awards set forth in the table were granted with the following vesting schedules: </w:t>
      </w:r>
      <w:r>
        <w:rPr>
          <w:rFonts w:ascii="Arial" w:cs="Arial" w:eastAsia="Arial" w:hAnsi="Arial"/>
          <w:sz w:val="9"/>
          <w:szCs w:val="9"/>
          <w:color w:val="auto"/>
        </w:rPr>
        <w:t xml:space="preserve">a </w:t>
      </w:r>
      <w:r>
        <w:rPr>
          <w:rFonts w:ascii="Arial" w:cs="Arial" w:eastAsia="Arial" w:hAnsi="Arial"/>
          <w:sz w:val="11"/>
          <w:szCs w:val="11"/>
          <w:color w:val="auto"/>
        </w:rPr>
        <w:t>SARs vest in five equal installments, in years one, two, three, four and five</w:t>
      </w:r>
    </w:p>
    <w:p>
      <w:pPr>
        <w:ind w:left="380"/>
        <w:spacing w:after="0"/>
        <w:rPr>
          <w:rFonts w:ascii="Arial" w:cs="Arial" w:eastAsia="Arial" w:hAnsi="Arial"/>
          <w:sz w:val="10"/>
          <w:szCs w:val="10"/>
          <w:color w:val="auto"/>
        </w:rPr>
      </w:pPr>
      <w:r>
        <w:rPr>
          <w:rFonts w:ascii="Arial" w:cs="Arial" w:eastAsia="Arial" w:hAnsi="Arial"/>
          <w:sz w:val="11"/>
          <w:szCs w:val="11"/>
          <w:color w:val="auto"/>
        </w:rPr>
        <w:t xml:space="preserve">b  </w:t>
      </w:r>
      <w:r>
        <w:rPr>
          <w:rFonts w:ascii="Arial" w:cs="Arial" w:eastAsia="Arial" w:hAnsi="Arial"/>
          <w:sz w:val="12"/>
          <w:szCs w:val="12"/>
          <w:color w:val="auto"/>
        </w:rPr>
        <w:t>PSUs vest in year three including any dividends that are reinvested over the vesting period</w:t>
      </w:r>
    </w:p>
    <w:p>
      <w:pPr>
        <w:spacing w:after="0" w:line="24" w:lineRule="exact"/>
        <w:rPr>
          <w:rFonts w:ascii="Arial" w:cs="Arial" w:eastAsia="Arial" w:hAnsi="Arial"/>
          <w:sz w:val="10"/>
          <w:szCs w:val="10"/>
          <w:color w:val="auto"/>
        </w:rPr>
      </w:pPr>
    </w:p>
    <w:p>
      <w:pPr>
        <w:ind w:left="380"/>
        <w:spacing w:after="0"/>
        <w:rPr>
          <w:rFonts w:ascii="Arial" w:cs="Arial" w:eastAsia="Arial" w:hAnsi="Arial"/>
          <w:sz w:val="10"/>
          <w:szCs w:val="10"/>
          <w:color w:val="auto"/>
        </w:rPr>
      </w:pPr>
      <w:r>
        <w:rPr>
          <w:rFonts w:ascii="Arial" w:cs="Arial" w:eastAsia="Arial" w:hAnsi="Arial"/>
          <w:sz w:val="11"/>
          <w:szCs w:val="11"/>
          <w:color w:val="auto"/>
        </w:rPr>
        <w:t xml:space="preserve">c  </w:t>
      </w:r>
      <w:r>
        <w:rPr>
          <w:rFonts w:ascii="Arial" w:cs="Arial" w:eastAsia="Arial" w:hAnsi="Arial"/>
          <w:sz w:val="12"/>
          <w:szCs w:val="12"/>
          <w:color w:val="auto"/>
        </w:rPr>
        <w:t>PSUs vest in five equal installments, in years three, four, five, six and seven including any dividends that are reinvested over the vesting period</w:t>
      </w:r>
    </w:p>
    <w:p>
      <w:pPr>
        <w:spacing w:after="0" w:line="24" w:lineRule="exact"/>
        <w:rPr>
          <w:sz w:val="20"/>
          <w:szCs w:val="20"/>
          <w:color w:val="auto"/>
        </w:rPr>
      </w:pPr>
    </w:p>
    <w:p>
      <w:pPr>
        <w:ind w:left="380" w:right="5760" w:firstLine="1"/>
        <w:spacing w:after="0" w:line="260" w:lineRule="auto"/>
        <w:tabs>
          <w:tab w:leader="none" w:pos="547" w:val="left"/>
        </w:tabs>
        <w:numPr>
          <w:ilvl w:val="0"/>
          <w:numId w:val="181"/>
        </w:numPr>
        <w:rPr>
          <w:rFonts w:ascii="Arial" w:cs="Arial" w:eastAsia="Arial" w:hAnsi="Arial"/>
          <w:sz w:val="11"/>
          <w:szCs w:val="11"/>
          <w:color w:val="auto"/>
        </w:rPr>
      </w:pPr>
      <w:r>
        <w:rPr>
          <w:rFonts w:ascii="Arial" w:cs="Arial" w:eastAsia="Arial" w:hAnsi="Arial"/>
          <w:sz w:val="13"/>
          <w:szCs w:val="13"/>
          <w:color w:val="auto"/>
        </w:rPr>
        <w:t xml:space="preserve">PSUs and RSUs vest in five equal installments, in years three, four, five, six and seven </w:t>
      </w:r>
      <w:r>
        <w:rPr>
          <w:rFonts w:ascii="Arial" w:cs="Arial" w:eastAsia="Arial" w:hAnsi="Arial"/>
          <w:sz w:val="10"/>
          <w:szCs w:val="10"/>
          <w:color w:val="auto"/>
        </w:rPr>
        <w:t xml:space="preserve">e </w:t>
      </w:r>
      <w:r>
        <w:rPr>
          <w:rFonts w:ascii="Arial" w:cs="Arial" w:eastAsia="Arial" w:hAnsi="Arial"/>
          <w:sz w:val="12"/>
          <w:szCs w:val="12"/>
          <w:color w:val="auto"/>
        </w:rPr>
        <w:t>RSUs vest in two equal installments, in years two and three</w:t>
      </w:r>
    </w:p>
    <w:p>
      <w:pPr>
        <w:ind w:left="420"/>
        <w:spacing w:after="0"/>
        <w:rPr>
          <w:rFonts w:ascii="Arial" w:cs="Arial" w:eastAsia="Arial" w:hAnsi="Arial"/>
          <w:sz w:val="11"/>
          <w:szCs w:val="11"/>
          <w:color w:val="auto"/>
        </w:rPr>
      </w:pPr>
      <w:r>
        <w:rPr>
          <w:rFonts w:ascii="Arial" w:cs="Arial" w:eastAsia="Arial" w:hAnsi="Arial"/>
          <w:sz w:val="11"/>
          <w:szCs w:val="11"/>
          <w:color w:val="auto"/>
        </w:rPr>
        <w:t xml:space="preserve">f  </w:t>
      </w:r>
      <w:r>
        <w:rPr>
          <w:rFonts w:ascii="Arial" w:cs="Arial" w:eastAsia="Arial" w:hAnsi="Arial"/>
          <w:sz w:val="12"/>
          <w:szCs w:val="12"/>
          <w:color w:val="auto"/>
        </w:rPr>
        <w:t>RSUs vest in four equal installments, in years one, two, three and four</w:t>
      </w:r>
    </w:p>
    <w:p>
      <w:pPr>
        <w:spacing w:after="0" w:line="24" w:lineRule="exact"/>
        <w:rPr>
          <w:sz w:val="20"/>
          <w:szCs w:val="20"/>
          <w:color w:val="auto"/>
        </w:rPr>
      </w:pPr>
    </w:p>
    <w:p>
      <w:pPr>
        <w:ind w:left="340" w:hanging="210"/>
        <w:spacing w:after="0"/>
        <w:tabs>
          <w:tab w:leader="none" w:pos="340" w:val="left"/>
        </w:tabs>
        <w:numPr>
          <w:ilvl w:val="0"/>
          <w:numId w:val="182"/>
        </w:numPr>
        <w:rPr>
          <w:rFonts w:ascii="Arial" w:cs="Arial" w:eastAsia="Arial" w:hAnsi="Arial"/>
          <w:sz w:val="11"/>
          <w:szCs w:val="11"/>
          <w:color w:val="auto"/>
        </w:rPr>
      </w:pPr>
      <w:r>
        <w:rPr>
          <w:rFonts w:ascii="Arial" w:cs="Arial" w:eastAsia="Arial" w:hAnsi="Arial"/>
          <w:sz w:val="13"/>
          <w:szCs w:val="13"/>
          <w:color w:val="auto"/>
        </w:rPr>
        <w:t>All outstanding SARs were exercisable as of December 31, 2019.</w:t>
      </w:r>
    </w:p>
    <w:p>
      <w:pPr>
        <w:spacing w:after="0" w:line="13" w:lineRule="exact"/>
        <w:rPr>
          <w:sz w:val="20"/>
          <w:szCs w:val="20"/>
          <w:color w:val="auto"/>
        </w:rPr>
      </w:pPr>
    </w:p>
    <w:p>
      <w:pPr>
        <w:ind w:left="340" w:hanging="210"/>
        <w:spacing w:after="0"/>
        <w:tabs>
          <w:tab w:leader="none" w:pos="340" w:val="left"/>
        </w:tabs>
        <w:numPr>
          <w:ilvl w:val="0"/>
          <w:numId w:val="183"/>
        </w:numPr>
        <w:rPr>
          <w:rFonts w:ascii="Arial" w:cs="Arial" w:eastAsia="Arial" w:hAnsi="Arial"/>
          <w:sz w:val="11"/>
          <w:szCs w:val="11"/>
          <w:color w:val="auto"/>
        </w:rPr>
      </w:pPr>
      <w:r>
        <w:rPr>
          <w:rFonts w:ascii="Arial" w:cs="Arial" w:eastAsia="Arial" w:hAnsi="Arial"/>
          <w:sz w:val="13"/>
          <w:szCs w:val="13"/>
          <w:color w:val="auto"/>
        </w:rPr>
        <w:t>Value based on $139.40, which was the closing price per share of our common stock on December 31, 2019.</w:t>
      </w:r>
    </w:p>
    <w:p>
      <w:pPr>
        <w:spacing w:after="0" w:line="13" w:lineRule="exact"/>
        <w:rPr>
          <w:sz w:val="20"/>
          <w:szCs w:val="20"/>
          <w:color w:val="auto"/>
        </w:rPr>
      </w:pPr>
    </w:p>
    <w:p>
      <w:pPr>
        <w:ind w:left="340" w:right="40" w:hanging="210"/>
        <w:spacing w:after="0" w:line="216" w:lineRule="auto"/>
        <w:tabs>
          <w:tab w:leader="none" w:pos="340" w:val="left"/>
        </w:tabs>
        <w:numPr>
          <w:ilvl w:val="0"/>
          <w:numId w:val="184"/>
        </w:numPr>
        <w:rPr>
          <w:rFonts w:ascii="Arial" w:cs="Arial" w:eastAsia="Arial" w:hAnsi="Arial"/>
          <w:sz w:val="11"/>
          <w:szCs w:val="11"/>
          <w:color w:val="auto"/>
        </w:rPr>
      </w:pPr>
      <w:r>
        <w:rPr>
          <w:rFonts w:ascii="Arial" w:cs="Arial" w:eastAsia="Arial" w:hAnsi="Arial"/>
          <w:sz w:val="13"/>
          <w:szCs w:val="13"/>
          <w:color w:val="auto"/>
        </w:rPr>
        <w:t>Represents the maximum number of shares that NEOs may receive over the vesting period in connection with PSU awards granted and accumulated reinvested dividend equivalent shares as of December 31, 2019.</w:t>
      </w:r>
    </w:p>
    <w:p>
      <w:pPr>
        <w:spacing w:after="0" w:line="1" w:lineRule="exact"/>
        <w:rPr>
          <w:sz w:val="20"/>
          <w:szCs w:val="20"/>
          <w:color w:val="auto"/>
        </w:rPr>
      </w:pPr>
    </w:p>
    <w:p>
      <w:pPr>
        <w:ind w:left="340" w:right="280" w:hanging="210"/>
        <w:spacing w:after="0" w:line="216" w:lineRule="auto"/>
        <w:tabs>
          <w:tab w:leader="none" w:pos="340" w:val="left"/>
        </w:tabs>
        <w:numPr>
          <w:ilvl w:val="0"/>
          <w:numId w:val="185"/>
        </w:numPr>
        <w:rPr>
          <w:rFonts w:ascii="Arial" w:cs="Arial" w:eastAsia="Arial" w:hAnsi="Arial"/>
          <w:sz w:val="11"/>
          <w:szCs w:val="11"/>
          <w:color w:val="auto"/>
        </w:rPr>
      </w:pPr>
      <w:r>
        <w:rPr>
          <w:rFonts w:ascii="Arial" w:cs="Arial" w:eastAsia="Arial" w:hAnsi="Arial"/>
          <w:sz w:val="13"/>
          <w:szCs w:val="13"/>
          <w:color w:val="auto"/>
        </w:rPr>
        <w:t>Represents PSU awards for which the performance period ended on December 31, 2019. The CMDC certified the applicable performance criteria for the PSUs on March 17, 2020; the PSUs subsequently vested on March 25, 2020 as noted in the applicable footnotes b and c.</w:t>
      </w:r>
    </w:p>
    <w:p>
      <w:pPr>
        <w:spacing w:after="0" w:line="1" w:lineRule="exact"/>
        <w:rPr>
          <w:sz w:val="20"/>
          <w:szCs w:val="20"/>
          <w:color w:val="auto"/>
        </w:rPr>
      </w:pPr>
    </w:p>
    <w:p>
      <w:pPr>
        <w:ind w:left="340" w:hanging="210"/>
        <w:spacing w:after="0"/>
        <w:tabs>
          <w:tab w:leader="none" w:pos="340" w:val="left"/>
        </w:tabs>
        <w:numPr>
          <w:ilvl w:val="0"/>
          <w:numId w:val="186"/>
        </w:numPr>
        <w:rPr>
          <w:rFonts w:ascii="Arial" w:cs="Arial" w:eastAsia="Arial" w:hAnsi="Arial"/>
          <w:sz w:val="11"/>
          <w:szCs w:val="11"/>
          <w:color w:val="auto"/>
        </w:rPr>
      </w:pPr>
      <w:r>
        <w:rPr>
          <w:rFonts w:ascii="Arial" w:cs="Arial" w:eastAsia="Arial" w:hAnsi="Arial"/>
          <w:sz w:val="13"/>
          <w:szCs w:val="13"/>
          <w:color w:val="auto"/>
        </w:rPr>
        <w:t>For option awards, this represents the market value of in-the-money SARs; for stock awards it represents the value of unearned PSUs or RSUs that have not vested.</w:t>
      </w:r>
    </w:p>
    <w:p>
      <w:pPr>
        <w:spacing w:after="0" w:line="200" w:lineRule="exact"/>
        <w:rPr>
          <w:rFonts w:ascii="Arial" w:cs="Arial" w:eastAsia="Arial" w:hAnsi="Arial"/>
          <w:sz w:val="11"/>
          <w:szCs w:val="11"/>
          <w:color w:val="auto"/>
        </w:rPr>
      </w:pPr>
    </w:p>
    <w:p>
      <w:pPr>
        <w:spacing w:after="0" w:line="287" w:lineRule="exact"/>
        <w:rPr>
          <w:rFonts w:ascii="Arial" w:cs="Arial" w:eastAsia="Arial" w:hAnsi="Arial"/>
          <w:sz w:val="11"/>
          <w:szCs w:val="11"/>
          <w:color w:val="auto"/>
        </w:rPr>
      </w:pPr>
    </w:p>
    <w:p>
      <w:pPr>
        <w:ind w:left="5540"/>
        <w:spacing w:after="0"/>
        <w:rPr>
          <w:rFonts w:ascii="Arial" w:cs="Arial" w:eastAsia="Arial" w:hAnsi="Arial"/>
          <w:sz w:val="11"/>
          <w:szCs w:val="11"/>
          <w:color w:val="auto"/>
        </w:rPr>
      </w:pPr>
      <w:r>
        <w:rPr>
          <w:rFonts w:ascii="Arial" w:cs="Arial" w:eastAsia="Arial" w:hAnsi="Arial"/>
          <w:sz w:val="13"/>
          <w:szCs w:val="13"/>
          <w:b w:val="1"/>
          <w:bCs w:val="1"/>
          <w:color w:val="004876"/>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-143510</wp:posOffset>
            </wp:positionV>
            <wp:extent cx="7029450" cy="19748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029450" cy="19748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760"/>
        <w:spacing w:after="0"/>
        <w:rPr>
          <w:sz w:val="20"/>
          <w:szCs w:val="20"/>
          <w:color w:val="auto"/>
        </w:rPr>
      </w:pPr>
      <w:r>
        <w:rPr>
          <w:rFonts w:ascii="Arial" w:cs="Arial" w:eastAsia="Arial" w:hAnsi="Arial"/>
          <w:sz w:val="16"/>
          <w:szCs w:val="16"/>
          <w:b w:val="1"/>
          <w:bCs w:val="1"/>
          <w:color w:val="004876"/>
        </w:rPr>
        <w:t>EXECUTIVE COMPENSATION TABLES |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10" w:lineRule="exact"/>
        <w:rPr>
          <w:sz w:val="20"/>
          <w:szCs w:val="20"/>
          <w:color w:val="auto"/>
        </w:rPr>
      </w:pPr>
    </w:p>
    <w:p>
      <w:pPr>
        <w:ind w:left="120"/>
        <w:spacing w:after="0"/>
        <w:rPr>
          <w:sz w:val="20"/>
          <w:szCs w:val="20"/>
          <w:color w:val="auto"/>
        </w:rPr>
      </w:pPr>
      <w:r>
        <w:rPr>
          <w:rFonts w:ascii="Arial" w:cs="Arial" w:eastAsia="Arial" w:hAnsi="Arial"/>
          <w:sz w:val="20"/>
          <w:szCs w:val="20"/>
          <w:color w:val="004876"/>
        </w:rPr>
        <w:t>IV. 2019 OPTION EXERCISES AND STOCK VESTED TABLE</w:t>
      </w:r>
    </w:p>
    <w:p>
      <w:pPr>
        <w:spacing w:after="0" w:line="97" w:lineRule="exact"/>
        <w:rPr>
          <w:sz w:val="20"/>
          <w:szCs w:val="20"/>
          <w:color w:val="auto"/>
        </w:rPr>
      </w:pPr>
    </w:p>
    <w:p>
      <w:pPr>
        <w:ind w:left="120" w:right="240"/>
        <w:spacing w:after="0" w:line="246" w:lineRule="auto"/>
        <w:rPr>
          <w:sz w:val="20"/>
          <w:szCs w:val="20"/>
          <w:color w:val="auto"/>
        </w:rPr>
      </w:pPr>
      <w:r>
        <w:rPr>
          <w:rFonts w:ascii="Arial" w:cs="Arial" w:eastAsia="Arial" w:hAnsi="Arial"/>
          <w:sz w:val="18"/>
          <w:szCs w:val="18"/>
          <w:color w:val="auto"/>
        </w:rPr>
        <w:t>The following table shows the number of shares acquired and the value realized during 2019 upon the exercise of stock options and the vesting of PSUs and RSUs previously granted to each of the Named Executive Officers.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4580" w:type="dxa"/>
            <w:vAlign w:val="bottom"/>
          </w:tcPr>
          <w:p>
            <w:pPr>
              <w:spacing w:after="0"/>
              <w:rPr>
                <w:sz w:val="16"/>
                <w:szCs w:val="16"/>
                <w:color w:val="auto"/>
              </w:rPr>
            </w:pPr>
          </w:p>
        </w:tc>
        <w:tc>
          <w:tcPr>
            <w:tcW w:w="3320" w:type="dxa"/>
            <w:vAlign w:val="bottom"/>
            <w:gridSpan w:val="3"/>
          </w:tcPr>
          <w:p>
            <w:pPr>
              <w:ind w:left="840"/>
              <w:spacing w:after="0"/>
              <w:rPr>
                <w:sz w:val="20"/>
                <w:szCs w:val="20"/>
                <w:color w:val="auto"/>
              </w:rPr>
            </w:pPr>
            <w:r>
              <w:rPr>
                <w:rFonts w:ascii="Arial" w:cs="Arial" w:eastAsia="Arial" w:hAnsi="Arial"/>
                <w:sz w:val="16"/>
                <w:szCs w:val="16"/>
                <w:color w:val="auto"/>
              </w:rPr>
              <w:t>Option awards</w:t>
            </w:r>
          </w:p>
        </w:tc>
        <w:tc>
          <w:tcPr>
            <w:tcW w:w="3120" w:type="dxa"/>
            <w:vAlign w:val="bottom"/>
            <w:gridSpan w:val="3"/>
          </w:tcPr>
          <w:p>
            <w:pPr>
              <w:ind w:left="960"/>
              <w:spacing w:after="0"/>
              <w:rPr>
                <w:sz w:val="20"/>
                <w:szCs w:val="20"/>
                <w:color w:val="auto"/>
              </w:rPr>
            </w:pPr>
            <w:r>
              <w:rPr>
                <w:rFonts w:ascii="Arial" w:cs="Arial" w:eastAsia="Arial" w:hAnsi="Arial"/>
                <w:sz w:val="16"/>
                <w:szCs w:val="16"/>
                <w:color w:val="auto"/>
              </w:rPr>
              <w:t>Stock awards</w:t>
            </w:r>
          </w:p>
        </w:tc>
      </w:tr>
      <w:tr>
        <w:trPr>
          <w:trHeight w:val="184"/>
        </w:trPr>
        <w:tc>
          <w:tcPr>
            <w:tcW w:w="4580" w:type="dxa"/>
            <w:vAlign w:val="bottom"/>
          </w:tcPr>
          <w:p>
            <w:pPr>
              <w:spacing w:after="0"/>
              <w:rPr>
                <w:sz w:val="16"/>
                <w:szCs w:val="16"/>
                <w:color w:val="auto"/>
              </w:rPr>
            </w:pPr>
          </w:p>
        </w:tc>
        <w:tc>
          <w:tcPr>
            <w:tcW w:w="1480" w:type="dxa"/>
            <w:vAlign w:val="bottom"/>
            <w:tcBorders>
              <w:top w:val="single" w:sz="8" w:color="333333"/>
            </w:tcBorders>
          </w:tcPr>
          <w:p>
            <w:pPr>
              <w:jc w:val="center"/>
              <w:ind w:right="79"/>
              <w:spacing w:after="0"/>
              <w:rPr>
                <w:sz w:val="20"/>
                <w:szCs w:val="20"/>
                <w:color w:val="auto"/>
              </w:rPr>
            </w:pPr>
            <w:r>
              <w:rPr>
                <w:rFonts w:ascii="Arial" w:cs="Arial" w:eastAsia="Arial" w:hAnsi="Arial"/>
                <w:sz w:val="16"/>
                <w:szCs w:val="16"/>
                <w:color w:val="004876"/>
              </w:rPr>
              <w:t>Number of</w:t>
            </w:r>
          </w:p>
        </w:tc>
        <w:tc>
          <w:tcPr>
            <w:tcW w:w="1260" w:type="dxa"/>
            <w:vAlign w:val="bottom"/>
            <w:tcBorders>
              <w:top w:val="single" w:sz="8" w:color="333333"/>
            </w:tcBorders>
          </w:tcPr>
          <w:p>
            <w:pPr>
              <w:spacing w:after="0"/>
              <w:rPr>
                <w:sz w:val="16"/>
                <w:szCs w:val="16"/>
                <w:color w:val="auto"/>
              </w:rPr>
            </w:pPr>
          </w:p>
        </w:tc>
        <w:tc>
          <w:tcPr>
            <w:tcW w:w="580" w:type="dxa"/>
            <w:vAlign w:val="bottom"/>
          </w:tcPr>
          <w:p>
            <w:pPr>
              <w:spacing w:after="0"/>
              <w:rPr>
                <w:sz w:val="16"/>
                <w:szCs w:val="16"/>
                <w:color w:val="auto"/>
              </w:rPr>
            </w:pPr>
          </w:p>
        </w:tc>
        <w:tc>
          <w:tcPr>
            <w:tcW w:w="1560" w:type="dxa"/>
            <w:vAlign w:val="bottom"/>
            <w:tcBorders>
              <w:top w:val="single" w:sz="8" w:color="333333"/>
            </w:tcBorders>
          </w:tcPr>
          <w:p>
            <w:pPr>
              <w:spacing w:after="0"/>
              <w:rPr>
                <w:sz w:val="16"/>
                <w:szCs w:val="16"/>
                <w:color w:val="auto"/>
              </w:rPr>
            </w:pPr>
          </w:p>
        </w:tc>
        <w:tc>
          <w:tcPr>
            <w:tcW w:w="1340" w:type="dxa"/>
            <w:vAlign w:val="bottom"/>
            <w:tcBorders>
              <w:top w:val="single" w:sz="8" w:color="333333"/>
            </w:tcBorders>
          </w:tcPr>
          <w:p>
            <w:pPr>
              <w:spacing w:after="0"/>
              <w:rPr>
                <w:sz w:val="16"/>
                <w:szCs w:val="16"/>
                <w:color w:val="auto"/>
              </w:rPr>
            </w:pPr>
          </w:p>
        </w:tc>
        <w:tc>
          <w:tcPr>
            <w:tcW w:w="220" w:type="dxa"/>
            <w:vAlign w:val="bottom"/>
          </w:tcPr>
          <w:p>
            <w:pPr>
              <w:spacing w:after="0"/>
              <w:rPr>
                <w:sz w:val="16"/>
                <w:szCs w:val="16"/>
                <w:color w:val="auto"/>
              </w:rPr>
            </w:pPr>
          </w:p>
        </w:tc>
      </w:tr>
      <w:tr>
        <w:trPr>
          <w:trHeight w:val="189"/>
        </w:trPr>
        <w:tc>
          <w:tcPr>
            <w:tcW w:w="4580" w:type="dxa"/>
            <w:vAlign w:val="bottom"/>
          </w:tcPr>
          <w:p>
            <w:pPr>
              <w:spacing w:after="0"/>
              <w:rPr>
                <w:sz w:val="16"/>
                <w:szCs w:val="16"/>
                <w:color w:val="auto"/>
              </w:rPr>
            </w:pPr>
          </w:p>
        </w:tc>
        <w:tc>
          <w:tcPr>
            <w:tcW w:w="1480" w:type="dxa"/>
            <w:vAlign w:val="bottom"/>
          </w:tcPr>
          <w:p>
            <w:pPr>
              <w:jc w:val="center"/>
              <w:ind w:right="79"/>
              <w:spacing w:after="0"/>
              <w:rPr>
                <w:sz w:val="20"/>
                <w:szCs w:val="20"/>
                <w:color w:val="auto"/>
              </w:rPr>
            </w:pPr>
            <w:r>
              <w:rPr>
                <w:rFonts w:ascii="Arial" w:cs="Arial" w:eastAsia="Arial" w:hAnsi="Arial"/>
                <w:sz w:val="16"/>
                <w:szCs w:val="16"/>
                <w:color w:val="004876"/>
              </w:rPr>
              <w:t>shares acquired</w:t>
            </w:r>
          </w:p>
        </w:tc>
        <w:tc>
          <w:tcPr>
            <w:tcW w:w="1840" w:type="dxa"/>
            <w:vAlign w:val="bottom"/>
            <w:gridSpan w:val="2"/>
          </w:tcPr>
          <w:p>
            <w:pPr>
              <w:jc w:val="center"/>
              <w:ind w:right="260"/>
              <w:spacing w:after="0"/>
              <w:rPr>
                <w:sz w:val="20"/>
                <w:szCs w:val="20"/>
                <w:color w:val="auto"/>
              </w:rPr>
            </w:pPr>
            <w:r>
              <w:rPr>
                <w:rFonts w:ascii="Arial" w:cs="Arial" w:eastAsia="Arial" w:hAnsi="Arial"/>
                <w:sz w:val="16"/>
                <w:szCs w:val="16"/>
                <w:color w:val="004876"/>
              </w:rPr>
              <w:t>Value</w:t>
            </w:r>
          </w:p>
        </w:tc>
        <w:tc>
          <w:tcPr>
            <w:tcW w:w="1560" w:type="dxa"/>
            <w:vAlign w:val="bottom"/>
          </w:tcPr>
          <w:p>
            <w:pPr>
              <w:jc w:val="center"/>
              <w:ind w:right="199"/>
              <w:spacing w:after="0"/>
              <w:rPr>
                <w:sz w:val="20"/>
                <w:szCs w:val="20"/>
                <w:color w:val="auto"/>
              </w:rPr>
            </w:pPr>
            <w:r>
              <w:rPr>
                <w:rFonts w:ascii="Arial" w:cs="Arial" w:eastAsia="Arial" w:hAnsi="Arial"/>
                <w:sz w:val="16"/>
                <w:szCs w:val="16"/>
                <w:color w:val="004876"/>
              </w:rPr>
              <w:t>Number of</w:t>
            </w:r>
          </w:p>
        </w:tc>
        <w:tc>
          <w:tcPr>
            <w:tcW w:w="1560" w:type="dxa"/>
            <w:vAlign w:val="bottom"/>
            <w:gridSpan w:val="2"/>
          </w:tcPr>
          <w:p>
            <w:pPr>
              <w:jc w:val="center"/>
              <w:ind w:left="120"/>
              <w:spacing w:after="0"/>
              <w:rPr>
                <w:sz w:val="20"/>
                <w:szCs w:val="20"/>
                <w:color w:val="auto"/>
              </w:rPr>
            </w:pPr>
            <w:r>
              <w:rPr>
                <w:rFonts w:ascii="Arial" w:cs="Arial" w:eastAsia="Arial" w:hAnsi="Arial"/>
                <w:sz w:val="16"/>
                <w:szCs w:val="16"/>
                <w:color w:val="004876"/>
                <w:w w:val="97"/>
              </w:rPr>
              <w:t>Value</w:t>
            </w:r>
          </w:p>
        </w:tc>
      </w:tr>
      <w:tr>
        <w:trPr>
          <w:trHeight w:val="184"/>
        </w:trPr>
        <w:tc>
          <w:tcPr>
            <w:tcW w:w="4580" w:type="dxa"/>
            <w:vAlign w:val="bottom"/>
          </w:tcPr>
          <w:p>
            <w:pPr>
              <w:spacing w:after="0"/>
              <w:rPr>
                <w:sz w:val="16"/>
                <w:szCs w:val="16"/>
                <w:color w:val="auto"/>
              </w:rPr>
            </w:pPr>
          </w:p>
        </w:tc>
        <w:tc>
          <w:tcPr>
            <w:tcW w:w="1480" w:type="dxa"/>
            <w:vAlign w:val="bottom"/>
          </w:tcPr>
          <w:p>
            <w:pPr>
              <w:jc w:val="center"/>
              <w:ind w:right="79"/>
              <w:spacing w:after="0"/>
              <w:rPr>
                <w:sz w:val="20"/>
                <w:szCs w:val="20"/>
                <w:color w:val="auto"/>
              </w:rPr>
            </w:pPr>
            <w:r>
              <w:rPr>
                <w:rFonts w:ascii="Arial" w:cs="Arial" w:eastAsia="Arial" w:hAnsi="Arial"/>
                <w:sz w:val="16"/>
                <w:szCs w:val="16"/>
                <w:color w:val="004876"/>
              </w:rPr>
              <w:t>on exercise</w:t>
            </w:r>
          </w:p>
        </w:tc>
        <w:tc>
          <w:tcPr>
            <w:tcW w:w="1840" w:type="dxa"/>
            <w:vAlign w:val="bottom"/>
            <w:gridSpan w:val="2"/>
          </w:tcPr>
          <w:p>
            <w:pPr>
              <w:jc w:val="center"/>
              <w:ind w:right="260"/>
              <w:spacing w:after="0"/>
              <w:rPr>
                <w:sz w:val="20"/>
                <w:szCs w:val="20"/>
                <w:color w:val="auto"/>
              </w:rPr>
            </w:pPr>
            <w:r>
              <w:rPr>
                <w:rFonts w:ascii="Arial" w:cs="Arial" w:eastAsia="Arial" w:hAnsi="Arial"/>
                <w:sz w:val="16"/>
                <w:szCs w:val="16"/>
                <w:color w:val="004876"/>
                <w:w w:val="99"/>
              </w:rPr>
              <w:t>realized on</w:t>
            </w:r>
          </w:p>
        </w:tc>
        <w:tc>
          <w:tcPr>
            <w:tcW w:w="1560" w:type="dxa"/>
            <w:vAlign w:val="bottom"/>
          </w:tcPr>
          <w:p>
            <w:pPr>
              <w:jc w:val="center"/>
              <w:ind w:right="199"/>
              <w:spacing w:after="0"/>
              <w:rPr>
                <w:sz w:val="20"/>
                <w:szCs w:val="20"/>
                <w:color w:val="auto"/>
              </w:rPr>
            </w:pPr>
            <w:r>
              <w:rPr>
                <w:rFonts w:ascii="Arial" w:cs="Arial" w:eastAsia="Arial" w:hAnsi="Arial"/>
                <w:sz w:val="16"/>
                <w:szCs w:val="16"/>
                <w:color w:val="004876"/>
              </w:rPr>
              <w:t>shares acquired</w:t>
            </w:r>
          </w:p>
        </w:tc>
        <w:tc>
          <w:tcPr>
            <w:tcW w:w="1560" w:type="dxa"/>
            <w:vAlign w:val="bottom"/>
            <w:gridSpan w:val="2"/>
          </w:tcPr>
          <w:p>
            <w:pPr>
              <w:jc w:val="center"/>
              <w:ind w:left="120"/>
              <w:spacing w:after="0"/>
              <w:rPr>
                <w:sz w:val="20"/>
                <w:szCs w:val="20"/>
                <w:color w:val="auto"/>
              </w:rPr>
            </w:pPr>
            <w:r>
              <w:rPr>
                <w:rFonts w:ascii="Arial" w:cs="Arial" w:eastAsia="Arial" w:hAnsi="Arial"/>
                <w:sz w:val="16"/>
                <w:szCs w:val="16"/>
                <w:color w:val="004876"/>
              </w:rPr>
              <w:t>realized on</w:t>
            </w:r>
          </w:p>
        </w:tc>
      </w:tr>
      <w:tr>
        <w:trPr>
          <w:trHeight w:val="206"/>
        </w:trPr>
        <w:tc>
          <w:tcPr>
            <w:tcW w:w="4580" w:type="dxa"/>
            <w:vAlign w:val="bottom"/>
            <w:tcBorders>
              <w:bottom w:val="single" w:sz="8" w:color="333333"/>
            </w:tcBorders>
          </w:tcPr>
          <w:p>
            <w:pPr>
              <w:ind w:left="60"/>
              <w:spacing w:after="0"/>
              <w:rPr>
                <w:sz w:val="20"/>
                <w:szCs w:val="20"/>
                <w:color w:val="auto"/>
              </w:rPr>
            </w:pPr>
            <w:r>
              <w:rPr>
                <w:rFonts w:ascii="Arial" w:cs="Arial" w:eastAsia="Arial" w:hAnsi="Arial"/>
                <w:sz w:val="16"/>
                <w:szCs w:val="16"/>
                <w:color w:val="004876"/>
              </w:rPr>
              <w:t>Name</w:t>
            </w:r>
          </w:p>
        </w:tc>
        <w:tc>
          <w:tcPr>
            <w:tcW w:w="1480" w:type="dxa"/>
            <w:vAlign w:val="bottom"/>
            <w:tcBorders>
              <w:bottom w:val="single" w:sz="8" w:color="333333"/>
            </w:tcBorders>
          </w:tcPr>
          <w:p>
            <w:pPr>
              <w:jc w:val="right"/>
              <w:ind w:right="679"/>
              <w:spacing w:after="0"/>
              <w:rPr>
                <w:sz w:val="20"/>
                <w:szCs w:val="20"/>
                <w:color w:val="auto"/>
              </w:rPr>
            </w:pPr>
            <w:r>
              <w:rPr>
                <w:rFonts w:ascii="Arial" w:cs="Arial" w:eastAsia="Arial" w:hAnsi="Arial"/>
                <w:sz w:val="16"/>
                <w:szCs w:val="16"/>
                <w:color w:val="004876"/>
              </w:rPr>
              <w:t>(#)</w:t>
            </w:r>
          </w:p>
        </w:tc>
        <w:tc>
          <w:tcPr>
            <w:tcW w:w="1840" w:type="dxa"/>
            <w:vAlign w:val="bottom"/>
            <w:tcBorders>
              <w:bottom w:val="single" w:sz="8" w:color="333333"/>
            </w:tcBorders>
            <w:gridSpan w:val="2"/>
          </w:tcPr>
          <w:p>
            <w:pPr>
              <w:jc w:val="center"/>
              <w:ind w:right="260"/>
              <w:spacing w:after="0" w:line="205" w:lineRule="exact"/>
              <w:rPr>
                <w:sz w:val="20"/>
                <w:szCs w:val="20"/>
                <w:color w:val="auto"/>
              </w:rPr>
            </w:pPr>
            <w:r>
              <w:rPr>
                <w:rFonts w:ascii="Arial" w:cs="Arial" w:eastAsia="Arial" w:hAnsi="Arial"/>
                <w:sz w:val="14"/>
                <w:szCs w:val="14"/>
                <w:color w:val="004876"/>
              </w:rPr>
              <w:t>exercise ($)</w:t>
            </w:r>
            <w:r>
              <w:rPr>
                <w:rFonts w:ascii="Arial" w:cs="Arial" w:eastAsia="Arial" w:hAnsi="Arial"/>
                <w:sz w:val="23"/>
                <w:szCs w:val="23"/>
                <w:color w:val="004876"/>
                <w:vertAlign w:val="superscript"/>
              </w:rPr>
              <w:t>1</w:t>
            </w:r>
          </w:p>
        </w:tc>
        <w:tc>
          <w:tcPr>
            <w:tcW w:w="1560" w:type="dxa"/>
            <w:vAlign w:val="bottom"/>
            <w:tcBorders>
              <w:bottom w:val="single" w:sz="8" w:color="333333"/>
            </w:tcBorders>
          </w:tcPr>
          <w:p>
            <w:pPr>
              <w:jc w:val="center"/>
              <w:ind w:right="179"/>
              <w:spacing w:after="0"/>
              <w:rPr>
                <w:sz w:val="20"/>
                <w:szCs w:val="20"/>
                <w:color w:val="auto"/>
              </w:rPr>
            </w:pPr>
            <w:r>
              <w:rPr>
                <w:rFonts w:ascii="Arial" w:cs="Arial" w:eastAsia="Arial" w:hAnsi="Arial"/>
                <w:sz w:val="16"/>
                <w:szCs w:val="16"/>
                <w:color w:val="004876"/>
              </w:rPr>
              <w:t>on vesting (#)</w:t>
            </w:r>
          </w:p>
        </w:tc>
        <w:tc>
          <w:tcPr>
            <w:tcW w:w="1560" w:type="dxa"/>
            <w:vAlign w:val="bottom"/>
            <w:tcBorders>
              <w:bottom w:val="single" w:sz="8" w:color="333333"/>
            </w:tcBorders>
            <w:gridSpan w:val="2"/>
          </w:tcPr>
          <w:p>
            <w:pPr>
              <w:jc w:val="center"/>
              <w:ind w:left="120"/>
              <w:spacing w:after="0" w:line="205" w:lineRule="exact"/>
              <w:rPr>
                <w:sz w:val="20"/>
                <w:szCs w:val="20"/>
                <w:color w:val="auto"/>
              </w:rPr>
            </w:pPr>
            <w:r>
              <w:rPr>
                <w:rFonts w:ascii="Arial" w:cs="Arial" w:eastAsia="Arial" w:hAnsi="Arial"/>
                <w:sz w:val="14"/>
                <w:szCs w:val="14"/>
                <w:color w:val="004876"/>
              </w:rPr>
              <w:t>vesting ($)</w:t>
            </w:r>
            <w:r>
              <w:rPr>
                <w:rFonts w:ascii="Arial" w:cs="Arial" w:eastAsia="Arial" w:hAnsi="Arial"/>
                <w:sz w:val="23"/>
                <w:szCs w:val="23"/>
                <w:color w:val="004876"/>
                <w:vertAlign w:val="superscript"/>
              </w:rPr>
              <w:t>2</w:t>
            </w:r>
          </w:p>
        </w:tc>
      </w:tr>
      <w:tr>
        <w:trPr>
          <w:trHeight w:val="217"/>
        </w:trPr>
        <w:tc>
          <w:tcPr>
            <w:tcW w:w="4580" w:type="dxa"/>
            <w:vAlign w:val="bottom"/>
            <w:tcBorders>
              <w:bottom w:val="single" w:sz="8" w:color="333333"/>
            </w:tcBorders>
          </w:tcPr>
          <w:p>
            <w:pPr>
              <w:ind w:left="60"/>
              <w:spacing w:after="0"/>
              <w:rPr>
                <w:sz w:val="20"/>
                <w:szCs w:val="20"/>
                <w:color w:val="auto"/>
              </w:rPr>
            </w:pPr>
            <w:r>
              <w:rPr>
                <w:rFonts w:ascii="Arial" w:cs="Arial" w:eastAsia="Arial" w:hAnsi="Arial"/>
                <w:sz w:val="16"/>
                <w:szCs w:val="16"/>
                <w:b w:val="1"/>
                <w:bCs w:val="1"/>
                <w:color w:val="auto"/>
              </w:rPr>
              <w:t>James Dimon</w:t>
            </w:r>
          </w:p>
        </w:tc>
        <w:tc>
          <w:tcPr>
            <w:tcW w:w="1480" w:type="dxa"/>
            <w:vAlign w:val="bottom"/>
            <w:tcBorders>
              <w:bottom w:val="single" w:sz="8" w:color="333333"/>
            </w:tcBorders>
          </w:tcPr>
          <w:p>
            <w:pPr>
              <w:jc w:val="right"/>
              <w:ind w:right="399"/>
              <w:spacing w:after="0"/>
              <w:rPr>
                <w:sz w:val="20"/>
                <w:szCs w:val="20"/>
                <w:color w:val="auto"/>
              </w:rPr>
            </w:pPr>
            <w:r>
              <w:rPr>
                <w:rFonts w:ascii="Arial" w:cs="Arial" w:eastAsia="Arial" w:hAnsi="Arial"/>
                <w:sz w:val="16"/>
                <w:szCs w:val="16"/>
                <w:color w:val="auto"/>
              </w:rPr>
              <w:t>563,562</w:t>
            </w:r>
          </w:p>
        </w:tc>
        <w:tc>
          <w:tcPr>
            <w:tcW w:w="1840" w:type="dxa"/>
            <w:vAlign w:val="bottom"/>
            <w:tcBorders>
              <w:bottom w:val="single" w:sz="8" w:color="333333"/>
            </w:tcBorders>
            <w:gridSpan w:val="2"/>
          </w:tcPr>
          <w:p>
            <w:pPr>
              <w:jc w:val="right"/>
              <w:ind w:right="580"/>
              <w:spacing w:after="0"/>
              <w:rPr>
                <w:sz w:val="20"/>
                <w:szCs w:val="20"/>
                <w:color w:val="auto"/>
              </w:rPr>
            </w:pPr>
            <w:r>
              <w:rPr>
                <w:rFonts w:ascii="Arial" w:cs="Arial" w:eastAsia="Arial" w:hAnsi="Arial"/>
                <w:sz w:val="16"/>
                <w:szCs w:val="16"/>
                <w:color w:val="auto"/>
              </w:rPr>
              <w:t>$ 43,281,562</w:t>
            </w:r>
          </w:p>
        </w:tc>
        <w:tc>
          <w:tcPr>
            <w:tcW w:w="1560" w:type="dxa"/>
            <w:vAlign w:val="bottom"/>
            <w:tcBorders>
              <w:bottom w:val="single" w:sz="8" w:color="333333"/>
            </w:tcBorders>
          </w:tcPr>
          <w:p>
            <w:pPr>
              <w:jc w:val="right"/>
              <w:ind w:right="519"/>
              <w:spacing w:after="0"/>
              <w:rPr>
                <w:sz w:val="20"/>
                <w:szCs w:val="20"/>
                <w:color w:val="auto"/>
              </w:rPr>
            </w:pPr>
            <w:r>
              <w:rPr>
                <w:rFonts w:ascii="Arial" w:cs="Arial" w:eastAsia="Arial" w:hAnsi="Arial"/>
                <w:sz w:val="16"/>
                <w:szCs w:val="16"/>
                <w:color w:val="auto"/>
              </w:rPr>
              <w:t>578,091</w:t>
            </w:r>
          </w:p>
        </w:tc>
        <w:tc>
          <w:tcPr>
            <w:tcW w:w="1340" w:type="dxa"/>
            <w:vAlign w:val="bottom"/>
            <w:tcBorders>
              <w:bottom w:val="single" w:sz="8" w:color="333333"/>
            </w:tcBorders>
          </w:tcPr>
          <w:p>
            <w:pPr>
              <w:jc w:val="right"/>
              <w:spacing w:after="0"/>
              <w:rPr>
                <w:sz w:val="20"/>
                <w:szCs w:val="20"/>
                <w:color w:val="auto"/>
              </w:rPr>
            </w:pPr>
            <w:r>
              <w:rPr>
                <w:rFonts w:ascii="Arial" w:cs="Arial" w:eastAsia="Arial" w:hAnsi="Arial"/>
                <w:sz w:val="16"/>
                <w:szCs w:val="16"/>
                <w:color w:val="auto"/>
              </w:rPr>
              <w:t>$57,421,802</w:t>
            </w:r>
          </w:p>
        </w:tc>
        <w:tc>
          <w:tcPr>
            <w:tcW w:w="220" w:type="dxa"/>
            <w:vAlign w:val="bottom"/>
            <w:tcBorders>
              <w:bottom w:val="single" w:sz="8" w:color="333333"/>
            </w:tcBorders>
          </w:tcPr>
          <w:p>
            <w:pPr>
              <w:spacing w:after="0"/>
              <w:rPr>
                <w:sz w:val="18"/>
                <w:szCs w:val="18"/>
                <w:color w:val="auto"/>
              </w:rPr>
            </w:pPr>
          </w:p>
        </w:tc>
      </w:tr>
      <w:tr>
        <w:trPr>
          <w:trHeight w:val="223"/>
        </w:trPr>
        <w:tc>
          <w:tcPr>
            <w:tcW w:w="4580" w:type="dxa"/>
            <w:vAlign w:val="bottom"/>
            <w:tcBorders>
              <w:bottom w:val="single" w:sz="8" w:color="333333"/>
            </w:tcBorders>
          </w:tcPr>
          <w:p>
            <w:pPr>
              <w:ind w:left="60"/>
              <w:spacing w:after="0"/>
              <w:rPr>
                <w:sz w:val="20"/>
                <w:szCs w:val="20"/>
                <w:color w:val="auto"/>
              </w:rPr>
            </w:pPr>
            <w:r>
              <w:rPr>
                <w:rFonts w:ascii="Arial" w:cs="Arial" w:eastAsia="Arial" w:hAnsi="Arial"/>
                <w:sz w:val="16"/>
                <w:szCs w:val="16"/>
                <w:b w:val="1"/>
                <w:bCs w:val="1"/>
                <w:color w:val="auto"/>
              </w:rPr>
              <w:t>Daniel Pinto</w:t>
            </w:r>
          </w:p>
        </w:tc>
        <w:tc>
          <w:tcPr>
            <w:tcW w:w="1480" w:type="dxa"/>
            <w:vAlign w:val="bottom"/>
            <w:tcBorders>
              <w:bottom w:val="single" w:sz="8" w:color="333333"/>
            </w:tcBorders>
          </w:tcPr>
          <w:p>
            <w:pPr>
              <w:jc w:val="right"/>
              <w:ind w:right="399"/>
              <w:spacing w:after="0"/>
              <w:rPr>
                <w:sz w:val="20"/>
                <w:szCs w:val="20"/>
                <w:color w:val="auto"/>
              </w:rPr>
            </w:pPr>
            <w:r>
              <w:rPr>
                <w:rFonts w:ascii="Arial" w:cs="Arial" w:eastAsia="Arial" w:hAnsi="Arial"/>
                <w:sz w:val="16"/>
                <w:szCs w:val="16"/>
                <w:color w:val="auto"/>
              </w:rPr>
              <w:t>85,000</w:t>
            </w:r>
          </w:p>
        </w:tc>
        <w:tc>
          <w:tcPr>
            <w:tcW w:w="1840" w:type="dxa"/>
            <w:vAlign w:val="bottom"/>
            <w:tcBorders>
              <w:bottom w:val="single" w:sz="8" w:color="333333"/>
            </w:tcBorders>
            <w:gridSpan w:val="2"/>
          </w:tcPr>
          <w:p>
            <w:pPr>
              <w:jc w:val="right"/>
              <w:ind w:right="580"/>
              <w:spacing w:after="0"/>
              <w:rPr>
                <w:sz w:val="20"/>
                <w:szCs w:val="20"/>
                <w:color w:val="auto"/>
              </w:rPr>
            </w:pPr>
            <w:r>
              <w:rPr>
                <w:rFonts w:ascii="Arial" w:cs="Arial" w:eastAsia="Arial" w:hAnsi="Arial"/>
                <w:sz w:val="16"/>
                <w:szCs w:val="16"/>
                <w:color w:val="auto"/>
              </w:rPr>
              <w:t>6,565,400</w:t>
            </w:r>
          </w:p>
        </w:tc>
        <w:tc>
          <w:tcPr>
            <w:tcW w:w="1560" w:type="dxa"/>
            <w:vAlign w:val="bottom"/>
            <w:tcBorders>
              <w:bottom w:val="single" w:sz="8" w:color="333333"/>
            </w:tcBorders>
          </w:tcPr>
          <w:p>
            <w:pPr>
              <w:jc w:val="right"/>
              <w:ind w:right="519"/>
              <w:spacing w:after="0"/>
              <w:rPr>
                <w:sz w:val="20"/>
                <w:szCs w:val="20"/>
                <w:color w:val="auto"/>
              </w:rPr>
            </w:pPr>
            <w:r>
              <w:rPr>
                <w:rFonts w:ascii="Arial" w:cs="Arial" w:eastAsia="Arial" w:hAnsi="Arial"/>
                <w:sz w:val="16"/>
                <w:szCs w:val="16"/>
                <w:color w:val="auto"/>
              </w:rPr>
              <w:t>214,513</w:t>
            </w:r>
          </w:p>
        </w:tc>
        <w:tc>
          <w:tcPr>
            <w:tcW w:w="1340" w:type="dxa"/>
            <w:vAlign w:val="bottom"/>
            <w:tcBorders>
              <w:bottom w:val="single" w:sz="8" w:color="333333"/>
            </w:tcBorders>
          </w:tcPr>
          <w:p>
            <w:pPr>
              <w:jc w:val="right"/>
              <w:spacing w:after="0"/>
              <w:rPr>
                <w:sz w:val="20"/>
                <w:szCs w:val="20"/>
                <w:color w:val="auto"/>
              </w:rPr>
            </w:pPr>
            <w:r>
              <w:rPr>
                <w:rFonts w:ascii="Arial" w:cs="Arial" w:eastAsia="Arial" w:hAnsi="Arial"/>
                <w:sz w:val="16"/>
                <w:szCs w:val="16"/>
                <w:color w:val="auto"/>
              </w:rPr>
              <w:t>21,319,275</w:t>
            </w:r>
          </w:p>
        </w:tc>
        <w:tc>
          <w:tcPr>
            <w:tcW w:w="220" w:type="dxa"/>
            <w:vAlign w:val="bottom"/>
            <w:tcBorders>
              <w:bottom w:val="single" w:sz="8" w:color="333333"/>
            </w:tcBorders>
          </w:tcPr>
          <w:p>
            <w:pPr>
              <w:spacing w:after="0"/>
              <w:rPr>
                <w:sz w:val="19"/>
                <w:szCs w:val="19"/>
                <w:color w:val="auto"/>
              </w:rPr>
            </w:pPr>
          </w:p>
        </w:tc>
      </w:tr>
      <w:tr>
        <w:trPr>
          <w:trHeight w:val="223"/>
        </w:trPr>
        <w:tc>
          <w:tcPr>
            <w:tcW w:w="4580" w:type="dxa"/>
            <w:vAlign w:val="bottom"/>
            <w:tcBorders>
              <w:bottom w:val="single" w:sz="8" w:color="333333"/>
            </w:tcBorders>
          </w:tcPr>
          <w:p>
            <w:pPr>
              <w:ind w:left="60"/>
              <w:spacing w:after="0"/>
              <w:rPr>
                <w:sz w:val="20"/>
                <w:szCs w:val="20"/>
                <w:color w:val="auto"/>
              </w:rPr>
            </w:pPr>
            <w:r>
              <w:rPr>
                <w:rFonts w:ascii="Arial" w:cs="Arial" w:eastAsia="Arial" w:hAnsi="Arial"/>
                <w:sz w:val="16"/>
                <w:szCs w:val="16"/>
                <w:b w:val="1"/>
                <w:bCs w:val="1"/>
                <w:color w:val="auto"/>
              </w:rPr>
              <w:t>Gordon Smith</w:t>
            </w:r>
          </w:p>
        </w:tc>
        <w:tc>
          <w:tcPr>
            <w:tcW w:w="1480" w:type="dxa"/>
            <w:vAlign w:val="bottom"/>
            <w:tcBorders>
              <w:bottom w:val="single" w:sz="8" w:color="333333"/>
            </w:tcBorders>
          </w:tcPr>
          <w:p>
            <w:pPr>
              <w:jc w:val="right"/>
              <w:ind w:right="399"/>
              <w:spacing w:after="0"/>
              <w:rPr>
                <w:sz w:val="20"/>
                <w:szCs w:val="20"/>
                <w:color w:val="auto"/>
              </w:rPr>
            </w:pPr>
            <w:r>
              <w:rPr>
                <w:rFonts w:ascii="Arial" w:cs="Arial" w:eastAsia="Arial" w:hAnsi="Arial"/>
                <w:sz w:val="16"/>
                <w:szCs w:val="16"/>
                <w:color w:val="auto"/>
              </w:rPr>
              <w:t>480,304</w:t>
            </w:r>
          </w:p>
        </w:tc>
        <w:tc>
          <w:tcPr>
            <w:tcW w:w="1840" w:type="dxa"/>
            <w:vAlign w:val="bottom"/>
            <w:tcBorders>
              <w:bottom w:val="single" w:sz="8" w:color="333333"/>
            </w:tcBorders>
            <w:gridSpan w:val="2"/>
          </w:tcPr>
          <w:p>
            <w:pPr>
              <w:jc w:val="right"/>
              <w:ind w:right="580"/>
              <w:spacing w:after="0"/>
              <w:rPr>
                <w:sz w:val="20"/>
                <w:szCs w:val="20"/>
                <w:color w:val="auto"/>
              </w:rPr>
            </w:pPr>
            <w:r>
              <w:rPr>
                <w:rFonts w:ascii="Arial" w:cs="Arial" w:eastAsia="Arial" w:hAnsi="Arial"/>
                <w:sz w:val="16"/>
                <w:szCs w:val="16"/>
                <w:color w:val="auto"/>
              </w:rPr>
              <w:t>32,805,198</w:t>
            </w:r>
          </w:p>
        </w:tc>
        <w:tc>
          <w:tcPr>
            <w:tcW w:w="1560" w:type="dxa"/>
            <w:vAlign w:val="bottom"/>
            <w:tcBorders>
              <w:bottom w:val="single" w:sz="8" w:color="333333"/>
            </w:tcBorders>
          </w:tcPr>
          <w:p>
            <w:pPr>
              <w:jc w:val="right"/>
              <w:ind w:right="519"/>
              <w:spacing w:after="0"/>
              <w:rPr>
                <w:sz w:val="20"/>
                <w:szCs w:val="20"/>
                <w:color w:val="auto"/>
              </w:rPr>
            </w:pPr>
            <w:r>
              <w:rPr>
                <w:rFonts w:ascii="Arial" w:cs="Arial" w:eastAsia="Arial" w:hAnsi="Arial"/>
                <w:sz w:val="16"/>
                <w:szCs w:val="16"/>
                <w:color w:val="auto"/>
              </w:rPr>
              <w:t>212,550</w:t>
            </w:r>
          </w:p>
        </w:tc>
        <w:tc>
          <w:tcPr>
            <w:tcW w:w="1340" w:type="dxa"/>
            <w:vAlign w:val="bottom"/>
            <w:tcBorders>
              <w:bottom w:val="single" w:sz="8" w:color="333333"/>
            </w:tcBorders>
          </w:tcPr>
          <w:p>
            <w:pPr>
              <w:jc w:val="right"/>
              <w:spacing w:after="0"/>
              <w:rPr>
                <w:sz w:val="20"/>
                <w:szCs w:val="20"/>
                <w:color w:val="auto"/>
              </w:rPr>
            </w:pPr>
            <w:r>
              <w:rPr>
                <w:rFonts w:ascii="Arial" w:cs="Arial" w:eastAsia="Arial" w:hAnsi="Arial"/>
                <w:sz w:val="16"/>
                <w:szCs w:val="16"/>
                <w:color w:val="auto"/>
              </w:rPr>
              <w:t>21,129,864</w:t>
            </w:r>
          </w:p>
        </w:tc>
        <w:tc>
          <w:tcPr>
            <w:tcW w:w="220" w:type="dxa"/>
            <w:vAlign w:val="bottom"/>
            <w:tcBorders>
              <w:bottom w:val="single" w:sz="8" w:color="333333"/>
            </w:tcBorders>
          </w:tcPr>
          <w:p>
            <w:pPr>
              <w:spacing w:after="0"/>
              <w:rPr>
                <w:sz w:val="19"/>
                <w:szCs w:val="19"/>
                <w:color w:val="auto"/>
              </w:rPr>
            </w:pPr>
          </w:p>
        </w:tc>
      </w:tr>
      <w:tr>
        <w:trPr>
          <w:trHeight w:val="223"/>
        </w:trPr>
        <w:tc>
          <w:tcPr>
            <w:tcW w:w="4580" w:type="dxa"/>
            <w:vAlign w:val="bottom"/>
            <w:tcBorders>
              <w:bottom w:val="single" w:sz="8" w:color="333333"/>
            </w:tcBorders>
          </w:tcPr>
          <w:p>
            <w:pPr>
              <w:ind w:left="60"/>
              <w:spacing w:after="0"/>
              <w:rPr>
                <w:sz w:val="20"/>
                <w:szCs w:val="20"/>
                <w:color w:val="auto"/>
              </w:rPr>
            </w:pPr>
            <w:r>
              <w:rPr>
                <w:rFonts w:ascii="Arial" w:cs="Arial" w:eastAsia="Arial" w:hAnsi="Arial"/>
                <w:sz w:val="16"/>
                <w:szCs w:val="16"/>
                <w:b w:val="1"/>
                <w:bCs w:val="1"/>
                <w:color w:val="auto"/>
              </w:rPr>
              <w:t>Mary Callahan Erdoes</w:t>
            </w:r>
          </w:p>
        </w:tc>
        <w:tc>
          <w:tcPr>
            <w:tcW w:w="1480" w:type="dxa"/>
            <w:vAlign w:val="bottom"/>
            <w:tcBorders>
              <w:bottom w:val="single" w:sz="8" w:color="333333"/>
            </w:tcBorders>
          </w:tcPr>
          <w:p>
            <w:pPr>
              <w:jc w:val="right"/>
              <w:ind w:right="399"/>
              <w:spacing w:after="0"/>
              <w:rPr>
                <w:sz w:val="20"/>
                <w:szCs w:val="20"/>
                <w:color w:val="auto"/>
              </w:rPr>
            </w:pPr>
            <w:r>
              <w:rPr>
                <w:rFonts w:ascii="Arial" w:cs="Arial" w:eastAsia="Arial" w:hAnsi="Arial"/>
                <w:sz w:val="16"/>
                <w:szCs w:val="16"/>
                <w:color w:val="auto"/>
              </w:rPr>
              <w:t>104,063</w:t>
            </w:r>
          </w:p>
        </w:tc>
        <w:tc>
          <w:tcPr>
            <w:tcW w:w="1840" w:type="dxa"/>
            <w:vAlign w:val="bottom"/>
            <w:tcBorders>
              <w:bottom w:val="single" w:sz="8" w:color="333333"/>
            </w:tcBorders>
            <w:gridSpan w:val="2"/>
          </w:tcPr>
          <w:p>
            <w:pPr>
              <w:jc w:val="right"/>
              <w:ind w:right="580"/>
              <w:spacing w:after="0"/>
              <w:rPr>
                <w:sz w:val="20"/>
                <w:szCs w:val="20"/>
                <w:color w:val="auto"/>
              </w:rPr>
            </w:pPr>
            <w:r>
              <w:rPr>
                <w:rFonts w:ascii="Arial" w:cs="Arial" w:eastAsia="Arial" w:hAnsi="Arial"/>
                <w:sz w:val="16"/>
                <w:szCs w:val="16"/>
                <w:color w:val="auto"/>
              </w:rPr>
              <w:t>8,662,724</w:t>
            </w:r>
          </w:p>
        </w:tc>
        <w:tc>
          <w:tcPr>
            <w:tcW w:w="1560" w:type="dxa"/>
            <w:vAlign w:val="bottom"/>
            <w:tcBorders>
              <w:bottom w:val="single" w:sz="8" w:color="333333"/>
            </w:tcBorders>
          </w:tcPr>
          <w:p>
            <w:pPr>
              <w:jc w:val="right"/>
              <w:ind w:right="519"/>
              <w:spacing w:after="0"/>
              <w:rPr>
                <w:sz w:val="20"/>
                <w:szCs w:val="20"/>
                <w:color w:val="auto"/>
              </w:rPr>
            </w:pPr>
            <w:r>
              <w:rPr>
                <w:rFonts w:ascii="Arial" w:cs="Arial" w:eastAsia="Arial" w:hAnsi="Arial"/>
                <w:sz w:val="16"/>
                <w:szCs w:val="16"/>
                <w:color w:val="auto"/>
              </w:rPr>
              <w:t>223,630</w:t>
            </w:r>
          </w:p>
        </w:tc>
        <w:tc>
          <w:tcPr>
            <w:tcW w:w="1340" w:type="dxa"/>
            <w:vAlign w:val="bottom"/>
            <w:tcBorders>
              <w:bottom w:val="single" w:sz="8" w:color="333333"/>
            </w:tcBorders>
          </w:tcPr>
          <w:p>
            <w:pPr>
              <w:jc w:val="right"/>
              <w:spacing w:after="0"/>
              <w:rPr>
                <w:sz w:val="20"/>
                <w:szCs w:val="20"/>
                <w:color w:val="auto"/>
              </w:rPr>
            </w:pPr>
            <w:r>
              <w:rPr>
                <w:rFonts w:ascii="Arial" w:cs="Arial" w:eastAsia="Arial" w:hAnsi="Arial"/>
                <w:sz w:val="16"/>
                <w:szCs w:val="16"/>
                <w:color w:val="auto"/>
              </w:rPr>
              <w:t>22,231,064</w:t>
            </w:r>
          </w:p>
        </w:tc>
        <w:tc>
          <w:tcPr>
            <w:tcW w:w="220" w:type="dxa"/>
            <w:vAlign w:val="bottom"/>
            <w:tcBorders>
              <w:bottom w:val="single" w:sz="8" w:color="333333"/>
            </w:tcBorders>
          </w:tcPr>
          <w:p>
            <w:pPr>
              <w:spacing w:after="0"/>
              <w:rPr>
                <w:sz w:val="19"/>
                <w:szCs w:val="19"/>
                <w:color w:val="auto"/>
              </w:rPr>
            </w:pPr>
          </w:p>
        </w:tc>
      </w:tr>
      <w:tr>
        <w:trPr>
          <w:trHeight w:val="223"/>
        </w:trPr>
        <w:tc>
          <w:tcPr>
            <w:tcW w:w="4580" w:type="dxa"/>
            <w:vAlign w:val="bottom"/>
            <w:tcBorders>
              <w:bottom w:val="single" w:sz="8" w:color="333333"/>
            </w:tcBorders>
          </w:tcPr>
          <w:p>
            <w:pPr>
              <w:ind w:left="60"/>
              <w:spacing w:after="0"/>
              <w:rPr>
                <w:sz w:val="20"/>
                <w:szCs w:val="20"/>
                <w:color w:val="auto"/>
              </w:rPr>
            </w:pPr>
            <w:r>
              <w:rPr>
                <w:rFonts w:ascii="Arial" w:cs="Arial" w:eastAsia="Arial" w:hAnsi="Arial"/>
                <w:sz w:val="16"/>
                <w:szCs w:val="16"/>
                <w:b w:val="1"/>
                <w:bCs w:val="1"/>
                <w:color w:val="auto"/>
              </w:rPr>
              <w:t>Marianne Lake</w:t>
            </w:r>
          </w:p>
        </w:tc>
        <w:tc>
          <w:tcPr>
            <w:tcW w:w="1480" w:type="dxa"/>
            <w:vAlign w:val="bottom"/>
            <w:tcBorders>
              <w:bottom w:val="single" w:sz="8" w:color="333333"/>
            </w:tcBorders>
          </w:tcPr>
          <w:p>
            <w:pPr>
              <w:jc w:val="right"/>
              <w:ind w:right="399"/>
              <w:spacing w:after="0"/>
              <w:rPr>
                <w:sz w:val="20"/>
                <w:szCs w:val="20"/>
                <w:color w:val="auto"/>
              </w:rPr>
            </w:pPr>
            <w:r>
              <w:rPr>
                <w:rFonts w:ascii="Arial" w:cs="Arial" w:eastAsia="Arial" w:hAnsi="Arial"/>
                <w:sz w:val="16"/>
                <w:szCs w:val="16"/>
                <w:color w:val="auto"/>
              </w:rPr>
              <w:t>341,842</w:t>
            </w:r>
          </w:p>
        </w:tc>
        <w:tc>
          <w:tcPr>
            <w:tcW w:w="1840" w:type="dxa"/>
            <w:vAlign w:val="bottom"/>
            <w:tcBorders>
              <w:bottom w:val="single" w:sz="8" w:color="333333"/>
            </w:tcBorders>
            <w:gridSpan w:val="2"/>
          </w:tcPr>
          <w:p>
            <w:pPr>
              <w:jc w:val="right"/>
              <w:ind w:right="580"/>
              <w:spacing w:after="0"/>
              <w:rPr>
                <w:sz w:val="20"/>
                <w:szCs w:val="20"/>
                <w:color w:val="auto"/>
              </w:rPr>
            </w:pPr>
            <w:r>
              <w:rPr>
                <w:rFonts w:ascii="Arial" w:cs="Arial" w:eastAsia="Arial" w:hAnsi="Arial"/>
                <w:sz w:val="16"/>
                <w:szCs w:val="16"/>
                <w:color w:val="auto"/>
              </w:rPr>
              <w:t>20,085,781</w:t>
            </w:r>
          </w:p>
        </w:tc>
        <w:tc>
          <w:tcPr>
            <w:tcW w:w="1560" w:type="dxa"/>
            <w:vAlign w:val="bottom"/>
            <w:tcBorders>
              <w:bottom w:val="single" w:sz="8" w:color="333333"/>
            </w:tcBorders>
          </w:tcPr>
          <w:p>
            <w:pPr>
              <w:jc w:val="right"/>
              <w:ind w:right="519"/>
              <w:spacing w:after="0"/>
              <w:rPr>
                <w:sz w:val="20"/>
                <w:szCs w:val="20"/>
                <w:color w:val="auto"/>
              </w:rPr>
            </w:pPr>
            <w:r>
              <w:rPr>
                <w:rFonts w:ascii="Arial" w:cs="Arial" w:eastAsia="Arial" w:hAnsi="Arial"/>
                <w:sz w:val="16"/>
                <w:szCs w:val="16"/>
                <w:color w:val="auto"/>
              </w:rPr>
              <w:t>134,495</w:t>
            </w:r>
          </w:p>
        </w:tc>
        <w:tc>
          <w:tcPr>
            <w:tcW w:w="1340" w:type="dxa"/>
            <w:vAlign w:val="bottom"/>
            <w:tcBorders>
              <w:bottom w:val="single" w:sz="8" w:color="333333"/>
            </w:tcBorders>
          </w:tcPr>
          <w:p>
            <w:pPr>
              <w:jc w:val="right"/>
              <w:spacing w:after="0"/>
              <w:rPr>
                <w:sz w:val="20"/>
                <w:szCs w:val="20"/>
                <w:color w:val="auto"/>
              </w:rPr>
            </w:pPr>
            <w:r>
              <w:rPr>
                <w:rFonts w:ascii="Arial" w:cs="Arial" w:eastAsia="Arial" w:hAnsi="Arial"/>
                <w:sz w:val="16"/>
                <w:szCs w:val="16"/>
                <w:color w:val="auto"/>
              </w:rPr>
              <w:t>13,370,459</w:t>
            </w:r>
          </w:p>
        </w:tc>
        <w:tc>
          <w:tcPr>
            <w:tcW w:w="220" w:type="dxa"/>
            <w:vAlign w:val="bottom"/>
            <w:tcBorders>
              <w:bottom w:val="single" w:sz="8" w:color="333333"/>
            </w:tcBorders>
          </w:tcPr>
          <w:p>
            <w:pPr>
              <w:spacing w:after="0"/>
              <w:rPr>
                <w:sz w:val="19"/>
                <w:szCs w:val="19"/>
                <w:color w:val="auto"/>
              </w:rPr>
            </w:pPr>
          </w:p>
        </w:tc>
      </w:tr>
      <w:tr>
        <w:trPr>
          <w:trHeight w:val="223"/>
        </w:trPr>
        <w:tc>
          <w:tcPr>
            <w:tcW w:w="4580" w:type="dxa"/>
            <w:vAlign w:val="bottom"/>
            <w:tcBorders>
              <w:bottom w:val="single" w:sz="8" w:color="333333"/>
            </w:tcBorders>
          </w:tcPr>
          <w:p>
            <w:pPr>
              <w:ind w:left="60"/>
              <w:spacing w:after="0"/>
              <w:rPr>
                <w:sz w:val="20"/>
                <w:szCs w:val="20"/>
                <w:color w:val="auto"/>
              </w:rPr>
            </w:pPr>
            <w:r>
              <w:rPr>
                <w:rFonts w:ascii="Arial" w:cs="Arial" w:eastAsia="Arial" w:hAnsi="Arial"/>
                <w:sz w:val="16"/>
                <w:szCs w:val="16"/>
                <w:b w:val="1"/>
                <w:bCs w:val="1"/>
                <w:color w:val="auto"/>
              </w:rPr>
              <w:t>Jennifer Piepszak</w:t>
            </w:r>
          </w:p>
        </w:tc>
        <w:tc>
          <w:tcPr>
            <w:tcW w:w="1480" w:type="dxa"/>
            <w:vAlign w:val="bottom"/>
            <w:tcBorders>
              <w:bottom w:val="single" w:sz="8" w:color="333333"/>
            </w:tcBorders>
          </w:tcPr>
          <w:p>
            <w:pPr>
              <w:jc w:val="right"/>
              <w:ind w:right="399"/>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333333"/>
            </w:tcBorders>
            <w:gridSpan w:val="2"/>
          </w:tcPr>
          <w:p>
            <w:pPr>
              <w:jc w:val="right"/>
              <w:ind w:right="580"/>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333333"/>
            </w:tcBorders>
          </w:tcPr>
          <w:p>
            <w:pPr>
              <w:jc w:val="right"/>
              <w:ind w:right="519"/>
              <w:spacing w:after="0"/>
              <w:rPr>
                <w:sz w:val="20"/>
                <w:szCs w:val="20"/>
                <w:color w:val="auto"/>
              </w:rPr>
            </w:pPr>
            <w:r>
              <w:rPr>
                <w:rFonts w:ascii="Arial" w:cs="Arial" w:eastAsia="Arial" w:hAnsi="Arial"/>
                <w:sz w:val="16"/>
                <w:szCs w:val="16"/>
                <w:color w:val="auto"/>
              </w:rPr>
              <w:t>22,424</w:t>
            </w:r>
          </w:p>
        </w:tc>
        <w:tc>
          <w:tcPr>
            <w:tcW w:w="1340" w:type="dxa"/>
            <w:vAlign w:val="bottom"/>
            <w:tcBorders>
              <w:bottom w:val="single" w:sz="8" w:color="333333"/>
            </w:tcBorders>
          </w:tcPr>
          <w:p>
            <w:pPr>
              <w:jc w:val="right"/>
              <w:spacing w:after="0"/>
              <w:rPr>
                <w:sz w:val="20"/>
                <w:szCs w:val="20"/>
                <w:color w:val="auto"/>
              </w:rPr>
            </w:pPr>
            <w:r>
              <w:rPr>
                <w:rFonts w:ascii="Arial" w:cs="Arial" w:eastAsia="Arial" w:hAnsi="Arial"/>
                <w:sz w:val="16"/>
                <w:szCs w:val="16"/>
                <w:color w:val="auto"/>
              </w:rPr>
              <w:t>2,480,863</w:t>
            </w:r>
          </w:p>
        </w:tc>
        <w:tc>
          <w:tcPr>
            <w:tcW w:w="220" w:type="dxa"/>
            <w:vAlign w:val="bottom"/>
            <w:tcBorders>
              <w:bottom w:val="single" w:sz="8" w:color="333333"/>
            </w:tcBorders>
          </w:tcPr>
          <w:p>
            <w:pPr>
              <w:spacing w:after="0"/>
              <w:rPr>
                <w:sz w:val="19"/>
                <w:szCs w:val="19"/>
                <w:color w:val="auto"/>
              </w:rPr>
            </w:pPr>
          </w:p>
        </w:tc>
      </w:tr>
    </w:tbl>
    <w:p>
      <w:pPr>
        <w:spacing w:after="0" w:line="75" w:lineRule="exact"/>
        <w:rPr>
          <w:sz w:val="20"/>
          <w:szCs w:val="20"/>
          <w:color w:val="auto"/>
        </w:rPr>
      </w:pPr>
    </w:p>
    <w:p>
      <w:pPr>
        <w:ind w:left="340" w:right="160" w:hanging="175"/>
        <w:spacing w:after="0" w:line="216" w:lineRule="auto"/>
        <w:tabs>
          <w:tab w:leader="none" w:pos="340" w:val="left"/>
        </w:tabs>
        <w:numPr>
          <w:ilvl w:val="0"/>
          <w:numId w:val="187"/>
        </w:numPr>
        <w:rPr>
          <w:rFonts w:ascii="Arial" w:cs="Arial" w:eastAsia="Arial" w:hAnsi="Arial"/>
          <w:sz w:val="11"/>
          <w:szCs w:val="11"/>
          <w:color w:val="auto"/>
        </w:rPr>
      </w:pPr>
      <w:r>
        <w:rPr>
          <w:rFonts w:ascii="Arial" w:cs="Arial" w:eastAsia="Arial" w:hAnsi="Arial"/>
          <w:sz w:val="13"/>
          <w:szCs w:val="13"/>
          <w:color w:val="auto"/>
        </w:rPr>
        <w:t>Values were determined by multiplying the number of shares of our common stock, to which the exercise of the options related, by the difference between the per-share fair market value of our common stock on the date of exercise and the exercise price of the options.</w:t>
      </w:r>
    </w:p>
    <w:p>
      <w:pPr>
        <w:spacing w:after="0" w:line="1" w:lineRule="exact"/>
        <w:rPr>
          <w:sz w:val="20"/>
          <w:szCs w:val="20"/>
          <w:color w:val="auto"/>
        </w:rPr>
      </w:pPr>
    </w:p>
    <w:p>
      <w:pPr>
        <w:ind w:left="340" w:hanging="175"/>
        <w:spacing w:after="0"/>
        <w:tabs>
          <w:tab w:leader="none" w:pos="340" w:val="left"/>
        </w:tabs>
        <w:numPr>
          <w:ilvl w:val="0"/>
          <w:numId w:val="188"/>
        </w:numPr>
        <w:rPr>
          <w:rFonts w:ascii="Arial" w:cs="Arial" w:eastAsia="Arial" w:hAnsi="Arial"/>
          <w:sz w:val="11"/>
          <w:szCs w:val="11"/>
          <w:color w:val="auto"/>
        </w:rPr>
      </w:pPr>
      <w:r>
        <w:rPr>
          <w:rFonts w:ascii="Arial" w:cs="Arial" w:eastAsia="Arial" w:hAnsi="Arial"/>
          <w:sz w:val="13"/>
          <w:szCs w:val="13"/>
          <w:color w:val="auto"/>
        </w:rPr>
        <w:t>Values were determined by multiplying the number of PSUs and RSUs, as applicable, that vested by the per-share fair market value of our common stock on the vesting date.</w:t>
      </w:r>
    </w:p>
    <w:p>
      <w:pPr>
        <w:spacing w:after="0" w:line="231" w:lineRule="exact"/>
        <w:rPr>
          <w:sz w:val="20"/>
          <w:szCs w:val="20"/>
          <w:color w:val="auto"/>
        </w:rPr>
      </w:pPr>
    </w:p>
    <w:p>
      <w:pPr>
        <w:ind w:left="120"/>
        <w:spacing w:after="0"/>
        <w:rPr>
          <w:sz w:val="20"/>
          <w:szCs w:val="20"/>
          <w:color w:val="auto"/>
        </w:rPr>
      </w:pPr>
      <w:r>
        <w:rPr>
          <w:rFonts w:ascii="Arial" w:cs="Arial" w:eastAsia="Arial" w:hAnsi="Arial"/>
          <w:sz w:val="20"/>
          <w:szCs w:val="20"/>
          <w:color w:val="004876"/>
        </w:rPr>
        <w:t>V. 2019 PENSION BENEFITS</w:t>
      </w:r>
    </w:p>
    <w:p>
      <w:pPr>
        <w:spacing w:after="0" w:line="9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table below sets forth the retirement benefits expected to be paid to our Named Executive Officers under the Firm’s retirement plans.</w:t>
      </w:r>
    </w:p>
    <w:p>
      <w:pPr>
        <w:ind w:left="120"/>
        <w:spacing w:after="0"/>
        <w:rPr>
          <w:sz w:val="20"/>
          <w:szCs w:val="20"/>
          <w:color w:val="auto"/>
        </w:rPr>
      </w:pPr>
      <w:r>
        <w:rPr>
          <w:rFonts w:ascii="Arial" w:cs="Arial" w:eastAsia="Arial" w:hAnsi="Arial"/>
          <w:sz w:val="18"/>
          <w:szCs w:val="18"/>
          <w:color w:val="auto"/>
        </w:rPr>
        <w:t>The terms of the plans are described below the table. No payments were made under these plans during 2019 to our NEOs.</w:t>
      </w:r>
    </w:p>
    <w:p>
      <w:pPr>
        <w:spacing w:after="0" w:line="241"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280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2400" w:type="dxa"/>
            <w:vAlign w:val="bottom"/>
          </w:tcPr>
          <w:p>
            <w:pPr>
              <w:ind w:left="800"/>
              <w:spacing w:after="0"/>
              <w:rPr>
                <w:sz w:val="20"/>
                <w:szCs w:val="20"/>
                <w:color w:val="auto"/>
              </w:rPr>
            </w:pPr>
            <w:r>
              <w:rPr>
                <w:rFonts w:ascii="Arial" w:cs="Arial" w:eastAsia="Arial" w:hAnsi="Arial"/>
                <w:sz w:val="16"/>
                <w:szCs w:val="16"/>
                <w:color w:val="004876"/>
              </w:rPr>
              <w:t>Number of years of</w:t>
            </w:r>
          </w:p>
        </w:tc>
        <w:tc>
          <w:tcPr>
            <w:tcW w:w="420" w:type="dxa"/>
            <w:vAlign w:val="bottom"/>
          </w:tcPr>
          <w:p>
            <w:pPr>
              <w:spacing w:after="0"/>
              <w:rPr>
                <w:sz w:val="16"/>
                <w:szCs w:val="16"/>
                <w:color w:val="auto"/>
              </w:rPr>
            </w:pPr>
          </w:p>
        </w:tc>
        <w:tc>
          <w:tcPr>
            <w:tcW w:w="1840" w:type="dxa"/>
            <w:vAlign w:val="bottom"/>
          </w:tcPr>
          <w:p>
            <w:pPr>
              <w:jc w:val="right"/>
              <w:ind w:right="459"/>
              <w:spacing w:after="0"/>
              <w:rPr>
                <w:sz w:val="20"/>
                <w:szCs w:val="20"/>
                <w:color w:val="auto"/>
              </w:rPr>
            </w:pPr>
            <w:r>
              <w:rPr>
                <w:rFonts w:ascii="Arial" w:cs="Arial" w:eastAsia="Arial" w:hAnsi="Arial"/>
                <w:sz w:val="16"/>
                <w:szCs w:val="16"/>
                <w:color w:val="004876"/>
              </w:rPr>
              <w:t>Present value of</w:t>
            </w:r>
          </w:p>
        </w:tc>
        <w:tc>
          <w:tcPr>
            <w:tcW w:w="0" w:type="dxa"/>
            <w:vAlign w:val="bottom"/>
          </w:tcPr>
          <w:p>
            <w:pPr>
              <w:spacing w:after="0"/>
              <w:rPr>
                <w:sz w:val="1"/>
                <w:szCs w:val="1"/>
                <w:color w:val="auto"/>
              </w:rPr>
            </w:pPr>
          </w:p>
        </w:tc>
      </w:tr>
      <w:tr>
        <w:trPr>
          <w:trHeight w:val="201"/>
        </w:trPr>
        <w:tc>
          <w:tcPr>
            <w:tcW w:w="2800" w:type="dxa"/>
            <w:vAlign w:val="bottom"/>
            <w:tcBorders>
              <w:bottom w:val="single" w:sz="8" w:color="333333"/>
            </w:tcBorders>
          </w:tcPr>
          <w:p>
            <w:pPr>
              <w:ind w:left="60"/>
              <w:spacing w:after="0"/>
              <w:rPr>
                <w:sz w:val="20"/>
                <w:szCs w:val="20"/>
                <w:color w:val="auto"/>
              </w:rPr>
            </w:pPr>
            <w:r>
              <w:rPr>
                <w:rFonts w:ascii="Arial" w:cs="Arial" w:eastAsia="Arial" w:hAnsi="Arial"/>
                <w:sz w:val="16"/>
                <w:szCs w:val="16"/>
                <w:color w:val="004876"/>
              </w:rPr>
              <w:t>Name</w:t>
            </w:r>
          </w:p>
        </w:tc>
        <w:tc>
          <w:tcPr>
            <w:tcW w:w="3560" w:type="dxa"/>
            <w:vAlign w:val="bottom"/>
            <w:tcBorders>
              <w:bottom w:val="single" w:sz="8" w:color="333333"/>
            </w:tcBorders>
          </w:tcPr>
          <w:p>
            <w:pPr>
              <w:ind w:left="1040"/>
              <w:spacing w:after="0"/>
              <w:rPr>
                <w:sz w:val="20"/>
                <w:szCs w:val="20"/>
                <w:color w:val="auto"/>
              </w:rPr>
            </w:pPr>
            <w:r>
              <w:rPr>
                <w:rFonts w:ascii="Arial" w:cs="Arial" w:eastAsia="Arial" w:hAnsi="Arial"/>
                <w:sz w:val="16"/>
                <w:szCs w:val="16"/>
                <w:color w:val="004876"/>
              </w:rPr>
              <w:t>Plan name</w:t>
            </w:r>
          </w:p>
        </w:tc>
        <w:tc>
          <w:tcPr>
            <w:tcW w:w="2400" w:type="dxa"/>
            <w:vAlign w:val="bottom"/>
            <w:tcBorders>
              <w:bottom w:val="single" w:sz="8" w:color="333333"/>
            </w:tcBorders>
          </w:tcPr>
          <w:p>
            <w:pPr>
              <w:ind w:left="800"/>
              <w:spacing w:after="0"/>
              <w:rPr>
                <w:sz w:val="20"/>
                <w:szCs w:val="20"/>
                <w:color w:val="auto"/>
              </w:rPr>
            </w:pPr>
            <w:r>
              <w:rPr>
                <w:rFonts w:ascii="Arial" w:cs="Arial" w:eastAsia="Arial" w:hAnsi="Arial"/>
                <w:sz w:val="16"/>
                <w:szCs w:val="16"/>
                <w:color w:val="004876"/>
              </w:rPr>
              <w:t>credited service (#)</w:t>
            </w:r>
          </w:p>
        </w:tc>
        <w:tc>
          <w:tcPr>
            <w:tcW w:w="2260" w:type="dxa"/>
            <w:vAlign w:val="bottom"/>
            <w:tcBorders>
              <w:bottom w:val="single" w:sz="8" w:color="333333"/>
            </w:tcBorders>
            <w:gridSpan w:val="2"/>
          </w:tcPr>
          <w:p>
            <w:pPr>
              <w:jc w:val="right"/>
              <w:ind w:right="199"/>
              <w:spacing w:after="0"/>
              <w:rPr>
                <w:sz w:val="20"/>
                <w:szCs w:val="20"/>
                <w:color w:val="auto"/>
              </w:rPr>
            </w:pPr>
            <w:r>
              <w:rPr>
                <w:rFonts w:ascii="Arial" w:cs="Arial" w:eastAsia="Arial" w:hAnsi="Arial"/>
                <w:sz w:val="16"/>
                <w:szCs w:val="16"/>
                <w:color w:val="004876"/>
              </w:rPr>
              <w:t>accumulated benefit ($)</w:t>
            </w:r>
          </w:p>
        </w:tc>
        <w:tc>
          <w:tcPr>
            <w:tcW w:w="0" w:type="dxa"/>
            <w:vAlign w:val="bottom"/>
          </w:tcPr>
          <w:p>
            <w:pPr>
              <w:spacing w:after="0"/>
              <w:rPr>
                <w:sz w:val="1"/>
                <w:szCs w:val="1"/>
                <w:color w:val="auto"/>
              </w:rPr>
            </w:pPr>
          </w:p>
        </w:tc>
      </w:tr>
      <w:tr>
        <w:trPr>
          <w:trHeight w:val="279"/>
        </w:trPr>
        <w:tc>
          <w:tcPr>
            <w:tcW w:w="2800" w:type="dxa"/>
            <w:vAlign w:val="bottom"/>
          </w:tcPr>
          <w:p>
            <w:pPr>
              <w:ind w:left="60"/>
              <w:spacing w:after="0"/>
              <w:rPr>
                <w:sz w:val="20"/>
                <w:szCs w:val="20"/>
                <w:color w:val="auto"/>
              </w:rPr>
            </w:pPr>
            <w:r>
              <w:rPr>
                <w:rFonts w:ascii="Arial" w:cs="Arial" w:eastAsia="Arial" w:hAnsi="Arial"/>
                <w:sz w:val="16"/>
                <w:szCs w:val="16"/>
                <w:b w:val="1"/>
                <w:bCs w:val="1"/>
                <w:color w:val="auto"/>
              </w:rPr>
              <w:t>James Dimon</w:t>
            </w:r>
          </w:p>
        </w:tc>
        <w:tc>
          <w:tcPr>
            <w:tcW w:w="3560" w:type="dxa"/>
            <w:vAlign w:val="bottom"/>
          </w:tcPr>
          <w:p>
            <w:pPr>
              <w:ind w:left="1040"/>
              <w:spacing w:after="0"/>
              <w:rPr>
                <w:sz w:val="20"/>
                <w:szCs w:val="20"/>
                <w:color w:val="auto"/>
              </w:rPr>
            </w:pPr>
            <w:r>
              <w:rPr>
                <w:rFonts w:ascii="Arial" w:cs="Arial" w:eastAsia="Arial" w:hAnsi="Arial"/>
                <w:sz w:val="16"/>
                <w:szCs w:val="16"/>
                <w:color w:val="auto"/>
              </w:rPr>
              <w:t>Retirement Plan</w:t>
            </w:r>
          </w:p>
        </w:tc>
        <w:tc>
          <w:tcPr>
            <w:tcW w:w="2400" w:type="dxa"/>
            <w:vAlign w:val="bottom"/>
          </w:tcPr>
          <w:p>
            <w:pPr>
              <w:jc w:val="center"/>
              <w:ind w:left="419"/>
              <w:spacing w:after="0"/>
              <w:rPr>
                <w:sz w:val="20"/>
                <w:szCs w:val="20"/>
                <w:color w:val="auto"/>
              </w:rPr>
            </w:pPr>
            <w:r>
              <w:rPr>
                <w:rFonts w:ascii="Arial" w:cs="Arial" w:eastAsia="Arial" w:hAnsi="Arial"/>
                <w:sz w:val="16"/>
                <w:szCs w:val="16"/>
                <w:color w:val="auto"/>
              </w:rPr>
              <w:t>19</w:t>
            </w:r>
          </w:p>
        </w:tc>
        <w:tc>
          <w:tcPr>
            <w:tcW w:w="4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40" w:type="dxa"/>
            <w:vAlign w:val="bottom"/>
          </w:tcPr>
          <w:p>
            <w:pPr>
              <w:jc w:val="right"/>
              <w:ind w:right="199"/>
              <w:spacing w:after="0"/>
              <w:rPr>
                <w:sz w:val="20"/>
                <w:szCs w:val="20"/>
                <w:color w:val="auto"/>
              </w:rPr>
            </w:pPr>
            <w:r>
              <w:rPr>
                <w:rFonts w:ascii="Arial" w:cs="Arial" w:eastAsia="Arial" w:hAnsi="Arial"/>
                <w:sz w:val="16"/>
                <w:szCs w:val="16"/>
                <w:color w:val="auto"/>
              </w:rPr>
              <w:t>187,389</w:t>
            </w:r>
          </w:p>
        </w:tc>
        <w:tc>
          <w:tcPr>
            <w:tcW w:w="0" w:type="dxa"/>
            <w:vAlign w:val="bottom"/>
          </w:tcPr>
          <w:p>
            <w:pPr>
              <w:spacing w:after="0"/>
              <w:rPr>
                <w:sz w:val="1"/>
                <w:szCs w:val="1"/>
                <w:color w:val="auto"/>
              </w:rPr>
            </w:pPr>
          </w:p>
        </w:tc>
      </w:tr>
      <w:tr>
        <w:trPr>
          <w:trHeight w:val="208"/>
        </w:trPr>
        <w:tc>
          <w:tcPr>
            <w:tcW w:w="2800" w:type="dxa"/>
            <w:vAlign w:val="bottom"/>
            <w:tcBorders>
              <w:bottom w:val="single" w:sz="8" w:color="333333"/>
            </w:tcBorders>
          </w:tcPr>
          <w:p>
            <w:pPr>
              <w:spacing w:after="0"/>
              <w:rPr>
                <w:sz w:val="18"/>
                <w:szCs w:val="18"/>
                <w:color w:val="auto"/>
              </w:rPr>
            </w:pPr>
          </w:p>
        </w:tc>
        <w:tc>
          <w:tcPr>
            <w:tcW w:w="3560" w:type="dxa"/>
            <w:vAlign w:val="bottom"/>
            <w:tcBorders>
              <w:bottom w:val="single" w:sz="8" w:color="333333"/>
            </w:tcBorders>
          </w:tcPr>
          <w:p>
            <w:pPr>
              <w:ind w:left="1040"/>
              <w:spacing w:after="0"/>
              <w:rPr>
                <w:sz w:val="20"/>
                <w:szCs w:val="20"/>
                <w:color w:val="auto"/>
              </w:rPr>
            </w:pPr>
            <w:r>
              <w:rPr>
                <w:rFonts w:ascii="Arial" w:cs="Arial" w:eastAsia="Arial" w:hAnsi="Arial"/>
                <w:sz w:val="16"/>
                <w:szCs w:val="16"/>
                <w:color w:val="auto"/>
              </w:rPr>
              <w:t>Excess Retirement Plan</w:t>
            </w:r>
          </w:p>
        </w:tc>
        <w:tc>
          <w:tcPr>
            <w:tcW w:w="2400" w:type="dxa"/>
            <w:vAlign w:val="bottom"/>
            <w:tcBorders>
              <w:bottom w:val="single" w:sz="8" w:color="333333"/>
            </w:tcBorders>
          </w:tcPr>
          <w:p>
            <w:pPr>
              <w:jc w:val="center"/>
              <w:ind w:left="419"/>
              <w:spacing w:after="0"/>
              <w:rPr>
                <w:sz w:val="20"/>
                <w:szCs w:val="20"/>
                <w:color w:val="auto"/>
              </w:rPr>
            </w:pPr>
            <w:r>
              <w:rPr>
                <w:rFonts w:ascii="Arial" w:cs="Arial" w:eastAsia="Arial" w:hAnsi="Arial"/>
                <w:sz w:val="16"/>
                <w:szCs w:val="16"/>
                <w:color w:val="auto"/>
              </w:rPr>
              <w:t>19</w:t>
            </w:r>
          </w:p>
        </w:tc>
        <w:tc>
          <w:tcPr>
            <w:tcW w:w="420" w:type="dxa"/>
            <w:vAlign w:val="bottom"/>
            <w:tcBorders>
              <w:bottom w:val="single" w:sz="8" w:color="333333"/>
            </w:tcBorders>
          </w:tcPr>
          <w:p>
            <w:pPr>
              <w:spacing w:after="0"/>
              <w:rPr>
                <w:sz w:val="18"/>
                <w:szCs w:val="18"/>
                <w:color w:val="auto"/>
              </w:rPr>
            </w:pPr>
          </w:p>
        </w:tc>
        <w:tc>
          <w:tcPr>
            <w:tcW w:w="1840" w:type="dxa"/>
            <w:vAlign w:val="bottom"/>
            <w:tcBorders>
              <w:bottom w:val="single" w:sz="8" w:color="333333"/>
            </w:tcBorders>
          </w:tcPr>
          <w:p>
            <w:pPr>
              <w:jc w:val="right"/>
              <w:ind w:right="199"/>
              <w:spacing w:after="0"/>
              <w:rPr>
                <w:sz w:val="20"/>
                <w:szCs w:val="20"/>
                <w:color w:val="auto"/>
              </w:rPr>
            </w:pPr>
            <w:r>
              <w:rPr>
                <w:rFonts w:ascii="Arial" w:cs="Arial" w:eastAsia="Arial" w:hAnsi="Arial"/>
                <w:sz w:val="16"/>
                <w:szCs w:val="16"/>
                <w:color w:val="auto"/>
              </w:rPr>
              <w:t>445,872</w:t>
            </w:r>
          </w:p>
        </w:tc>
        <w:tc>
          <w:tcPr>
            <w:tcW w:w="0" w:type="dxa"/>
            <w:vAlign w:val="bottom"/>
          </w:tcPr>
          <w:p>
            <w:pPr>
              <w:spacing w:after="0"/>
              <w:rPr>
                <w:sz w:val="1"/>
                <w:szCs w:val="1"/>
                <w:color w:val="auto"/>
              </w:rPr>
            </w:pPr>
          </w:p>
        </w:tc>
      </w:tr>
      <w:tr>
        <w:trPr>
          <w:trHeight w:val="223"/>
        </w:trPr>
        <w:tc>
          <w:tcPr>
            <w:tcW w:w="2800" w:type="dxa"/>
            <w:vAlign w:val="bottom"/>
            <w:tcBorders>
              <w:bottom w:val="single" w:sz="8" w:color="333333"/>
            </w:tcBorders>
          </w:tcPr>
          <w:p>
            <w:pPr>
              <w:ind w:left="60"/>
              <w:spacing w:after="0"/>
              <w:rPr>
                <w:sz w:val="20"/>
                <w:szCs w:val="20"/>
                <w:color w:val="auto"/>
              </w:rPr>
            </w:pPr>
            <w:r>
              <w:rPr>
                <w:rFonts w:ascii="Arial" w:cs="Arial" w:eastAsia="Arial" w:hAnsi="Arial"/>
                <w:sz w:val="16"/>
                <w:szCs w:val="16"/>
                <w:b w:val="1"/>
                <w:bCs w:val="1"/>
                <w:color w:val="auto"/>
              </w:rPr>
              <w:t>Daniel Pinto</w:t>
            </w:r>
          </w:p>
        </w:tc>
        <w:tc>
          <w:tcPr>
            <w:tcW w:w="3560" w:type="dxa"/>
            <w:vAlign w:val="bottom"/>
            <w:tcBorders>
              <w:bottom w:val="single" w:sz="8" w:color="333333"/>
            </w:tcBorders>
          </w:tcPr>
          <w:p>
            <w:pPr>
              <w:ind w:left="1040"/>
              <w:spacing w:after="0"/>
              <w:rPr>
                <w:sz w:val="20"/>
                <w:szCs w:val="20"/>
                <w:color w:val="auto"/>
              </w:rPr>
            </w:pPr>
            <w:r>
              <w:rPr>
                <w:rFonts w:ascii="Arial" w:cs="Arial" w:eastAsia="Arial" w:hAnsi="Arial"/>
                <w:sz w:val="16"/>
                <w:szCs w:val="16"/>
                <w:color w:val="auto"/>
              </w:rPr>
              <w:t>—</w:t>
            </w:r>
          </w:p>
        </w:tc>
        <w:tc>
          <w:tcPr>
            <w:tcW w:w="2400" w:type="dxa"/>
            <w:vAlign w:val="bottom"/>
            <w:tcBorders>
              <w:bottom w:val="single" w:sz="8" w:color="333333"/>
            </w:tcBorders>
          </w:tcPr>
          <w:p>
            <w:pPr>
              <w:jc w:val="center"/>
              <w:ind w:left="439"/>
              <w:spacing w:after="0"/>
              <w:rPr>
                <w:sz w:val="20"/>
                <w:szCs w:val="20"/>
                <w:color w:val="auto"/>
              </w:rPr>
            </w:pPr>
            <w:r>
              <w:rPr>
                <w:rFonts w:ascii="Arial" w:cs="Arial" w:eastAsia="Arial" w:hAnsi="Arial"/>
                <w:sz w:val="16"/>
                <w:szCs w:val="16"/>
                <w:color w:val="auto"/>
                <w:w w:val="99"/>
              </w:rPr>
              <w:t>—</w:t>
            </w:r>
          </w:p>
        </w:tc>
        <w:tc>
          <w:tcPr>
            <w:tcW w:w="420" w:type="dxa"/>
            <w:vAlign w:val="bottom"/>
            <w:tcBorders>
              <w:bottom w:val="single" w:sz="8" w:color="333333"/>
            </w:tcBorders>
          </w:tcPr>
          <w:p>
            <w:pPr>
              <w:spacing w:after="0"/>
              <w:rPr>
                <w:sz w:val="19"/>
                <w:szCs w:val="19"/>
                <w:color w:val="auto"/>
              </w:rPr>
            </w:pPr>
          </w:p>
        </w:tc>
        <w:tc>
          <w:tcPr>
            <w:tcW w:w="1840" w:type="dxa"/>
            <w:vAlign w:val="bottom"/>
            <w:tcBorders>
              <w:bottom w:val="single" w:sz="8" w:color="333333"/>
            </w:tcBorders>
          </w:tcPr>
          <w:p>
            <w:pPr>
              <w:jc w:val="right"/>
              <w:ind w:right="1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5"/>
        </w:trPr>
        <w:tc>
          <w:tcPr>
            <w:tcW w:w="2800" w:type="dxa"/>
            <w:vAlign w:val="bottom"/>
          </w:tcPr>
          <w:p>
            <w:pPr>
              <w:ind w:left="60"/>
              <w:spacing w:after="0"/>
              <w:rPr>
                <w:sz w:val="20"/>
                <w:szCs w:val="20"/>
                <w:color w:val="auto"/>
              </w:rPr>
            </w:pPr>
            <w:r>
              <w:rPr>
                <w:rFonts w:ascii="Arial" w:cs="Arial" w:eastAsia="Arial" w:hAnsi="Arial"/>
                <w:sz w:val="16"/>
                <w:szCs w:val="16"/>
                <w:b w:val="1"/>
                <w:bCs w:val="1"/>
                <w:color w:val="auto"/>
              </w:rPr>
              <w:t>Gordon Smith</w:t>
            </w:r>
          </w:p>
        </w:tc>
        <w:tc>
          <w:tcPr>
            <w:tcW w:w="3560" w:type="dxa"/>
            <w:vAlign w:val="bottom"/>
          </w:tcPr>
          <w:p>
            <w:pPr>
              <w:ind w:left="1040"/>
              <w:spacing w:after="0"/>
              <w:rPr>
                <w:sz w:val="20"/>
                <w:szCs w:val="20"/>
                <w:color w:val="auto"/>
              </w:rPr>
            </w:pPr>
            <w:r>
              <w:rPr>
                <w:rFonts w:ascii="Arial" w:cs="Arial" w:eastAsia="Arial" w:hAnsi="Arial"/>
                <w:sz w:val="16"/>
                <w:szCs w:val="16"/>
                <w:color w:val="auto"/>
              </w:rPr>
              <w:t>Retirement Plan</w:t>
            </w:r>
          </w:p>
        </w:tc>
        <w:tc>
          <w:tcPr>
            <w:tcW w:w="2400" w:type="dxa"/>
            <w:vAlign w:val="bottom"/>
          </w:tcPr>
          <w:p>
            <w:pPr>
              <w:jc w:val="center"/>
              <w:ind w:left="419"/>
              <w:spacing w:after="0"/>
              <w:rPr>
                <w:sz w:val="20"/>
                <w:szCs w:val="20"/>
                <w:color w:val="auto"/>
              </w:rPr>
            </w:pPr>
            <w:r>
              <w:rPr>
                <w:rFonts w:ascii="Arial" w:cs="Arial" w:eastAsia="Arial" w:hAnsi="Arial"/>
                <w:sz w:val="16"/>
                <w:szCs w:val="16"/>
                <w:color w:val="auto"/>
              </w:rPr>
              <w:t>12</w:t>
            </w:r>
          </w:p>
        </w:tc>
        <w:tc>
          <w:tcPr>
            <w:tcW w:w="420" w:type="dxa"/>
            <w:vAlign w:val="bottom"/>
          </w:tcPr>
          <w:p>
            <w:pPr>
              <w:spacing w:after="0"/>
              <w:rPr>
                <w:sz w:val="24"/>
                <w:szCs w:val="24"/>
                <w:color w:val="auto"/>
              </w:rPr>
            </w:pPr>
          </w:p>
        </w:tc>
        <w:tc>
          <w:tcPr>
            <w:tcW w:w="1840" w:type="dxa"/>
            <w:vAlign w:val="bottom"/>
          </w:tcPr>
          <w:p>
            <w:pPr>
              <w:jc w:val="right"/>
              <w:ind w:right="199"/>
              <w:spacing w:after="0"/>
              <w:rPr>
                <w:sz w:val="20"/>
                <w:szCs w:val="20"/>
                <w:color w:val="auto"/>
              </w:rPr>
            </w:pPr>
            <w:r>
              <w:rPr>
                <w:rFonts w:ascii="Arial" w:cs="Arial" w:eastAsia="Arial" w:hAnsi="Arial"/>
                <w:sz w:val="16"/>
                <w:szCs w:val="16"/>
                <w:color w:val="auto"/>
              </w:rPr>
              <w:t>62,301</w:t>
            </w:r>
          </w:p>
        </w:tc>
        <w:tc>
          <w:tcPr>
            <w:tcW w:w="0" w:type="dxa"/>
            <w:vAlign w:val="bottom"/>
          </w:tcPr>
          <w:p>
            <w:pPr>
              <w:spacing w:after="0"/>
              <w:rPr>
                <w:sz w:val="1"/>
                <w:szCs w:val="1"/>
                <w:color w:val="auto"/>
              </w:rPr>
            </w:pPr>
          </w:p>
        </w:tc>
      </w:tr>
      <w:tr>
        <w:trPr>
          <w:trHeight w:val="208"/>
        </w:trPr>
        <w:tc>
          <w:tcPr>
            <w:tcW w:w="2800" w:type="dxa"/>
            <w:vAlign w:val="bottom"/>
            <w:tcBorders>
              <w:bottom w:val="single" w:sz="8" w:color="333333"/>
            </w:tcBorders>
          </w:tcPr>
          <w:p>
            <w:pPr>
              <w:spacing w:after="0"/>
              <w:rPr>
                <w:sz w:val="18"/>
                <w:szCs w:val="18"/>
                <w:color w:val="auto"/>
              </w:rPr>
            </w:pPr>
          </w:p>
        </w:tc>
        <w:tc>
          <w:tcPr>
            <w:tcW w:w="3560" w:type="dxa"/>
            <w:vAlign w:val="bottom"/>
            <w:tcBorders>
              <w:bottom w:val="single" w:sz="8" w:color="333333"/>
            </w:tcBorders>
          </w:tcPr>
          <w:p>
            <w:pPr>
              <w:ind w:left="1040"/>
              <w:spacing w:after="0"/>
              <w:rPr>
                <w:sz w:val="20"/>
                <w:szCs w:val="20"/>
                <w:color w:val="auto"/>
              </w:rPr>
            </w:pPr>
            <w:r>
              <w:rPr>
                <w:rFonts w:ascii="Arial" w:cs="Arial" w:eastAsia="Arial" w:hAnsi="Arial"/>
                <w:sz w:val="16"/>
                <w:szCs w:val="16"/>
                <w:color w:val="auto"/>
              </w:rPr>
              <w:t>Excess Retirement Plan</w:t>
            </w:r>
          </w:p>
        </w:tc>
        <w:tc>
          <w:tcPr>
            <w:tcW w:w="2400" w:type="dxa"/>
            <w:vAlign w:val="bottom"/>
            <w:tcBorders>
              <w:bottom w:val="single" w:sz="8" w:color="333333"/>
            </w:tcBorders>
          </w:tcPr>
          <w:p>
            <w:pPr>
              <w:jc w:val="center"/>
              <w:ind w:left="419"/>
              <w:spacing w:after="0"/>
              <w:rPr>
                <w:sz w:val="20"/>
                <w:szCs w:val="20"/>
                <w:color w:val="auto"/>
              </w:rPr>
            </w:pPr>
            <w:r>
              <w:rPr>
                <w:rFonts w:ascii="Arial" w:cs="Arial" w:eastAsia="Arial" w:hAnsi="Arial"/>
                <w:sz w:val="16"/>
                <w:szCs w:val="16"/>
                <w:color w:val="auto"/>
              </w:rPr>
              <w:t>12</w:t>
            </w:r>
          </w:p>
        </w:tc>
        <w:tc>
          <w:tcPr>
            <w:tcW w:w="420" w:type="dxa"/>
            <w:vAlign w:val="bottom"/>
            <w:tcBorders>
              <w:bottom w:val="single" w:sz="8" w:color="333333"/>
            </w:tcBorders>
          </w:tcPr>
          <w:p>
            <w:pPr>
              <w:spacing w:after="0"/>
              <w:rPr>
                <w:sz w:val="18"/>
                <w:szCs w:val="18"/>
                <w:color w:val="auto"/>
              </w:rPr>
            </w:pPr>
          </w:p>
        </w:tc>
        <w:tc>
          <w:tcPr>
            <w:tcW w:w="1840" w:type="dxa"/>
            <w:vAlign w:val="bottom"/>
            <w:tcBorders>
              <w:bottom w:val="single" w:sz="8" w:color="333333"/>
            </w:tcBorders>
          </w:tcPr>
          <w:p>
            <w:pPr>
              <w:jc w:val="right"/>
              <w:ind w:right="199"/>
              <w:spacing w:after="0"/>
              <w:rPr>
                <w:sz w:val="20"/>
                <w:szCs w:val="20"/>
                <w:color w:val="auto"/>
              </w:rPr>
            </w:pPr>
            <w:r>
              <w:rPr>
                <w:rFonts w:ascii="Arial" w:cs="Arial" w:eastAsia="Arial" w:hAnsi="Arial"/>
                <w:sz w:val="16"/>
                <w:szCs w:val="16"/>
                <w:color w:val="auto"/>
              </w:rPr>
              <w:t>11,418</w:t>
            </w:r>
          </w:p>
        </w:tc>
        <w:tc>
          <w:tcPr>
            <w:tcW w:w="0" w:type="dxa"/>
            <w:vAlign w:val="bottom"/>
          </w:tcPr>
          <w:p>
            <w:pPr>
              <w:spacing w:after="0"/>
              <w:rPr>
                <w:sz w:val="1"/>
                <w:szCs w:val="1"/>
                <w:color w:val="auto"/>
              </w:rPr>
            </w:pPr>
          </w:p>
        </w:tc>
      </w:tr>
      <w:tr>
        <w:trPr>
          <w:trHeight w:val="285"/>
        </w:trPr>
        <w:tc>
          <w:tcPr>
            <w:tcW w:w="2800" w:type="dxa"/>
            <w:vAlign w:val="bottom"/>
          </w:tcPr>
          <w:p>
            <w:pPr>
              <w:ind w:left="60"/>
              <w:spacing w:after="0"/>
              <w:rPr>
                <w:sz w:val="20"/>
                <w:szCs w:val="20"/>
                <w:color w:val="auto"/>
              </w:rPr>
            </w:pPr>
            <w:r>
              <w:rPr>
                <w:rFonts w:ascii="Arial" w:cs="Arial" w:eastAsia="Arial" w:hAnsi="Arial"/>
                <w:sz w:val="16"/>
                <w:szCs w:val="16"/>
                <w:b w:val="1"/>
                <w:bCs w:val="1"/>
                <w:color w:val="auto"/>
              </w:rPr>
              <w:t>Mary Callahan Erdoes</w:t>
            </w:r>
          </w:p>
        </w:tc>
        <w:tc>
          <w:tcPr>
            <w:tcW w:w="3560" w:type="dxa"/>
            <w:vAlign w:val="bottom"/>
          </w:tcPr>
          <w:p>
            <w:pPr>
              <w:ind w:left="1040"/>
              <w:spacing w:after="0"/>
              <w:rPr>
                <w:sz w:val="20"/>
                <w:szCs w:val="20"/>
                <w:color w:val="auto"/>
              </w:rPr>
            </w:pPr>
            <w:r>
              <w:rPr>
                <w:rFonts w:ascii="Arial" w:cs="Arial" w:eastAsia="Arial" w:hAnsi="Arial"/>
                <w:sz w:val="16"/>
                <w:szCs w:val="16"/>
                <w:color w:val="auto"/>
              </w:rPr>
              <w:t>Retirement Plan</w:t>
            </w:r>
          </w:p>
        </w:tc>
        <w:tc>
          <w:tcPr>
            <w:tcW w:w="2400" w:type="dxa"/>
            <w:vAlign w:val="bottom"/>
          </w:tcPr>
          <w:p>
            <w:pPr>
              <w:jc w:val="center"/>
              <w:ind w:left="419"/>
              <w:spacing w:after="0"/>
              <w:rPr>
                <w:sz w:val="20"/>
                <w:szCs w:val="20"/>
                <w:color w:val="auto"/>
              </w:rPr>
            </w:pPr>
            <w:r>
              <w:rPr>
                <w:rFonts w:ascii="Arial" w:cs="Arial" w:eastAsia="Arial" w:hAnsi="Arial"/>
                <w:sz w:val="16"/>
                <w:szCs w:val="16"/>
                <w:color w:val="auto"/>
              </w:rPr>
              <w:t>23</w:t>
            </w:r>
          </w:p>
        </w:tc>
        <w:tc>
          <w:tcPr>
            <w:tcW w:w="420" w:type="dxa"/>
            <w:vAlign w:val="bottom"/>
          </w:tcPr>
          <w:p>
            <w:pPr>
              <w:spacing w:after="0"/>
              <w:rPr>
                <w:sz w:val="24"/>
                <w:szCs w:val="24"/>
                <w:color w:val="auto"/>
              </w:rPr>
            </w:pPr>
          </w:p>
        </w:tc>
        <w:tc>
          <w:tcPr>
            <w:tcW w:w="1840" w:type="dxa"/>
            <w:vAlign w:val="bottom"/>
          </w:tcPr>
          <w:p>
            <w:pPr>
              <w:jc w:val="right"/>
              <w:ind w:right="199"/>
              <w:spacing w:after="0"/>
              <w:rPr>
                <w:sz w:val="20"/>
                <w:szCs w:val="20"/>
                <w:color w:val="auto"/>
              </w:rPr>
            </w:pPr>
            <w:r>
              <w:rPr>
                <w:rFonts w:ascii="Arial" w:cs="Arial" w:eastAsia="Arial" w:hAnsi="Arial"/>
                <w:sz w:val="16"/>
                <w:szCs w:val="16"/>
                <w:color w:val="auto"/>
              </w:rPr>
              <w:t>360,912</w:t>
            </w:r>
          </w:p>
        </w:tc>
        <w:tc>
          <w:tcPr>
            <w:tcW w:w="0" w:type="dxa"/>
            <w:vAlign w:val="bottom"/>
          </w:tcPr>
          <w:p>
            <w:pPr>
              <w:spacing w:after="0"/>
              <w:rPr>
                <w:sz w:val="1"/>
                <w:szCs w:val="1"/>
                <w:color w:val="auto"/>
              </w:rPr>
            </w:pPr>
          </w:p>
        </w:tc>
      </w:tr>
      <w:tr>
        <w:trPr>
          <w:trHeight w:val="208"/>
        </w:trPr>
        <w:tc>
          <w:tcPr>
            <w:tcW w:w="2800" w:type="dxa"/>
            <w:vAlign w:val="bottom"/>
            <w:tcBorders>
              <w:bottom w:val="single" w:sz="8" w:color="333333"/>
            </w:tcBorders>
          </w:tcPr>
          <w:p>
            <w:pPr>
              <w:spacing w:after="0"/>
              <w:rPr>
                <w:sz w:val="18"/>
                <w:szCs w:val="18"/>
                <w:color w:val="auto"/>
              </w:rPr>
            </w:pPr>
          </w:p>
        </w:tc>
        <w:tc>
          <w:tcPr>
            <w:tcW w:w="3560" w:type="dxa"/>
            <w:vAlign w:val="bottom"/>
            <w:tcBorders>
              <w:bottom w:val="single" w:sz="8" w:color="333333"/>
            </w:tcBorders>
          </w:tcPr>
          <w:p>
            <w:pPr>
              <w:ind w:left="1040"/>
              <w:spacing w:after="0"/>
              <w:rPr>
                <w:sz w:val="20"/>
                <w:szCs w:val="20"/>
                <w:color w:val="auto"/>
              </w:rPr>
            </w:pPr>
            <w:r>
              <w:rPr>
                <w:rFonts w:ascii="Arial" w:cs="Arial" w:eastAsia="Arial" w:hAnsi="Arial"/>
                <w:sz w:val="16"/>
                <w:szCs w:val="16"/>
                <w:color w:val="auto"/>
              </w:rPr>
              <w:t>Excess Retirement Plan</w:t>
            </w:r>
          </w:p>
        </w:tc>
        <w:tc>
          <w:tcPr>
            <w:tcW w:w="2400" w:type="dxa"/>
            <w:vAlign w:val="bottom"/>
            <w:tcBorders>
              <w:bottom w:val="single" w:sz="8" w:color="333333"/>
            </w:tcBorders>
          </w:tcPr>
          <w:p>
            <w:pPr>
              <w:jc w:val="center"/>
              <w:ind w:left="419"/>
              <w:spacing w:after="0"/>
              <w:rPr>
                <w:sz w:val="20"/>
                <w:szCs w:val="20"/>
                <w:color w:val="auto"/>
              </w:rPr>
            </w:pPr>
            <w:r>
              <w:rPr>
                <w:rFonts w:ascii="Arial" w:cs="Arial" w:eastAsia="Arial" w:hAnsi="Arial"/>
                <w:sz w:val="16"/>
                <w:szCs w:val="16"/>
                <w:color w:val="auto"/>
              </w:rPr>
              <w:t>23</w:t>
            </w:r>
          </w:p>
        </w:tc>
        <w:tc>
          <w:tcPr>
            <w:tcW w:w="420" w:type="dxa"/>
            <w:vAlign w:val="bottom"/>
            <w:tcBorders>
              <w:bottom w:val="single" w:sz="8" w:color="333333"/>
            </w:tcBorders>
          </w:tcPr>
          <w:p>
            <w:pPr>
              <w:spacing w:after="0"/>
              <w:rPr>
                <w:sz w:val="18"/>
                <w:szCs w:val="18"/>
                <w:color w:val="auto"/>
              </w:rPr>
            </w:pPr>
          </w:p>
        </w:tc>
        <w:tc>
          <w:tcPr>
            <w:tcW w:w="1840" w:type="dxa"/>
            <w:vAlign w:val="bottom"/>
            <w:tcBorders>
              <w:bottom w:val="single" w:sz="8" w:color="333333"/>
            </w:tcBorders>
          </w:tcPr>
          <w:p>
            <w:pPr>
              <w:jc w:val="right"/>
              <w:ind w:right="199"/>
              <w:spacing w:after="0"/>
              <w:rPr>
                <w:sz w:val="20"/>
                <w:szCs w:val="20"/>
                <w:color w:val="auto"/>
              </w:rPr>
            </w:pPr>
            <w:r>
              <w:rPr>
                <w:rFonts w:ascii="Arial" w:cs="Arial" w:eastAsia="Arial" w:hAnsi="Arial"/>
                <w:sz w:val="16"/>
                <w:szCs w:val="16"/>
                <w:color w:val="auto"/>
              </w:rPr>
              <w:t>31,956</w:t>
            </w:r>
          </w:p>
        </w:tc>
        <w:tc>
          <w:tcPr>
            <w:tcW w:w="0" w:type="dxa"/>
            <w:vAlign w:val="bottom"/>
          </w:tcPr>
          <w:p>
            <w:pPr>
              <w:spacing w:after="0"/>
              <w:rPr>
                <w:sz w:val="1"/>
                <w:szCs w:val="1"/>
                <w:color w:val="auto"/>
              </w:rPr>
            </w:pPr>
          </w:p>
        </w:tc>
      </w:tr>
      <w:tr>
        <w:trPr>
          <w:trHeight w:val="215"/>
        </w:trPr>
        <w:tc>
          <w:tcPr>
            <w:tcW w:w="2800" w:type="dxa"/>
            <w:vAlign w:val="bottom"/>
          </w:tcPr>
          <w:p>
            <w:pPr>
              <w:ind w:left="60"/>
              <w:spacing w:after="0"/>
              <w:rPr>
                <w:sz w:val="20"/>
                <w:szCs w:val="20"/>
                <w:color w:val="auto"/>
              </w:rPr>
            </w:pPr>
            <w:r>
              <w:rPr>
                <w:rFonts w:ascii="Arial" w:cs="Arial" w:eastAsia="Arial" w:hAnsi="Arial"/>
                <w:sz w:val="16"/>
                <w:szCs w:val="16"/>
                <w:b w:val="1"/>
                <w:bCs w:val="1"/>
                <w:color w:val="auto"/>
              </w:rPr>
              <w:t>Marianne Lake</w:t>
            </w:r>
          </w:p>
        </w:tc>
        <w:tc>
          <w:tcPr>
            <w:tcW w:w="3560" w:type="dxa"/>
            <w:vAlign w:val="bottom"/>
            <w:vMerge w:val="restart"/>
          </w:tcPr>
          <w:p>
            <w:pPr>
              <w:ind w:left="1040"/>
              <w:spacing w:after="0"/>
              <w:rPr>
                <w:sz w:val="20"/>
                <w:szCs w:val="20"/>
                <w:color w:val="auto"/>
              </w:rPr>
            </w:pPr>
            <w:r>
              <w:rPr>
                <w:rFonts w:ascii="Arial" w:cs="Arial" w:eastAsia="Arial" w:hAnsi="Arial"/>
                <w:sz w:val="16"/>
                <w:szCs w:val="16"/>
                <w:color w:val="auto"/>
              </w:rPr>
              <w:t>—</w:t>
            </w:r>
          </w:p>
        </w:tc>
        <w:tc>
          <w:tcPr>
            <w:tcW w:w="2400" w:type="dxa"/>
            <w:vAlign w:val="bottom"/>
            <w:vMerge w:val="restart"/>
          </w:tcPr>
          <w:p>
            <w:pPr>
              <w:jc w:val="center"/>
              <w:ind w:left="439"/>
              <w:spacing w:after="0"/>
              <w:rPr>
                <w:sz w:val="20"/>
                <w:szCs w:val="20"/>
                <w:color w:val="auto"/>
              </w:rPr>
            </w:pPr>
            <w:r>
              <w:rPr>
                <w:rFonts w:ascii="Arial" w:cs="Arial" w:eastAsia="Arial" w:hAnsi="Arial"/>
                <w:sz w:val="16"/>
                <w:szCs w:val="16"/>
                <w:color w:val="auto"/>
                <w:w w:val="99"/>
              </w:rPr>
              <w:t>—</w:t>
            </w:r>
          </w:p>
        </w:tc>
        <w:tc>
          <w:tcPr>
            <w:tcW w:w="420" w:type="dxa"/>
            <w:vAlign w:val="bottom"/>
          </w:tcPr>
          <w:p>
            <w:pPr>
              <w:spacing w:after="0"/>
              <w:rPr>
                <w:sz w:val="18"/>
                <w:szCs w:val="18"/>
                <w:color w:val="auto"/>
              </w:rPr>
            </w:pPr>
          </w:p>
        </w:tc>
        <w:tc>
          <w:tcPr>
            <w:tcW w:w="18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2800" w:type="dxa"/>
            <w:vAlign w:val="bottom"/>
            <w:tcBorders>
              <w:bottom w:val="single" w:sz="8" w:color="333333"/>
            </w:tcBorders>
          </w:tcPr>
          <w:p>
            <w:pPr>
              <w:spacing w:after="0"/>
              <w:rPr>
                <w:sz w:val="17"/>
                <w:szCs w:val="17"/>
                <w:color w:val="auto"/>
              </w:rPr>
            </w:pPr>
          </w:p>
        </w:tc>
        <w:tc>
          <w:tcPr>
            <w:tcW w:w="3560" w:type="dxa"/>
            <w:vAlign w:val="bottom"/>
            <w:tcBorders>
              <w:bottom w:val="single" w:sz="8" w:color="333333"/>
            </w:tcBorders>
            <w:vMerge w:val="continue"/>
          </w:tcPr>
          <w:p>
            <w:pPr>
              <w:spacing w:after="0"/>
              <w:rPr>
                <w:sz w:val="17"/>
                <w:szCs w:val="17"/>
                <w:color w:val="auto"/>
              </w:rPr>
            </w:pPr>
          </w:p>
        </w:tc>
        <w:tc>
          <w:tcPr>
            <w:tcW w:w="2400" w:type="dxa"/>
            <w:vAlign w:val="bottom"/>
            <w:tcBorders>
              <w:bottom w:val="single" w:sz="8" w:color="333333"/>
            </w:tcBorders>
            <w:vMerge w:val="continue"/>
          </w:tcPr>
          <w:p>
            <w:pPr>
              <w:spacing w:after="0"/>
              <w:rPr>
                <w:sz w:val="17"/>
                <w:szCs w:val="17"/>
                <w:color w:val="auto"/>
              </w:rPr>
            </w:pPr>
          </w:p>
        </w:tc>
        <w:tc>
          <w:tcPr>
            <w:tcW w:w="420" w:type="dxa"/>
            <w:vAlign w:val="bottom"/>
            <w:tcBorders>
              <w:bottom w:val="single" w:sz="8" w:color="333333"/>
            </w:tcBorders>
          </w:tcPr>
          <w:p>
            <w:pPr>
              <w:spacing w:after="0"/>
              <w:rPr>
                <w:sz w:val="17"/>
                <w:szCs w:val="17"/>
                <w:color w:val="auto"/>
              </w:rPr>
            </w:pPr>
          </w:p>
        </w:tc>
        <w:tc>
          <w:tcPr>
            <w:tcW w:w="1840" w:type="dxa"/>
            <w:vAlign w:val="bottom"/>
            <w:tcBorders>
              <w:bottom w:val="single" w:sz="8" w:color="333333"/>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800" w:type="dxa"/>
            <w:vAlign w:val="bottom"/>
          </w:tcPr>
          <w:p>
            <w:pPr>
              <w:ind w:left="60"/>
              <w:spacing w:after="0"/>
              <w:rPr>
                <w:sz w:val="20"/>
                <w:szCs w:val="20"/>
                <w:color w:val="auto"/>
              </w:rPr>
            </w:pPr>
            <w:r>
              <w:rPr>
                <w:rFonts w:ascii="Arial" w:cs="Arial" w:eastAsia="Arial" w:hAnsi="Arial"/>
                <w:sz w:val="16"/>
                <w:szCs w:val="16"/>
                <w:b w:val="1"/>
                <w:bCs w:val="1"/>
                <w:color w:val="auto"/>
              </w:rPr>
              <w:t>Jennifer Piepszak</w:t>
            </w:r>
          </w:p>
        </w:tc>
        <w:tc>
          <w:tcPr>
            <w:tcW w:w="3560" w:type="dxa"/>
            <w:vAlign w:val="bottom"/>
          </w:tcPr>
          <w:p>
            <w:pPr>
              <w:ind w:left="1040"/>
              <w:spacing w:after="0"/>
              <w:rPr>
                <w:sz w:val="20"/>
                <w:szCs w:val="20"/>
                <w:color w:val="auto"/>
              </w:rPr>
            </w:pPr>
            <w:r>
              <w:rPr>
                <w:rFonts w:ascii="Arial" w:cs="Arial" w:eastAsia="Arial" w:hAnsi="Arial"/>
                <w:sz w:val="16"/>
                <w:szCs w:val="16"/>
                <w:color w:val="auto"/>
              </w:rPr>
              <w:t>Retirement Plan</w:t>
            </w:r>
          </w:p>
        </w:tc>
        <w:tc>
          <w:tcPr>
            <w:tcW w:w="2400" w:type="dxa"/>
            <w:vAlign w:val="bottom"/>
          </w:tcPr>
          <w:p>
            <w:pPr>
              <w:jc w:val="center"/>
              <w:ind w:left="419"/>
              <w:spacing w:after="0"/>
              <w:rPr>
                <w:sz w:val="20"/>
                <w:szCs w:val="20"/>
                <w:color w:val="auto"/>
              </w:rPr>
            </w:pPr>
            <w:r>
              <w:rPr>
                <w:rFonts w:ascii="Arial" w:cs="Arial" w:eastAsia="Arial" w:hAnsi="Arial"/>
                <w:sz w:val="16"/>
                <w:szCs w:val="16"/>
                <w:color w:val="auto"/>
              </w:rPr>
              <w:t>25</w:t>
            </w:r>
          </w:p>
        </w:tc>
        <w:tc>
          <w:tcPr>
            <w:tcW w:w="420" w:type="dxa"/>
            <w:vAlign w:val="bottom"/>
          </w:tcPr>
          <w:p>
            <w:pPr>
              <w:spacing w:after="0"/>
              <w:rPr>
                <w:sz w:val="18"/>
                <w:szCs w:val="18"/>
                <w:color w:val="auto"/>
              </w:rPr>
            </w:pPr>
          </w:p>
        </w:tc>
        <w:tc>
          <w:tcPr>
            <w:tcW w:w="1840" w:type="dxa"/>
            <w:vAlign w:val="bottom"/>
          </w:tcPr>
          <w:p>
            <w:pPr>
              <w:jc w:val="right"/>
              <w:ind w:right="199"/>
              <w:spacing w:after="0"/>
              <w:rPr>
                <w:sz w:val="20"/>
                <w:szCs w:val="20"/>
                <w:color w:val="auto"/>
              </w:rPr>
            </w:pPr>
            <w:r>
              <w:rPr>
                <w:rFonts w:ascii="Arial" w:cs="Arial" w:eastAsia="Arial" w:hAnsi="Arial"/>
                <w:sz w:val="16"/>
                <w:szCs w:val="16"/>
                <w:color w:val="auto"/>
              </w:rPr>
              <w:t>292,036</w:t>
            </w:r>
          </w:p>
        </w:tc>
        <w:tc>
          <w:tcPr>
            <w:tcW w:w="0" w:type="dxa"/>
            <w:vAlign w:val="bottom"/>
          </w:tcPr>
          <w:p>
            <w:pPr>
              <w:spacing w:after="0"/>
              <w:rPr>
                <w:sz w:val="1"/>
                <w:szCs w:val="1"/>
                <w:color w:val="auto"/>
              </w:rPr>
            </w:pPr>
          </w:p>
        </w:tc>
      </w:tr>
      <w:tr>
        <w:trPr>
          <w:trHeight w:val="224"/>
        </w:trPr>
        <w:tc>
          <w:tcPr>
            <w:tcW w:w="2800" w:type="dxa"/>
            <w:vAlign w:val="bottom"/>
            <w:tcBorders>
              <w:bottom w:val="single" w:sz="8" w:color="333333"/>
            </w:tcBorders>
          </w:tcPr>
          <w:p>
            <w:pPr>
              <w:spacing w:after="0"/>
              <w:rPr>
                <w:sz w:val="19"/>
                <w:szCs w:val="19"/>
                <w:color w:val="auto"/>
              </w:rPr>
            </w:pPr>
          </w:p>
        </w:tc>
        <w:tc>
          <w:tcPr>
            <w:tcW w:w="3560" w:type="dxa"/>
            <w:vAlign w:val="bottom"/>
            <w:tcBorders>
              <w:bottom w:val="single" w:sz="8" w:color="333333"/>
            </w:tcBorders>
          </w:tcPr>
          <w:p>
            <w:pPr>
              <w:ind w:left="1040"/>
              <w:spacing w:after="0"/>
              <w:rPr>
                <w:sz w:val="20"/>
                <w:szCs w:val="20"/>
                <w:color w:val="auto"/>
              </w:rPr>
            </w:pPr>
            <w:r>
              <w:rPr>
                <w:rFonts w:ascii="Arial" w:cs="Arial" w:eastAsia="Arial" w:hAnsi="Arial"/>
                <w:sz w:val="16"/>
                <w:szCs w:val="16"/>
                <w:color w:val="auto"/>
              </w:rPr>
              <w:t>Excess Retirement Plan</w:t>
            </w:r>
          </w:p>
        </w:tc>
        <w:tc>
          <w:tcPr>
            <w:tcW w:w="2400" w:type="dxa"/>
            <w:vAlign w:val="bottom"/>
            <w:tcBorders>
              <w:bottom w:val="single" w:sz="8" w:color="333333"/>
            </w:tcBorders>
          </w:tcPr>
          <w:p>
            <w:pPr>
              <w:jc w:val="center"/>
              <w:ind w:left="419"/>
              <w:spacing w:after="0"/>
              <w:rPr>
                <w:sz w:val="20"/>
                <w:szCs w:val="20"/>
                <w:color w:val="auto"/>
              </w:rPr>
            </w:pPr>
            <w:r>
              <w:rPr>
                <w:rFonts w:ascii="Arial" w:cs="Arial" w:eastAsia="Arial" w:hAnsi="Arial"/>
                <w:sz w:val="16"/>
                <w:szCs w:val="16"/>
                <w:color w:val="auto"/>
              </w:rPr>
              <w:t>25</w:t>
            </w:r>
          </w:p>
        </w:tc>
        <w:tc>
          <w:tcPr>
            <w:tcW w:w="420" w:type="dxa"/>
            <w:vAlign w:val="bottom"/>
            <w:tcBorders>
              <w:bottom w:val="single" w:sz="8" w:color="333333"/>
            </w:tcBorders>
          </w:tcPr>
          <w:p>
            <w:pPr>
              <w:spacing w:after="0"/>
              <w:rPr>
                <w:sz w:val="19"/>
                <w:szCs w:val="19"/>
                <w:color w:val="auto"/>
              </w:rPr>
            </w:pPr>
          </w:p>
        </w:tc>
        <w:tc>
          <w:tcPr>
            <w:tcW w:w="1840" w:type="dxa"/>
            <w:vAlign w:val="bottom"/>
            <w:tcBorders>
              <w:bottom w:val="single" w:sz="8" w:color="333333"/>
            </w:tcBorders>
          </w:tcPr>
          <w:p>
            <w:pPr>
              <w:jc w:val="right"/>
              <w:ind w:right="199"/>
              <w:spacing w:after="0"/>
              <w:rPr>
                <w:sz w:val="20"/>
                <w:szCs w:val="20"/>
                <w:color w:val="auto"/>
              </w:rPr>
            </w:pPr>
            <w:r>
              <w:rPr>
                <w:rFonts w:ascii="Arial" w:cs="Arial" w:eastAsia="Arial" w:hAnsi="Arial"/>
                <w:sz w:val="16"/>
                <w:szCs w:val="16"/>
                <w:color w:val="auto"/>
              </w:rPr>
              <w:t>599</w:t>
            </w:r>
          </w:p>
        </w:tc>
        <w:tc>
          <w:tcPr>
            <w:tcW w:w="0" w:type="dxa"/>
            <w:vAlign w:val="bottom"/>
          </w:tcPr>
          <w:p>
            <w:pPr>
              <w:spacing w:after="0"/>
              <w:rPr>
                <w:sz w:val="1"/>
                <w:szCs w:val="1"/>
                <w:color w:val="auto"/>
              </w:rPr>
            </w:pPr>
          </w:p>
        </w:tc>
      </w:tr>
    </w:tbl>
    <w:p>
      <w:pPr>
        <w:spacing w:after="0" w:line="153" w:lineRule="exact"/>
        <w:rPr>
          <w:sz w:val="20"/>
          <w:szCs w:val="20"/>
          <w:color w:val="auto"/>
        </w:rPr>
      </w:pPr>
    </w:p>
    <w:p>
      <w:pPr>
        <w:sectPr>
          <w:pgSz w:w="11900" w:h="16838" w:orient="portrait"/>
          <w:cols w:equalWidth="0" w:num="1">
            <w:col w:w="11140"/>
          </w:cols>
          <w:pgMar w:left="320" w:top="459" w:right="439" w:bottom="1440" w:gutter="0" w:footer="0" w:header="0"/>
        </w:sectPr>
      </w:pPr>
    </w:p>
    <w:p>
      <w:pPr>
        <w:ind w:left="120"/>
        <w:spacing w:after="0" w:line="237" w:lineRule="auto"/>
        <w:rPr>
          <w:sz w:val="20"/>
          <w:szCs w:val="20"/>
          <w:color w:val="auto"/>
        </w:rPr>
      </w:pPr>
      <w:r>
        <w:rPr>
          <w:rFonts w:ascii="Arial" w:cs="Arial" w:eastAsia="Arial" w:hAnsi="Arial"/>
          <w:sz w:val="18"/>
          <w:szCs w:val="18"/>
          <w:b w:val="1"/>
          <w:bCs w:val="1"/>
          <w:color w:val="auto"/>
        </w:rPr>
        <w:t xml:space="preserve">Retirement Plan </w:t>
      </w:r>
      <w:r>
        <w:rPr>
          <w:rFonts w:ascii="Arial" w:cs="Arial" w:eastAsia="Arial" w:hAnsi="Arial"/>
          <w:sz w:val="18"/>
          <w:szCs w:val="18"/>
          <w:color w:val="auto"/>
        </w:rPr>
        <w:t>— The JPMorgan Chase Retirement Plan is a</w:t>
      </w:r>
      <w:r>
        <w:rPr>
          <w:rFonts w:ascii="Arial" w:cs="Arial" w:eastAsia="Arial" w:hAnsi="Arial"/>
          <w:sz w:val="18"/>
          <w:szCs w:val="18"/>
          <w:b w:val="1"/>
          <w:bCs w:val="1"/>
          <w:color w:val="auto"/>
        </w:rPr>
        <w:t xml:space="preserve"> </w:t>
      </w:r>
      <w:r>
        <w:rPr>
          <w:rFonts w:ascii="Arial" w:cs="Arial" w:eastAsia="Arial" w:hAnsi="Arial"/>
          <w:sz w:val="18"/>
          <w:szCs w:val="18"/>
          <w:color w:val="auto"/>
        </w:rPr>
        <w:t>qualified noncontributory U.S. defined benefit pension plan that provides benefits to substantially all U.S. employees. Benefits to participants are based on their salary and years of service, with the Plan employing a cash balance formula (in the form of pay and interest credits) to determine amounts at retirement. Pay credits are equal to a percentage (ranging from 3% to 5%) of base salary, bonus and incentive pay up to $100,000, based on years of service. Employees begin to accrue plan benefits after completing one year of service, and benefits generally vest after three years of service. Interest credits generally equal the yield on one-year U.S. Treasury bills plus 1% (subject to a minimum of 4.5%). Account balances include the value of benefits earned under prior heritage company plans, if any. Benefits are payable as an actuarially equivalent lifetime annuity with survivorship rights (if married) or optionally under a variety of other payment forms, including a single-sum distribution. The</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plan was frozen effective January 1, 2020 (January 1, 2019 for new hires); pay credits are now directed to the U.S. defined contribution plan, and interest credits continue to accrue. Employees became fully vested in the value of their plan benefits as a result of this change. During 2019, the NEOs earned the following pay credits: Mr. Dimon, 4%; Mr. Smith, 4%; Ms. Erdoes, 5%; and Ms. Piepszak, 5%. Mr. Pinto and Ms. Lake are not eligible to participate in the U.S. defined benefit plans.</w:t>
      </w:r>
    </w:p>
    <w:p>
      <w:pPr>
        <w:spacing w:after="0" w:line="78" w:lineRule="exact"/>
        <w:rPr>
          <w:sz w:val="20"/>
          <w:szCs w:val="20"/>
          <w:color w:val="auto"/>
        </w:rPr>
      </w:pPr>
    </w:p>
    <w:p>
      <w:pPr>
        <w:ind w:right="40"/>
        <w:spacing w:after="0"/>
        <w:rPr>
          <w:sz w:val="20"/>
          <w:szCs w:val="20"/>
          <w:color w:val="auto"/>
        </w:rPr>
      </w:pPr>
      <w:r>
        <w:rPr>
          <w:rFonts w:ascii="Arial" w:cs="Arial" w:eastAsia="Arial" w:hAnsi="Arial"/>
          <w:sz w:val="18"/>
          <w:szCs w:val="18"/>
          <w:b w:val="1"/>
          <w:bCs w:val="1"/>
          <w:color w:val="auto"/>
        </w:rPr>
        <w:t xml:space="preserve">Excess Retirement Plan </w:t>
      </w:r>
      <w:r>
        <w:rPr>
          <w:rFonts w:ascii="Arial" w:cs="Arial" w:eastAsia="Arial" w:hAnsi="Arial"/>
          <w:sz w:val="18"/>
          <w:szCs w:val="18"/>
          <w:color w:val="auto"/>
        </w:rPr>
        <w:t>— Benefits were determined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same terms and conditions as the Retirement Plan, but reflecting base salary in excess of IRS limits up to $1 million and benefit amounts in excess of IRS limits. Benefits are generally payable in a lump sum in the year following termination. The plan is closed to new participants and accruals under the plan were discontinued as of May 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525780</wp:posOffset>
            </wp:positionV>
            <wp:extent cx="7029450" cy="19748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029450" cy="197485"/>
                    </a:xfrm>
                    <a:prstGeom prst="rect">
                      <a:avLst/>
                    </a:prstGeom>
                    <a:noFill/>
                  </pic:spPr>
                </pic:pic>
              </a:graphicData>
            </a:graphic>
          </wp:anchor>
        </w:drawing>
      </w:r>
    </w:p>
    <w:p>
      <w:pPr>
        <w:spacing w:after="0" w:line="497" w:lineRule="exact"/>
        <w:rPr>
          <w:sz w:val="20"/>
          <w:szCs w:val="20"/>
          <w:color w:val="auto"/>
        </w:rPr>
      </w:pPr>
    </w:p>
    <w:p>
      <w:pPr>
        <w:sectPr>
          <w:pgSz w:w="11900" w:h="16838" w:orient="portrait"/>
          <w:cols w:equalWidth="0" w:num="2">
            <w:col w:w="5380" w:space="360"/>
            <w:col w:w="5400"/>
          </w:cols>
          <w:pgMar w:left="320" w:top="459" w:right="439" w:bottom="1440" w:gutter="0" w:footer="0" w:header="0"/>
          <w:type w:val="continuous"/>
        </w:sectPr>
      </w:pPr>
    </w:p>
    <w:p>
      <w:pPr>
        <w:spacing w:after="0" w:line="200" w:lineRule="exact"/>
        <w:rPr>
          <w:sz w:val="20"/>
          <w:szCs w:val="20"/>
          <w:color w:val="auto"/>
        </w:rPr>
      </w:pPr>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13"/>
          <w:szCs w:val="13"/>
          <w:b w:val="1"/>
          <w:bCs w:val="1"/>
          <w:color w:val="004876"/>
        </w:rPr>
        <w:t>78</w:t>
      </w:r>
    </w:p>
    <w:p>
      <w:pPr>
        <w:sectPr>
          <w:pgSz w:w="11900" w:h="16838" w:orient="portrait"/>
          <w:cols w:equalWidth="0" w:num="1">
            <w:col w:w="11140"/>
          </w:cols>
          <w:pgMar w:left="320" w:top="459" w:right="439" w:bottom="1440" w:gutter="0" w:footer="0" w:header="0"/>
          <w:type w:val="continuous"/>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04876"/>
        </w:rPr>
        <w:t>EXECUTIVE COMPENSATION | 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365" w:lineRule="exact"/>
        <w:rPr>
          <w:sz w:val="20"/>
          <w:szCs w:val="20"/>
          <w:color w:val="auto"/>
        </w:rPr>
      </w:pPr>
    </w:p>
    <w:p>
      <w:pPr>
        <w:ind w:left="120"/>
        <w:spacing w:after="0" w:line="254" w:lineRule="auto"/>
        <w:rPr>
          <w:sz w:val="20"/>
          <w:szCs w:val="20"/>
          <w:color w:val="auto"/>
        </w:rPr>
      </w:pPr>
      <w:r>
        <w:rPr>
          <w:rFonts w:ascii="Arial" w:cs="Arial" w:eastAsia="Arial" w:hAnsi="Arial"/>
          <w:sz w:val="17"/>
          <w:szCs w:val="17"/>
          <w:b w:val="1"/>
          <w:bCs w:val="1"/>
          <w:color w:val="auto"/>
        </w:rPr>
        <w:t xml:space="preserve">Present value of accumulated benefits </w:t>
      </w:r>
      <w:r>
        <w:rPr>
          <w:rFonts w:ascii="Arial" w:cs="Arial" w:eastAsia="Arial" w:hAnsi="Arial"/>
          <w:sz w:val="17"/>
          <w:szCs w:val="17"/>
          <w:color w:val="auto"/>
        </w:rPr>
        <w:t>— The valuation</w:t>
      </w:r>
      <w:r>
        <w:rPr>
          <w:rFonts w:ascii="Arial" w:cs="Arial" w:eastAsia="Arial" w:hAnsi="Arial"/>
          <w:sz w:val="17"/>
          <w:szCs w:val="17"/>
          <w:b w:val="1"/>
          <w:bCs w:val="1"/>
          <w:color w:val="auto"/>
        </w:rPr>
        <w:t xml:space="preserve"> </w:t>
      </w:r>
      <w:r>
        <w:rPr>
          <w:rFonts w:ascii="Arial" w:cs="Arial" w:eastAsia="Arial" w:hAnsi="Arial"/>
          <w:sz w:val="17"/>
          <w:szCs w:val="17"/>
          <w:color w:val="auto"/>
        </w:rPr>
        <w:t>method and all material assumptions used to calculate the amounts above are consistent with those reflected in Note 8 to the Firm’s Consolidated Financial Statements in the 2019 Form 10-K on pages 199-205. Key assumptions include the discount rate</w:t>
      </w:r>
    </w:p>
    <w:p>
      <w:pPr>
        <w:ind w:left="120" w:right="100"/>
        <w:spacing w:after="0" w:line="255" w:lineRule="auto"/>
        <w:rPr>
          <w:sz w:val="20"/>
          <w:szCs w:val="20"/>
          <w:color w:val="auto"/>
        </w:rPr>
      </w:pPr>
      <w:r>
        <w:rPr>
          <w:rFonts w:ascii="Arial" w:cs="Arial" w:eastAsia="Arial" w:hAnsi="Arial"/>
          <w:sz w:val="17"/>
          <w:szCs w:val="17"/>
          <w:color w:val="auto"/>
        </w:rPr>
        <w:t>(3.30%); interest rates (4.75% crediting to project cash balances; 2.53% to convert annuities to lump sums and lump sums to annuities) and mortality rates (for the present value of annuities, the Pri-2012 (white-collar) projected generational mortality table with projection scale MP2019; for lump sums, the UP94</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mortality table projected to 2002, with 50%/50% male/female weighting). We assumed benefits would commence at normal retirement date or unreduced retirement date, if earlier. Benefits paid from the Retirement Plan were assumed to be paid either as single-sum distributions (with probability of 85%) or life annuities (with probability of 15%). Benefits from the Excess Retirement Plan are paid as single-sum distributions. No death or other separation from service was assumed prior to retirement date.</w:t>
      </w:r>
    </w:p>
    <w:p>
      <w:pPr>
        <w:spacing w:after="0" w:line="622" w:lineRule="exact"/>
        <w:rPr>
          <w:sz w:val="20"/>
          <w:szCs w:val="20"/>
          <w:color w:val="auto"/>
        </w:rPr>
      </w:pPr>
    </w:p>
    <w:p>
      <w:pPr>
        <w:sectPr>
          <w:pgSz w:w="11900" w:h="16838" w:orient="portrait"/>
          <w:cols w:equalWidth="0" w:num="2">
            <w:col w:w="5380" w:space="360"/>
            <w:col w:w="5400"/>
          </w:cols>
          <w:pgMar w:left="320" w:top="459" w:right="439" w:bottom="1440" w:gutter="0" w:footer="0" w:header="0"/>
          <w:type w:val="continuous"/>
        </w:sectPr>
      </w:pPr>
    </w:p>
    <w:p>
      <w:pPr>
        <w:spacing w:after="0" w:line="163" w:lineRule="exact"/>
        <w:rPr>
          <w:sz w:val="20"/>
          <w:szCs w:val="20"/>
          <w:color w:val="auto"/>
        </w:rPr>
      </w:pPr>
    </w:p>
    <w:p>
      <w:pPr>
        <w:ind w:left="120"/>
        <w:spacing w:after="0"/>
        <w:rPr>
          <w:sz w:val="20"/>
          <w:szCs w:val="20"/>
          <w:color w:val="auto"/>
        </w:rPr>
      </w:pPr>
      <w:r>
        <w:rPr>
          <w:rFonts w:ascii="Arial" w:cs="Arial" w:eastAsia="Arial" w:hAnsi="Arial"/>
          <w:sz w:val="20"/>
          <w:szCs w:val="20"/>
          <w:color w:val="004876"/>
        </w:rPr>
        <w:t>VI. 2019 NON-QUALIFIED DEFERRED COMPENSATION</w:t>
      </w:r>
    </w:p>
    <w:p>
      <w:pPr>
        <w:spacing w:after="0" w:line="97"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The Deferred Compensation Plan allows eligible participants to defer their annual cash incentive compensation awards on a before-tax basis up to a maximum of $1 million. A lifetime $10 million cap applies to deferrals of cash made after 2005. No deferral elections have been permitted relative to equity awards since 2006. During 2019, there were no contributions made by the Firm nor contributions made or withdrawals or distributions received by the Named Executive Officers.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4300" w:type="dxa"/>
            <w:vAlign w:val="bottom"/>
          </w:tcPr>
          <w:p>
            <w:pPr>
              <w:spacing w:after="0"/>
              <w:rPr>
                <w:sz w:val="16"/>
                <w:szCs w:val="16"/>
                <w:color w:val="auto"/>
              </w:rPr>
            </w:pPr>
          </w:p>
        </w:tc>
        <w:tc>
          <w:tcPr>
            <w:tcW w:w="4520" w:type="dxa"/>
            <w:vAlign w:val="bottom"/>
          </w:tcPr>
          <w:p>
            <w:pPr>
              <w:jc w:val="center"/>
              <w:ind w:left="1900"/>
              <w:spacing w:after="0"/>
              <w:rPr>
                <w:sz w:val="20"/>
                <w:szCs w:val="20"/>
                <w:color w:val="auto"/>
              </w:rPr>
            </w:pPr>
            <w:r>
              <w:rPr>
                <w:rFonts w:ascii="Arial" w:cs="Arial" w:eastAsia="Arial" w:hAnsi="Arial"/>
                <w:sz w:val="16"/>
                <w:szCs w:val="16"/>
                <w:color w:val="004876"/>
              </w:rPr>
              <w:t>Aggregate earnings</w:t>
            </w:r>
          </w:p>
        </w:tc>
        <w:tc>
          <w:tcPr>
            <w:tcW w:w="2200" w:type="dxa"/>
            <w:vAlign w:val="bottom"/>
          </w:tcPr>
          <w:p>
            <w:pPr>
              <w:jc w:val="center"/>
              <w:ind w:left="179"/>
              <w:spacing w:after="0"/>
              <w:rPr>
                <w:sz w:val="20"/>
                <w:szCs w:val="20"/>
                <w:color w:val="auto"/>
              </w:rPr>
            </w:pPr>
            <w:r>
              <w:rPr>
                <w:rFonts w:ascii="Arial" w:cs="Arial" w:eastAsia="Arial" w:hAnsi="Arial"/>
                <w:sz w:val="16"/>
                <w:szCs w:val="16"/>
                <w:color w:val="004876"/>
              </w:rPr>
              <w:t>Aggregate</w:t>
            </w:r>
          </w:p>
        </w:tc>
      </w:tr>
      <w:tr>
        <w:trPr>
          <w:trHeight w:val="184"/>
        </w:trPr>
        <w:tc>
          <w:tcPr>
            <w:tcW w:w="4300" w:type="dxa"/>
            <w:vAlign w:val="bottom"/>
          </w:tcPr>
          <w:p>
            <w:pPr>
              <w:spacing w:after="0"/>
              <w:rPr>
                <w:sz w:val="16"/>
                <w:szCs w:val="16"/>
                <w:color w:val="auto"/>
              </w:rPr>
            </w:pPr>
          </w:p>
        </w:tc>
        <w:tc>
          <w:tcPr>
            <w:tcW w:w="4520" w:type="dxa"/>
            <w:vAlign w:val="bottom"/>
          </w:tcPr>
          <w:p>
            <w:pPr>
              <w:jc w:val="center"/>
              <w:ind w:left="1900"/>
              <w:spacing w:after="0"/>
              <w:rPr>
                <w:sz w:val="20"/>
                <w:szCs w:val="20"/>
                <w:color w:val="auto"/>
              </w:rPr>
            </w:pPr>
            <w:r>
              <w:rPr>
                <w:rFonts w:ascii="Arial" w:cs="Arial" w:eastAsia="Arial" w:hAnsi="Arial"/>
                <w:sz w:val="16"/>
                <w:szCs w:val="16"/>
                <w:color w:val="004876"/>
              </w:rPr>
              <w:t>(loss) in last</w:t>
            </w:r>
          </w:p>
        </w:tc>
        <w:tc>
          <w:tcPr>
            <w:tcW w:w="2200" w:type="dxa"/>
            <w:vAlign w:val="bottom"/>
          </w:tcPr>
          <w:p>
            <w:pPr>
              <w:jc w:val="center"/>
              <w:ind w:left="179"/>
              <w:spacing w:after="0"/>
              <w:rPr>
                <w:sz w:val="20"/>
                <w:szCs w:val="20"/>
                <w:color w:val="auto"/>
              </w:rPr>
            </w:pPr>
            <w:r>
              <w:rPr>
                <w:rFonts w:ascii="Arial" w:cs="Arial" w:eastAsia="Arial" w:hAnsi="Arial"/>
                <w:sz w:val="16"/>
                <w:szCs w:val="16"/>
                <w:color w:val="004876"/>
              </w:rPr>
              <w:t>balance at last</w:t>
            </w:r>
          </w:p>
        </w:tc>
      </w:tr>
      <w:tr>
        <w:trPr>
          <w:trHeight w:val="206"/>
        </w:trPr>
        <w:tc>
          <w:tcPr>
            <w:tcW w:w="4300" w:type="dxa"/>
            <w:vAlign w:val="bottom"/>
            <w:tcBorders>
              <w:bottom w:val="single" w:sz="8" w:color="333333"/>
            </w:tcBorders>
          </w:tcPr>
          <w:p>
            <w:pPr>
              <w:ind w:left="60"/>
              <w:spacing w:after="0"/>
              <w:rPr>
                <w:sz w:val="20"/>
                <w:szCs w:val="20"/>
                <w:color w:val="auto"/>
              </w:rPr>
            </w:pPr>
            <w:r>
              <w:rPr>
                <w:rFonts w:ascii="Arial" w:cs="Arial" w:eastAsia="Arial" w:hAnsi="Arial"/>
                <w:sz w:val="16"/>
                <w:szCs w:val="16"/>
                <w:color w:val="004876"/>
              </w:rPr>
              <w:t>Name</w:t>
            </w:r>
          </w:p>
        </w:tc>
        <w:tc>
          <w:tcPr>
            <w:tcW w:w="4520" w:type="dxa"/>
            <w:vAlign w:val="bottom"/>
            <w:tcBorders>
              <w:bottom w:val="single" w:sz="8" w:color="333333"/>
            </w:tcBorders>
          </w:tcPr>
          <w:p>
            <w:pPr>
              <w:jc w:val="center"/>
              <w:ind w:left="1880"/>
              <w:spacing w:after="0" w:line="205" w:lineRule="exact"/>
              <w:rPr>
                <w:sz w:val="20"/>
                <w:szCs w:val="20"/>
                <w:color w:val="auto"/>
              </w:rPr>
            </w:pPr>
            <w:r>
              <w:rPr>
                <w:rFonts w:ascii="Arial" w:cs="Arial" w:eastAsia="Arial" w:hAnsi="Arial"/>
                <w:sz w:val="14"/>
                <w:szCs w:val="14"/>
                <w:color w:val="004876"/>
              </w:rPr>
              <w:t>fiscal year ($)</w:t>
            </w:r>
            <w:r>
              <w:rPr>
                <w:rFonts w:ascii="Arial" w:cs="Arial" w:eastAsia="Arial" w:hAnsi="Arial"/>
                <w:sz w:val="23"/>
                <w:szCs w:val="23"/>
                <w:color w:val="004876"/>
                <w:vertAlign w:val="superscript"/>
              </w:rPr>
              <w:t>1</w:t>
            </w:r>
          </w:p>
        </w:tc>
        <w:tc>
          <w:tcPr>
            <w:tcW w:w="2200" w:type="dxa"/>
            <w:vAlign w:val="bottom"/>
            <w:tcBorders>
              <w:bottom w:val="single" w:sz="8" w:color="333333"/>
            </w:tcBorders>
          </w:tcPr>
          <w:p>
            <w:pPr>
              <w:jc w:val="center"/>
              <w:ind w:left="179"/>
              <w:spacing w:after="0"/>
              <w:rPr>
                <w:sz w:val="20"/>
                <w:szCs w:val="20"/>
                <w:color w:val="auto"/>
              </w:rPr>
            </w:pPr>
            <w:r>
              <w:rPr>
                <w:rFonts w:ascii="Arial" w:cs="Arial" w:eastAsia="Arial" w:hAnsi="Arial"/>
                <w:sz w:val="16"/>
                <w:szCs w:val="16"/>
                <w:color w:val="004876"/>
              </w:rPr>
              <w:t>fiscal year–end ($)</w:t>
            </w:r>
          </w:p>
        </w:tc>
      </w:tr>
      <w:tr>
        <w:trPr>
          <w:trHeight w:val="217"/>
        </w:trPr>
        <w:tc>
          <w:tcPr>
            <w:tcW w:w="4300" w:type="dxa"/>
            <w:vAlign w:val="bottom"/>
            <w:tcBorders>
              <w:bottom w:val="single" w:sz="8" w:color="333333"/>
            </w:tcBorders>
          </w:tcPr>
          <w:p>
            <w:pPr>
              <w:ind w:left="60"/>
              <w:spacing w:after="0"/>
              <w:rPr>
                <w:sz w:val="20"/>
                <w:szCs w:val="20"/>
                <w:color w:val="auto"/>
              </w:rPr>
            </w:pPr>
            <w:r>
              <w:rPr>
                <w:rFonts w:ascii="Arial" w:cs="Arial" w:eastAsia="Arial" w:hAnsi="Arial"/>
                <w:sz w:val="16"/>
                <w:szCs w:val="16"/>
                <w:b w:val="1"/>
                <w:bCs w:val="1"/>
                <w:color w:val="auto"/>
              </w:rPr>
              <w:t>James Dimon</w:t>
            </w:r>
          </w:p>
        </w:tc>
        <w:tc>
          <w:tcPr>
            <w:tcW w:w="4520" w:type="dxa"/>
            <w:vAlign w:val="bottom"/>
            <w:tcBorders>
              <w:bottom w:val="single" w:sz="8" w:color="333333"/>
            </w:tcBorders>
          </w:tcPr>
          <w:p>
            <w:pPr>
              <w:jc w:val="right"/>
              <w:ind w:right="480"/>
              <w:spacing w:after="0"/>
              <w:rPr>
                <w:sz w:val="20"/>
                <w:szCs w:val="20"/>
                <w:color w:val="auto"/>
              </w:rPr>
            </w:pPr>
            <w:r>
              <w:rPr>
                <w:rFonts w:ascii="Arial" w:cs="Arial" w:eastAsia="Arial" w:hAnsi="Arial"/>
                <w:sz w:val="16"/>
                <w:szCs w:val="16"/>
                <w:color w:val="auto"/>
              </w:rPr>
              <w:t>$ 3,704</w:t>
            </w:r>
          </w:p>
        </w:tc>
        <w:tc>
          <w:tcPr>
            <w:tcW w:w="2200" w:type="dxa"/>
            <w:vAlign w:val="bottom"/>
            <w:tcBorders>
              <w:bottom w:val="single" w:sz="8" w:color="333333"/>
            </w:tcBorders>
          </w:tcPr>
          <w:p>
            <w:pPr>
              <w:jc w:val="right"/>
              <w:ind w:right="219"/>
              <w:spacing w:after="0"/>
              <w:rPr>
                <w:sz w:val="20"/>
                <w:szCs w:val="20"/>
                <w:color w:val="auto"/>
              </w:rPr>
            </w:pPr>
            <w:r>
              <w:rPr>
                <w:rFonts w:ascii="Arial" w:cs="Arial" w:eastAsia="Arial" w:hAnsi="Arial"/>
                <w:sz w:val="16"/>
                <w:szCs w:val="16"/>
                <w:color w:val="auto"/>
              </w:rPr>
              <w:t>$ 149,706</w:t>
            </w:r>
          </w:p>
        </w:tc>
      </w:tr>
      <w:tr>
        <w:trPr>
          <w:trHeight w:val="223"/>
        </w:trPr>
        <w:tc>
          <w:tcPr>
            <w:tcW w:w="4300" w:type="dxa"/>
            <w:vAlign w:val="bottom"/>
            <w:tcBorders>
              <w:bottom w:val="single" w:sz="8" w:color="333333"/>
            </w:tcBorders>
          </w:tcPr>
          <w:p>
            <w:pPr>
              <w:ind w:left="60"/>
              <w:spacing w:after="0"/>
              <w:rPr>
                <w:sz w:val="20"/>
                <w:szCs w:val="20"/>
                <w:color w:val="auto"/>
              </w:rPr>
            </w:pPr>
            <w:r>
              <w:rPr>
                <w:rFonts w:ascii="Arial" w:cs="Arial" w:eastAsia="Arial" w:hAnsi="Arial"/>
                <w:sz w:val="16"/>
                <w:szCs w:val="16"/>
                <w:b w:val="1"/>
                <w:bCs w:val="1"/>
                <w:color w:val="auto"/>
              </w:rPr>
              <w:t>Daniel Pinto</w:t>
            </w:r>
          </w:p>
        </w:tc>
        <w:tc>
          <w:tcPr>
            <w:tcW w:w="4520" w:type="dxa"/>
            <w:vAlign w:val="bottom"/>
            <w:tcBorders>
              <w:bottom w:val="single" w:sz="8" w:color="333333"/>
            </w:tcBorders>
          </w:tcPr>
          <w:p>
            <w:pPr>
              <w:jc w:val="right"/>
              <w:ind w:right="480"/>
              <w:spacing w:after="0"/>
              <w:rPr>
                <w:sz w:val="20"/>
                <w:szCs w:val="20"/>
                <w:color w:val="auto"/>
              </w:rPr>
            </w:pPr>
            <w:r>
              <w:rPr>
                <w:rFonts w:ascii="Arial" w:cs="Arial" w:eastAsia="Arial" w:hAnsi="Arial"/>
                <w:sz w:val="16"/>
                <w:szCs w:val="16"/>
                <w:color w:val="auto"/>
              </w:rPr>
              <w:t>758</w:t>
            </w:r>
          </w:p>
        </w:tc>
        <w:tc>
          <w:tcPr>
            <w:tcW w:w="2200" w:type="dxa"/>
            <w:vAlign w:val="bottom"/>
            <w:tcBorders>
              <w:bottom w:val="single" w:sz="8" w:color="333333"/>
            </w:tcBorders>
          </w:tcPr>
          <w:p>
            <w:pPr>
              <w:jc w:val="right"/>
              <w:ind w:right="219"/>
              <w:spacing w:after="0"/>
              <w:rPr>
                <w:sz w:val="20"/>
                <w:szCs w:val="20"/>
                <w:color w:val="auto"/>
              </w:rPr>
            </w:pPr>
            <w:r>
              <w:rPr>
                <w:rFonts w:ascii="Arial" w:cs="Arial" w:eastAsia="Arial" w:hAnsi="Arial"/>
                <w:sz w:val="16"/>
                <w:szCs w:val="16"/>
                <w:color w:val="auto"/>
              </w:rPr>
              <w:t>23,406</w:t>
            </w:r>
          </w:p>
        </w:tc>
      </w:tr>
      <w:tr>
        <w:trPr>
          <w:trHeight w:val="223"/>
        </w:trPr>
        <w:tc>
          <w:tcPr>
            <w:tcW w:w="4300" w:type="dxa"/>
            <w:vAlign w:val="bottom"/>
            <w:tcBorders>
              <w:bottom w:val="single" w:sz="8" w:color="333333"/>
            </w:tcBorders>
          </w:tcPr>
          <w:p>
            <w:pPr>
              <w:ind w:left="60"/>
              <w:spacing w:after="0"/>
              <w:rPr>
                <w:sz w:val="20"/>
                <w:szCs w:val="20"/>
                <w:color w:val="auto"/>
              </w:rPr>
            </w:pPr>
            <w:r>
              <w:rPr>
                <w:rFonts w:ascii="Arial" w:cs="Arial" w:eastAsia="Arial" w:hAnsi="Arial"/>
                <w:sz w:val="16"/>
                <w:szCs w:val="16"/>
                <w:b w:val="1"/>
                <w:bCs w:val="1"/>
                <w:color w:val="auto"/>
              </w:rPr>
              <w:t>Gordon Smith</w:t>
            </w:r>
          </w:p>
        </w:tc>
        <w:tc>
          <w:tcPr>
            <w:tcW w:w="4520" w:type="dxa"/>
            <w:vAlign w:val="bottom"/>
            <w:tcBorders>
              <w:bottom w:val="single" w:sz="8" w:color="333333"/>
            </w:tcBorders>
          </w:tcPr>
          <w:p>
            <w:pPr>
              <w:jc w:val="right"/>
              <w:ind w:right="480"/>
              <w:spacing w:after="0"/>
              <w:rPr>
                <w:sz w:val="20"/>
                <w:szCs w:val="20"/>
                <w:color w:val="auto"/>
              </w:rPr>
            </w:pPr>
            <w:r>
              <w:rPr>
                <w:rFonts w:ascii="Arial" w:cs="Arial" w:eastAsia="Arial" w:hAnsi="Arial"/>
                <w:sz w:val="16"/>
                <w:szCs w:val="16"/>
                <w:color w:val="auto"/>
              </w:rPr>
              <w:t>—</w:t>
            </w:r>
          </w:p>
        </w:tc>
        <w:tc>
          <w:tcPr>
            <w:tcW w:w="2200" w:type="dxa"/>
            <w:vAlign w:val="bottom"/>
            <w:tcBorders>
              <w:bottom w:val="single" w:sz="8" w:color="333333"/>
            </w:tcBorders>
          </w:tcPr>
          <w:p>
            <w:pPr>
              <w:jc w:val="right"/>
              <w:ind w:right="219"/>
              <w:spacing w:after="0"/>
              <w:rPr>
                <w:sz w:val="20"/>
                <w:szCs w:val="20"/>
                <w:color w:val="auto"/>
              </w:rPr>
            </w:pPr>
            <w:r>
              <w:rPr>
                <w:rFonts w:ascii="Arial" w:cs="Arial" w:eastAsia="Arial" w:hAnsi="Arial"/>
                <w:sz w:val="16"/>
                <w:szCs w:val="16"/>
                <w:color w:val="auto"/>
              </w:rPr>
              <w:t>—</w:t>
            </w:r>
          </w:p>
        </w:tc>
      </w:tr>
      <w:tr>
        <w:trPr>
          <w:trHeight w:val="223"/>
        </w:trPr>
        <w:tc>
          <w:tcPr>
            <w:tcW w:w="4300" w:type="dxa"/>
            <w:vAlign w:val="bottom"/>
            <w:tcBorders>
              <w:bottom w:val="single" w:sz="8" w:color="333333"/>
            </w:tcBorders>
          </w:tcPr>
          <w:p>
            <w:pPr>
              <w:ind w:left="60"/>
              <w:spacing w:after="0"/>
              <w:rPr>
                <w:sz w:val="20"/>
                <w:szCs w:val="20"/>
                <w:color w:val="auto"/>
              </w:rPr>
            </w:pPr>
            <w:r>
              <w:rPr>
                <w:rFonts w:ascii="Arial" w:cs="Arial" w:eastAsia="Arial" w:hAnsi="Arial"/>
                <w:sz w:val="16"/>
                <w:szCs w:val="16"/>
                <w:b w:val="1"/>
                <w:bCs w:val="1"/>
                <w:color w:val="auto"/>
              </w:rPr>
              <w:t>Mary Callahan Erdoes</w:t>
            </w:r>
          </w:p>
        </w:tc>
        <w:tc>
          <w:tcPr>
            <w:tcW w:w="4520" w:type="dxa"/>
            <w:vAlign w:val="bottom"/>
            <w:tcBorders>
              <w:bottom w:val="single" w:sz="8" w:color="333333"/>
            </w:tcBorders>
          </w:tcPr>
          <w:p>
            <w:pPr>
              <w:jc w:val="right"/>
              <w:ind w:right="480"/>
              <w:spacing w:after="0"/>
              <w:rPr>
                <w:sz w:val="20"/>
                <w:szCs w:val="20"/>
                <w:color w:val="auto"/>
              </w:rPr>
            </w:pPr>
            <w:r>
              <w:rPr>
                <w:rFonts w:ascii="Arial" w:cs="Arial" w:eastAsia="Arial" w:hAnsi="Arial"/>
                <w:sz w:val="16"/>
                <w:szCs w:val="16"/>
                <w:color w:val="auto"/>
              </w:rPr>
              <w:t>—</w:t>
            </w:r>
          </w:p>
        </w:tc>
        <w:tc>
          <w:tcPr>
            <w:tcW w:w="2200" w:type="dxa"/>
            <w:vAlign w:val="bottom"/>
            <w:tcBorders>
              <w:bottom w:val="single" w:sz="8" w:color="333333"/>
            </w:tcBorders>
          </w:tcPr>
          <w:p>
            <w:pPr>
              <w:jc w:val="right"/>
              <w:ind w:right="219"/>
              <w:spacing w:after="0"/>
              <w:rPr>
                <w:sz w:val="20"/>
                <w:szCs w:val="20"/>
                <w:color w:val="auto"/>
              </w:rPr>
            </w:pPr>
            <w:r>
              <w:rPr>
                <w:rFonts w:ascii="Arial" w:cs="Arial" w:eastAsia="Arial" w:hAnsi="Arial"/>
                <w:sz w:val="16"/>
                <w:szCs w:val="16"/>
                <w:color w:val="auto"/>
              </w:rPr>
              <w:t>—</w:t>
            </w:r>
          </w:p>
        </w:tc>
      </w:tr>
      <w:tr>
        <w:trPr>
          <w:trHeight w:val="223"/>
        </w:trPr>
        <w:tc>
          <w:tcPr>
            <w:tcW w:w="4300" w:type="dxa"/>
            <w:vAlign w:val="bottom"/>
            <w:tcBorders>
              <w:bottom w:val="single" w:sz="8" w:color="333333"/>
            </w:tcBorders>
          </w:tcPr>
          <w:p>
            <w:pPr>
              <w:ind w:left="60"/>
              <w:spacing w:after="0"/>
              <w:rPr>
                <w:sz w:val="20"/>
                <w:szCs w:val="20"/>
                <w:color w:val="auto"/>
              </w:rPr>
            </w:pPr>
            <w:r>
              <w:rPr>
                <w:rFonts w:ascii="Arial" w:cs="Arial" w:eastAsia="Arial" w:hAnsi="Arial"/>
                <w:sz w:val="16"/>
                <w:szCs w:val="16"/>
                <w:b w:val="1"/>
                <w:bCs w:val="1"/>
                <w:color w:val="auto"/>
              </w:rPr>
              <w:t>Marianne Lake</w:t>
            </w:r>
          </w:p>
        </w:tc>
        <w:tc>
          <w:tcPr>
            <w:tcW w:w="4520" w:type="dxa"/>
            <w:vAlign w:val="bottom"/>
            <w:tcBorders>
              <w:bottom w:val="single" w:sz="8" w:color="333333"/>
            </w:tcBorders>
          </w:tcPr>
          <w:p>
            <w:pPr>
              <w:jc w:val="right"/>
              <w:ind w:right="480"/>
              <w:spacing w:after="0"/>
              <w:rPr>
                <w:sz w:val="20"/>
                <w:szCs w:val="20"/>
                <w:color w:val="auto"/>
              </w:rPr>
            </w:pPr>
            <w:r>
              <w:rPr>
                <w:rFonts w:ascii="Arial" w:cs="Arial" w:eastAsia="Arial" w:hAnsi="Arial"/>
                <w:sz w:val="16"/>
                <w:szCs w:val="16"/>
                <w:color w:val="auto"/>
              </w:rPr>
              <w:t>—</w:t>
            </w:r>
          </w:p>
        </w:tc>
        <w:tc>
          <w:tcPr>
            <w:tcW w:w="2200" w:type="dxa"/>
            <w:vAlign w:val="bottom"/>
            <w:tcBorders>
              <w:bottom w:val="single" w:sz="8" w:color="333333"/>
            </w:tcBorders>
          </w:tcPr>
          <w:p>
            <w:pPr>
              <w:jc w:val="right"/>
              <w:ind w:right="219"/>
              <w:spacing w:after="0"/>
              <w:rPr>
                <w:sz w:val="20"/>
                <w:szCs w:val="20"/>
                <w:color w:val="auto"/>
              </w:rPr>
            </w:pPr>
            <w:r>
              <w:rPr>
                <w:rFonts w:ascii="Arial" w:cs="Arial" w:eastAsia="Arial" w:hAnsi="Arial"/>
                <w:sz w:val="16"/>
                <w:szCs w:val="16"/>
                <w:color w:val="auto"/>
              </w:rPr>
              <w:t>—</w:t>
            </w:r>
          </w:p>
        </w:tc>
      </w:tr>
      <w:tr>
        <w:trPr>
          <w:trHeight w:val="223"/>
        </w:trPr>
        <w:tc>
          <w:tcPr>
            <w:tcW w:w="4300" w:type="dxa"/>
            <w:vAlign w:val="bottom"/>
            <w:tcBorders>
              <w:bottom w:val="single" w:sz="8" w:color="333333"/>
            </w:tcBorders>
          </w:tcPr>
          <w:p>
            <w:pPr>
              <w:ind w:left="60"/>
              <w:spacing w:after="0"/>
              <w:rPr>
                <w:sz w:val="20"/>
                <w:szCs w:val="20"/>
                <w:color w:val="auto"/>
              </w:rPr>
            </w:pPr>
            <w:r>
              <w:rPr>
                <w:rFonts w:ascii="Arial" w:cs="Arial" w:eastAsia="Arial" w:hAnsi="Arial"/>
                <w:sz w:val="16"/>
                <w:szCs w:val="16"/>
                <w:b w:val="1"/>
                <w:bCs w:val="1"/>
                <w:color w:val="auto"/>
              </w:rPr>
              <w:t>Jennifer Piepszak</w:t>
            </w:r>
          </w:p>
        </w:tc>
        <w:tc>
          <w:tcPr>
            <w:tcW w:w="4520" w:type="dxa"/>
            <w:vAlign w:val="bottom"/>
            <w:tcBorders>
              <w:bottom w:val="single" w:sz="8" w:color="333333"/>
            </w:tcBorders>
          </w:tcPr>
          <w:p>
            <w:pPr>
              <w:jc w:val="right"/>
              <w:ind w:right="480"/>
              <w:spacing w:after="0"/>
              <w:rPr>
                <w:sz w:val="20"/>
                <w:szCs w:val="20"/>
                <w:color w:val="auto"/>
              </w:rPr>
            </w:pPr>
            <w:r>
              <w:rPr>
                <w:rFonts w:ascii="Arial" w:cs="Arial" w:eastAsia="Arial" w:hAnsi="Arial"/>
                <w:sz w:val="16"/>
                <w:szCs w:val="16"/>
                <w:color w:val="auto"/>
              </w:rPr>
              <w:t>16</w:t>
            </w:r>
          </w:p>
        </w:tc>
        <w:tc>
          <w:tcPr>
            <w:tcW w:w="2200" w:type="dxa"/>
            <w:vAlign w:val="bottom"/>
            <w:tcBorders>
              <w:bottom w:val="single" w:sz="8" w:color="333333"/>
            </w:tcBorders>
          </w:tcPr>
          <w:p>
            <w:pPr>
              <w:jc w:val="right"/>
              <w:ind w:right="219"/>
              <w:spacing w:after="0"/>
              <w:rPr>
                <w:sz w:val="20"/>
                <w:szCs w:val="20"/>
                <w:color w:val="auto"/>
              </w:rPr>
            </w:pPr>
            <w:r>
              <w:rPr>
                <w:rFonts w:ascii="Arial" w:cs="Arial" w:eastAsia="Arial" w:hAnsi="Arial"/>
                <w:sz w:val="16"/>
                <w:szCs w:val="16"/>
                <w:color w:val="auto"/>
              </w:rPr>
              <w:t>480</w:t>
            </w:r>
          </w:p>
        </w:tc>
      </w:tr>
    </w:tbl>
    <w:p>
      <w:pPr>
        <w:spacing w:after="0" w:line="75" w:lineRule="exact"/>
        <w:rPr>
          <w:sz w:val="20"/>
          <w:szCs w:val="20"/>
          <w:color w:val="auto"/>
        </w:rPr>
      </w:pPr>
    </w:p>
    <w:p>
      <w:pPr>
        <w:ind w:left="340" w:right="60" w:hanging="175"/>
        <w:spacing w:after="0" w:line="229" w:lineRule="auto"/>
        <w:tabs>
          <w:tab w:leader="none" w:pos="340" w:val="left"/>
        </w:tabs>
        <w:numPr>
          <w:ilvl w:val="0"/>
          <w:numId w:val="189"/>
        </w:numPr>
        <w:rPr>
          <w:rFonts w:ascii="Arial" w:cs="Arial" w:eastAsia="Arial" w:hAnsi="Arial"/>
          <w:sz w:val="11"/>
          <w:szCs w:val="11"/>
          <w:color w:val="auto"/>
        </w:rPr>
      </w:pPr>
      <w:r>
        <w:rPr>
          <w:rFonts w:ascii="Arial" w:cs="Arial" w:eastAsia="Arial" w:hAnsi="Arial"/>
          <w:sz w:val="13"/>
          <w:szCs w:val="13"/>
          <w:color w:val="auto"/>
        </w:rPr>
        <w:t>The Deferred Compensation Plan allows participants to direct their deferrals among several investment choices, including JPMorgan Chase common stock; an interest income fund based 50% on a weighted average of returns by Hartford Investment Management Company SVA Bond Index Division and 50% by Newport Group designated set of general account life insurance policies owned by JPMorgan Chase; Hartford funds indexed to fixed income, bond, balanced, S&amp;P 500, Russell 2000 and international portfolios; and Hartford investments in Vanguard Variable Insurance Fund high-yield bond, mid-cap and REIT index. In addition, there are balances in deemed investment choices from heritage company plans that are no longer open to new deferrals. Investment returns in 2019 for the following investment choices were: Short-Term Fixed Income, 3.36%; Interest Income, 3.35%; Barclays Capital U.S. Aggregate Bond Index, 8.72%; High-Yield, 15.67%; Balanced Portfolio, 19.87%; S&amp;P 500 Index, 31.45%; Mid-Cap Index, 30.87%; Russell 2000 Index, 25.43%; REIT Index, 28.81%; International, 31.22%; and JPMorgan Chase common stock, including dividend equivalents, 47.27%.</w:t>
      </w:r>
    </w:p>
    <w:p>
      <w:pPr>
        <w:spacing w:after="0" w:line="27" w:lineRule="exact"/>
        <w:rPr>
          <w:rFonts w:ascii="Arial" w:cs="Arial" w:eastAsia="Arial" w:hAnsi="Arial"/>
          <w:sz w:val="11"/>
          <w:szCs w:val="11"/>
          <w:color w:val="auto"/>
        </w:rPr>
      </w:pPr>
    </w:p>
    <w:p>
      <w:pPr>
        <w:ind w:left="340" w:right="20"/>
        <w:spacing w:after="0" w:line="221" w:lineRule="auto"/>
        <w:rPr>
          <w:rFonts w:ascii="Arial" w:cs="Arial" w:eastAsia="Arial" w:hAnsi="Arial"/>
          <w:sz w:val="11"/>
          <w:szCs w:val="11"/>
          <w:color w:val="auto"/>
        </w:rPr>
      </w:pPr>
      <w:r>
        <w:rPr>
          <w:rFonts w:ascii="Arial" w:cs="Arial" w:eastAsia="Arial" w:hAnsi="Arial"/>
          <w:sz w:val="13"/>
          <w:szCs w:val="13"/>
          <w:color w:val="auto"/>
        </w:rPr>
        <w:t>Beginning with deferrals credited January 2005 under the Deferred Compensation Plan, participants were required to elect to receive distribution of the deferral balance beginning either following retirement or termination or in a specific year but no earlier than the second anniversary of the date the deferral would otherwise have been paid. If retirement or termination were elected, payments will commence during the calendar year following retirement or termination. Participants may elect the distribution to be lump sum or annual installments for a maximum of 15 years. With respect to deferrals made after December 31, 2004, under the Deferred Compensation Plan, account balances are automatically paid as a lump sum in the year following termination if employment terminates prior to the participant attaining 15 years of service. With respect to deferrals made after December 31, 2017, account balances are automatically paid as a lump sum in the year following termination if employment terminates prior to the participant attaining 5 years of service.</w:t>
      </w:r>
    </w:p>
    <w:p>
      <w:pPr>
        <w:spacing w:after="0" w:line="24" w:lineRule="exact"/>
        <w:rPr>
          <w:rFonts w:ascii="Arial" w:cs="Arial" w:eastAsia="Arial" w:hAnsi="Arial"/>
          <w:sz w:val="11"/>
          <w:szCs w:val="11"/>
          <w:color w:val="auto"/>
        </w:rPr>
      </w:pPr>
    </w:p>
    <w:p>
      <w:pPr>
        <w:ind w:left="340" w:right="220"/>
        <w:spacing w:after="0" w:line="225" w:lineRule="auto"/>
        <w:rPr>
          <w:rFonts w:ascii="Arial" w:cs="Arial" w:eastAsia="Arial" w:hAnsi="Arial"/>
          <w:sz w:val="11"/>
          <w:szCs w:val="11"/>
          <w:color w:val="auto"/>
        </w:rPr>
      </w:pPr>
      <w:r>
        <w:rPr>
          <w:rFonts w:ascii="Arial" w:cs="Arial" w:eastAsia="Arial" w:hAnsi="Arial"/>
          <w:sz w:val="13"/>
          <w:szCs w:val="13"/>
          <w:color w:val="auto"/>
        </w:rPr>
        <w:t>The Supplemental Savings and Investment Plan (“SSIP”) is a heritage plan applicable to former Bank One employees which is closed to new participants and does not permit new deferrals. It functions similarly to the Deferred Compensation Plan. The investment return in 2019 for the following investment choice was: Short-Term Fixed Income, 2.54%. With respect to the SSIP, account balances are automatically paid as a lump sum in the year following termination unless an installment option is elected prior to termination of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242570</wp:posOffset>
            </wp:positionV>
            <wp:extent cx="7029450" cy="19685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029450" cy="19685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jc w:val="center"/>
        <w:ind w:right="-119"/>
        <w:spacing w:after="0"/>
        <w:rPr>
          <w:sz w:val="20"/>
          <w:szCs w:val="20"/>
          <w:color w:val="auto"/>
        </w:rPr>
      </w:pPr>
      <w:r>
        <w:rPr>
          <w:rFonts w:ascii="Arial" w:cs="Arial" w:eastAsia="Arial" w:hAnsi="Arial"/>
          <w:sz w:val="13"/>
          <w:szCs w:val="13"/>
          <w:b w:val="1"/>
          <w:bCs w:val="1"/>
          <w:color w:val="004876"/>
        </w:rPr>
        <w:t>79</w:t>
      </w:r>
    </w:p>
    <w:p>
      <w:pPr>
        <w:sectPr>
          <w:pgSz w:w="11900" w:h="16838" w:orient="portrait"/>
          <w:cols w:equalWidth="0" w:num="1">
            <w:col w:w="11140"/>
          </w:cols>
          <w:pgMar w:left="320" w:top="459" w:right="439" w:bottom="1440" w:gutter="0" w:footer="0" w:header="0"/>
          <w:type w:val="continuous"/>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4876"/>
        </w:rPr>
        <w:t>EXECUTIVE COMPENSATION TABLES |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10" w:lineRule="exact"/>
        <w:rPr>
          <w:sz w:val="20"/>
          <w:szCs w:val="20"/>
          <w:color w:val="auto"/>
        </w:rPr>
      </w:pPr>
    </w:p>
    <w:p>
      <w:pPr>
        <w:ind w:left="120"/>
        <w:spacing w:after="0"/>
        <w:rPr>
          <w:sz w:val="20"/>
          <w:szCs w:val="20"/>
          <w:color w:val="auto"/>
        </w:rPr>
      </w:pPr>
      <w:r>
        <w:rPr>
          <w:rFonts w:ascii="Arial" w:cs="Arial" w:eastAsia="Arial" w:hAnsi="Arial"/>
          <w:sz w:val="20"/>
          <w:szCs w:val="20"/>
          <w:color w:val="004876"/>
        </w:rPr>
        <w:t>VII. 2019 POTENTIAL PAYMENTS UPON TERMINATION OR CHANGE IN CONTROL</w:t>
      </w:r>
    </w:p>
    <w:p>
      <w:pPr>
        <w:spacing w:after="0" w:line="97" w:lineRule="exact"/>
        <w:rPr>
          <w:sz w:val="20"/>
          <w:szCs w:val="20"/>
          <w:color w:val="auto"/>
        </w:rPr>
      </w:pPr>
    </w:p>
    <w:p>
      <w:pPr>
        <w:ind w:left="120" w:right="60"/>
        <w:spacing w:after="0" w:line="246" w:lineRule="auto"/>
        <w:rPr>
          <w:sz w:val="20"/>
          <w:szCs w:val="20"/>
          <w:color w:val="auto"/>
        </w:rPr>
      </w:pPr>
      <w:r>
        <w:rPr>
          <w:rFonts w:ascii="Arial" w:cs="Arial" w:eastAsia="Arial" w:hAnsi="Arial"/>
          <w:sz w:val="18"/>
          <w:szCs w:val="18"/>
          <w:color w:val="auto"/>
        </w:rPr>
        <w:t>We believe our pay practices relating to termination events, summarized below, illustrate our commitment to sound corporate governance, are consistent with best practices and are aligned with the interests of shareholders.</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TERMINATION POLICIES ALIGNED WITH SHAREHOLDER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62865</wp:posOffset>
            </wp:positionV>
            <wp:extent cx="6995160" cy="39433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6995160" cy="39433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347"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 golden parachute agreements</w:t>
      </w:r>
    </w:p>
    <w:p>
      <w:pPr>
        <w:spacing w:after="0" w:line="200" w:lineRule="exact"/>
        <w:rPr>
          <w:sz w:val="20"/>
          <w:szCs w:val="20"/>
          <w:color w:val="auto"/>
        </w:rPr>
      </w:pPr>
    </w:p>
    <w:p>
      <w:pPr>
        <w:spacing w:after="0" w:line="37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 employment agreements</w:t>
      </w:r>
    </w:p>
    <w:p>
      <w:pPr>
        <w:spacing w:after="0" w:line="200" w:lineRule="exact"/>
        <w:rPr>
          <w:sz w:val="20"/>
          <w:szCs w:val="20"/>
          <w:color w:val="auto"/>
        </w:rPr>
      </w:pPr>
    </w:p>
    <w:p>
      <w:pPr>
        <w:spacing w:after="0" w:line="37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 special cash severance</w:t>
      </w:r>
    </w:p>
    <w:p>
      <w:pPr>
        <w:spacing w:after="0" w:line="27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 special executive benefits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ind w:left="149" w:right="340" w:hanging="149"/>
        <w:spacing w:after="0" w:line="246" w:lineRule="auto"/>
        <w:tabs>
          <w:tab w:leader="none" w:pos="139" w:val="left"/>
        </w:tabs>
        <w:numPr>
          <w:ilvl w:val="0"/>
          <w:numId w:val="190"/>
        </w:numPr>
        <w:rPr>
          <w:rFonts w:ascii="Arial" w:cs="Arial" w:eastAsia="Arial" w:hAnsi="Arial"/>
          <w:sz w:val="18"/>
          <w:szCs w:val="18"/>
          <w:color w:val="004876"/>
        </w:rPr>
      </w:pPr>
      <w:r>
        <w:rPr>
          <w:rFonts w:ascii="Arial" w:cs="Arial" w:eastAsia="Arial" w:hAnsi="Arial"/>
          <w:sz w:val="18"/>
          <w:szCs w:val="18"/>
          <w:color w:val="auto"/>
        </w:rPr>
        <w:t>NEOs are not entitled to any accelerated cash/equity payments or special benefits upon a change in control</w:t>
      </w:r>
    </w:p>
    <w:p>
      <w:pPr>
        <w:spacing w:after="0" w:line="183" w:lineRule="exact"/>
        <w:rPr>
          <w:rFonts w:ascii="Arial" w:cs="Arial" w:eastAsia="Arial" w:hAnsi="Arial"/>
          <w:sz w:val="18"/>
          <w:szCs w:val="18"/>
          <w:color w:val="004876"/>
        </w:rPr>
      </w:pPr>
    </w:p>
    <w:p>
      <w:pPr>
        <w:ind w:left="149" w:right="540" w:hanging="149"/>
        <w:spacing w:after="0" w:line="246" w:lineRule="auto"/>
        <w:tabs>
          <w:tab w:leader="none" w:pos="139" w:val="left"/>
        </w:tabs>
        <w:numPr>
          <w:ilvl w:val="0"/>
          <w:numId w:val="190"/>
        </w:numPr>
        <w:rPr>
          <w:rFonts w:ascii="Arial" w:cs="Arial" w:eastAsia="Arial" w:hAnsi="Arial"/>
          <w:sz w:val="18"/>
          <w:szCs w:val="18"/>
          <w:color w:val="004876"/>
        </w:rPr>
      </w:pPr>
      <w:r>
        <w:rPr>
          <w:rFonts w:ascii="Arial" w:cs="Arial" w:eastAsia="Arial" w:hAnsi="Arial"/>
          <w:sz w:val="18"/>
          <w:szCs w:val="18"/>
          <w:color w:val="auto"/>
        </w:rPr>
        <w:t>All of the U.S. based NEOs are “at will” employees and are not covered by employment agreements</w:t>
      </w:r>
    </w:p>
    <w:p>
      <w:pPr>
        <w:spacing w:after="0" w:line="102" w:lineRule="exact"/>
        <w:rPr>
          <w:rFonts w:ascii="Arial" w:cs="Arial" w:eastAsia="Arial" w:hAnsi="Arial"/>
          <w:sz w:val="18"/>
          <w:szCs w:val="18"/>
          <w:color w:val="004876"/>
        </w:rPr>
      </w:pPr>
    </w:p>
    <w:p>
      <w:pPr>
        <w:ind w:left="129" w:hanging="129"/>
        <w:spacing w:after="0"/>
        <w:tabs>
          <w:tab w:leader="none" w:pos="129" w:val="left"/>
        </w:tabs>
        <w:numPr>
          <w:ilvl w:val="0"/>
          <w:numId w:val="190"/>
        </w:numPr>
        <w:rPr>
          <w:rFonts w:ascii="Arial" w:cs="Arial" w:eastAsia="Arial" w:hAnsi="Arial"/>
          <w:sz w:val="17"/>
          <w:szCs w:val="17"/>
          <w:color w:val="004876"/>
        </w:rPr>
      </w:pPr>
      <w:r>
        <w:rPr>
          <w:rFonts w:ascii="Arial" w:cs="Arial" w:eastAsia="Arial" w:hAnsi="Arial"/>
          <w:sz w:val="17"/>
          <w:szCs w:val="17"/>
          <w:color w:val="auto"/>
        </w:rPr>
        <w:t>Mr. Pinto and Ms. Lake have terms of employment that reflect applicable U.K. legal standards</w:t>
      </w:r>
    </w:p>
    <w:p>
      <w:pPr>
        <w:spacing w:after="0" w:line="250" w:lineRule="exact"/>
        <w:rPr>
          <w:rFonts w:ascii="Arial" w:cs="Arial" w:eastAsia="Arial" w:hAnsi="Arial"/>
          <w:sz w:val="17"/>
          <w:szCs w:val="17"/>
          <w:color w:val="004876"/>
        </w:rPr>
      </w:pPr>
    </w:p>
    <w:p>
      <w:pPr>
        <w:ind w:left="149" w:right="400" w:hanging="149"/>
        <w:spacing w:after="0" w:line="246" w:lineRule="auto"/>
        <w:tabs>
          <w:tab w:leader="none" w:pos="139" w:val="left"/>
        </w:tabs>
        <w:numPr>
          <w:ilvl w:val="0"/>
          <w:numId w:val="190"/>
        </w:numPr>
        <w:rPr>
          <w:rFonts w:ascii="Arial" w:cs="Arial" w:eastAsia="Arial" w:hAnsi="Arial"/>
          <w:sz w:val="18"/>
          <w:szCs w:val="18"/>
          <w:color w:val="004876"/>
        </w:rPr>
      </w:pPr>
      <w:r>
        <w:rPr>
          <w:rFonts w:ascii="Arial" w:cs="Arial" w:eastAsia="Arial" w:hAnsi="Arial"/>
          <w:sz w:val="18"/>
          <w:szCs w:val="18"/>
          <w:color w:val="auto"/>
        </w:rPr>
        <w:t>Severance amounts for NEOs are capped at one-year salary, not to exceed $400,000 (or £275,000 in the case of Mr. Pinto and Ms. Lake)</w:t>
      </w:r>
    </w:p>
    <w:p>
      <w:pPr>
        <w:spacing w:after="0" w:line="183" w:lineRule="exact"/>
        <w:rPr>
          <w:rFonts w:ascii="Arial" w:cs="Arial" w:eastAsia="Arial" w:hAnsi="Arial"/>
          <w:sz w:val="18"/>
          <w:szCs w:val="18"/>
          <w:color w:val="004876"/>
        </w:rPr>
      </w:pPr>
    </w:p>
    <w:p>
      <w:pPr>
        <w:ind w:left="129" w:hanging="129"/>
        <w:spacing w:after="0"/>
        <w:tabs>
          <w:tab w:leader="none" w:pos="129" w:val="left"/>
        </w:tabs>
        <w:numPr>
          <w:ilvl w:val="0"/>
          <w:numId w:val="190"/>
        </w:numPr>
        <w:rPr>
          <w:rFonts w:ascii="Arial" w:cs="Arial" w:eastAsia="Arial" w:hAnsi="Arial"/>
          <w:sz w:val="18"/>
          <w:szCs w:val="18"/>
          <w:color w:val="004876"/>
        </w:rPr>
      </w:pPr>
      <w:r>
        <w:rPr>
          <w:rFonts w:ascii="Arial" w:cs="Arial" w:eastAsia="Arial" w:hAnsi="Arial"/>
          <w:sz w:val="18"/>
          <w:szCs w:val="18"/>
          <w:color w:val="auto"/>
        </w:rPr>
        <w:t>NEOs are not entitled to any special benefits upon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-2167890</wp:posOffset>
            </wp:positionH>
            <wp:positionV relativeFrom="paragraph">
              <wp:posOffset>-584835</wp:posOffset>
            </wp:positionV>
            <wp:extent cx="6995160" cy="38608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6995160" cy="3860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40" w:space="491"/>
            <w:col w:w="7609"/>
          </w:cols>
          <w:pgMar w:left="320" w:top="459" w:right="439" w:bottom="1440" w:gutter="0" w:footer="0" w:header="0"/>
          <w:type w:val="continuous"/>
        </w:sectPr>
      </w:pP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Standard, broad-based severance</w:t>
      </w:r>
    </w:p>
    <w:p>
      <w:pPr>
        <w:spacing w:after="0" w:line="58"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Mr. Dimon, Mr. Smith, Ms. Erdoes and Ms. Piepszak are covered under the Firm’s broad-based U.S. Severance Pay Plan. Benefits under the U.S. Severance Pay Plan are based on an employee’s base salary and length of service on termination of employment. Employees remain eligible for coverage at active employee rates under certain of the Firm’s employee welfare plans (such as medical and dental) for up to six months after their employment terminates. Mr. Pinto and Ms. Lake are covered under the Firm’s U.K. Discretionary Redundancy Policy, which provides for a lump sum payment on termination based on base salary and length of service and subject to a cap of £275,000. In addition, in the event of termination by the Firm for reasons other than cause, employees may be considered, at the discretion of the Firm, for a cash payment in lieu of an annual incentive compensation award, taking into consideration all circumstances the Firm deems relevant, including the circumstances of the employee’s leaving and the employee’s contributions to the Firm over his or her career. Severance benefits and any such discretionary payment are subject to execution of a release in favor of the Firm and certain post-termination restrictions.</w:t>
      </w:r>
    </w:p>
    <w:p>
      <w:pPr>
        <w:spacing w:after="0" w:line="105"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The table on the following page sets forth the benefits and compensation which the Named Executive Officers would have received if their employment had terminated on December 31, 2019. The amounts shown in the table on the following page do not include other payments and benefits available generally to salaried employees upon termination of employment, such as accrued vacation pay, distributions from the 401(k) Savings Plan, pension and</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deferred compensation plans, or any death, disability or post-retirement welfare benefits available under broad-based employee plans. For information on the pension and deferred compensation plans, see “Table V: 2019 Pension benefits” on page 78 and “Table VI: 2019 Non-qualified deferred compensation” on page 79. Such tables also do not show the value of vested SARs, which are listed In “Table III: Outstanding equity awards at fiscal year-end 2019” on pages 76 and 77. There are no unvested SARs outstanding on December 31, 2019.</w:t>
      </w:r>
    </w:p>
    <w:p>
      <w:pPr>
        <w:spacing w:after="0" w:line="99"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NEOs are not entitled to any additional equity awards in connection with a potential termination. Rather, under certain termination scenarios including disability, death, termination without cause, or resignation (if full-career eligible), NEOs’ outstanding equity awards continue to vest in accordance with their terms (or accelerate in the event of death). The table on the following page shows the value of these unvested RSUs and PSUs based on the closing price of our common stock on December 31, 2019.</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Office provision</w:t>
      </w:r>
    </w:p>
    <w:p>
      <w:pPr>
        <w:spacing w:after="0" w:line="58"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Employees with applicable awards, including NEOs, are covered under the Firm’s Government Office provision which allows for continued vesting of equity awards if the employee resigns to accept a covered government office. For such employees who are full-career eligible, outstanding performance year awards continue to vest in accordance with their terms whether they leave the Firm to enter government service or otherwise, so the Government Office provision does not provide any benefit to employees who are full-career eligible. All NEOs meet the full-career eligibility provision of their applicable awards.</w:t>
      </w:r>
      <w:r>
        <w:rPr>
          <w:rFonts w:ascii="Arial" w:cs="Arial" w:eastAsia="Arial" w:hAnsi="Arial"/>
          <w:sz w:val="15"/>
          <w:szCs w:val="15"/>
          <w:color w:val="auto"/>
        </w:rPr>
        <w:t>1</w:t>
      </w:r>
    </w:p>
    <w:p>
      <w:pPr>
        <w:spacing w:after="0" w:line="200" w:lineRule="exact"/>
        <w:rPr>
          <w:sz w:val="20"/>
          <w:szCs w:val="20"/>
          <w:color w:val="auto"/>
        </w:rPr>
      </w:pPr>
    </w:p>
    <w:p>
      <w:pPr>
        <w:sectPr>
          <w:pgSz w:w="11900" w:h="16838" w:orient="portrait"/>
          <w:cols w:equalWidth="0" w:num="2">
            <w:col w:w="5320" w:space="420"/>
            <w:col w:w="5400"/>
          </w:cols>
          <w:pgMar w:left="320" w:top="459" w:right="439" w:bottom="1440" w:gutter="0" w:footer="0" w:header="0"/>
          <w:type w:val="continuous"/>
        </w:sectPr>
      </w:pPr>
    </w:p>
    <w:p>
      <w:pPr>
        <w:spacing w:after="0" w:line="82" w:lineRule="exact"/>
        <w:rPr>
          <w:sz w:val="20"/>
          <w:szCs w:val="20"/>
          <w:color w:val="auto"/>
        </w:rPr>
      </w:pPr>
    </w:p>
    <w:p>
      <w:pPr>
        <w:ind w:left="340" w:hanging="210"/>
        <w:spacing w:after="0"/>
        <w:tabs>
          <w:tab w:leader="none" w:pos="340" w:val="left"/>
        </w:tabs>
        <w:numPr>
          <w:ilvl w:val="0"/>
          <w:numId w:val="191"/>
        </w:numPr>
        <w:rPr>
          <w:rFonts w:ascii="Arial" w:cs="Arial" w:eastAsia="Arial" w:hAnsi="Arial"/>
          <w:sz w:val="11"/>
          <w:szCs w:val="11"/>
          <w:color w:val="auto"/>
        </w:rPr>
      </w:pPr>
      <w:r>
        <w:rPr>
          <w:rFonts w:ascii="Arial" w:cs="Arial" w:eastAsia="Arial" w:hAnsi="Arial"/>
          <w:sz w:val="13"/>
          <w:szCs w:val="13"/>
          <w:color w:val="auto"/>
        </w:rPr>
        <w:t>Refer to Notes 4 and 5 on page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260350</wp:posOffset>
            </wp:positionV>
            <wp:extent cx="7029450" cy="19748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029450" cy="19748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jc w:val="center"/>
        <w:ind w:right="-99"/>
        <w:spacing w:after="0"/>
        <w:rPr>
          <w:sz w:val="20"/>
          <w:szCs w:val="20"/>
          <w:color w:val="auto"/>
        </w:rPr>
      </w:pPr>
      <w:r>
        <w:rPr>
          <w:rFonts w:ascii="Arial" w:cs="Arial" w:eastAsia="Arial" w:hAnsi="Arial"/>
          <w:sz w:val="13"/>
          <w:szCs w:val="13"/>
          <w:b w:val="1"/>
          <w:bCs w:val="1"/>
          <w:color w:val="004876"/>
        </w:rPr>
        <w:t>80</w:t>
      </w:r>
    </w:p>
    <w:p>
      <w:pPr>
        <w:sectPr>
          <w:pgSz w:w="11900" w:h="16838" w:orient="portrait"/>
          <w:cols w:equalWidth="0" w:num="1">
            <w:col w:w="11140"/>
          </w:cols>
          <w:pgMar w:left="320" w:top="459" w:right="439" w:bottom="1440" w:gutter="0" w:footer="0" w:header="0"/>
          <w:type w:val="continuous"/>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04876"/>
        </w:rPr>
        <w:t>EXECUTIVE COMPENSATION | 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1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employees who are not full-career eligible, the value of awards that would continue to vest as a result of the Government Office provision of our equity plan would equal a percentage of the unvested stock awards shown in Table III ranging from 0% prior to three years of employment by the Firm to 50% after three years of employment increasing to 100% after five years.</w:t>
      </w:r>
    </w:p>
    <w:p>
      <w:pPr>
        <w:spacing w:after="0" w:line="95"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The Firm’s Government Office provision allows for accelerated vesting of the awards otherwise eligible for continued vesting, as described above, only if government ethics or conflicts of interest laws require divestiture of unvested awards and do not allow continued vesting. Notwithstanding acceleration of any awards, the former employee remains subject to the applicable terms of the award agreement as if the award had remained outstanding for the duration of the original vesting period, including the clawback provisions and post-employment obligations.</w:t>
      </w:r>
    </w:p>
    <w:p>
      <w:pPr>
        <w:spacing w:after="0" w:line="9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Any awards not eligible for continued vesting under the terms of the plan are forfeited and they do not accelerate.</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2019, no current or former OC member received any benefits under the Government Office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246380</wp:posOffset>
            </wp:positionV>
            <wp:extent cx="7029450" cy="19685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029450" cy="19685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jc w:val="center"/>
        <w:ind w:right="-119"/>
        <w:spacing w:after="0"/>
        <w:rPr>
          <w:sz w:val="20"/>
          <w:szCs w:val="20"/>
          <w:color w:val="auto"/>
        </w:rPr>
      </w:pPr>
      <w:r>
        <w:rPr>
          <w:rFonts w:ascii="Arial" w:cs="Arial" w:eastAsia="Arial" w:hAnsi="Arial"/>
          <w:sz w:val="13"/>
          <w:szCs w:val="13"/>
          <w:b w:val="1"/>
          <w:bCs w:val="1"/>
          <w:color w:val="004876"/>
        </w:rPr>
        <w:t>81</w:t>
      </w:r>
    </w:p>
    <w:p>
      <w:pPr>
        <w:sectPr>
          <w:pgSz w:w="11900" w:h="16838" w:orient="portrait"/>
          <w:cols w:equalWidth="0" w:num="1">
            <w:col w:w="11120"/>
          </w:cols>
          <w:pgMar w:left="320" w:top="459" w:right="4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4876"/>
        </w:rPr>
        <w:t>EXECUTIVE COMPENSATION TABLES |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2019 POTENTIAL PAYMENTS UPON TERMINATION OR CHANGE IN CONTROL</w:t>
      </w:r>
    </w:p>
    <w:p>
      <w:pPr>
        <w:spacing w:after="0" w:line="18" w:lineRule="exact"/>
        <w:rPr>
          <w:sz w:val="20"/>
          <w:szCs w:val="20"/>
          <w:color w:val="auto"/>
        </w:rPr>
      </w:pPr>
    </w:p>
    <w:tbl>
      <w:tblPr>
        <w:tblLayout w:type="fixed"/>
        <w:tblInd w:w="120" w:type="dxa"/>
        <w:tblCellMar>
          <w:top w:w="0" w:type="dxa"/>
          <w:left w:w="0" w:type="dxa"/>
          <w:bottom w:w="0" w:type="dxa"/>
          <w:right w:w="0" w:type="dxa"/>
        </w:tblCellMar>
      </w:tblPr>
      <w:tr>
        <w:trPr>
          <w:trHeight w:val="310"/>
        </w:trPr>
        <w:tc>
          <w:tcPr>
            <w:tcW w:w="21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80" w:type="dxa"/>
            <w:vAlign w:val="bottom"/>
            <w:tcBorders>
              <w:bottom w:val="single" w:sz="8" w:color="333333"/>
            </w:tcBorders>
          </w:tcPr>
          <w:p>
            <w:pPr>
              <w:spacing w:after="0"/>
              <w:rPr>
                <w:sz w:val="24"/>
                <w:szCs w:val="24"/>
                <w:color w:val="auto"/>
              </w:rPr>
            </w:pPr>
          </w:p>
        </w:tc>
        <w:tc>
          <w:tcPr>
            <w:tcW w:w="1100" w:type="dxa"/>
            <w:vAlign w:val="bottom"/>
            <w:tcBorders>
              <w:bottom w:val="single" w:sz="8" w:color="333333"/>
            </w:tcBorders>
          </w:tcPr>
          <w:p>
            <w:pPr>
              <w:spacing w:after="0"/>
              <w:rPr>
                <w:sz w:val="24"/>
                <w:szCs w:val="24"/>
                <w:color w:val="auto"/>
              </w:rPr>
            </w:pPr>
          </w:p>
        </w:tc>
        <w:tc>
          <w:tcPr>
            <w:tcW w:w="300" w:type="dxa"/>
            <w:vAlign w:val="bottom"/>
            <w:tcBorders>
              <w:bottom w:val="single" w:sz="8" w:color="333333"/>
            </w:tcBorders>
          </w:tcPr>
          <w:p>
            <w:pPr>
              <w:spacing w:after="0"/>
              <w:rPr>
                <w:sz w:val="24"/>
                <w:szCs w:val="24"/>
                <w:color w:val="auto"/>
              </w:rPr>
            </w:pPr>
          </w:p>
        </w:tc>
        <w:tc>
          <w:tcPr>
            <w:tcW w:w="2460" w:type="dxa"/>
            <w:vAlign w:val="bottom"/>
            <w:tcBorders>
              <w:bottom w:val="single" w:sz="8" w:color="333333"/>
            </w:tcBorders>
            <w:gridSpan w:val="3"/>
          </w:tcPr>
          <w:p>
            <w:pPr>
              <w:jc w:val="right"/>
              <w:ind w:right="59"/>
              <w:spacing w:after="0"/>
              <w:rPr>
                <w:sz w:val="20"/>
                <w:szCs w:val="20"/>
                <w:color w:val="auto"/>
              </w:rPr>
            </w:pPr>
            <w:r>
              <w:rPr>
                <w:rFonts w:ascii="Arial" w:cs="Arial" w:eastAsia="Arial" w:hAnsi="Arial"/>
                <w:sz w:val="16"/>
                <w:szCs w:val="16"/>
                <w:color w:val="auto"/>
              </w:rPr>
              <w:t>Termination reason</w:t>
            </w:r>
            <w:r>
              <w:rPr>
                <w:rFonts w:ascii="Arial" w:cs="Arial" w:eastAsia="Arial" w:hAnsi="Arial"/>
                <w:sz w:val="27"/>
                <w:szCs w:val="27"/>
                <w:color w:val="auto"/>
                <w:vertAlign w:val="superscript"/>
              </w:rPr>
              <w:t>1</w:t>
            </w:r>
          </w:p>
        </w:tc>
        <w:tc>
          <w:tcPr>
            <w:tcW w:w="540" w:type="dxa"/>
            <w:vAlign w:val="bottom"/>
            <w:tcBorders>
              <w:bottom w:val="single" w:sz="8" w:color="333333"/>
            </w:tcBorders>
          </w:tcPr>
          <w:p>
            <w:pPr>
              <w:spacing w:after="0"/>
              <w:rPr>
                <w:sz w:val="24"/>
                <w:szCs w:val="24"/>
                <w:color w:val="auto"/>
              </w:rPr>
            </w:pPr>
          </w:p>
        </w:tc>
        <w:tc>
          <w:tcPr>
            <w:tcW w:w="880" w:type="dxa"/>
            <w:vAlign w:val="bottom"/>
            <w:tcBorders>
              <w:bottom w:val="single" w:sz="8" w:color="333333"/>
            </w:tcBorders>
          </w:tcPr>
          <w:p>
            <w:pPr>
              <w:spacing w:after="0"/>
              <w:rPr>
                <w:sz w:val="24"/>
                <w:szCs w:val="24"/>
                <w:color w:val="auto"/>
              </w:rPr>
            </w:pPr>
          </w:p>
        </w:tc>
        <w:tc>
          <w:tcPr>
            <w:tcW w:w="500" w:type="dxa"/>
            <w:vAlign w:val="bottom"/>
            <w:tcBorders>
              <w:bottom w:val="single" w:sz="8" w:color="333333"/>
            </w:tcBorders>
          </w:tcPr>
          <w:p>
            <w:pPr>
              <w:spacing w:after="0"/>
              <w:rPr>
                <w:sz w:val="24"/>
                <w:szCs w:val="24"/>
                <w:color w:val="auto"/>
              </w:rPr>
            </w:pPr>
          </w:p>
        </w:tc>
        <w:tc>
          <w:tcPr>
            <w:tcW w:w="480" w:type="dxa"/>
            <w:vAlign w:val="bottom"/>
            <w:tcBorders>
              <w:bottom w:val="single" w:sz="8" w:color="333333"/>
            </w:tcBorders>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1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20" w:type="dxa"/>
            <w:vAlign w:val="bottom"/>
            <w:gridSpan w:val="2"/>
          </w:tcPr>
          <w:p>
            <w:pPr>
              <w:jc w:val="right"/>
              <w:ind w:right="39"/>
              <w:spacing w:after="0"/>
              <w:rPr>
                <w:sz w:val="20"/>
                <w:szCs w:val="20"/>
                <w:color w:val="auto"/>
              </w:rPr>
            </w:pPr>
            <w:r>
              <w:rPr>
                <w:rFonts w:ascii="Arial" w:cs="Arial" w:eastAsia="Arial" w:hAnsi="Arial"/>
                <w:sz w:val="16"/>
                <w:szCs w:val="16"/>
                <w:color w:val="004876"/>
              </w:rPr>
              <w:t>Resignation per</w:t>
            </w:r>
          </w:p>
        </w:tc>
        <w:tc>
          <w:tcPr>
            <w:tcW w:w="1420" w:type="dxa"/>
            <w:vAlign w:val="bottom"/>
            <w:gridSpan w:val="2"/>
          </w:tcPr>
          <w:p>
            <w:pPr>
              <w:jc w:val="right"/>
              <w:ind w:right="39"/>
              <w:spacing w:after="0"/>
              <w:rPr>
                <w:sz w:val="20"/>
                <w:szCs w:val="20"/>
                <w:color w:val="auto"/>
              </w:rPr>
            </w:pPr>
            <w:r>
              <w:rPr>
                <w:rFonts w:ascii="Arial" w:cs="Arial" w:eastAsia="Arial" w:hAnsi="Arial"/>
                <w:sz w:val="16"/>
                <w:szCs w:val="16"/>
                <w:color w:val="004876"/>
              </w:rPr>
              <w:t>Resignation per</w:t>
            </w:r>
          </w:p>
        </w:tc>
        <w:tc>
          <w:tcPr>
            <w:tcW w:w="5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jc w:val="right"/>
              <w:ind w:right="199"/>
              <w:spacing w:after="0"/>
              <w:rPr>
                <w:sz w:val="20"/>
                <w:szCs w:val="20"/>
                <w:color w:val="auto"/>
              </w:rPr>
            </w:pPr>
            <w:r>
              <w:rPr>
                <w:rFonts w:ascii="Arial" w:cs="Arial" w:eastAsia="Arial" w:hAnsi="Arial"/>
                <w:sz w:val="16"/>
                <w:szCs w:val="16"/>
                <w:color w:val="004876"/>
              </w:rPr>
              <w:t>Involuntary</w:t>
            </w:r>
          </w:p>
        </w:tc>
        <w:tc>
          <w:tcPr>
            <w:tcW w:w="1340" w:type="dxa"/>
            <w:vAlign w:val="bottom"/>
            <w:gridSpan w:val="2"/>
            <w:vMerge w:val="restart"/>
          </w:tcPr>
          <w:p>
            <w:pPr>
              <w:ind w:left="120"/>
              <w:spacing w:after="0"/>
              <w:rPr>
                <w:sz w:val="20"/>
                <w:szCs w:val="20"/>
                <w:color w:val="auto"/>
              </w:rPr>
            </w:pPr>
            <w:r>
              <w:rPr>
                <w:rFonts w:ascii="Arial" w:cs="Arial" w:eastAsia="Arial" w:hAnsi="Arial"/>
                <w:sz w:val="16"/>
                <w:szCs w:val="16"/>
                <w:color w:val="004876"/>
              </w:rPr>
              <w:t>Death/Disability</w:t>
            </w:r>
          </w:p>
        </w:tc>
        <w:tc>
          <w:tcPr>
            <w:tcW w:w="200" w:type="dxa"/>
            <w:vAlign w:val="bottom"/>
          </w:tcPr>
          <w:p>
            <w:pPr>
              <w:spacing w:after="0"/>
              <w:rPr>
                <w:sz w:val="16"/>
                <w:szCs w:val="16"/>
                <w:color w:val="auto"/>
              </w:rPr>
            </w:pPr>
          </w:p>
        </w:tc>
        <w:tc>
          <w:tcPr>
            <w:tcW w:w="1220" w:type="dxa"/>
            <w:vAlign w:val="bottom"/>
          </w:tcPr>
          <w:p>
            <w:pPr>
              <w:jc w:val="center"/>
              <w:ind w:right="119"/>
              <w:spacing w:after="0"/>
              <w:rPr>
                <w:sz w:val="20"/>
                <w:szCs w:val="20"/>
                <w:color w:val="auto"/>
              </w:rPr>
            </w:pPr>
            <w:r>
              <w:rPr>
                <w:rFonts w:ascii="Arial" w:cs="Arial" w:eastAsia="Arial" w:hAnsi="Arial"/>
                <w:sz w:val="16"/>
                <w:szCs w:val="16"/>
                <w:color w:val="004876"/>
              </w:rPr>
              <w:t>Full-Career</w:t>
            </w:r>
          </w:p>
        </w:tc>
        <w:tc>
          <w:tcPr>
            <w:tcW w:w="1420" w:type="dxa"/>
            <w:vAlign w:val="bottom"/>
            <w:gridSpan w:val="2"/>
          </w:tcPr>
          <w:p>
            <w:pPr>
              <w:jc w:val="right"/>
              <w:ind w:right="199"/>
              <w:spacing w:after="0"/>
              <w:rPr>
                <w:sz w:val="20"/>
                <w:szCs w:val="20"/>
                <w:color w:val="auto"/>
              </w:rPr>
            </w:pPr>
            <w:r>
              <w:rPr>
                <w:rFonts w:ascii="Arial" w:cs="Arial" w:eastAsia="Arial" w:hAnsi="Arial"/>
                <w:sz w:val="16"/>
                <w:szCs w:val="16"/>
                <w:color w:val="004876"/>
              </w:rPr>
              <w:t>Government</w:t>
            </w:r>
          </w:p>
        </w:tc>
        <w:tc>
          <w:tcPr>
            <w:tcW w:w="980" w:type="dxa"/>
            <w:vAlign w:val="bottom"/>
            <w:gridSpan w:val="2"/>
            <w:vMerge w:val="restart"/>
          </w:tcPr>
          <w:p>
            <w:pPr>
              <w:jc w:val="right"/>
              <w:ind w:right="19"/>
              <w:spacing w:after="0"/>
              <w:rPr>
                <w:sz w:val="20"/>
                <w:szCs w:val="20"/>
                <w:color w:val="auto"/>
              </w:rPr>
            </w:pPr>
            <w:r>
              <w:rPr>
                <w:rFonts w:ascii="Arial" w:cs="Arial" w:eastAsia="Arial" w:hAnsi="Arial"/>
                <w:sz w:val="16"/>
                <w:szCs w:val="16"/>
                <w:color w:val="004876"/>
              </w:rPr>
              <w:t>Change in</w:t>
            </w:r>
          </w:p>
        </w:tc>
        <w:tc>
          <w:tcPr>
            <w:tcW w:w="0" w:type="dxa"/>
            <w:vAlign w:val="bottom"/>
          </w:tcPr>
          <w:p>
            <w:pPr>
              <w:spacing w:after="0"/>
              <w:rPr>
                <w:sz w:val="1"/>
                <w:szCs w:val="1"/>
                <w:color w:val="auto"/>
              </w:rPr>
            </w:pPr>
          </w:p>
        </w:tc>
      </w:tr>
      <w:tr>
        <w:trPr>
          <w:trHeight w:val="170"/>
        </w:trPr>
        <w:tc>
          <w:tcPr>
            <w:tcW w:w="21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380" w:type="dxa"/>
            <w:vAlign w:val="bottom"/>
            <w:gridSpan w:val="2"/>
          </w:tcPr>
          <w:p>
            <w:pPr>
              <w:ind w:left="180"/>
              <w:spacing w:after="0" w:line="171" w:lineRule="exact"/>
              <w:rPr>
                <w:sz w:val="20"/>
                <w:szCs w:val="20"/>
                <w:color w:val="auto"/>
              </w:rPr>
            </w:pPr>
            <w:r>
              <w:rPr>
                <w:rFonts w:ascii="Arial" w:cs="Arial" w:eastAsia="Arial" w:hAnsi="Arial"/>
                <w:sz w:val="16"/>
                <w:szCs w:val="16"/>
                <w:color w:val="004876"/>
              </w:rPr>
              <w:t>without cause</w:t>
            </w:r>
          </w:p>
        </w:tc>
        <w:tc>
          <w:tcPr>
            <w:tcW w:w="13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center"/>
              <w:ind w:right="119"/>
              <w:spacing w:after="0" w:line="171" w:lineRule="exact"/>
              <w:rPr>
                <w:sz w:val="20"/>
                <w:szCs w:val="20"/>
                <w:color w:val="auto"/>
              </w:rPr>
            </w:pPr>
            <w:r>
              <w:rPr>
                <w:rFonts w:ascii="Arial" w:cs="Arial" w:eastAsia="Arial" w:hAnsi="Arial"/>
                <w:sz w:val="16"/>
                <w:szCs w:val="16"/>
                <w:color w:val="004876"/>
                <w:w w:val="99"/>
              </w:rPr>
              <w:t>Eligibility</w:t>
            </w:r>
          </w:p>
        </w:tc>
        <w:tc>
          <w:tcPr>
            <w:tcW w:w="540" w:type="dxa"/>
            <w:vAlign w:val="bottom"/>
          </w:tcPr>
          <w:p>
            <w:pPr>
              <w:jc w:val="right"/>
              <w:spacing w:after="0" w:line="171" w:lineRule="exact"/>
              <w:rPr>
                <w:sz w:val="20"/>
                <w:szCs w:val="20"/>
                <w:color w:val="auto"/>
              </w:rPr>
            </w:pPr>
            <w:r>
              <w:rPr>
                <w:rFonts w:ascii="Arial" w:cs="Arial" w:eastAsia="Arial" w:hAnsi="Arial"/>
                <w:sz w:val="16"/>
                <w:szCs w:val="16"/>
                <w:color w:val="004876"/>
              </w:rPr>
              <w:t>Office</w:t>
            </w:r>
          </w:p>
        </w:tc>
        <w:tc>
          <w:tcPr>
            <w:tcW w:w="880" w:type="dxa"/>
            <w:vAlign w:val="bottom"/>
          </w:tcPr>
          <w:p>
            <w:pPr>
              <w:jc w:val="right"/>
              <w:ind w:right="59"/>
              <w:spacing w:after="0" w:line="171" w:lineRule="exact"/>
              <w:rPr>
                <w:sz w:val="20"/>
                <w:szCs w:val="20"/>
                <w:color w:val="auto"/>
              </w:rPr>
            </w:pPr>
            <w:r>
              <w:rPr>
                <w:rFonts w:ascii="Arial" w:cs="Arial" w:eastAsia="Arial" w:hAnsi="Arial"/>
                <w:sz w:val="16"/>
                <w:szCs w:val="16"/>
                <w:color w:val="004876"/>
              </w:rPr>
              <w:t>provision</w:t>
            </w: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120" w:type="dxa"/>
            <w:vAlign w:val="bottom"/>
            <w:tcBorders>
              <w:bottom w:val="single" w:sz="8" w:color="333333"/>
            </w:tcBorders>
          </w:tcPr>
          <w:p>
            <w:pPr>
              <w:ind w:left="60"/>
              <w:spacing w:after="0"/>
              <w:rPr>
                <w:sz w:val="20"/>
                <w:szCs w:val="20"/>
                <w:color w:val="auto"/>
              </w:rPr>
            </w:pPr>
            <w:r>
              <w:rPr>
                <w:rFonts w:ascii="Arial" w:cs="Arial" w:eastAsia="Arial" w:hAnsi="Arial"/>
                <w:sz w:val="16"/>
                <w:szCs w:val="16"/>
                <w:color w:val="004876"/>
              </w:rPr>
              <w:t>Name</w:t>
            </w:r>
          </w:p>
        </w:tc>
        <w:tc>
          <w:tcPr>
            <w:tcW w:w="2360" w:type="dxa"/>
            <w:vAlign w:val="bottom"/>
            <w:tcBorders>
              <w:bottom w:val="single" w:sz="8" w:color="333333"/>
            </w:tcBorders>
          </w:tcPr>
          <w:p>
            <w:pPr>
              <w:spacing w:after="0"/>
              <w:rPr>
                <w:sz w:val="17"/>
                <w:szCs w:val="17"/>
                <w:color w:val="auto"/>
              </w:rPr>
            </w:pPr>
          </w:p>
        </w:tc>
        <w:tc>
          <w:tcPr>
            <w:tcW w:w="280" w:type="dxa"/>
            <w:vAlign w:val="bottom"/>
            <w:tcBorders>
              <w:bottom w:val="single" w:sz="8" w:color="333333"/>
            </w:tcBorders>
          </w:tcPr>
          <w:p>
            <w:pPr>
              <w:spacing w:after="0"/>
              <w:rPr>
                <w:sz w:val="17"/>
                <w:szCs w:val="17"/>
                <w:color w:val="auto"/>
              </w:rPr>
            </w:pPr>
          </w:p>
        </w:tc>
        <w:tc>
          <w:tcPr>
            <w:tcW w:w="1100" w:type="dxa"/>
            <w:vAlign w:val="bottom"/>
            <w:tcBorders>
              <w:bottom w:val="single" w:sz="8" w:color="333333"/>
            </w:tcBorders>
          </w:tcPr>
          <w:p>
            <w:pPr>
              <w:jc w:val="right"/>
              <w:ind w:right="499"/>
              <w:spacing w:after="0" w:line="205" w:lineRule="exact"/>
              <w:rPr>
                <w:sz w:val="20"/>
                <w:szCs w:val="20"/>
                <w:color w:val="auto"/>
              </w:rPr>
            </w:pPr>
            <w:r>
              <w:rPr>
                <w:rFonts w:ascii="Arial" w:cs="Arial" w:eastAsia="Arial" w:hAnsi="Arial"/>
                <w:sz w:val="14"/>
                <w:szCs w:val="14"/>
                <w:color w:val="004876"/>
              </w:rPr>
              <w:t>($)</w:t>
            </w:r>
            <w:r>
              <w:rPr>
                <w:rFonts w:ascii="Arial" w:cs="Arial" w:eastAsia="Arial" w:hAnsi="Arial"/>
                <w:sz w:val="23"/>
                <w:szCs w:val="23"/>
                <w:color w:val="004876"/>
                <w:vertAlign w:val="superscript"/>
              </w:rPr>
              <w:t>2</w:t>
            </w:r>
          </w:p>
        </w:tc>
        <w:tc>
          <w:tcPr>
            <w:tcW w:w="300" w:type="dxa"/>
            <w:vAlign w:val="bottom"/>
            <w:tcBorders>
              <w:bottom w:val="single" w:sz="8" w:color="333333"/>
            </w:tcBorders>
          </w:tcPr>
          <w:p>
            <w:pPr>
              <w:spacing w:after="0"/>
              <w:rPr>
                <w:sz w:val="17"/>
                <w:szCs w:val="17"/>
                <w:color w:val="auto"/>
              </w:rPr>
            </w:pPr>
          </w:p>
        </w:tc>
        <w:tc>
          <w:tcPr>
            <w:tcW w:w="1040" w:type="dxa"/>
            <w:vAlign w:val="bottom"/>
            <w:tcBorders>
              <w:bottom w:val="single" w:sz="8" w:color="333333"/>
            </w:tcBorders>
          </w:tcPr>
          <w:p>
            <w:pPr>
              <w:jc w:val="right"/>
              <w:ind w:right="439"/>
              <w:spacing w:after="0" w:line="205" w:lineRule="exact"/>
              <w:rPr>
                <w:sz w:val="20"/>
                <w:szCs w:val="20"/>
                <w:color w:val="auto"/>
              </w:rPr>
            </w:pPr>
            <w:r>
              <w:rPr>
                <w:rFonts w:ascii="Arial" w:cs="Arial" w:eastAsia="Arial" w:hAnsi="Arial"/>
                <w:sz w:val="14"/>
                <w:szCs w:val="14"/>
                <w:color w:val="004876"/>
              </w:rPr>
              <w:t>($)</w:t>
            </w:r>
            <w:r>
              <w:rPr>
                <w:rFonts w:ascii="Arial" w:cs="Arial" w:eastAsia="Arial" w:hAnsi="Arial"/>
                <w:sz w:val="23"/>
                <w:szCs w:val="23"/>
                <w:color w:val="004876"/>
                <w:vertAlign w:val="superscript"/>
              </w:rPr>
              <w:t>3</w:t>
            </w:r>
          </w:p>
        </w:tc>
        <w:tc>
          <w:tcPr>
            <w:tcW w:w="200" w:type="dxa"/>
            <w:vAlign w:val="bottom"/>
            <w:tcBorders>
              <w:bottom w:val="single" w:sz="8" w:color="333333"/>
            </w:tcBorders>
          </w:tcPr>
          <w:p>
            <w:pPr>
              <w:spacing w:after="0"/>
              <w:rPr>
                <w:sz w:val="17"/>
                <w:szCs w:val="17"/>
                <w:color w:val="auto"/>
              </w:rPr>
            </w:pPr>
          </w:p>
        </w:tc>
        <w:tc>
          <w:tcPr>
            <w:tcW w:w="1220" w:type="dxa"/>
            <w:vAlign w:val="bottom"/>
            <w:tcBorders>
              <w:bottom w:val="single" w:sz="8" w:color="333333"/>
            </w:tcBorders>
          </w:tcPr>
          <w:p>
            <w:pPr>
              <w:jc w:val="center"/>
              <w:ind w:right="119"/>
              <w:spacing w:after="0" w:line="205" w:lineRule="exact"/>
              <w:rPr>
                <w:sz w:val="20"/>
                <w:szCs w:val="20"/>
                <w:color w:val="auto"/>
              </w:rPr>
            </w:pPr>
            <w:r>
              <w:rPr>
                <w:rFonts w:ascii="Arial" w:cs="Arial" w:eastAsia="Arial" w:hAnsi="Arial"/>
                <w:sz w:val="14"/>
                <w:szCs w:val="14"/>
                <w:color w:val="004876"/>
              </w:rPr>
              <w:t>provision ($)</w:t>
            </w:r>
            <w:r>
              <w:rPr>
                <w:rFonts w:ascii="Arial" w:cs="Arial" w:eastAsia="Arial" w:hAnsi="Arial"/>
                <w:sz w:val="23"/>
                <w:szCs w:val="23"/>
                <w:color w:val="004876"/>
                <w:vertAlign w:val="superscript"/>
              </w:rPr>
              <w:t>4</w:t>
            </w:r>
          </w:p>
        </w:tc>
        <w:tc>
          <w:tcPr>
            <w:tcW w:w="540" w:type="dxa"/>
            <w:vAlign w:val="bottom"/>
            <w:tcBorders>
              <w:bottom w:val="single" w:sz="8" w:color="333333"/>
            </w:tcBorders>
          </w:tcPr>
          <w:p>
            <w:pPr>
              <w:spacing w:after="0"/>
              <w:rPr>
                <w:sz w:val="17"/>
                <w:szCs w:val="17"/>
                <w:color w:val="auto"/>
              </w:rPr>
            </w:pPr>
          </w:p>
        </w:tc>
        <w:tc>
          <w:tcPr>
            <w:tcW w:w="880" w:type="dxa"/>
            <w:vAlign w:val="bottom"/>
            <w:tcBorders>
              <w:bottom w:val="single" w:sz="8" w:color="333333"/>
            </w:tcBorders>
          </w:tcPr>
          <w:p>
            <w:pPr>
              <w:jc w:val="right"/>
              <w:ind w:right="519"/>
              <w:spacing w:after="0" w:line="205" w:lineRule="exact"/>
              <w:rPr>
                <w:sz w:val="20"/>
                <w:szCs w:val="20"/>
                <w:color w:val="auto"/>
              </w:rPr>
            </w:pPr>
            <w:r>
              <w:rPr>
                <w:rFonts w:ascii="Arial" w:cs="Arial" w:eastAsia="Arial" w:hAnsi="Arial"/>
                <w:sz w:val="14"/>
                <w:szCs w:val="14"/>
                <w:color w:val="004876"/>
              </w:rPr>
              <w:t>($)</w:t>
            </w:r>
            <w:r>
              <w:rPr>
                <w:rFonts w:ascii="Arial" w:cs="Arial" w:eastAsia="Arial" w:hAnsi="Arial"/>
                <w:sz w:val="23"/>
                <w:szCs w:val="23"/>
                <w:color w:val="004876"/>
                <w:vertAlign w:val="superscript"/>
              </w:rPr>
              <w:t>5</w:t>
            </w:r>
          </w:p>
        </w:tc>
        <w:tc>
          <w:tcPr>
            <w:tcW w:w="980" w:type="dxa"/>
            <w:vAlign w:val="bottom"/>
            <w:tcBorders>
              <w:bottom w:val="single" w:sz="8" w:color="333333"/>
            </w:tcBorders>
            <w:gridSpan w:val="2"/>
          </w:tcPr>
          <w:p>
            <w:pPr>
              <w:jc w:val="right"/>
              <w:ind w:right="19"/>
              <w:spacing w:after="0"/>
              <w:rPr>
                <w:sz w:val="20"/>
                <w:szCs w:val="20"/>
                <w:color w:val="auto"/>
              </w:rPr>
            </w:pPr>
            <w:r>
              <w:rPr>
                <w:rFonts w:ascii="Arial" w:cs="Arial" w:eastAsia="Arial" w:hAnsi="Arial"/>
                <w:sz w:val="16"/>
                <w:szCs w:val="16"/>
                <w:color w:val="004876"/>
              </w:rPr>
              <w:t>control ($)</w:t>
            </w:r>
          </w:p>
        </w:tc>
        <w:tc>
          <w:tcPr>
            <w:tcW w:w="0" w:type="dxa"/>
            <w:vAlign w:val="bottom"/>
          </w:tcPr>
          <w:p>
            <w:pPr>
              <w:spacing w:after="0"/>
              <w:rPr>
                <w:sz w:val="1"/>
                <w:szCs w:val="1"/>
                <w:color w:val="auto"/>
              </w:rPr>
            </w:pPr>
          </w:p>
        </w:tc>
      </w:tr>
      <w:tr>
        <w:trPr>
          <w:trHeight w:val="271"/>
        </w:trPr>
        <w:tc>
          <w:tcPr>
            <w:tcW w:w="2120" w:type="dxa"/>
            <w:vAlign w:val="bottom"/>
          </w:tcPr>
          <w:p>
            <w:pPr>
              <w:ind w:left="60"/>
              <w:spacing w:after="0"/>
              <w:rPr>
                <w:sz w:val="20"/>
                <w:szCs w:val="20"/>
                <w:color w:val="auto"/>
              </w:rPr>
            </w:pPr>
            <w:r>
              <w:rPr>
                <w:rFonts w:ascii="Arial" w:cs="Arial" w:eastAsia="Arial" w:hAnsi="Arial"/>
                <w:sz w:val="16"/>
                <w:szCs w:val="16"/>
                <w:b w:val="1"/>
                <w:bCs w:val="1"/>
                <w:color w:val="auto"/>
              </w:rPr>
              <w:t>James Dimon</w:t>
            </w:r>
          </w:p>
        </w:tc>
        <w:tc>
          <w:tcPr>
            <w:tcW w:w="2360" w:type="dxa"/>
            <w:vAlign w:val="bottom"/>
          </w:tcPr>
          <w:p>
            <w:pPr>
              <w:ind w:left="340"/>
              <w:spacing w:after="0"/>
              <w:rPr>
                <w:sz w:val="20"/>
                <w:szCs w:val="20"/>
                <w:color w:val="auto"/>
              </w:rPr>
            </w:pPr>
            <w:r>
              <w:rPr>
                <w:rFonts w:ascii="Arial" w:cs="Arial" w:eastAsia="Arial" w:hAnsi="Arial"/>
                <w:sz w:val="16"/>
                <w:szCs w:val="16"/>
                <w:color w:val="auto"/>
              </w:rPr>
              <w:t>Severance and other</w:t>
            </w:r>
          </w:p>
        </w:tc>
        <w:tc>
          <w:tcPr>
            <w:tcW w:w="280" w:type="dxa"/>
            <w:vAlign w:val="bottom"/>
          </w:tcPr>
          <w:p>
            <w:pPr>
              <w:ind w:left="16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400,000</w:t>
            </w:r>
          </w:p>
        </w:tc>
        <w:tc>
          <w:tcPr>
            <w:tcW w:w="300" w:type="dxa"/>
            <w:vAlign w:val="bottom"/>
          </w:tcPr>
          <w:p>
            <w:pPr>
              <w:ind w:left="14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2120" w:type="dxa"/>
            <w:vAlign w:val="bottom"/>
          </w:tcPr>
          <w:p>
            <w:pPr>
              <w:spacing w:after="0"/>
              <w:rPr>
                <w:sz w:val="21"/>
                <w:szCs w:val="21"/>
                <w:color w:val="auto"/>
              </w:rPr>
            </w:pPr>
          </w:p>
        </w:tc>
        <w:tc>
          <w:tcPr>
            <w:tcW w:w="2360" w:type="dxa"/>
            <w:vAlign w:val="bottom"/>
          </w:tcPr>
          <w:p>
            <w:pPr>
              <w:ind w:left="340"/>
              <w:spacing w:after="0"/>
              <w:rPr>
                <w:sz w:val="20"/>
                <w:szCs w:val="20"/>
                <w:color w:val="auto"/>
              </w:rPr>
            </w:pPr>
            <w:r>
              <w:rPr>
                <w:rFonts w:ascii="Arial" w:cs="Arial" w:eastAsia="Arial" w:hAnsi="Arial"/>
                <w:sz w:val="16"/>
                <w:szCs w:val="16"/>
                <w:color w:val="auto"/>
              </w:rPr>
              <w:t>Stock awards</w:t>
            </w:r>
          </w:p>
        </w:tc>
        <w:tc>
          <w:tcPr>
            <w:tcW w:w="280" w:type="dxa"/>
            <w:vAlign w:val="bottom"/>
          </w:tcPr>
          <w:p>
            <w:pPr>
              <w:spacing w:after="0"/>
              <w:rPr>
                <w:sz w:val="21"/>
                <w:szCs w:val="21"/>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1"/>
                <w:szCs w:val="21"/>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1"/>
                <w:szCs w:val="21"/>
                <w:color w:val="auto"/>
              </w:rPr>
            </w:pP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9"/>
        </w:trPr>
        <w:tc>
          <w:tcPr>
            <w:tcW w:w="2120" w:type="dxa"/>
            <w:vAlign w:val="bottom"/>
            <w:tcBorders>
              <w:bottom w:val="single" w:sz="8" w:color="333333"/>
            </w:tcBorders>
          </w:tcPr>
          <w:p>
            <w:pPr>
              <w:spacing w:after="0"/>
              <w:rPr>
                <w:sz w:val="21"/>
                <w:szCs w:val="21"/>
                <w:color w:val="auto"/>
              </w:rPr>
            </w:pPr>
          </w:p>
        </w:tc>
        <w:tc>
          <w:tcPr>
            <w:tcW w:w="2360" w:type="dxa"/>
            <w:vAlign w:val="bottom"/>
            <w:tcBorders>
              <w:bottom w:val="single" w:sz="8" w:color="333333"/>
            </w:tcBorders>
          </w:tcPr>
          <w:p>
            <w:pPr>
              <w:ind w:left="340"/>
              <w:spacing w:after="0" w:line="249" w:lineRule="exact"/>
              <w:rPr>
                <w:sz w:val="20"/>
                <w:szCs w:val="20"/>
                <w:color w:val="auto"/>
              </w:rPr>
            </w:pPr>
            <w:r>
              <w:rPr>
                <w:rFonts w:ascii="Arial" w:cs="Arial" w:eastAsia="Arial" w:hAnsi="Arial"/>
                <w:sz w:val="16"/>
                <w:szCs w:val="16"/>
                <w:color w:val="auto"/>
              </w:rPr>
              <w:t>Performance share units</w:t>
            </w:r>
            <w:r>
              <w:rPr>
                <w:rFonts w:ascii="Arial" w:cs="Arial" w:eastAsia="Arial" w:hAnsi="Arial"/>
                <w:sz w:val="27"/>
                <w:szCs w:val="27"/>
                <w:color w:val="auto"/>
                <w:vertAlign w:val="superscript"/>
              </w:rPr>
              <w:t>6</w:t>
            </w:r>
          </w:p>
        </w:tc>
        <w:tc>
          <w:tcPr>
            <w:tcW w:w="280" w:type="dxa"/>
            <w:vAlign w:val="bottom"/>
            <w:tcBorders>
              <w:bottom w:val="single" w:sz="8" w:color="333333"/>
            </w:tcBorders>
          </w:tcPr>
          <w:p>
            <w:pPr>
              <w:spacing w:after="0"/>
              <w:rPr>
                <w:sz w:val="21"/>
                <w:szCs w:val="21"/>
                <w:color w:val="auto"/>
              </w:rPr>
            </w:pPr>
          </w:p>
        </w:tc>
        <w:tc>
          <w:tcPr>
            <w:tcW w:w="1100" w:type="dxa"/>
            <w:vAlign w:val="bottom"/>
            <w:tcBorders>
              <w:bottom w:val="single" w:sz="8" w:color="333333"/>
            </w:tcBorders>
          </w:tcPr>
          <w:p>
            <w:pPr>
              <w:jc w:val="right"/>
              <w:ind w:right="59"/>
              <w:spacing w:after="0"/>
              <w:rPr>
                <w:sz w:val="20"/>
                <w:szCs w:val="20"/>
                <w:color w:val="auto"/>
              </w:rPr>
            </w:pPr>
            <w:r>
              <w:rPr>
                <w:rFonts w:ascii="Arial" w:cs="Arial" w:eastAsia="Arial" w:hAnsi="Arial"/>
                <w:sz w:val="16"/>
                <w:szCs w:val="16"/>
                <w:color w:val="auto"/>
              </w:rPr>
              <w:t>137,425,243</w:t>
            </w:r>
          </w:p>
        </w:tc>
        <w:tc>
          <w:tcPr>
            <w:tcW w:w="300" w:type="dxa"/>
            <w:vAlign w:val="bottom"/>
            <w:tcBorders>
              <w:bottom w:val="single" w:sz="8" w:color="333333"/>
            </w:tcBorders>
          </w:tcPr>
          <w:p>
            <w:pPr>
              <w:spacing w:after="0"/>
              <w:rPr>
                <w:sz w:val="21"/>
                <w:szCs w:val="21"/>
                <w:color w:val="auto"/>
              </w:rPr>
            </w:pPr>
          </w:p>
        </w:tc>
        <w:tc>
          <w:tcPr>
            <w:tcW w:w="1040" w:type="dxa"/>
            <w:vAlign w:val="bottom"/>
            <w:tcBorders>
              <w:bottom w:val="single" w:sz="8" w:color="333333"/>
            </w:tcBorders>
          </w:tcPr>
          <w:p>
            <w:pPr>
              <w:jc w:val="right"/>
              <w:spacing w:after="0"/>
              <w:rPr>
                <w:sz w:val="20"/>
                <w:szCs w:val="20"/>
                <w:color w:val="auto"/>
              </w:rPr>
            </w:pPr>
            <w:r>
              <w:rPr>
                <w:rFonts w:ascii="Arial" w:cs="Arial" w:eastAsia="Arial" w:hAnsi="Arial"/>
                <w:sz w:val="16"/>
                <w:szCs w:val="16"/>
                <w:color w:val="auto"/>
              </w:rPr>
              <w:t>137,425,243</w:t>
            </w:r>
          </w:p>
        </w:tc>
        <w:tc>
          <w:tcPr>
            <w:tcW w:w="200" w:type="dxa"/>
            <w:vAlign w:val="bottom"/>
            <w:tcBorders>
              <w:bottom w:val="single" w:sz="8" w:color="333333"/>
            </w:tcBorders>
          </w:tcPr>
          <w:p>
            <w:pPr>
              <w:spacing w:after="0"/>
              <w:rPr>
                <w:sz w:val="21"/>
                <w:szCs w:val="21"/>
                <w:color w:val="auto"/>
              </w:rPr>
            </w:pPr>
          </w:p>
        </w:tc>
        <w:tc>
          <w:tcPr>
            <w:tcW w:w="1220" w:type="dxa"/>
            <w:vAlign w:val="bottom"/>
            <w:tcBorders>
              <w:bottom w:val="single" w:sz="8" w:color="333333"/>
            </w:tcBorders>
          </w:tcPr>
          <w:p>
            <w:pPr>
              <w:jc w:val="right"/>
              <w:ind w:right="19"/>
              <w:spacing w:after="0"/>
              <w:rPr>
                <w:sz w:val="20"/>
                <w:szCs w:val="20"/>
                <w:color w:val="auto"/>
              </w:rPr>
            </w:pPr>
            <w:r>
              <w:rPr>
                <w:rFonts w:ascii="Arial" w:cs="Arial" w:eastAsia="Arial" w:hAnsi="Arial"/>
                <w:sz w:val="16"/>
                <w:szCs w:val="16"/>
                <w:color w:val="auto"/>
              </w:rPr>
              <w:t>137,425,243</w:t>
            </w:r>
          </w:p>
        </w:tc>
        <w:tc>
          <w:tcPr>
            <w:tcW w:w="540" w:type="dxa"/>
            <w:vAlign w:val="bottom"/>
            <w:tcBorders>
              <w:bottom w:val="single" w:sz="8" w:color="333333"/>
            </w:tcBorders>
          </w:tcPr>
          <w:p>
            <w:pPr>
              <w:spacing w:after="0"/>
              <w:rPr>
                <w:sz w:val="21"/>
                <w:szCs w:val="21"/>
                <w:color w:val="auto"/>
              </w:rPr>
            </w:pPr>
          </w:p>
        </w:tc>
        <w:tc>
          <w:tcPr>
            <w:tcW w:w="880" w:type="dxa"/>
            <w:vAlign w:val="bottom"/>
            <w:tcBorders>
              <w:bottom w:val="single" w:sz="8" w:color="333333"/>
            </w:tcBorders>
          </w:tcPr>
          <w:p>
            <w:pPr>
              <w:jc w:val="right"/>
              <w:ind w:right="3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333333"/>
            </w:tcBorders>
          </w:tcPr>
          <w:p>
            <w:pPr>
              <w:spacing w:after="0"/>
              <w:rPr>
                <w:sz w:val="21"/>
                <w:szCs w:val="21"/>
                <w:color w:val="auto"/>
              </w:rPr>
            </w:pPr>
          </w:p>
        </w:tc>
        <w:tc>
          <w:tcPr>
            <w:tcW w:w="480" w:type="dxa"/>
            <w:vAlign w:val="bottom"/>
            <w:tcBorders>
              <w:bottom w:val="single" w:sz="8" w:color="333333"/>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5"/>
        </w:trPr>
        <w:tc>
          <w:tcPr>
            <w:tcW w:w="2120" w:type="dxa"/>
            <w:vAlign w:val="bottom"/>
          </w:tcPr>
          <w:p>
            <w:pPr>
              <w:ind w:left="60"/>
              <w:spacing w:after="0"/>
              <w:rPr>
                <w:sz w:val="20"/>
                <w:szCs w:val="20"/>
                <w:color w:val="auto"/>
              </w:rPr>
            </w:pPr>
            <w:r>
              <w:rPr>
                <w:rFonts w:ascii="Arial" w:cs="Arial" w:eastAsia="Arial" w:hAnsi="Arial"/>
                <w:sz w:val="16"/>
                <w:szCs w:val="16"/>
                <w:b w:val="1"/>
                <w:bCs w:val="1"/>
                <w:color w:val="auto"/>
              </w:rPr>
              <w:t>Daniel Pinto</w:t>
            </w:r>
          </w:p>
        </w:tc>
        <w:tc>
          <w:tcPr>
            <w:tcW w:w="2360" w:type="dxa"/>
            <w:vAlign w:val="bottom"/>
          </w:tcPr>
          <w:p>
            <w:pPr>
              <w:ind w:left="340"/>
              <w:spacing w:after="0"/>
              <w:rPr>
                <w:sz w:val="20"/>
                <w:szCs w:val="20"/>
                <w:color w:val="auto"/>
              </w:rPr>
            </w:pPr>
            <w:r>
              <w:rPr>
                <w:rFonts w:ascii="Arial" w:cs="Arial" w:eastAsia="Arial" w:hAnsi="Arial"/>
                <w:sz w:val="16"/>
                <w:szCs w:val="16"/>
                <w:color w:val="auto"/>
              </w:rPr>
              <w:t>Severance and other</w:t>
            </w:r>
          </w:p>
        </w:tc>
        <w:tc>
          <w:tcPr>
            <w:tcW w:w="280" w:type="dxa"/>
            <w:vAlign w:val="bottom"/>
          </w:tcPr>
          <w:p>
            <w:pPr>
              <w:spacing w:after="0"/>
              <w:rPr>
                <w:sz w:val="24"/>
                <w:szCs w:val="24"/>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360,264</w:t>
            </w: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4"/>
                <w:szCs w:val="24"/>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4"/>
                <w:szCs w:val="24"/>
                <w:color w:val="auto"/>
              </w:rPr>
            </w:pP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2120" w:type="dxa"/>
            <w:vAlign w:val="bottom"/>
          </w:tcPr>
          <w:p>
            <w:pPr>
              <w:spacing w:after="0"/>
              <w:rPr>
                <w:sz w:val="21"/>
                <w:szCs w:val="21"/>
                <w:color w:val="auto"/>
              </w:rPr>
            </w:pPr>
          </w:p>
        </w:tc>
        <w:tc>
          <w:tcPr>
            <w:tcW w:w="2360" w:type="dxa"/>
            <w:vAlign w:val="bottom"/>
          </w:tcPr>
          <w:p>
            <w:pPr>
              <w:ind w:left="340"/>
              <w:spacing w:after="0"/>
              <w:rPr>
                <w:sz w:val="20"/>
                <w:szCs w:val="20"/>
                <w:color w:val="auto"/>
              </w:rPr>
            </w:pPr>
            <w:r>
              <w:rPr>
                <w:rFonts w:ascii="Arial" w:cs="Arial" w:eastAsia="Arial" w:hAnsi="Arial"/>
                <w:sz w:val="16"/>
                <w:szCs w:val="16"/>
                <w:color w:val="auto"/>
              </w:rPr>
              <w:t>Stock awards</w:t>
            </w:r>
          </w:p>
        </w:tc>
        <w:tc>
          <w:tcPr>
            <w:tcW w:w="280" w:type="dxa"/>
            <w:vAlign w:val="bottom"/>
          </w:tcPr>
          <w:p>
            <w:pPr>
              <w:spacing w:after="0"/>
              <w:rPr>
                <w:sz w:val="21"/>
                <w:szCs w:val="21"/>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29,378,411</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29,378,411</w:t>
            </w:r>
          </w:p>
        </w:tc>
        <w:tc>
          <w:tcPr>
            <w:tcW w:w="20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29,378,411</w:t>
            </w:r>
          </w:p>
        </w:tc>
        <w:tc>
          <w:tcPr>
            <w:tcW w:w="540" w:type="dxa"/>
            <w:vAlign w:val="bottom"/>
          </w:tcPr>
          <w:p>
            <w:pPr>
              <w:spacing w:after="0"/>
              <w:rPr>
                <w:sz w:val="21"/>
                <w:szCs w:val="21"/>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1"/>
                <w:szCs w:val="21"/>
                <w:color w:val="auto"/>
              </w:rPr>
            </w:pP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6"/>
        </w:trPr>
        <w:tc>
          <w:tcPr>
            <w:tcW w:w="2120" w:type="dxa"/>
            <w:vAlign w:val="bottom"/>
            <w:tcBorders>
              <w:bottom w:val="single" w:sz="8" w:color="333333"/>
            </w:tcBorders>
          </w:tcPr>
          <w:p>
            <w:pPr>
              <w:spacing w:after="0"/>
              <w:rPr>
                <w:sz w:val="20"/>
                <w:szCs w:val="20"/>
                <w:color w:val="auto"/>
              </w:rPr>
            </w:pPr>
          </w:p>
        </w:tc>
        <w:tc>
          <w:tcPr>
            <w:tcW w:w="2360" w:type="dxa"/>
            <w:vAlign w:val="bottom"/>
            <w:tcBorders>
              <w:bottom w:val="single" w:sz="8" w:color="333333"/>
            </w:tcBorders>
          </w:tcPr>
          <w:p>
            <w:pPr>
              <w:ind w:left="340"/>
              <w:spacing w:after="0" w:line="236" w:lineRule="exact"/>
              <w:rPr>
                <w:sz w:val="20"/>
                <w:szCs w:val="20"/>
                <w:color w:val="auto"/>
              </w:rPr>
            </w:pPr>
            <w:r>
              <w:rPr>
                <w:rFonts w:ascii="Arial" w:cs="Arial" w:eastAsia="Arial" w:hAnsi="Arial"/>
                <w:sz w:val="16"/>
                <w:szCs w:val="16"/>
                <w:color w:val="auto"/>
              </w:rPr>
              <w:t>Performance share units</w:t>
            </w:r>
            <w:r>
              <w:rPr>
                <w:rFonts w:ascii="Arial" w:cs="Arial" w:eastAsia="Arial" w:hAnsi="Arial"/>
                <w:sz w:val="27"/>
                <w:szCs w:val="27"/>
                <w:color w:val="auto"/>
                <w:vertAlign w:val="superscript"/>
              </w:rPr>
              <w:t>6</w:t>
            </w:r>
          </w:p>
        </w:tc>
        <w:tc>
          <w:tcPr>
            <w:tcW w:w="280" w:type="dxa"/>
            <w:vAlign w:val="bottom"/>
            <w:tcBorders>
              <w:bottom w:val="single" w:sz="8" w:color="333333"/>
            </w:tcBorders>
          </w:tcPr>
          <w:p>
            <w:pPr>
              <w:spacing w:after="0"/>
              <w:rPr>
                <w:sz w:val="20"/>
                <w:szCs w:val="20"/>
                <w:color w:val="auto"/>
              </w:rPr>
            </w:pPr>
          </w:p>
        </w:tc>
        <w:tc>
          <w:tcPr>
            <w:tcW w:w="1100" w:type="dxa"/>
            <w:vAlign w:val="bottom"/>
            <w:tcBorders>
              <w:bottom w:val="single" w:sz="8" w:color="333333"/>
            </w:tcBorders>
          </w:tcPr>
          <w:p>
            <w:pPr>
              <w:jc w:val="right"/>
              <w:ind w:right="59"/>
              <w:spacing w:after="0"/>
              <w:rPr>
                <w:sz w:val="20"/>
                <w:szCs w:val="20"/>
                <w:color w:val="auto"/>
              </w:rPr>
            </w:pPr>
            <w:r>
              <w:rPr>
                <w:rFonts w:ascii="Arial" w:cs="Arial" w:eastAsia="Arial" w:hAnsi="Arial"/>
                <w:sz w:val="16"/>
                <w:szCs w:val="16"/>
                <w:color w:val="auto"/>
              </w:rPr>
              <w:t>39,003,021</w:t>
            </w:r>
          </w:p>
        </w:tc>
        <w:tc>
          <w:tcPr>
            <w:tcW w:w="300" w:type="dxa"/>
            <w:vAlign w:val="bottom"/>
            <w:tcBorders>
              <w:bottom w:val="single" w:sz="8" w:color="333333"/>
            </w:tcBorders>
          </w:tcPr>
          <w:p>
            <w:pPr>
              <w:spacing w:after="0"/>
              <w:rPr>
                <w:sz w:val="20"/>
                <w:szCs w:val="20"/>
                <w:color w:val="auto"/>
              </w:rPr>
            </w:pPr>
          </w:p>
        </w:tc>
        <w:tc>
          <w:tcPr>
            <w:tcW w:w="1040" w:type="dxa"/>
            <w:vAlign w:val="bottom"/>
            <w:tcBorders>
              <w:bottom w:val="single" w:sz="8" w:color="333333"/>
            </w:tcBorders>
          </w:tcPr>
          <w:p>
            <w:pPr>
              <w:jc w:val="right"/>
              <w:spacing w:after="0"/>
              <w:rPr>
                <w:sz w:val="20"/>
                <w:szCs w:val="20"/>
                <w:color w:val="auto"/>
              </w:rPr>
            </w:pPr>
            <w:r>
              <w:rPr>
                <w:rFonts w:ascii="Arial" w:cs="Arial" w:eastAsia="Arial" w:hAnsi="Arial"/>
                <w:sz w:val="16"/>
                <w:szCs w:val="16"/>
                <w:color w:val="auto"/>
              </w:rPr>
              <w:t>39,003,021</w:t>
            </w:r>
          </w:p>
        </w:tc>
        <w:tc>
          <w:tcPr>
            <w:tcW w:w="200" w:type="dxa"/>
            <w:vAlign w:val="bottom"/>
            <w:tcBorders>
              <w:bottom w:val="single" w:sz="8" w:color="333333"/>
            </w:tcBorders>
          </w:tcPr>
          <w:p>
            <w:pPr>
              <w:spacing w:after="0"/>
              <w:rPr>
                <w:sz w:val="20"/>
                <w:szCs w:val="20"/>
                <w:color w:val="auto"/>
              </w:rPr>
            </w:pPr>
          </w:p>
        </w:tc>
        <w:tc>
          <w:tcPr>
            <w:tcW w:w="1220" w:type="dxa"/>
            <w:vAlign w:val="bottom"/>
            <w:tcBorders>
              <w:bottom w:val="single" w:sz="8" w:color="333333"/>
            </w:tcBorders>
          </w:tcPr>
          <w:p>
            <w:pPr>
              <w:jc w:val="right"/>
              <w:ind w:right="19"/>
              <w:spacing w:after="0"/>
              <w:rPr>
                <w:sz w:val="20"/>
                <w:szCs w:val="20"/>
                <w:color w:val="auto"/>
              </w:rPr>
            </w:pPr>
            <w:r>
              <w:rPr>
                <w:rFonts w:ascii="Arial" w:cs="Arial" w:eastAsia="Arial" w:hAnsi="Arial"/>
                <w:sz w:val="16"/>
                <w:szCs w:val="16"/>
                <w:color w:val="auto"/>
              </w:rPr>
              <w:t>39,003,021</w:t>
            </w:r>
          </w:p>
        </w:tc>
        <w:tc>
          <w:tcPr>
            <w:tcW w:w="540" w:type="dxa"/>
            <w:vAlign w:val="bottom"/>
            <w:tcBorders>
              <w:bottom w:val="single" w:sz="8" w:color="333333"/>
            </w:tcBorders>
          </w:tcPr>
          <w:p>
            <w:pPr>
              <w:spacing w:after="0"/>
              <w:rPr>
                <w:sz w:val="20"/>
                <w:szCs w:val="20"/>
                <w:color w:val="auto"/>
              </w:rPr>
            </w:pPr>
          </w:p>
        </w:tc>
        <w:tc>
          <w:tcPr>
            <w:tcW w:w="880" w:type="dxa"/>
            <w:vAlign w:val="bottom"/>
            <w:tcBorders>
              <w:bottom w:val="single" w:sz="8" w:color="333333"/>
            </w:tcBorders>
          </w:tcPr>
          <w:p>
            <w:pPr>
              <w:jc w:val="right"/>
              <w:ind w:right="3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333333"/>
            </w:tcBorders>
          </w:tcPr>
          <w:p>
            <w:pPr>
              <w:spacing w:after="0"/>
              <w:rPr>
                <w:sz w:val="20"/>
                <w:szCs w:val="20"/>
                <w:color w:val="auto"/>
              </w:rPr>
            </w:pPr>
          </w:p>
        </w:tc>
        <w:tc>
          <w:tcPr>
            <w:tcW w:w="480" w:type="dxa"/>
            <w:vAlign w:val="bottom"/>
            <w:tcBorders>
              <w:bottom w:val="single" w:sz="8" w:color="333333"/>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4"/>
        </w:trPr>
        <w:tc>
          <w:tcPr>
            <w:tcW w:w="2120" w:type="dxa"/>
            <w:vAlign w:val="bottom"/>
          </w:tcPr>
          <w:p>
            <w:pPr>
              <w:ind w:left="60"/>
              <w:spacing w:after="0"/>
              <w:rPr>
                <w:sz w:val="20"/>
                <w:szCs w:val="20"/>
                <w:color w:val="auto"/>
              </w:rPr>
            </w:pPr>
            <w:r>
              <w:rPr>
                <w:rFonts w:ascii="Arial" w:cs="Arial" w:eastAsia="Arial" w:hAnsi="Arial"/>
                <w:sz w:val="16"/>
                <w:szCs w:val="16"/>
                <w:b w:val="1"/>
                <w:bCs w:val="1"/>
                <w:color w:val="auto"/>
              </w:rPr>
              <w:t>Gordon Smith</w:t>
            </w:r>
          </w:p>
        </w:tc>
        <w:tc>
          <w:tcPr>
            <w:tcW w:w="2360" w:type="dxa"/>
            <w:vAlign w:val="bottom"/>
          </w:tcPr>
          <w:p>
            <w:pPr>
              <w:ind w:left="340"/>
              <w:spacing w:after="0"/>
              <w:rPr>
                <w:sz w:val="20"/>
                <w:szCs w:val="20"/>
                <w:color w:val="auto"/>
              </w:rPr>
            </w:pPr>
            <w:r>
              <w:rPr>
                <w:rFonts w:ascii="Arial" w:cs="Arial" w:eastAsia="Arial" w:hAnsi="Arial"/>
                <w:sz w:val="16"/>
                <w:szCs w:val="16"/>
                <w:color w:val="auto"/>
              </w:rPr>
              <w:t>Severance and other</w:t>
            </w:r>
          </w:p>
        </w:tc>
        <w:tc>
          <w:tcPr>
            <w:tcW w:w="280" w:type="dxa"/>
            <w:vAlign w:val="bottom"/>
          </w:tcPr>
          <w:p>
            <w:pPr>
              <w:spacing w:after="0"/>
              <w:rPr>
                <w:sz w:val="24"/>
                <w:szCs w:val="24"/>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300,000</w:t>
            </w: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4"/>
                <w:szCs w:val="24"/>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4"/>
                <w:szCs w:val="24"/>
                <w:color w:val="auto"/>
              </w:rPr>
            </w:pP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2120" w:type="dxa"/>
            <w:vAlign w:val="bottom"/>
          </w:tcPr>
          <w:p>
            <w:pPr>
              <w:spacing w:after="0"/>
              <w:rPr>
                <w:sz w:val="21"/>
                <w:szCs w:val="21"/>
                <w:color w:val="auto"/>
              </w:rPr>
            </w:pPr>
          </w:p>
        </w:tc>
        <w:tc>
          <w:tcPr>
            <w:tcW w:w="2360" w:type="dxa"/>
            <w:vAlign w:val="bottom"/>
          </w:tcPr>
          <w:p>
            <w:pPr>
              <w:ind w:left="340"/>
              <w:spacing w:after="0"/>
              <w:rPr>
                <w:sz w:val="20"/>
                <w:szCs w:val="20"/>
                <w:color w:val="auto"/>
              </w:rPr>
            </w:pPr>
            <w:r>
              <w:rPr>
                <w:rFonts w:ascii="Arial" w:cs="Arial" w:eastAsia="Arial" w:hAnsi="Arial"/>
                <w:sz w:val="16"/>
                <w:szCs w:val="16"/>
                <w:color w:val="auto"/>
              </w:rPr>
              <w:t>Stock awards</w:t>
            </w:r>
          </w:p>
        </w:tc>
        <w:tc>
          <w:tcPr>
            <w:tcW w:w="280" w:type="dxa"/>
            <w:vAlign w:val="bottom"/>
          </w:tcPr>
          <w:p>
            <w:pPr>
              <w:spacing w:after="0"/>
              <w:rPr>
                <w:sz w:val="21"/>
                <w:szCs w:val="21"/>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20,540,869</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20,540,869</w:t>
            </w:r>
          </w:p>
        </w:tc>
        <w:tc>
          <w:tcPr>
            <w:tcW w:w="20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20,540,869</w:t>
            </w:r>
          </w:p>
        </w:tc>
        <w:tc>
          <w:tcPr>
            <w:tcW w:w="540" w:type="dxa"/>
            <w:vAlign w:val="bottom"/>
          </w:tcPr>
          <w:p>
            <w:pPr>
              <w:spacing w:after="0"/>
              <w:rPr>
                <w:sz w:val="21"/>
                <w:szCs w:val="21"/>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1"/>
                <w:szCs w:val="21"/>
                <w:color w:val="auto"/>
              </w:rPr>
            </w:pP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2120" w:type="dxa"/>
            <w:vAlign w:val="bottom"/>
            <w:tcBorders>
              <w:bottom w:val="single" w:sz="8" w:color="333333"/>
            </w:tcBorders>
          </w:tcPr>
          <w:p>
            <w:pPr>
              <w:spacing w:after="0"/>
              <w:rPr>
                <w:sz w:val="20"/>
                <w:szCs w:val="20"/>
                <w:color w:val="auto"/>
              </w:rPr>
            </w:pPr>
          </w:p>
        </w:tc>
        <w:tc>
          <w:tcPr>
            <w:tcW w:w="2360" w:type="dxa"/>
            <w:vAlign w:val="bottom"/>
            <w:tcBorders>
              <w:bottom w:val="single" w:sz="8" w:color="333333"/>
            </w:tcBorders>
          </w:tcPr>
          <w:p>
            <w:pPr>
              <w:ind w:left="340"/>
              <w:spacing w:after="0" w:line="236" w:lineRule="exact"/>
              <w:rPr>
                <w:sz w:val="20"/>
                <w:szCs w:val="20"/>
                <w:color w:val="auto"/>
              </w:rPr>
            </w:pPr>
            <w:r>
              <w:rPr>
                <w:rFonts w:ascii="Arial" w:cs="Arial" w:eastAsia="Arial" w:hAnsi="Arial"/>
                <w:sz w:val="16"/>
                <w:szCs w:val="16"/>
                <w:color w:val="auto"/>
              </w:rPr>
              <w:t>Performance share units</w:t>
            </w:r>
            <w:r>
              <w:rPr>
                <w:rFonts w:ascii="Arial" w:cs="Arial" w:eastAsia="Arial" w:hAnsi="Arial"/>
                <w:sz w:val="27"/>
                <w:szCs w:val="27"/>
                <w:color w:val="auto"/>
                <w:vertAlign w:val="superscript"/>
              </w:rPr>
              <w:t>6</w:t>
            </w:r>
          </w:p>
        </w:tc>
        <w:tc>
          <w:tcPr>
            <w:tcW w:w="280" w:type="dxa"/>
            <w:vAlign w:val="bottom"/>
            <w:tcBorders>
              <w:bottom w:val="single" w:sz="8" w:color="333333"/>
            </w:tcBorders>
          </w:tcPr>
          <w:p>
            <w:pPr>
              <w:spacing w:after="0"/>
              <w:rPr>
                <w:sz w:val="20"/>
                <w:szCs w:val="20"/>
                <w:color w:val="auto"/>
              </w:rPr>
            </w:pPr>
          </w:p>
        </w:tc>
        <w:tc>
          <w:tcPr>
            <w:tcW w:w="1100" w:type="dxa"/>
            <w:vAlign w:val="bottom"/>
            <w:tcBorders>
              <w:bottom w:val="single" w:sz="8" w:color="333333"/>
            </w:tcBorders>
          </w:tcPr>
          <w:p>
            <w:pPr>
              <w:jc w:val="right"/>
              <w:ind w:right="59"/>
              <w:spacing w:after="0"/>
              <w:rPr>
                <w:sz w:val="20"/>
                <w:szCs w:val="20"/>
                <w:color w:val="auto"/>
              </w:rPr>
            </w:pPr>
            <w:r>
              <w:rPr>
                <w:rFonts w:ascii="Arial" w:cs="Arial" w:eastAsia="Arial" w:hAnsi="Arial"/>
                <w:sz w:val="16"/>
                <w:szCs w:val="16"/>
                <w:color w:val="auto"/>
              </w:rPr>
              <w:t>35,078,368</w:t>
            </w:r>
          </w:p>
        </w:tc>
        <w:tc>
          <w:tcPr>
            <w:tcW w:w="300" w:type="dxa"/>
            <w:vAlign w:val="bottom"/>
            <w:tcBorders>
              <w:bottom w:val="single" w:sz="8" w:color="333333"/>
            </w:tcBorders>
          </w:tcPr>
          <w:p>
            <w:pPr>
              <w:spacing w:after="0"/>
              <w:rPr>
                <w:sz w:val="20"/>
                <w:szCs w:val="20"/>
                <w:color w:val="auto"/>
              </w:rPr>
            </w:pPr>
          </w:p>
        </w:tc>
        <w:tc>
          <w:tcPr>
            <w:tcW w:w="1040" w:type="dxa"/>
            <w:vAlign w:val="bottom"/>
            <w:tcBorders>
              <w:bottom w:val="single" w:sz="8" w:color="333333"/>
            </w:tcBorders>
          </w:tcPr>
          <w:p>
            <w:pPr>
              <w:jc w:val="right"/>
              <w:spacing w:after="0"/>
              <w:rPr>
                <w:sz w:val="20"/>
                <w:szCs w:val="20"/>
                <w:color w:val="auto"/>
              </w:rPr>
            </w:pPr>
            <w:r>
              <w:rPr>
                <w:rFonts w:ascii="Arial" w:cs="Arial" w:eastAsia="Arial" w:hAnsi="Arial"/>
                <w:sz w:val="16"/>
                <w:szCs w:val="16"/>
                <w:color w:val="auto"/>
              </w:rPr>
              <w:t>35,078,368</w:t>
            </w:r>
          </w:p>
        </w:tc>
        <w:tc>
          <w:tcPr>
            <w:tcW w:w="200" w:type="dxa"/>
            <w:vAlign w:val="bottom"/>
            <w:tcBorders>
              <w:bottom w:val="single" w:sz="8" w:color="333333"/>
            </w:tcBorders>
          </w:tcPr>
          <w:p>
            <w:pPr>
              <w:spacing w:after="0"/>
              <w:rPr>
                <w:sz w:val="20"/>
                <w:szCs w:val="20"/>
                <w:color w:val="auto"/>
              </w:rPr>
            </w:pPr>
          </w:p>
        </w:tc>
        <w:tc>
          <w:tcPr>
            <w:tcW w:w="1220" w:type="dxa"/>
            <w:vAlign w:val="bottom"/>
            <w:tcBorders>
              <w:bottom w:val="single" w:sz="8" w:color="333333"/>
            </w:tcBorders>
          </w:tcPr>
          <w:p>
            <w:pPr>
              <w:jc w:val="right"/>
              <w:ind w:right="19"/>
              <w:spacing w:after="0"/>
              <w:rPr>
                <w:sz w:val="20"/>
                <w:szCs w:val="20"/>
                <w:color w:val="auto"/>
              </w:rPr>
            </w:pPr>
            <w:r>
              <w:rPr>
                <w:rFonts w:ascii="Arial" w:cs="Arial" w:eastAsia="Arial" w:hAnsi="Arial"/>
                <w:sz w:val="16"/>
                <w:szCs w:val="16"/>
                <w:color w:val="auto"/>
              </w:rPr>
              <w:t>35,078,368</w:t>
            </w:r>
          </w:p>
        </w:tc>
        <w:tc>
          <w:tcPr>
            <w:tcW w:w="540" w:type="dxa"/>
            <w:vAlign w:val="bottom"/>
            <w:tcBorders>
              <w:bottom w:val="single" w:sz="8" w:color="333333"/>
            </w:tcBorders>
          </w:tcPr>
          <w:p>
            <w:pPr>
              <w:spacing w:after="0"/>
              <w:rPr>
                <w:sz w:val="20"/>
                <w:szCs w:val="20"/>
                <w:color w:val="auto"/>
              </w:rPr>
            </w:pPr>
          </w:p>
        </w:tc>
        <w:tc>
          <w:tcPr>
            <w:tcW w:w="880" w:type="dxa"/>
            <w:vAlign w:val="bottom"/>
            <w:tcBorders>
              <w:bottom w:val="single" w:sz="8" w:color="333333"/>
            </w:tcBorders>
          </w:tcPr>
          <w:p>
            <w:pPr>
              <w:jc w:val="right"/>
              <w:ind w:right="3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333333"/>
            </w:tcBorders>
          </w:tcPr>
          <w:p>
            <w:pPr>
              <w:spacing w:after="0"/>
              <w:rPr>
                <w:sz w:val="20"/>
                <w:szCs w:val="20"/>
                <w:color w:val="auto"/>
              </w:rPr>
            </w:pPr>
          </w:p>
        </w:tc>
        <w:tc>
          <w:tcPr>
            <w:tcW w:w="480" w:type="dxa"/>
            <w:vAlign w:val="bottom"/>
            <w:tcBorders>
              <w:bottom w:val="single" w:sz="8" w:color="333333"/>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5"/>
        </w:trPr>
        <w:tc>
          <w:tcPr>
            <w:tcW w:w="2120" w:type="dxa"/>
            <w:vAlign w:val="bottom"/>
          </w:tcPr>
          <w:p>
            <w:pPr>
              <w:ind w:left="60"/>
              <w:spacing w:after="0"/>
              <w:rPr>
                <w:sz w:val="20"/>
                <w:szCs w:val="20"/>
                <w:color w:val="auto"/>
              </w:rPr>
            </w:pPr>
            <w:r>
              <w:rPr>
                <w:rFonts w:ascii="Arial" w:cs="Arial" w:eastAsia="Arial" w:hAnsi="Arial"/>
                <w:sz w:val="16"/>
                <w:szCs w:val="16"/>
                <w:b w:val="1"/>
                <w:bCs w:val="1"/>
                <w:color w:val="auto"/>
              </w:rPr>
              <w:t>Mary Callahan Erdoes</w:t>
            </w:r>
          </w:p>
        </w:tc>
        <w:tc>
          <w:tcPr>
            <w:tcW w:w="2360" w:type="dxa"/>
            <w:vAlign w:val="bottom"/>
          </w:tcPr>
          <w:p>
            <w:pPr>
              <w:ind w:left="340"/>
              <w:spacing w:after="0"/>
              <w:rPr>
                <w:sz w:val="20"/>
                <w:szCs w:val="20"/>
                <w:color w:val="auto"/>
              </w:rPr>
            </w:pPr>
            <w:r>
              <w:rPr>
                <w:rFonts w:ascii="Arial" w:cs="Arial" w:eastAsia="Arial" w:hAnsi="Arial"/>
                <w:sz w:val="16"/>
                <w:szCs w:val="16"/>
                <w:color w:val="auto"/>
              </w:rPr>
              <w:t>Severance and other</w:t>
            </w:r>
          </w:p>
        </w:tc>
        <w:tc>
          <w:tcPr>
            <w:tcW w:w="280" w:type="dxa"/>
            <w:vAlign w:val="bottom"/>
          </w:tcPr>
          <w:p>
            <w:pPr>
              <w:spacing w:after="0"/>
              <w:rPr>
                <w:sz w:val="24"/>
                <w:szCs w:val="24"/>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400,000</w:t>
            </w: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4"/>
                <w:szCs w:val="24"/>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4"/>
                <w:szCs w:val="24"/>
                <w:color w:val="auto"/>
              </w:rPr>
            </w:pP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2120" w:type="dxa"/>
            <w:vAlign w:val="bottom"/>
          </w:tcPr>
          <w:p>
            <w:pPr>
              <w:spacing w:after="0"/>
              <w:rPr>
                <w:sz w:val="21"/>
                <w:szCs w:val="21"/>
                <w:color w:val="auto"/>
              </w:rPr>
            </w:pPr>
          </w:p>
        </w:tc>
        <w:tc>
          <w:tcPr>
            <w:tcW w:w="2360" w:type="dxa"/>
            <w:vAlign w:val="bottom"/>
          </w:tcPr>
          <w:p>
            <w:pPr>
              <w:ind w:left="340"/>
              <w:spacing w:after="0"/>
              <w:rPr>
                <w:sz w:val="20"/>
                <w:szCs w:val="20"/>
                <w:color w:val="auto"/>
              </w:rPr>
            </w:pPr>
            <w:r>
              <w:rPr>
                <w:rFonts w:ascii="Arial" w:cs="Arial" w:eastAsia="Arial" w:hAnsi="Arial"/>
                <w:sz w:val="16"/>
                <w:szCs w:val="16"/>
                <w:color w:val="auto"/>
              </w:rPr>
              <w:t>Stock awards</w:t>
            </w:r>
          </w:p>
        </w:tc>
        <w:tc>
          <w:tcPr>
            <w:tcW w:w="280" w:type="dxa"/>
            <w:vAlign w:val="bottom"/>
          </w:tcPr>
          <w:p>
            <w:pPr>
              <w:spacing w:after="0"/>
              <w:rPr>
                <w:sz w:val="21"/>
                <w:szCs w:val="21"/>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19,730,676</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19,730,676</w:t>
            </w:r>
          </w:p>
        </w:tc>
        <w:tc>
          <w:tcPr>
            <w:tcW w:w="20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19,730,676</w:t>
            </w:r>
          </w:p>
        </w:tc>
        <w:tc>
          <w:tcPr>
            <w:tcW w:w="540" w:type="dxa"/>
            <w:vAlign w:val="bottom"/>
          </w:tcPr>
          <w:p>
            <w:pPr>
              <w:spacing w:after="0"/>
              <w:rPr>
                <w:sz w:val="21"/>
                <w:szCs w:val="21"/>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1"/>
                <w:szCs w:val="21"/>
                <w:color w:val="auto"/>
              </w:rPr>
            </w:pP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2120" w:type="dxa"/>
            <w:vAlign w:val="bottom"/>
            <w:tcBorders>
              <w:bottom w:val="single" w:sz="8" w:color="333333"/>
            </w:tcBorders>
          </w:tcPr>
          <w:p>
            <w:pPr>
              <w:spacing w:after="0"/>
              <w:rPr>
                <w:sz w:val="20"/>
                <w:szCs w:val="20"/>
                <w:color w:val="auto"/>
              </w:rPr>
            </w:pPr>
          </w:p>
        </w:tc>
        <w:tc>
          <w:tcPr>
            <w:tcW w:w="2360" w:type="dxa"/>
            <w:vAlign w:val="bottom"/>
            <w:tcBorders>
              <w:bottom w:val="single" w:sz="8" w:color="333333"/>
            </w:tcBorders>
          </w:tcPr>
          <w:p>
            <w:pPr>
              <w:ind w:left="340"/>
              <w:spacing w:after="0" w:line="236" w:lineRule="exact"/>
              <w:rPr>
                <w:sz w:val="20"/>
                <w:szCs w:val="20"/>
                <w:color w:val="auto"/>
              </w:rPr>
            </w:pPr>
            <w:r>
              <w:rPr>
                <w:rFonts w:ascii="Arial" w:cs="Arial" w:eastAsia="Arial" w:hAnsi="Arial"/>
                <w:sz w:val="16"/>
                <w:szCs w:val="16"/>
                <w:color w:val="auto"/>
              </w:rPr>
              <w:t>Performance share units</w:t>
            </w:r>
            <w:r>
              <w:rPr>
                <w:rFonts w:ascii="Arial" w:cs="Arial" w:eastAsia="Arial" w:hAnsi="Arial"/>
                <w:sz w:val="27"/>
                <w:szCs w:val="27"/>
                <w:color w:val="auto"/>
                <w:vertAlign w:val="superscript"/>
              </w:rPr>
              <w:t>6</w:t>
            </w:r>
          </w:p>
        </w:tc>
        <w:tc>
          <w:tcPr>
            <w:tcW w:w="280" w:type="dxa"/>
            <w:vAlign w:val="bottom"/>
            <w:tcBorders>
              <w:bottom w:val="single" w:sz="8" w:color="333333"/>
            </w:tcBorders>
          </w:tcPr>
          <w:p>
            <w:pPr>
              <w:spacing w:after="0"/>
              <w:rPr>
                <w:sz w:val="20"/>
                <w:szCs w:val="20"/>
                <w:color w:val="auto"/>
              </w:rPr>
            </w:pPr>
          </w:p>
        </w:tc>
        <w:tc>
          <w:tcPr>
            <w:tcW w:w="1100" w:type="dxa"/>
            <w:vAlign w:val="bottom"/>
            <w:tcBorders>
              <w:bottom w:val="single" w:sz="8" w:color="333333"/>
            </w:tcBorders>
          </w:tcPr>
          <w:p>
            <w:pPr>
              <w:jc w:val="right"/>
              <w:ind w:right="59"/>
              <w:spacing w:after="0"/>
              <w:rPr>
                <w:sz w:val="20"/>
                <w:szCs w:val="20"/>
                <w:color w:val="auto"/>
              </w:rPr>
            </w:pPr>
            <w:r>
              <w:rPr>
                <w:rFonts w:ascii="Arial" w:cs="Arial" w:eastAsia="Arial" w:hAnsi="Arial"/>
                <w:sz w:val="16"/>
                <w:szCs w:val="16"/>
                <w:color w:val="auto"/>
              </w:rPr>
              <w:t>34,075,020</w:t>
            </w:r>
          </w:p>
        </w:tc>
        <w:tc>
          <w:tcPr>
            <w:tcW w:w="300" w:type="dxa"/>
            <w:vAlign w:val="bottom"/>
            <w:tcBorders>
              <w:bottom w:val="single" w:sz="8" w:color="333333"/>
            </w:tcBorders>
          </w:tcPr>
          <w:p>
            <w:pPr>
              <w:spacing w:after="0"/>
              <w:rPr>
                <w:sz w:val="20"/>
                <w:szCs w:val="20"/>
                <w:color w:val="auto"/>
              </w:rPr>
            </w:pPr>
          </w:p>
        </w:tc>
        <w:tc>
          <w:tcPr>
            <w:tcW w:w="1040" w:type="dxa"/>
            <w:vAlign w:val="bottom"/>
            <w:tcBorders>
              <w:bottom w:val="single" w:sz="8" w:color="333333"/>
            </w:tcBorders>
          </w:tcPr>
          <w:p>
            <w:pPr>
              <w:jc w:val="right"/>
              <w:spacing w:after="0"/>
              <w:rPr>
                <w:sz w:val="20"/>
                <w:szCs w:val="20"/>
                <w:color w:val="auto"/>
              </w:rPr>
            </w:pPr>
            <w:r>
              <w:rPr>
                <w:rFonts w:ascii="Arial" w:cs="Arial" w:eastAsia="Arial" w:hAnsi="Arial"/>
                <w:sz w:val="16"/>
                <w:szCs w:val="16"/>
                <w:color w:val="auto"/>
              </w:rPr>
              <w:t>34,075,020</w:t>
            </w:r>
          </w:p>
        </w:tc>
        <w:tc>
          <w:tcPr>
            <w:tcW w:w="200" w:type="dxa"/>
            <w:vAlign w:val="bottom"/>
            <w:tcBorders>
              <w:bottom w:val="single" w:sz="8" w:color="333333"/>
            </w:tcBorders>
          </w:tcPr>
          <w:p>
            <w:pPr>
              <w:spacing w:after="0"/>
              <w:rPr>
                <w:sz w:val="20"/>
                <w:szCs w:val="20"/>
                <w:color w:val="auto"/>
              </w:rPr>
            </w:pPr>
          </w:p>
        </w:tc>
        <w:tc>
          <w:tcPr>
            <w:tcW w:w="1220" w:type="dxa"/>
            <w:vAlign w:val="bottom"/>
            <w:tcBorders>
              <w:bottom w:val="single" w:sz="8" w:color="333333"/>
            </w:tcBorders>
          </w:tcPr>
          <w:p>
            <w:pPr>
              <w:jc w:val="right"/>
              <w:ind w:right="19"/>
              <w:spacing w:after="0"/>
              <w:rPr>
                <w:sz w:val="20"/>
                <w:szCs w:val="20"/>
                <w:color w:val="auto"/>
              </w:rPr>
            </w:pPr>
            <w:r>
              <w:rPr>
                <w:rFonts w:ascii="Arial" w:cs="Arial" w:eastAsia="Arial" w:hAnsi="Arial"/>
                <w:sz w:val="16"/>
                <w:szCs w:val="16"/>
                <w:color w:val="auto"/>
              </w:rPr>
              <w:t>34,075,020</w:t>
            </w:r>
          </w:p>
        </w:tc>
        <w:tc>
          <w:tcPr>
            <w:tcW w:w="540" w:type="dxa"/>
            <w:vAlign w:val="bottom"/>
            <w:tcBorders>
              <w:bottom w:val="single" w:sz="8" w:color="333333"/>
            </w:tcBorders>
          </w:tcPr>
          <w:p>
            <w:pPr>
              <w:spacing w:after="0"/>
              <w:rPr>
                <w:sz w:val="20"/>
                <w:szCs w:val="20"/>
                <w:color w:val="auto"/>
              </w:rPr>
            </w:pPr>
          </w:p>
        </w:tc>
        <w:tc>
          <w:tcPr>
            <w:tcW w:w="880" w:type="dxa"/>
            <w:vAlign w:val="bottom"/>
            <w:tcBorders>
              <w:bottom w:val="single" w:sz="8" w:color="333333"/>
            </w:tcBorders>
          </w:tcPr>
          <w:p>
            <w:pPr>
              <w:jc w:val="right"/>
              <w:ind w:right="3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333333"/>
            </w:tcBorders>
          </w:tcPr>
          <w:p>
            <w:pPr>
              <w:spacing w:after="0"/>
              <w:rPr>
                <w:sz w:val="20"/>
                <w:szCs w:val="20"/>
                <w:color w:val="auto"/>
              </w:rPr>
            </w:pPr>
          </w:p>
        </w:tc>
        <w:tc>
          <w:tcPr>
            <w:tcW w:w="480" w:type="dxa"/>
            <w:vAlign w:val="bottom"/>
            <w:tcBorders>
              <w:bottom w:val="single" w:sz="8" w:color="333333"/>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4"/>
        </w:trPr>
        <w:tc>
          <w:tcPr>
            <w:tcW w:w="2120" w:type="dxa"/>
            <w:vAlign w:val="bottom"/>
          </w:tcPr>
          <w:p>
            <w:pPr>
              <w:ind w:left="60"/>
              <w:spacing w:after="0"/>
              <w:rPr>
                <w:sz w:val="20"/>
                <w:szCs w:val="20"/>
                <w:color w:val="auto"/>
              </w:rPr>
            </w:pPr>
            <w:r>
              <w:rPr>
                <w:rFonts w:ascii="Arial" w:cs="Arial" w:eastAsia="Arial" w:hAnsi="Arial"/>
                <w:sz w:val="16"/>
                <w:szCs w:val="16"/>
                <w:b w:val="1"/>
                <w:bCs w:val="1"/>
                <w:color w:val="auto"/>
              </w:rPr>
              <w:t>Marianne Lake</w:t>
            </w:r>
          </w:p>
        </w:tc>
        <w:tc>
          <w:tcPr>
            <w:tcW w:w="2360" w:type="dxa"/>
            <w:vAlign w:val="bottom"/>
          </w:tcPr>
          <w:p>
            <w:pPr>
              <w:ind w:left="340"/>
              <w:spacing w:after="0"/>
              <w:rPr>
                <w:sz w:val="20"/>
                <w:szCs w:val="20"/>
                <w:color w:val="auto"/>
              </w:rPr>
            </w:pPr>
            <w:r>
              <w:rPr>
                <w:rFonts w:ascii="Arial" w:cs="Arial" w:eastAsia="Arial" w:hAnsi="Arial"/>
                <w:sz w:val="16"/>
                <w:szCs w:val="16"/>
                <w:color w:val="auto"/>
              </w:rPr>
              <w:t>Severance and other</w:t>
            </w:r>
          </w:p>
        </w:tc>
        <w:tc>
          <w:tcPr>
            <w:tcW w:w="280" w:type="dxa"/>
            <w:vAlign w:val="bottom"/>
          </w:tcPr>
          <w:p>
            <w:pPr>
              <w:spacing w:after="0"/>
              <w:rPr>
                <w:sz w:val="24"/>
                <w:szCs w:val="24"/>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360,264</w:t>
            </w: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4"/>
                <w:szCs w:val="24"/>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4"/>
                <w:szCs w:val="24"/>
                <w:color w:val="auto"/>
              </w:rPr>
            </w:pP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2120" w:type="dxa"/>
            <w:vAlign w:val="bottom"/>
          </w:tcPr>
          <w:p>
            <w:pPr>
              <w:spacing w:after="0"/>
              <w:rPr>
                <w:sz w:val="21"/>
                <w:szCs w:val="21"/>
                <w:color w:val="auto"/>
              </w:rPr>
            </w:pPr>
          </w:p>
        </w:tc>
        <w:tc>
          <w:tcPr>
            <w:tcW w:w="2360" w:type="dxa"/>
            <w:vAlign w:val="bottom"/>
          </w:tcPr>
          <w:p>
            <w:pPr>
              <w:ind w:left="340"/>
              <w:spacing w:after="0"/>
              <w:rPr>
                <w:sz w:val="20"/>
                <w:szCs w:val="20"/>
                <w:color w:val="auto"/>
              </w:rPr>
            </w:pPr>
            <w:r>
              <w:rPr>
                <w:rFonts w:ascii="Arial" w:cs="Arial" w:eastAsia="Arial" w:hAnsi="Arial"/>
                <w:sz w:val="16"/>
                <w:szCs w:val="16"/>
                <w:color w:val="auto"/>
              </w:rPr>
              <w:t>Stock awards</w:t>
            </w:r>
          </w:p>
        </w:tc>
        <w:tc>
          <w:tcPr>
            <w:tcW w:w="280" w:type="dxa"/>
            <w:vAlign w:val="bottom"/>
          </w:tcPr>
          <w:p>
            <w:pPr>
              <w:spacing w:after="0"/>
              <w:rPr>
                <w:sz w:val="21"/>
                <w:szCs w:val="21"/>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13,594,149</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13,594,149</w:t>
            </w:r>
          </w:p>
        </w:tc>
        <w:tc>
          <w:tcPr>
            <w:tcW w:w="20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13,594,149</w:t>
            </w:r>
          </w:p>
        </w:tc>
        <w:tc>
          <w:tcPr>
            <w:tcW w:w="540" w:type="dxa"/>
            <w:vAlign w:val="bottom"/>
          </w:tcPr>
          <w:p>
            <w:pPr>
              <w:spacing w:after="0"/>
              <w:rPr>
                <w:sz w:val="21"/>
                <w:szCs w:val="21"/>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1"/>
                <w:szCs w:val="21"/>
                <w:color w:val="auto"/>
              </w:rPr>
            </w:pP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2120" w:type="dxa"/>
            <w:vAlign w:val="bottom"/>
            <w:tcBorders>
              <w:bottom w:val="single" w:sz="8" w:color="333333"/>
            </w:tcBorders>
          </w:tcPr>
          <w:p>
            <w:pPr>
              <w:spacing w:after="0"/>
              <w:rPr>
                <w:sz w:val="20"/>
                <w:szCs w:val="20"/>
                <w:color w:val="auto"/>
              </w:rPr>
            </w:pPr>
          </w:p>
        </w:tc>
        <w:tc>
          <w:tcPr>
            <w:tcW w:w="2360" w:type="dxa"/>
            <w:vAlign w:val="bottom"/>
            <w:tcBorders>
              <w:bottom w:val="single" w:sz="8" w:color="333333"/>
            </w:tcBorders>
          </w:tcPr>
          <w:p>
            <w:pPr>
              <w:ind w:left="340"/>
              <w:spacing w:after="0" w:line="236" w:lineRule="exact"/>
              <w:rPr>
                <w:sz w:val="20"/>
                <w:szCs w:val="20"/>
                <w:color w:val="auto"/>
              </w:rPr>
            </w:pPr>
            <w:r>
              <w:rPr>
                <w:rFonts w:ascii="Arial" w:cs="Arial" w:eastAsia="Arial" w:hAnsi="Arial"/>
                <w:sz w:val="16"/>
                <w:szCs w:val="16"/>
                <w:color w:val="auto"/>
              </w:rPr>
              <w:t>Performance share units</w:t>
            </w:r>
            <w:r>
              <w:rPr>
                <w:rFonts w:ascii="Arial" w:cs="Arial" w:eastAsia="Arial" w:hAnsi="Arial"/>
                <w:sz w:val="27"/>
                <w:szCs w:val="27"/>
                <w:color w:val="auto"/>
                <w:vertAlign w:val="superscript"/>
              </w:rPr>
              <w:t>6</w:t>
            </w:r>
          </w:p>
        </w:tc>
        <w:tc>
          <w:tcPr>
            <w:tcW w:w="280" w:type="dxa"/>
            <w:vAlign w:val="bottom"/>
            <w:tcBorders>
              <w:bottom w:val="single" w:sz="8" w:color="333333"/>
            </w:tcBorders>
          </w:tcPr>
          <w:p>
            <w:pPr>
              <w:spacing w:after="0"/>
              <w:rPr>
                <w:sz w:val="20"/>
                <w:szCs w:val="20"/>
                <w:color w:val="auto"/>
              </w:rPr>
            </w:pPr>
          </w:p>
        </w:tc>
        <w:tc>
          <w:tcPr>
            <w:tcW w:w="1100" w:type="dxa"/>
            <w:vAlign w:val="bottom"/>
            <w:tcBorders>
              <w:bottom w:val="single" w:sz="8" w:color="333333"/>
            </w:tcBorders>
          </w:tcPr>
          <w:p>
            <w:pPr>
              <w:jc w:val="right"/>
              <w:ind w:right="59"/>
              <w:spacing w:after="0"/>
              <w:rPr>
                <w:sz w:val="20"/>
                <w:szCs w:val="20"/>
                <w:color w:val="auto"/>
              </w:rPr>
            </w:pPr>
            <w:r>
              <w:rPr>
                <w:rFonts w:ascii="Arial" w:cs="Arial" w:eastAsia="Arial" w:hAnsi="Arial"/>
                <w:sz w:val="16"/>
                <w:szCs w:val="16"/>
                <w:color w:val="auto"/>
              </w:rPr>
              <w:t>23,051,672</w:t>
            </w:r>
          </w:p>
        </w:tc>
        <w:tc>
          <w:tcPr>
            <w:tcW w:w="300" w:type="dxa"/>
            <w:vAlign w:val="bottom"/>
            <w:tcBorders>
              <w:bottom w:val="single" w:sz="8" w:color="333333"/>
            </w:tcBorders>
          </w:tcPr>
          <w:p>
            <w:pPr>
              <w:spacing w:after="0"/>
              <w:rPr>
                <w:sz w:val="20"/>
                <w:szCs w:val="20"/>
                <w:color w:val="auto"/>
              </w:rPr>
            </w:pPr>
          </w:p>
        </w:tc>
        <w:tc>
          <w:tcPr>
            <w:tcW w:w="1040" w:type="dxa"/>
            <w:vAlign w:val="bottom"/>
            <w:tcBorders>
              <w:bottom w:val="single" w:sz="8" w:color="333333"/>
            </w:tcBorders>
          </w:tcPr>
          <w:p>
            <w:pPr>
              <w:jc w:val="right"/>
              <w:spacing w:after="0"/>
              <w:rPr>
                <w:sz w:val="20"/>
                <w:szCs w:val="20"/>
                <w:color w:val="auto"/>
              </w:rPr>
            </w:pPr>
            <w:r>
              <w:rPr>
                <w:rFonts w:ascii="Arial" w:cs="Arial" w:eastAsia="Arial" w:hAnsi="Arial"/>
                <w:sz w:val="16"/>
                <w:szCs w:val="16"/>
                <w:color w:val="auto"/>
              </w:rPr>
              <w:t>23,051,672</w:t>
            </w:r>
          </w:p>
        </w:tc>
        <w:tc>
          <w:tcPr>
            <w:tcW w:w="200" w:type="dxa"/>
            <w:vAlign w:val="bottom"/>
            <w:tcBorders>
              <w:bottom w:val="single" w:sz="8" w:color="333333"/>
            </w:tcBorders>
          </w:tcPr>
          <w:p>
            <w:pPr>
              <w:spacing w:after="0"/>
              <w:rPr>
                <w:sz w:val="20"/>
                <w:szCs w:val="20"/>
                <w:color w:val="auto"/>
              </w:rPr>
            </w:pPr>
          </w:p>
        </w:tc>
        <w:tc>
          <w:tcPr>
            <w:tcW w:w="1220" w:type="dxa"/>
            <w:vAlign w:val="bottom"/>
            <w:tcBorders>
              <w:bottom w:val="single" w:sz="8" w:color="333333"/>
            </w:tcBorders>
          </w:tcPr>
          <w:p>
            <w:pPr>
              <w:jc w:val="right"/>
              <w:ind w:right="19"/>
              <w:spacing w:after="0"/>
              <w:rPr>
                <w:sz w:val="20"/>
                <w:szCs w:val="20"/>
                <w:color w:val="auto"/>
              </w:rPr>
            </w:pPr>
            <w:r>
              <w:rPr>
                <w:rFonts w:ascii="Arial" w:cs="Arial" w:eastAsia="Arial" w:hAnsi="Arial"/>
                <w:sz w:val="16"/>
                <w:szCs w:val="16"/>
                <w:color w:val="auto"/>
              </w:rPr>
              <w:t>23,051,672</w:t>
            </w:r>
          </w:p>
        </w:tc>
        <w:tc>
          <w:tcPr>
            <w:tcW w:w="540" w:type="dxa"/>
            <w:vAlign w:val="bottom"/>
            <w:tcBorders>
              <w:bottom w:val="single" w:sz="8" w:color="333333"/>
            </w:tcBorders>
          </w:tcPr>
          <w:p>
            <w:pPr>
              <w:spacing w:after="0"/>
              <w:rPr>
                <w:sz w:val="20"/>
                <w:szCs w:val="20"/>
                <w:color w:val="auto"/>
              </w:rPr>
            </w:pPr>
          </w:p>
        </w:tc>
        <w:tc>
          <w:tcPr>
            <w:tcW w:w="880" w:type="dxa"/>
            <w:vAlign w:val="bottom"/>
            <w:tcBorders>
              <w:bottom w:val="single" w:sz="8" w:color="333333"/>
            </w:tcBorders>
          </w:tcPr>
          <w:p>
            <w:pPr>
              <w:jc w:val="right"/>
              <w:ind w:right="3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333333"/>
            </w:tcBorders>
          </w:tcPr>
          <w:p>
            <w:pPr>
              <w:spacing w:after="0"/>
              <w:rPr>
                <w:sz w:val="20"/>
                <w:szCs w:val="20"/>
                <w:color w:val="auto"/>
              </w:rPr>
            </w:pPr>
          </w:p>
        </w:tc>
        <w:tc>
          <w:tcPr>
            <w:tcW w:w="480" w:type="dxa"/>
            <w:vAlign w:val="bottom"/>
            <w:tcBorders>
              <w:bottom w:val="single" w:sz="8" w:color="333333"/>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4"/>
        </w:trPr>
        <w:tc>
          <w:tcPr>
            <w:tcW w:w="2120" w:type="dxa"/>
            <w:vAlign w:val="bottom"/>
          </w:tcPr>
          <w:p>
            <w:pPr>
              <w:ind w:left="60"/>
              <w:spacing w:after="0"/>
              <w:rPr>
                <w:sz w:val="20"/>
                <w:szCs w:val="20"/>
                <w:color w:val="auto"/>
              </w:rPr>
            </w:pPr>
            <w:r>
              <w:rPr>
                <w:rFonts w:ascii="Arial" w:cs="Arial" w:eastAsia="Arial" w:hAnsi="Arial"/>
                <w:sz w:val="16"/>
                <w:szCs w:val="16"/>
                <w:b w:val="1"/>
                <w:bCs w:val="1"/>
                <w:color w:val="auto"/>
              </w:rPr>
              <w:t>Jennifer Piepszak</w:t>
            </w:r>
          </w:p>
        </w:tc>
        <w:tc>
          <w:tcPr>
            <w:tcW w:w="2360" w:type="dxa"/>
            <w:vAlign w:val="bottom"/>
          </w:tcPr>
          <w:p>
            <w:pPr>
              <w:ind w:left="340"/>
              <w:spacing w:after="0"/>
              <w:rPr>
                <w:sz w:val="20"/>
                <w:szCs w:val="20"/>
                <w:color w:val="auto"/>
              </w:rPr>
            </w:pPr>
            <w:r>
              <w:rPr>
                <w:rFonts w:ascii="Arial" w:cs="Arial" w:eastAsia="Arial" w:hAnsi="Arial"/>
                <w:sz w:val="16"/>
                <w:szCs w:val="16"/>
                <w:color w:val="auto"/>
              </w:rPr>
              <w:t>Severance and other</w:t>
            </w:r>
          </w:p>
        </w:tc>
        <w:tc>
          <w:tcPr>
            <w:tcW w:w="280" w:type="dxa"/>
            <w:vAlign w:val="bottom"/>
          </w:tcPr>
          <w:p>
            <w:pPr>
              <w:spacing w:after="0"/>
              <w:rPr>
                <w:sz w:val="21"/>
                <w:szCs w:val="21"/>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400,000</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1"/>
                <w:szCs w:val="21"/>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1"/>
                <w:szCs w:val="21"/>
                <w:color w:val="auto"/>
              </w:rPr>
            </w:pP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2120" w:type="dxa"/>
            <w:vAlign w:val="bottom"/>
          </w:tcPr>
          <w:p>
            <w:pPr>
              <w:spacing w:after="0"/>
              <w:rPr>
                <w:sz w:val="21"/>
                <w:szCs w:val="21"/>
                <w:color w:val="auto"/>
              </w:rPr>
            </w:pPr>
          </w:p>
        </w:tc>
        <w:tc>
          <w:tcPr>
            <w:tcW w:w="2360" w:type="dxa"/>
            <w:vAlign w:val="bottom"/>
          </w:tcPr>
          <w:p>
            <w:pPr>
              <w:ind w:left="340"/>
              <w:spacing w:after="0"/>
              <w:rPr>
                <w:sz w:val="20"/>
                <w:szCs w:val="20"/>
                <w:color w:val="auto"/>
              </w:rPr>
            </w:pPr>
            <w:r>
              <w:rPr>
                <w:rFonts w:ascii="Arial" w:cs="Arial" w:eastAsia="Arial" w:hAnsi="Arial"/>
                <w:sz w:val="16"/>
                <w:szCs w:val="16"/>
                <w:color w:val="auto"/>
              </w:rPr>
              <w:t>Stock awards</w:t>
            </w:r>
          </w:p>
        </w:tc>
        <w:tc>
          <w:tcPr>
            <w:tcW w:w="280" w:type="dxa"/>
            <w:vAlign w:val="bottom"/>
          </w:tcPr>
          <w:p>
            <w:pPr>
              <w:spacing w:after="0"/>
              <w:rPr>
                <w:sz w:val="21"/>
                <w:szCs w:val="21"/>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8,792,655</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8,792,655</w:t>
            </w:r>
          </w:p>
        </w:tc>
        <w:tc>
          <w:tcPr>
            <w:tcW w:w="20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7,886,973</w:t>
            </w:r>
          </w:p>
        </w:tc>
        <w:tc>
          <w:tcPr>
            <w:tcW w:w="540" w:type="dxa"/>
            <w:vAlign w:val="bottom"/>
          </w:tcPr>
          <w:p>
            <w:pPr>
              <w:spacing w:after="0"/>
              <w:rPr>
                <w:sz w:val="21"/>
                <w:szCs w:val="21"/>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905,682</w:t>
            </w:r>
          </w:p>
        </w:tc>
        <w:tc>
          <w:tcPr>
            <w:tcW w:w="500" w:type="dxa"/>
            <w:vAlign w:val="bottom"/>
          </w:tcPr>
          <w:p>
            <w:pPr>
              <w:spacing w:after="0"/>
              <w:rPr>
                <w:sz w:val="21"/>
                <w:szCs w:val="21"/>
                <w:color w:val="auto"/>
              </w:rPr>
            </w:pP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2120" w:type="dxa"/>
            <w:vAlign w:val="bottom"/>
            <w:tcBorders>
              <w:bottom w:val="single" w:sz="8" w:color="333333"/>
            </w:tcBorders>
          </w:tcPr>
          <w:p>
            <w:pPr>
              <w:spacing w:after="0"/>
              <w:rPr>
                <w:sz w:val="20"/>
                <w:szCs w:val="20"/>
                <w:color w:val="auto"/>
              </w:rPr>
            </w:pPr>
          </w:p>
        </w:tc>
        <w:tc>
          <w:tcPr>
            <w:tcW w:w="2360" w:type="dxa"/>
            <w:vAlign w:val="bottom"/>
            <w:tcBorders>
              <w:bottom w:val="single" w:sz="8" w:color="333333"/>
            </w:tcBorders>
          </w:tcPr>
          <w:p>
            <w:pPr>
              <w:ind w:left="340"/>
              <w:spacing w:after="0" w:line="236" w:lineRule="exact"/>
              <w:rPr>
                <w:sz w:val="20"/>
                <w:szCs w:val="20"/>
                <w:color w:val="auto"/>
              </w:rPr>
            </w:pPr>
            <w:r>
              <w:rPr>
                <w:rFonts w:ascii="Arial" w:cs="Arial" w:eastAsia="Arial" w:hAnsi="Arial"/>
                <w:sz w:val="16"/>
                <w:szCs w:val="16"/>
                <w:color w:val="auto"/>
              </w:rPr>
              <w:t>Performance share units</w:t>
            </w:r>
            <w:r>
              <w:rPr>
                <w:rFonts w:ascii="Arial" w:cs="Arial" w:eastAsia="Arial" w:hAnsi="Arial"/>
                <w:sz w:val="27"/>
                <w:szCs w:val="27"/>
                <w:color w:val="auto"/>
                <w:vertAlign w:val="superscript"/>
              </w:rPr>
              <w:t>6</w:t>
            </w:r>
          </w:p>
        </w:tc>
        <w:tc>
          <w:tcPr>
            <w:tcW w:w="280" w:type="dxa"/>
            <w:vAlign w:val="bottom"/>
            <w:tcBorders>
              <w:bottom w:val="single" w:sz="8" w:color="333333"/>
            </w:tcBorders>
          </w:tcPr>
          <w:p>
            <w:pPr>
              <w:spacing w:after="0"/>
              <w:rPr>
                <w:sz w:val="20"/>
                <w:szCs w:val="20"/>
                <w:color w:val="auto"/>
              </w:rPr>
            </w:pPr>
          </w:p>
        </w:tc>
        <w:tc>
          <w:tcPr>
            <w:tcW w:w="1100" w:type="dxa"/>
            <w:vAlign w:val="bottom"/>
            <w:tcBorders>
              <w:bottom w:val="single" w:sz="8" w:color="333333"/>
            </w:tcBorders>
          </w:tcPr>
          <w:p>
            <w:pPr>
              <w:jc w:val="right"/>
              <w:ind w:right="5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333333"/>
            </w:tcBorders>
          </w:tcPr>
          <w:p>
            <w:pPr>
              <w:spacing w:after="0"/>
              <w:rPr>
                <w:sz w:val="20"/>
                <w:szCs w:val="20"/>
                <w:color w:val="auto"/>
              </w:rPr>
            </w:pPr>
          </w:p>
        </w:tc>
        <w:tc>
          <w:tcPr>
            <w:tcW w:w="1040" w:type="dxa"/>
            <w:vAlign w:val="bottom"/>
            <w:tcBorders>
              <w:bottom w:val="single" w:sz="8" w:color="333333"/>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333333"/>
            </w:tcBorders>
          </w:tcPr>
          <w:p>
            <w:pPr>
              <w:spacing w:after="0"/>
              <w:rPr>
                <w:sz w:val="20"/>
                <w:szCs w:val="20"/>
                <w:color w:val="auto"/>
              </w:rPr>
            </w:pPr>
          </w:p>
        </w:tc>
        <w:tc>
          <w:tcPr>
            <w:tcW w:w="1220" w:type="dxa"/>
            <w:vAlign w:val="bottom"/>
            <w:tcBorders>
              <w:bottom w:val="single" w:sz="8" w:color="333333"/>
            </w:tcBorders>
          </w:tcPr>
          <w:p>
            <w:pPr>
              <w:jc w:val="right"/>
              <w:ind w:right="1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333333"/>
            </w:tcBorders>
          </w:tcPr>
          <w:p>
            <w:pPr>
              <w:spacing w:after="0"/>
              <w:rPr>
                <w:sz w:val="20"/>
                <w:szCs w:val="20"/>
                <w:color w:val="auto"/>
              </w:rPr>
            </w:pPr>
          </w:p>
        </w:tc>
        <w:tc>
          <w:tcPr>
            <w:tcW w:w="880" w:type="dxa"/>
            <w:vAlign w:val="bottom"/>
            <w:tcBorders>
              <w:bottom w:val="single" w:sz="8" w:color="333333"/>
            </w:tcBorders>
          </w:tcPr>
          <w:p>
            <w:pPr>
              <w:jc w:val="right"/>
              <w:ind w:right="3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333333"/>
            </w:tcBorders>
          </w:tcPr>
          <w:p>
            <w:pPr>
              <w:spacing w:after="0"/>
              <w:rPr>
                <w:sz w:val="20"/>
                <w:szCs w:val="20"/>
                <w:color w:val="auto"/>
              </w:rPr>
            </w:pPr>
          </w:p>
        </w:tc>
        <w:tc>
          <w:tcPr>
            <w:tcW w:w="480" w:type="dxa"/>
            <w:vAlign w:val="bottom"/>
            <w:tcBorders>
              <w:bottom w:val="single" w:sz="8" w:color="333333"/>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340" w:right="520" w:hanging="175"/>
        <w:spacing w:after="0" w:line="216" w:lineRule="auto"/>
        <w:tabs>
          <w:tab w:leader="none" w:pos="340" w:val="left"/>
        </w:tabs>
        <w:numPr>
          <w:ilvl w:val="0"/>
          <w:numId w:val="192"/>
        </w:numPr>
        <w:rPr>
          <w:rFonts w:ascii="Arial" w:cs="Arial" w:eastAsia="Arial" w:hAnsi="Arial"/>
          <w:sz w:val="11"/>
          <w:szCs w:val="11"/>
          <w:color w:val="auto"/>
        </w:rPr>
      </w:pPr>
      <w:r>
        <w:rPr>
          <w:rFonts w:ascii="Arial" w:cs="Arial" w:eastAsia="Arial" w:hAnsi="Arial"/>
          <w:sz w:val="13"/>
          <w:szCs w:val="13"/>
          <w:color w:val="auto"/>
        </w:rPr>
        <w:t>“Stock awards” and “Performance share units” refer to previously granted, outstanding equity awards. NEOs are not entitled to any additional equity awards in connection with a potential termination.</w:t>
      </w:r>
    </w:p>
    <w:p>
      <w:pPr>
        <w:spacing w:after="0" w:line="1" w:lineRule="exact"/>
        <w:rPr>
          <w:sz w:val="20"/>
          <w:szCs w:val="20"/>
          <w:color w:val="auto"/>
        </w:rPr>
      </w:pPr>
    </w:p>
    <w:p>
      <w:pPr>
        <w:ind w:left="340" w:right="20" w:hanging="175"/>
        <w:spacing w:after="0" w:line="216" w:lineRule="auto"/>
        <w:tabs>
          <w:tab w:leader="none" w:pos="340" w:val="left"/>
        </w:tabs>
        <w:numPr>
          <w:ilvl w:val="0"/>
          <w:numId w:val="193"/>
        </w:numPr>
        <w:rPr>
          <w:rFonts w:ascii="Arial" w:cs="Arial" w:eastAsia="Arial" w:hAnsi="Arial"/>
          <w:sz w:val="11"/>
          <w:szCs w:val="11"/>
          <w:color w:val="auto"/>
        </w:rPr>
      </w:pPr>
      <w:r>
        <w:rPr>
          <w:rFonts w:ascii="Arial" w:cs="Arial" w:eastAsia="Arial" w:hAnsi="Arial"/>
          <w:sz w:val="13"/>
          <w:szCs w:val="13"/>
          <w:color w:val="auto"/>
        </w:rPr>
        <w:t>Involuntary terminations without cause include involuntary terminations due to redundancies and involuntary terminations without alternative employment. For “Severance and other”, amounts shown represent severance under the Firm’s broad-based U.S. Severance Pay Plan, or the U.K. Discretionary Redundancy Policy in the case of Mr. Pinto and Ms. Lake. Base salary greater than $400,000 per year, or £275,000 in the case of Mr. Pinto and Ms. Lake, is disregarded for purposes of determining severance amounts. The rate used to convert Mr. Pinto’s and Ms. Lake’s eligible severance to U.S. dollars was the blended spot rate for the month of December 2019, which was $1.31005 U.S. dollars per British pound sterling.</w:t>
      </w:r>
    </w:p>
    <w:p>
      <w:pPr>
        <w:spacing w:after="0" w:line="2" w:lineRule="exact"/>
        <w:rPr>
          <w:sz w:val="20"/>
          <w:szCs w:val="20"/>
          <w:color w:val="auto"/>
        </w:rPr>
      </w:pPr>
    </w:p>
    <w:p>
      <w:pPr>
        <w:ind w:left="340" w:hanging="175"/>
        <w:spacing w:after="0"/>
        <w:tabs>
          <w:tab w:leader="none" w:pos="340" w:val="left"/>
        </w:tabs>
        <w:numPr>
          <w:ilvl w:val="0"/>
          <w:numId w:val="194"/>
        </w:numPr>
        <w:rPr>
          <w:rFonts w:ascii="Arial" w:cs="Arial" w:eastAsia="Arial" w:hAnsi="Arial"/>
          <w:sz w:val="11"/>
          <w:szCs w:val="11"/>
          <w:color w:val="auto"/>
        </w:rPr>
      </w:pPr>
      <w:r>
        <w:rPr>
          <w:rFonts w:ascii="Arial" w:cs="Arial" w:eastAsia="Arial" w:hAnsi="Arial"/>
          <w:sz w:val="13"/>
          <w:szCs w:val="13"/>
          <w:color w:val="auto"/>
        </w:rPr>
        <w:t>Vesting restrictions on stock awards and PSU awards lapse immediately upon death. In the case of disability, stock awards continue to vest pursuant to their original vesting schedule.</w:t>
      </w:r>
    </w:p>
    <w:p>
      <w:pPr>
        <w:spacing w:after="0" w:line="13" w:lineRule="exact"/>
        <w:rPr>
          <w:sz w:val="20"/>
          <w:szCs w:val="20"/>
          <w:color w:val="auto"/>
        </w:rPr>
      </w:pPr>
    </w:p>
    <w:p>
      <w:pPr>
        <w:ind w:left="340" w:hanging="175"/>
        <w:spacing w:after="0" w:line="216" w:lineRule="auto"/>
        <w:tabs>
          <w:tab w:leader="none" w:pos="340" w:val="left"/>
        </w:tabs>
        <w:numPr>
          <w:ilvl w:val="0"/>
          <w:numId w:val="195"/>
        </w:numPr>
        <w:rPr>
          <w:rFonts w:ascii="Arial" w:cs="Arial" w:eastAsia="Arial" w:hAnsi="Arial"/>
          <w:sz w:val="11"/>
          <w:szCs w:val="11"/>
          <w:color w:val="auto"/>
        </w:rPr>
      </w:pPr>
      <w:r>
        <w:rPr>
          <w:rFonts w:ascii="Arial" w:cs="Arial" w:eastAsia="Arial" w:hAnsi="Arial"/>
          <w:sz w:val="13"/>
          <w:szCs w:val="13"/>
          <w:color w:val="auto"/>
        </w:rPr>
        <w:t>For employees in good standing who have resigned and have met full-career eligibility or other acceptable criteria, awards continue to vest over time on their original schedule, provided that the employees, for the remainder of the vesting period, do not perform services for a financial services company or work in their profession (whether or not for a financial services company); provided that employees may work for a government, education or not-for-profit organization. The awards shown represent RSUs and PSUs that would continue to vest because the Named Executive Officers have met the full-career eligibility criteria. The awards are subject to continuing post-employment obligations to the Firm during this period.</w:t>
      </w:r>
    </w:p>
    <w:p>
      <w:pPr>
        <w:spacing w:after="0" w:line="2" w:lineRule="exact"/>
        <w:rPr>
          <w:sz w:val="20"/>
          <w:szCs w:val="20"/>
          <w:color w:val="auto"/>
        </w:rPr>
      </w:pPr>
    </w:p>
    <w:p>
      <w:pPr>
        <w:ind w:left="340" w:right="180" w:hanging="175"/>
        <w:spacing w:after="0" w:line="216" w:lineRule="auto"/>
        <w:tabs>
          <w:tab w:leader="none" w:pos="340" w:val="left"/>
        </w:tabs>
        <w:numPr>
          <w:ilvl w:val="0"/>
          <w:numId w:val="196"/>
        </w:numPr>
        <w:rPr>
          <w:rFonts w:ascii="Arial" w:cs="Arial" w:eastAsia="Arial" w:hAnsi="Arial"/>
          <w:sz w:val="11"/>
          <w:szCs w:val="11"/>
          <w:color w:val="auto"/>
        </w:rPr>
      </w:pPr>
      <w:r>
        <w:rPr>
          <w:rFonts w:ascii="Arial" w:cs="Arial" w:eastAsia="Arial" w:hAnsi="Arial"/>
          <w:sz w:val="13"/>
          <w:szCs w:val="13"/>
          <w:color w:val="auto"/>
        </w:rPr>
        <w:t>The Government Office provision of an award does not provide any benefit to employees who have met the full-career eligibility provision of that same award. Therefore, under the terms of the Government Office provision, Named Executive Officers would generally not receive any benefit upon termination since they meet the full-career eligibility provision entitling them to continued vesting of their equity awards (see preceding Note 4). As of December 31, 2019, Ms. Piepszak had 6,497 outstanding RSUs from an award that did not contain a full-career eligibility provision. These RSUs are therefore eligible to vest under the Government Office provision of that same award.</w:t>
      </w:r>
    </w:p>
    <w:p>
      <w:pPr>
        <w:ind w:left="340" w:hanging="175"/>
        <w:spacing w:after="0" w:line="219" w:lineRule="auto"/>
        <w:tabs>
          <w:tab w:leader="none" w:pos="340" w:val="left"/>
        </w:tabs>
        <w:numPr>
          <w:ilvl w:val="0"/>
          <w:numId w:val="197"/>
        </w:numPr>
        <w:rPr>
          <w:rFonts w:ascii="Arial" w:cs="Arial" w:eastAsia="Arial" w:hAnsi="Arial"/>
          <w:sz w:val="11"/>
          <w:szCs w:val="11"/>
          <w:color w:val="auto"/>
        </w:rPr>
      </w:pPr>
      <w:r>
        <w:rPr>
          <w:rFonts w:ascii="Arial" w:cs="Arial" w:eastAsia="Arial" w:hAnsi="Arial"/>
          <w:sz w:val="13"/>
          <w:szCs w:val="13"/>
          <w:color w:val="auto"/>
        </w:rPr>
        <w:t>Represents the value of PSUs granted on January 17, 2017, January 16, 2018 and January 15, 2019, assuming: (a) maximum payout related to 2017, 2018 and 2019 performance years;</w:t>
      </w:r>
    </w:p>
    <w:p>
      <w:pPr>
        <w:ind w:left="340" w:right="100"/>
        <w:spacing w:after="0" w:line="230" w:lineRule="auto"/>
        <w:rPr>
          <w:rFonts w:ascii="Arial" w:cs="Arial" w:eastAsia="Arial" w:hAnsi="Arial"/>
          <w:sz w:val="11"/>
          <w:szCs w:val="11"/>
          <w:color w:val="auto"/>
        </w:rPr>
      </w:pPr>
      <w:r>
        <w:rPr>
          <w:rFonts w:ascii="Arial" w:cs="Arial" w:eastAsia="Arial" w:hAnsi="Arial"/>
          <w:sz w:val="13"/>
          <w:szCs w:val="13"/>
          <w:color w:val="auto"/>
        </w:rPr>
        <w:t>(b) target payout related to 2020 and 2021 performance years; and (c) accumulated reinvested dividend equivalent shares as of December 31, 2019. Ms. Piepszak did not have any outstanding PSUs.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241935</wp:posOffset>
            </wp:positionV>
            <wp:extent cx="7029450" cy="19685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029450" cy="19685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center"/>
        <w:ind w:right="-99"/>
        <w:spacing w:after="0"/>
        <w:rPr>
          <w:sz w:val="20"/>
          <w:szCs w:val="20"/>
          <w:color w:val="auto"/>
        </w:rPr>
      </w:pPr>
      <w:r>
        <w:rPr>
          <w:rFonts w:ascii="Arial" w:cs="Arial" w:eastAsia="Arial" w:hAnsi="Arial"/>
          <w:sz w:val="13"/>
          <w:szCs w:val="13"/>
          <w:b w:val="1"/>
          <w:bCs w:val="1"/>
          <w:color w:val="004876"/>
        </w:rPr>
        <w:t>82</w:t>
      </w:r>
    </w:p>
    <w:p>
      <w:pPr>
        <w:sectPr>
          <w:pgSz w:w="11900" w:h="16838" w:orient="portrait"/>
          <w:cols w:equalWidth="0" w:num="1">
            <w:col w:w="11140"/>
          </w:cols>
          <w:pgMar w:left="320" w:top="459" w:right="4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04876"/>
        </w:rPr>
        <w:t>EXECUTIVE COMPENSATION | CEO PAY RATIO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10" w:lineRule="exact"/>
        <w:rPr>
          <w:sz w:val="20"/>
          <w:szCs w:val="20"/>
          <w:color w:val="auto"/>
        </w:rPr>
      </w:pPr>
    </w:p>
    <w:p>
      <w:pPr>
        <w:ind w:left="120"/>
        <w:spacing w:after="0"/>
        <w:rPr>
          <w:sz w:val="20"/>
          <w:szCs w:val="20"/>
          <w:color w:val="auto"/>
        </w:rPr>
      </w:pPr>
      <w:r>
        <w:rPr>
          <w:rFonts w:ascii="Arial" w:cs="Arial" w:eastAsia="Arial" w:hAnsi="Arial"/>
          <w:sz w:val="29"/>
          <w:szCs w:val="29"/>
          <w:color w:val="004876"/>
        </w:rPr>
        <w:t>CEO pay ratio disclosure</w:t>
      </w:r>
    </w:p>
    <w:p>
      <w:pPr>
        <w:spacing w:after="0" w:line="115" w:lineRule="exact"/>
        <w:rPr>
          <w:sz w:val="20"/>
          <w:szCs w:val="20"/>
          <w:color w:val="auto"/>
        </w:rPr>
      </w:pPr>
    </w:p>
    <w:p>
      <w:pPr>
        <w:ind w:left="120" w:right="80"/>
        <w:spacing w:after="0" w:line="246" w:lineRule="auto"/>
        <w:rPr>
          <w:sz w:val="20"/>
          <w:szCs w:val="20"/>
          <w:color w:val="auto"/>
        </w:rPr>
      </w:pPr>
      <w:r>
        <w:rPr>
          <w:rFonts w:ascii="Arial" w:cs="Arial" w:eastAsia="Arial" w:hAnsi="Arial"/>
          <w:sz w:val="18"/>
          <w:szCs w:val="18"/>
          <w:color w:val="auto"/>
        </w:rPr>
        <w:t>We are providing the following information about the relationship of the annual total compensation of our estimated median employee and the annual total compensation of Mr. Dimon, our Chairman and CEO.</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20"/>
          <w:szCs w:val="20"/>
          <w:color w:val="004876"/>
        </w:rPr>
        <w:t>CEO PAY RATIO</w:t>
      </w:r>
    </w:p>
    <w:p>
      <w:pPr>
        <w:ind w:left="120"/>
        <w:spacing w:after="0"/>
        <w:rPr>
          <w:sz w:val="20"/>
          <w:szCs w:val="20"/>
          <w:color w:val="auto"/>
        </w:rPr>
      </w:pPr>
      <w:r>
        <w:rPr>
          <w:rFonts w:ascii="Arial" w:cs="Arial" w:eastAsia="Arial" w:hAnsi="Arial"/>
          <w:sz w:val="18"/>
          <w:szCs w:val="18"/>
          <w:color w:val="auto"/>
        </w:rPr>
        <w:t>For the year ended December 31, 2019:</w:t>
      </w:r>
    </w:p>
    <w:p>
      <w:pPr>
        <w:spacing w:after="0" w:line="114" w:lineRule="exact"/>
        <w:rPr>
          <w:sz w:val="20"/>
          <w:szCs w:val="20"/>
          <w:color w:val="auto"/>
        </w:rPr>
      </w:pPr>
    </w:p>
    <w:p>
      <w:pPr>
        <w:ind w:left="340" w:hanging="224"/>
        <w:spacing w:after="0"/>
        <w:tabs>
          <w:tab w:leader="none" w:pos="340" w:val="left"/>
        </w:tabs>
        <w:numPr>
          <w:ilvl w:val="0"/>
          <w:numId w:val="198"/>
        </w:numPr>
        <w:rPr>
          <w:rFonts w:ascii="Arial" w:cs="Arial" w:eastAsia="Arial" w:hAnsi="Arial"/>
          <w:sz w:val="18"/>
          <w:szCs w:val="18"/>
          <w:color w:val="004876"/>
        </w:rPr>
      </w:pPr>
      <w:r>
        <w:rPr>
          <w:rFonts w:ascii="Arial" w:cs="Arial" w:eastAsia="Arial" w:hAnsi="Arial"/>
          <w:sz w:val="18"/>
          <w:szCs w:val="18"/>
          <w:color w:val="auto"/>
        </w:rPr>
        <w:t>The annual total compensation of Mr. Dimon was $31,619,266</w:t>
      </w:r>
      <w:r>
        <w:rPr>
          <w:rFonts w:ascii="Arial" w:cs="Arial" w:eastAsia="Arial" w:hAnsi="Arial"/>
          <w:sz w:val="15"/>
          <w:szCs w:val="15"/>
          <w:color w:val="auto"/>
        </w:rPr>
        <w:t>1</w:t>
      </w:r>
      <w:r>
        <w:rPr>
          <w:rFonts w:ascii="Arial" w:cs="Arial" w:eastAsia="Arial" w:hAnsi="Arial"/>
          <w:sz w:val="18"/>
          <w:szCs w:val="18"/>
          <w:color w:val="auto"/>
        </w:rPr>
        <w:t>, including Firm-paid employee benefits</w:t>
      </w:r>
    </w:p>
    <w:p>
      <w:pPr>
        <w:spacing w:after="0" w:line="117" w:lineRule="exact"/>
        <w:rPr>
          <w:rFonts w:ascii="Arial" w:cs="Arial" w:eastAsia="Arial" w:hAnsi="Arial"/>
          <w:sz w:val="18"/>
          <w:szCs w:val="18"/>
          <w:color w:val="004876"/>
        </w:rPr>
      </w:pPr>
    </w:p>
    <w:p>
      <w:pPr>
        <w:ind w:left="340" w:right="60" w:hanging="224"/>
        <w:spacing w:after="0" w:line="249" w:lineRule="auto"/>
        <w:tabs>
          <w:tab w:leader="none" w:pos="340" w:val="left"/>
        </w:tabs>
        <w:numPr>
          <w:ilvl w:val="0"/>
          <w:numId w:val="198"/>
        </w:numPr>
        <w:rPr>
          <w:rFonts w:ascii="Arial" w:cs="Arial" w:eastAsia="Arial" w:hAnsi="Arial"/>
          <w:sz w:val="18"/>
          <w:szCs w:val="18"/>
          <w:color w:val="004876"/>
        </w:rPr>
      </w:pPr>
      <w:r>
        <w:rPr>
          <w:rFonts w:ascii="Arial" w:cs="Arial" w:eastAsia="Arial" w:hAnsi="Arial"/>
          <w:sz w:val="18"/>
          <w:szCs w:val="18"/>
          <w:color w:val="auto"/>
        </w:rPr>
        <w:t>The annual total compensation of our estimated median employee was $80,431, including Firm-paid employee benefits</w:t>
      </w:r>
      <w:r>
        <w:rPr>
          <w:rFonts w:ascii="Arial" w:cs="Arial" w:eastAsia="Arial" w:hAnsi="Arial"/>
          <w:sz w:val="15"/>
          <w:szCs w:val="15"/>
          <w:color w:val="auto"/>
        </w:rPr>
        <w:t>2</w:t>
      </w:r>
      <w:r>
        <w:rPr>
          <w:rFonts w:ascii="Arial" w:cs="Arial" w:eastAsia="Arial" w:hAnsi="Arial"/>
          <w:sz w:val="18"/>
          <w:szCs w:val="18"/>
          <w:color w:val="auto"/>
        </w:rPr>
        <w:t xml:space="preserve"> and change in pension value</w:t>
      </w:r>
    </w:p>
    <w:p>
      <w:pPr>
        <w:spacing w:after="0" w:line="99" w:lineRule="exact"/>
        <w:rPr>
          <w:rFonts w:ascii="Arial" w:cs="Arial" w:eastAsia="Arial" w:hAnsi="Arial"/>
          <w:sz w:val="18"/>
          <w:szCs w:val="18"/>
          <w:color w:val="004876"/>
        </w:rPr>
      </w:pPr>
    </w:p>
    <w:p>
      <w:pPr>
        <w:ind w:left="340" w:hanging="224"/>
        <w:spacing w:after="0"/>
        <w:tabs>
          <w:tab w:leader="none" w:pos="340" w:val="left"/>
        </w:tabs>
        <w:numPr>
          <w:ilvl w:val="0"/>
          <w:numId w:val="198"/>
        </w:numPr>
        <w:rPr>
          <w:rFonts w:ascii="Arial" w:cs="Arial" w:eastAsia="Arial" w:hAnsi="Arial"/>
          <w:sz w:val="18"/>
          <w:szCs w:val="18"/>
          <w:color w:val="004876"/>
        </w:rPr>
      </w:pPr>
      <w:r>
        <w:rPr>
          <w:rFonts w:ascii="Arial" w:cs="Arial" w:eastAsia="Arial" w:hAnsi="Arial"/>
          <w:sz w:val="18"/>
          <w:szCs w:val="18"/>
          <w:color w:val="auto"/>
        </w:rPr>
        <w:t>This represents a ratio of 393 to 1</w:t>
      </w:r>
    </w:p>
    <w:p>
      <w:pPr>
        <w:spacing w:after="0" w:line="198" w:lineRule="exact"/>
        <w:rPr>
          <w:sz w:val="20"/>
          <w:szCs w:val="20"/>
          <w:color w:val="auto"/>
        </w:rPr>
      </w:pPr>
    </w:p>
    <w:p>
      <w:pPr>
        <w:ind w:left="120"/>
        <w:spacing w:after="0"/>
        <w:rPr>
          <w:sz w:val="20"/>
          <w:szCs w:val="20"/>
          <w:color w:val="auto"/>
        </w:rPr>
      </w:pPr>
      <w:r>
        <w:rPr>
          <w:rFonts w:ascii="Arial" w:cs="Arial" w:eastAsia="Arial" w:hAnsi="Arial"/>
          <w:sz w:val="20"/>
          <w:szCs w:val="20"/>
          <w:color w:val="004876"/>
        </w:rPr>
        <w:t>IDENTIFYING OUR MEDIAN EMPLOYEE</w:t>
      </w:r>
    </w:p>
    <w:p>
      <w:pPr>
        <w:ind w:left="120"/>
        <w:spacing w:after="0" w:line="237" w:lineRule="auto"/>
        <w:rPr>
          <w:sz w:val="20"/>
          <w:szCs w:val="20"/>
          <w:color w:val="auto"/>
        </w:rPr>
      </w:pPr>
      <w:r>
        <w:rPr>
          <w:rFonts w:ascii="Arial" w:cs="Arial" w:eastAsia="Arial" w:hAnsi="Arial"/>
          <w:sz w:val="18"/>
          <w:szCs w:val="18"/>
          <w:color w:val="auto"/>
        </w:rPr>
        <w:t>For our disclosure in the 2019 proxy statement, we identified our estimated median employee using gross taxable payroll compensation as reported to our employees’ respective national governments for the year ended December 31, 2017, i.e., Form W-2 gross taxable wages Box 1 for U.S. employees. We annualized the salary portion of the compensation for employees who were hired during 2017; however we did not make any full-time equivalent adjustments to part-time, temporary and seasonal employees. We did not apply any cost-of-living adjustments as part of the calculation. In determining the scope of our employees (other than our CEO), we included our Top 10 most populous countries, representing 246,485 employees or 97% of our 253,500 global</w:t>
      </w:r>
      <w:r>
        <w:rPr>
          <w:rFonts w:ascii="Arial" w:cs="Arial" w:eastAsia="Arial" w:hAnsi="Arial"/>
          <w:sz w:val="15"/>
          <w:szCs w:val="15"/>
          <w:color w:val="auto"/>
        </w:rPr>
        <w:t>3</w:t>
      </w:r>
      <w:r>
        <w:rPr>
          <w:rFonts w:ascii="Arial" w:cs="Arial" w:eastAsia="Arial" w:hAnsi="Arial"/>
          <w:sz w:val="18"/>
          <w:szCs w:val="18"/>
          <w:color w:val="auto"/>
        </w:rPr>
        <w:t xml:space="preserve"> full-time, part-time, temporary and seasonal employees who were employed as of December 31, 2017.</w:t>
      </w:r>
    </w:p>
    <w:p>
      <w:pPr>
        <w:spacing w:after="0" w:line="95" w:lineRule="exact"/>
        <w:rPr>
          <w:sz w:val="20"/>
          <w:szCs w:val="20"/>
          <w:color w:val="auto"/>
        </w:rPr>
      </w:pPr>
    </w:p>
    <w:p>
      <w:pPr>
        <w:ind w:left="120" w:right="200"/>
        <w:spacing w:after="0" w:line="238" w:lineRule="auto"/>
        <w:rPr>
          <w:sz w:val="20"/>
          <w:szCs w:val="20"/>
          <w:color w:val="auto"/>
        </w:rPr>
      </w:pPr>
      <w:r>
        <w:rPr>
          <w:rFonts w:ascii="Arial" w:cs="Arial" w:eastAsia="Arial" w:hAnsi="Arial"/>
          <w:sz w:val="18"/>
          <w:szCs w:val="18"/>
          <w:color w:val="auto"/>
        </w:rPr>
        <w:t>The estimated median employee we identified for last year’s disclosure received a significantly higher increase in 2019 base salary than what would typically be expected for most employees. Therefore, for this year’s disclosure, we have substituted that employee with another employee who was determined using the same methodology and the same 2017 employee population as last year’s estimated median employee. Apart from that, we believe there were no other changes in our employee population or employee compensation arrangements that would have resulted in a material change to our CEO pay ratio disclosure.</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20"/>
          <w:szCs w:val="20"/>
          <w:color w:val="004876"/>
        </w:rPr>
        <w:t>COMPARABILITY</w:t>
      </w:r>
    </w:p>
    <w:p>
      <w:pPr>
        <w:ind w:left="120" w:right="40"/>
        <w:spacing w:after="0" w:line="238" w:lineRule="auto"/>
        <w:rPr>
          <w:sz w:val="20"/>
          <w:szCs w:val="20"/>
          <w:color w:val="auto"/>
        </w:rPr>
      </w:pPr>
      <w:r>
        <w:rPr>
          <w:rFonts w:ascii="Arial" w:cs="Arial" w:eastAsia="Arial" w:hAnsi="Arial"/>
          <w:sz w:val="18"/>
          <w:szCs w:val="18"/>
          <w:color w:val="auto"/>
        </w:rPr>
        <w:t>We believe the ratio above is a reasonable estimate, based on the methodology we have described. Given the different methodologies, exclusions, estimates and assumptions other companies may use to calculate their respective CEO pay ratios, as well as differences in employment and compensation practices between companies, the estimated ratio reported above may not be comparable to that reported by other companies.</w:t>
      </w:r>
    </w:p>
    <w:p>
      <w:pPr>
        <w:spacing w:after="0" w:line="105" w:lineRule="exact"/>
        <w:rPr>
          <w:sz w:val="20"/>
          <w:szCs w:val="20"/>
          <w:color w:val="auto"/>
        </w:rPr>
      </w:pPr>
    </w:p>
    <w:p>
      <w:pPr>
        <w:ind w:left="340" w:right="80" w:hanging="210"/>
        <w:spacing w:after="0" w:line="216" w:lineRule="auto"/>
        <w:tabs>
          <w:tab w:leader="none" w:pos="340" w:val="left"/>
        </w:tabs>
        <w:numPr>
          <w:ilvl w:val="0"/>
          <w:numId w:val="199"/>
        </w:numPr>
        <w:rPr>
          <w:rFonts w:ascii="Arial" w:cs="Arial" w:eastAsia="Arial" w:hAnsi="Arial"/>
          <w:sz w:val="11"/>
          <w:szCs w:val="11"/>
          <w:color w:val="auto"/>
        </w:rPr>
      </w:pPr>
      <w:r>
        <w:rPr>
          <w:rFonts w:ascii="Arial" w:cs="Arial" w:eastAsia="Arial" w:hAnsi="Arial"/>
          <w:sz w:val="13"/>
          <w:szCs w:val="13"/>
          <w:color w:val="auto"/>
        </w:rPr>
        <w:t>For purposes of the CEO pay ratio disclosure, Mr. Dimon’s annual total compensation includes the amount reported in the “Total” column of the 2019 Summary Compensation Table on page 73, plus the value of Firm-paid healthcare benefits applicable to Mr. Dimon.</w:t>
      </w:r>
    </w:p>
    <w:p>
      <w:pPr>
        <w:spacing w:after="0" w:line="1" w:lineRule="exact"/>
        <w:rPr>
          <w:sz w:val="20"/>
          <w:szCs w:val="20"/>
          <w:color w:val="auto"/>
        </w:rPr>
      </w:pPr>
    </w:p>
    <w:p>
      <w:pPr>
        <w:ind w:left="340" w:hanging="210"/>
        <w:spacing w:after="0"/>
        <w:tabs>
          <w:tab w:leader="none" w:pos="340" w:val="left"/>
        </w:tabs>
        <w:numPr>
          <w:ilvl w:val="0"/>
          <w:numId w:val="200"/>
        </w:numPr>
        <w:rPr>
          <w:rFonts w:ascii="Arial" w:cs="Arial" w:eastAsia="Arial" w:hAnsi="Arial"/>
          <w:sz w:val="11"/>
          <w:szCs w:val="11"/>
          <w:color w:val="auto"/>
        </w:rPr>
      </w:pPr>
      <w:r>
        <w:rPr>
          <w:rFonts w:ascii="Arial" w:cs="Arial" w:eastAsia="Arial" w:hAnsi="Arial"/>
          <w:sz w:val="13"/>
          <w:szCs w:val="13"/>
          <w:color w:val="auto"/>
        </w:rPr>
        <w:t>The median employee’s Firm-paid employee benefits include healthcare benefits and 401(k) retirement plan contributions.</w:t>
      </w:r>
    </w:p>
    <w:p>
      <w:pPr>
        <w:spacing w:after="0" w:line="13" w:lineRule="exact"/>
        <w:rPr>
          <w:sz w:val="20"/>
          <w:szCs w:val="20"/>
          <w:color w:val="auto"/>
        </w:rPr>
      </w:pPr>
    </w:p>
    <w:p>
      <w:pPr>
        <w:ind w:left="340" w:right="100" w:hanging="210"/>
        <w:spacing w:after="0" w:line="239" w:lineRule="auto"/>
        <w:tabs>
          <w:tab w:leader="none" w:pos="340" w:val="left"/>
        </w:tabs>
        <w:numPr>
          <w:ilvl w:val="0"/>
          <w:numId w:val="201"/>
        </w:numPr>
        <w:rPr>
          <w:rFonts w:ascii="Arial" w:cs="Arial" w:eastAsia="Arial" w:hAnsi="Arial"/>
          <w:sz w:val="10"/>
          <w:szCs w:val="10"/>
          <w:color w:val="auto"/>
        </w:rPr>
      </w:pPr>
      <w:r>
        <w:rPr>
          <w:rFonts w:ascii="Arial" w:cs="Arial" w:eastAsia="Arial" w:hAnsi="Arial"/>
          <w:sz w:val="12"/>
          <w:szCs w:val="12"/>
          <w:color w:val="auto"/>
        </w:rPr>
        <w:t>In 2017, the Firm employed people in 62 countries globally. Each of our Top 10 most populous countries employed 981 or more employees: United States; India; United Kingdom; Philippines; Hong Kong; Singapore; Argentina; Switzerland; Japan; and Australia. The 7,015 employees in the remaining 52 countries comprised less than 5% of our global employee population and were excluded. Five of the excluded countries employed between 500 and 1,000 employees: Brazil; China; Canada; Luxembourg; and Taiwan. Four of the excluded countries employed between 250 and 499 employees: Ireland; Germany; Mexico; and Republic of Korea. The remaining 43 countries employed up to 249 employees: France; Spain; Malaysia; Italy; South Africa; Russia; Chile; Bahamas; Indonesia; Thailand; Colombia; United Arab Emirates; Saudi Arabia; Israel; Turkey; Sweden; Netherlands; Vietnam; Peru; Belgium; Bahrain; Denmark; Norway; Poland; Jersey; New Zealand; Egypt; Austria; Nigeria; Pakistan; Finland; Guernsey; Mauritius; Lebanon; Portugal; Kazakhstan; Bangladesh; Panama; Sri Lanka; Uzbekistan; Venezuela; Greece; and Qatar.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243205</wp:posOffset>
            </wp:positionV>
            <wp:extent cx="7029450" cy="19685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029450" cy="19685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3"/>
          <w:szCs w:val="13"/>
          <w:b w:val="1"/>
          <w:bCs w:val="1"/>
          <w:color w:val="004876"/>
        </w:rPr>
        <w:t>83</w:t>
      </w:r>
    </w:p>
    <w:p>
      <w:pPr>
        <w:sectPr>
          <w:pgSz w:w="11900" w:h="16838" w:orient="portrait"/>
          <w:cols w:equalWidth="0" w:num="1">
            <w:col w:w="11120"/>
          </w:cols>
          <w:pgMar w:left="320" w:top="459" w:right="4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4876"/>
        </w:rPr>
        <w:t>SECURITY OWNERSHIP OF DIRECTORS AND EXECUTIVE OFFICERS |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10" w:lineRule="exact"/>
        <w:rPr>
          <w:sz w:val="20"/>
          <w:szCs w:val="20"/>
          <w:color w:val="auto"/>
        </w:rPr>
      </w:pPr>
    </w:p>
    <w:p>
      <w:pPr>
        <w:ind w:left="120"/>
        <w:spacing w:after="0"/>
        <w:rPr>
          <w:sz w:val="20"/>
          <w:szCs w:val="20"/>
          <w:color w:val="auto"/>
        </w:rPr>
      </w:pPr>
      <w:r>
        <w:rPr>
          <w:rFonts w:ascii="Arial" w:cs="Arial" w:eastAsia="Arial" w:hAnsi="Arial"/>
          <w:sz w:val="29"/>
          <w:szCs w:val="29"/>
          <w:color w:val="004876"/>
        </w:rPr>
        <w:t>Security ownership of directors and executive officers</w:t>
      </w:r>
    </w:p>
    <w:p>
      <w:pPr>
        <w:sectPr>
          <w:pgSz w:w="11900" w:h="16838" w:orient="portrait"/>
          <w:cols w:equalWidth="0" w:num="1">
            <w:col w:w="11140"/>
          </w:cols>
          <w:pgMar w:left="320" w:top="459" w:right="439" w:bottom="1440" w:gutter="0" w:footer="0" w:header="0"/>
        </w:sectPr>
      </w:pPr>
    </w:p>
    <w:p>
      <w:pPr>
        <w:spacing w:after="0" w:line="304"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Our share retention policies require share ownership for directors and executive officers, as described on pages 33 and 51, respectively.</w:t>
      </w:r>
    </w:p>
    <w:p>
      <w:pPr>
        <w:spacing w:after="0" w:line="95"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The following table shows the number of shares of common stock and common stock equivalents beneficially owned by each director, the current executive officers named in the SCT, and all directors and executive officers as a group as of February 29, 2020. Shares beneficially owned include shares that could have been acquired within 60 days after</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that date through the exercise of stock options or SARs, and additional underlying stock units as described in Note 2 to the table. Unless otherwise indicated, each individual and member of the group has sole voting power and sole investment power with respect to shares owned. The number of shares beneficially owned, as defined by Rule 13d-3 under the Securities Exchange Act of 1934 — as of February 29, 2020, by all directors and executive officers as a group and by each director and NEO individually — is less than 1% of our outstanding common stock.</w:t>
      </w:r>
    </w:p>
    <w:p>
      <w:pPr>
        <w:spacing w:after="0" w:line="244" w:lineRule="exact"/>
        <w:rPr>
          <w:sz w:val="20"/>
          <w:szCs w:val="20"/>
          <w:color w:val="auto"/>
        </w:rPr>
      </w:pPr>
    </w:p>
    <w:p>
      <w:pPr>
        <w:sectPr>
          <w:pgSz w:w="11900" w:h="16838" w:orient="portrait"/>
          <w:cols w:equalWidth="0" w:num="2">
            <w:col w:w="5340" w:space="400"/>
            <w:col w:w="5400"/>
          </w:cols>
          <w:pgMar w:left="320" w:top="459" w:right="439" w:bottom="1440" w:gutter="0" w:footer="0" w:header="0"/>
          <w:type w:val="continuous"/>
        </w:sectPr>
      </w:pPr>
    </w:p>
    <w:p>
      <w:pPr>
        <w:ind w:left="120"/>
        <w:spacing w:after="0"/>
        <w:rPr>
          <w:sz w:val="20"/>
          <w:szCs w:val="20"/>
          <w:color w:val="auto"/>
        </w:rPr>
      </w:pPr>
      <w:r>
        <w:rPr>
          <w:rFonts w:ascii="Arial" w:cs="Arial" w:eastAsia="Arial" w:hAnsi="Arial"/>
          <w:sz w:val="20"/>
          <w:szCs w:val="20"/>
          <w:color w:val="004876"/>
        </w:rPr>
        <w:t>SECURITY OWNERSHIP</w:t>
      </w:r>
    </w:p>
    <w:p>
      <w:pPr>
        <w:spacing w:after="0" w:line="113" w:lineRule="exact"/>
        <w:rPr>
          <w:sz w:val="20"/>
          <w:szCs w:val="20"/>
          <w:color w:val="auto"/>
        </w:rPr>
      </w:pPr>
    </w:p>
    <w:tbl>
      <w:tblPr>
        <w:tblLayout w:type="fixed"/>
        <w:tblInd w:w="120" w:type="dxa"/>
        <w:tblCellMar>
          <w:top w:w="0" w:type="dxa"/>
          <w:left w:w="0" w:type="dxa"/>
          <w:bottom w:w="0" w:type="dxa"/>
          <w:right w:w="0" w:type="dxa"/>
        </w:tblCellMar>
      </w:tblPr>
      <w:tr>
        <w:trPr>
          <w:trHeight w:val="208"/>
        </w:trPr>
        <w:tc>
          <w:tcPr>
            <w:tcW w:w="4020" w:type="dxa"/>
            <w:vAlign w:val="bottom"/>
          </w:tcPr>
          <w:p>
            <w:pPr>
              <w:spacing w:after="0"/>
              <w:rPr>
                <w:sz w:val="18"/>
                <w:szCs w:val="18"/>
                <w:color w:val="auto"/>
              </w:rPr>
            </w:pPr>
          </w:p>
        </w:tc>
        <w:tc>
          <w:tcPr>
            <w:tcW w:w="1160" w:type="dxa"/>
            <w:vAlign w:val="bottom"/>
            <w:tcBorders>
              <w:bottom w:val="single" w:sz="8" w:color="333333"/>
            </w:tcBorders>
          </w:tcPr>
          <w:p>
            <w:pPr>
              <w:spacing w:after="0"/>
              <w:rPr>
                <w:sz w:val="18"/>
                <w:szCs w:val="18"/>
                <w:color w:val="auto"/>
              </w:rPr>
            </w:pPr>
          </w:p>
        </w:tc>
        <w:tc>
          <w:tcPr>
            <w:tcW w:w="1740" w:type="dxa"/>
            <w:vAlign w:val="bottom"/>
            <w:tcBorders>
              <w:bottom w:val="single" w:sz="8" w:color="333333"/>
            </w:tcBorders>
            <w:gridSpan w:val="2"/>
          </w:tcPr>
          <w:p>
            <w:pPr>
              <w:ind w:left="160"/>
              <w:spacing w:after="0"/>
              <w:rPr>
                <w:sz w:val="20"/>
                <w:szCs w:val="20"/>
                <w:color w:val="auto"/>
              </w:rPr>
            </w:pPr>
            <w:r>
              <w:rPr>
                <w:rFonts w:ascii="Arial" w:cs="Arial" w:eastAsia="Arial" w:hAnsi="Arial"/>
                <w:sz w:val="16"/>
                <w:szCs w:val="16"/>
                <w:color w:val="auto"/>
              </w:rPr>
              <w:t>Beneficial ownership</w:t>
            </w:r>
          </w:p>
        </w:tc>
        <w:tc>
          <w:tcPr>
            <w:tcW w:w="1380" w:type="dxa"/>
            <w:vAlign w:val="bottom"/>
            <w:tcBorders>
              <w:bottom w:val="single" w:sz="8" w:color="333333"/>
            </w:tcBorders>
          </w:tcPr>
          <w:p>
            <w:pPr>
              <w:spacing w:after="0"/>
              <w:rPr>
                <w:sz w:val="18"/>
                <w:szCs w:val="18"/>
                <w:color w:val="auto"/>
              </w:rPr>
            </w:pPr>
          </w:p>
        </w:tc>
        <w:tc>
          <w:tcPr>
            <w:tcW w:w="1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6"/>
                <w:szCs w:val="16"/>
                <w:color w:val="004876"/>
              </w:rPr>
              <w:t>SARs/Options</w:t>
            </w:r>
          </w:p>
        </w:tc>
        <w:tc>
          <w:tcPr>
            <w:tcW w:w="1380" w:type="dxa"/>
            <w:vAlign w:val="bottom"/>
          </w:tcPr>
          <w:p>
            <w:pPr>
              <w:spacing w:after="0"/>
              <w:rPr>
                <w:sz w:val="16"/>
                <w:szCs w:val="16"/>
                <w:color w:val="auto"/>
              </w:rPr>
            </w:pPr>
          </w:p>
        </w:tc>
        <w:tc>
          <w:tcPr>
            <w:tcW w:w="1540" w:type="dxa"/>
            <w:vAlign w:val="bottom"/>
          </w:tcPr>
          <w:p>
            <w:pPr>
              <w:jc w:val="center"/>
              <w:spacing w:after="0"/>
              <w:rPr>
                <w:sz w:val="20"/>
                <w:szCs w:val="20"/>
                <w:color w:val="auto"/>
              </w:rPr>
            </w:pPr>
            <w:r>
              <w:rPr>
                <w:rFonts w:ascii="Arial" w:cs="Arial" w:eastAsia="Arial" w:hAnsi="Arial"/>
                <w:sz w:val="16"/>
                <w:szCs w:val="16"/>
                <w:color w:val="004876"/>
              </w:rPr>
              <w:t>Additional</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020" w:type="dxa"/>
            <w:vAlign w:val="bottom"/>
          </w:tcPr>
          <w:p>
            <w:pPr>
              <w:spacing w:after="0"/>
              <w:rPr>
                <w:sz w:val="16"/>
                <w:szCs w:val="16"/>
                <w:color w:val="auto"/>
              </w:rPr>
            </w:pPr>
          </w:p>
        </w:tc>
        <w:tc>
          <w:tcPr>
            <w:tcW w:w="1160" w:type="dxa"/>
            <w:vAlign w:val="bottom"/>
          </w:tcPr>
          <w:p>
            <w:pPr>
              <w:jc w:val="right"/>
              <w:ind w:right="199"/>
              <w:spacing w:after="0"/>
              <w:rPr>
                <w:sz w:val="20"/>
                <w:szCs w:val="20"/>
                <w:color w:val="auto"/>
              </w:rPr>
            </w:pPr>
            <w:r>
              <w:rPr>
                <w:rFonts w:ascii="Arial" w:cs="Arial" w:eastAsia="Arial" w:hAnsi="Arial"/>
                <w:sz w:val="16"/>
                <w:szCs w:val="16"/>
                <w:color w:val="004876"/>
              </w:rPr>
              <w:t>Common</w:t>
            </w:r>
          </w:p>
        </w:tc>
        <w:tc>
          <w:tcPr>
            <w:tcW w:w="1740" w:type="dxa"/>
            <w:vAlign w:val="bottom"/>
            <w:gridSpan w:val="2"/>
          </w:tcPr>
          <w:p>
            <w:pPr>
              <w:jc w:val="center"/>
              <w:ind w:right="140"/>
              <w:spacing w:after="0"/>
              <w:rPr>
                <w:sz w:val="20"/>
                <w:szCs w:val="20"/>
                <w:color w:val="auto"/>
              </w:rPr>
            </w:pPr>
            <w:r>
              <w:rPr>
                <w:rFonts w:ascii="Arial" w:cs="Arial" w:eastAsia="Arial" w:hAnsi="Arial"/>
                <w:sz w:val="16"/>
                <w:szCs w:val="16"/>
                <w:color w:val="004876"/>
              </w:rPr>
              <w:t>exercisable within</w:t>
            </w:r>
          </w:p>
        </w:tc>
        <w:tc>
          <w:tcPr>
            <w:tcW w:w="1380" w:type="dxa"/>
            <w:vAlign w:val="bottom"/>
          </w:tcPr>
          <w:p>
            <w:pPr>
              <w:jc w:val="right"/>
              <w:ind w:right="159"/>
              <w:spacing w:after="0"/>
              <w:rPr>
                <w:sz w:val="20"/>
                <w:szCs w:val="20"/>
                <w:color w:val="auto"/>
              </w:rPr>
            </w:pPr>
            <w:r>
              <w:rPr>
                <w:rFonts w:ascii="Arial" w:cs="Arial" w:eastAsia="Arial" w:hAnsi="Arial"/>
                <w:sz w:val="16"/>
                <w:szCs w:val="16"/>
                <w:color w:val="004876"/>
              </w:rPr>
              <w:t>Total beneficial</w:t>
            </w:r>
          </w:p>
        </w:tc>
        <w:tc>
          <w:tcPr>
            <w:tcW w:w="1540" w:type="dxa"/>
            <w:vAlign w:val="bottom"/>
          </w:tcPr>
          <w:p>
            <w:pPr>
              <w:jc w:val="center"/>
              <w:spacing w:after="0"/>
              <w:rPr>
                <w:sz w:val="20"/>
                <w:szCs w:val="20"/>
                <w:color w:val="auto"/>
              </w:rPr>
            </w:pPr>
            <w:r>
              <w:rPr>
                <w:rFonts w:ascii="Arial" w:cs="Arial" w:eastAsia="Arial" w:hAnsi="Arial"/>
                <w:sz w:val="16"/>
                <w:szCs w:val="16"/>
                <w:color w:val="004876"/>
              </w:rPr>
              <w:t>underlying stock</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020" w:type="dxa"/>
            <w:vAlign w:val="bottom"/>
            <w:tcBorders>
              <w:bottom w:val="single" w:sz="8" w:color="333333"/>
            </w:tcBorders>
          </w:tcPr>
          <w:p>
            <w:pPr>
              <w:ind w:left="60"/>
              <w:spacing w:after="0"/>
              <w:rPr>
                <w:sz w:val="20"/>
                <w:szCs w:val="20"/>
                <w:color w:val="auto"/>
              </w:rPr>
            </w:pPr>
            <w:r>
              <w:rPr>
                <w:rFonts w:ascii="Arial" w:cs="Arial" w:eastAsia="Arial" w:hAnsi="Arial"/>
                <w:sz w:val="16"/>
                <w:szCs w:val="16"/>
                <w:color w:val="004876"/>
              </w:rPr>
              <w:t>Name</w:t>
            </w:r>
          </w:p>
        </w:tc>
        <w:tc>
          <w:tcPr>
            <w:tcW w:w="1160" w:type="dxa"/>
            <w:vAlign w:val="bottom"/>
            <w:tcBorders>
              <w:bottom w:val="single" w:sz="8" w:color="333333"/>
            </w:tcBorders>
          </w:tcPr>
          <w:p>
            <w:pPr>
              <w:jc w:val="right"/>
              <w:ind w:right="159"/>
              <w:spacing w:after="0" w:line="205" w:lineRule="exact"/>
              <w:rPr>
                <w:sz w:val="20"/>
                <w:szCs w:val="20"/>
                <w:color w:val="auto"/>
              </w:rPr>
            </w:pPr>
            <w:r>
              <w:rPr>
                <w:rFonts w:ascii="Arial" w:cs="Arial" w:eastAsia="Arial" w:hAnsi="Arial"/>
                <w:sz w:val="14"/>
                <w:szCs w:val="14"/>
                <w:color w:val="004876"/>
              </w:rPr>
              <w:t>Stock (#)</w:t>
            </w:r>
            <w:r>
              <w:rPr>
                <w:rFonts w:ascii="Arial" w:cs="Arial" w:eastAsia="Arial" w:hAnsi="Arial"/>
                <w:sz w:val="23"/>
                <w:szCs w:val="23"/>
                <w:color w:val="004876"/>
                <w:vertAlign w:val="superscript"/>
              </w:rPr>
              <w:t>1</w:t>
            </w:r>
          </w:p>
        </w:tc>
        <w:tc>
          <w:tcPr>
            <w:tcW w:w="1740" w:type="dxa"/>
            <w:vAlign w:val="bottom"/>
            <w:tcBorders>
              <w:bottom w:val="single" w:sz="8" w:color="333333"/>
            </w:tcBorders>
            <w:gridSpan w:val="2"/>
          </w:tcPr>
          <w:p>
            <w:pPr>
              <w:jc w:val="center"/>
              <w:ind w:right="120"/>
              <w:spacing w:after="0"/>
              <w:rPr>
                <w:sz w:val="20"/>
                <w:szCs w:val="20"/>
                <w:color w:val="auto"/>
              </w:rPr>
            </w:pPr>
            <w:r>
              <w:rPr>
                <w:rFonts w:ascii="Arial" w:cs="Arial" w:eastAsia="Arial" w:hAnsi="Arial"/>
                <w:sz w:val="16"/>
                <w:szCs w:val="16"/>
                <w:color w:val="004876"/>
              </w:rPr>
              <w:t>60 days (#)</w:t>
            </w:r>
          </w:p>
        </w:tc>
        <w:tc>
          <w:tcPr>
            <w:tcW w:w="1380" w:type="dxa"/>
            <w:vAlign w:val="bottom"/>
            <w:tcBorders>
              <w:bottom w:val="single" w:sz="8" w:color="333333"/>
            </w:tcBorders>
          </w:tcPr>
          <w:p>
            <w:pPr>
              <w:jc w:val="right"/>
              <w:ind w:right="199"/>
              <w:spacing w:after="0"/>
              <w:rPr>
                <w:sz w:val="20"/>
                <w:szCs w:val="20"/>
                <w:color w:val="auto"/>
              </w:rPr>
            </w:pPr>
            <w:r>
              <w:rPr>
                <w:rFonts w:ascii="Arial" w:cs="Arial" w:eastAsia="Arial" w:hAnsi="Arial"/>
                <w:sz w:val="16"/>
                <w:szCs w:val="16"/>
                <w:color w:val="004876"/>
              </w:rPr>
              <w:t>ownership (#)</w:t>
            </w:r>
          </w:p>
        </w:tc>
        <w:tc>
          <w:tcPr>
            <w:tcW w:w="1540" w:type="dxa"/>
            <w:vAlign w:val="bottom"/>
            <w:tcBorders>
              <w:bottom w:val="single" w:sz="8" w:color="333333"/>
            </w:tcBorders>
          </w:tcPr>
          <w:p>
            <w:pPr>
              <w:jc w:val="center"/>
              <w:spacing w:after="0" w:line="205" w:lineRule="exact"/>
              <w:rPr>
                <w:sz w:val="20"/>
                <w:szCs w:val="20"/>
                <w:color w:val="auto"/>
              </w:rPr>
            </w:pPr>
            <w:r>
              <w:rPr>
                <w:rFonts w:ascii="Arial" w:cs="Arial" w:eastAsia="Arial" w:hAnsi="Arial"/>
                <w:sz w:val="14"/>
                <w:szCs w:val="14"/>
                <w:color w:val="004876"/>
              </w:rPr>
              <w:t>units (#)</w:t>
            </w:r>
            <w:r>
              <w:rPr>
                <w:rFonts w:ascii="Arial" w:cs="Arial" w:eastAsia="Arial" w:hAnsi="Arial"/>
                <w:sz w:val="23"/>
                <w:szCs w:val="23"/>
                <w:color w:val="004876"/>
                <w:vertAlign w:val="superscript"/>
              </w:rPr>
              <w:t>2</w:t>
            </w:r>
          </w:p>
        </w:tc>
        <w:tc>
          <w:tcPr>
            <w:tcW w:w="1180" w:type="dxa"/>
            <w:vAlign w:val="bottom"/>
            <w:tcBorders>
              <w:bottom w:val="single" w:sz="8" w:color="333333"/>
            </w:tcBorders>
          </w:tcPr>
          <w:p>
            <w:pPr>
              <w:jc w:val="right"/>
              <w:ind w:right="239"/>
              <w:spacing w:after="0"/>
              <w:rPr>
                <w:sz w:val="20"/>
                <w:szCs w:val="20"/>
                <w:color w:val="auto"/>
              </w:rPr>
            </w:pPr>
            <w:r>
              <w:rPr>
                <w:rFonts w:ascii="Arial" w:cs="Arial" w:eastAsia="Arial" w:hAnsi="Arial"/>
                <w:sz w:val="16"/>
                <w:szCs w:val="16"/>
                <w:color w:val="004876"/>
              </w:rPr>
              <w:t>Total (#)</w:t>
            </w:r>
          </w:p>
        </w:tc>
        <w:tc>
          <w:tcPr>
            <w:tcW w:w="0" w:type="dxa"/>
            <w:vAlign w:val="bottom"/>
          </w:tcPr>
          <w:p>
            <w:pPr>
              <w:spacing w:after="0"/>
              <w:rPr>
                <w:sz w:val="1"/>
                <w:szCs w:val="1"/>
                <w:color w:val="auto"/>
              </w:rPr>
            </w:pPr>
          </w:p>
        </w:tc>
      </w:tr>
      <w:tr>
        <w:trPr>
          <w:trHeight w:val="223"/>
        </w:trPr>
        <w:tc>
          <w:tcPr>
            <w:tcW w:w="4020" w:type="dxa"/>
            <w:vAlign w:val="bottom"/>
            <w:tcBorders>
              <w:bottom w:val="single" w:sz="8" w:color="333333"/>
              <w:right w:val="single" w:sz="8" w:color="auto"/>
            </w:tcBorders>
          </w:tcPr>
          <w:p>
            <w:pPr>
              <w:ind w:left="60"/>
              <w:spacing w:after="0"/>
              <w:rPr>
                <w:sz w:val="20"/>
                <w:szCs w:val="20"/>
                <w:color w:val="auto"/>
              </w:rPr>
            </w:pPr>
            <w:r>
              <w:rPr>
                <w:rFonts w:ascii="Arial" w:cs="Arial" w:eastAsia="Arial" w:hAnsi="Arial"/>
                <w:sz w:val="16"/>
                <w:szCs w:val="16"/>
                <w:b w:val="1"/>
                <w:bCs w:val="1"/>
                <w:color w:val="auto"/>
              </w:rPr>
              <w:t>Linda B. Bammann</w:t>
            </w:r>
          </w:p>
        </w:tc>
        <w:tc>
          <w:tcPr>
            <w:tcW w:w="1160" w:type="dxa"/>
            <w:vAlign w:val="bottom"/>
            <w:tcBorders>
              <w:bottom w:val="single" w:sz="8" w:color="333333"/>
              <w:right w:val="single" w:sz="8" w:color="auto"/>
            </w:tcBorders>
          </w:tcPr>
          <w:p>
            <w:pPr>
              <w:jc w:val="right"/>
              <w:ind w:right="119"/>
              <w:spacing w:after="0"/>
              <w:rPr>
                <w:sz w:val="20"/>
                <w:szCs w:val="20"/>
                <w:color w:val="auto"/>
              </w:rPr>
            </w:pPr>
            <w:r>
              <w:rPr>
                <w:rFonts w:ascii="Arial" w:cs="Arial" w:eastAsia="Arial" w:hAnsi="Arial"/>
                <w:sz w:val="16"/>
                <w:szCs w:val="16"/>
                <w:color w:val="auto"/>
              </w:rPr>
              <w:t>65,986</w:t>
            </w:r>
          </w:p>
        </w:tc>
        <w:tc>
          <w:tcPr>
            <w:tcW w:w="1660" w:type="dxa"/>
            <w:vAlign w:val="bottom"/>
            <w:tcBorders>
              <w:bottom w:val="single" w:sz="8" w:color="333333"/>
              <w:right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333333"/>
            </w:tcBorders>
          </w:tcPr>
          <w:p>
            <w:pPr>
              <w:spacing w:after="0"/>
              <w:rPr>
                <w:sz w:val="19"/>
                <w:szCs w:val="19"/>
                <w:color w:val="auto"/>
              </w:rPr>
            </w:pPr>
          </w:p>
        </w:tc>
        <w:tc>
          <w:tcPr>
            <w:tcW w:w="1380" w:type="dxa"/>
            <w:vAlign w:val="bottom"/>
            <w:tcBorders>
              <w:bottom w:val="single" w:sz="8" w:color="333333"/>
              <w:right w:val="single" w:sz="8" w:color="auto"/>
            </w:tcBorders>
          </w:tcPr>
          <w:p>
            <w:pPr>
              <w:jc w:val="right"/>
              <w:ind w:right="159"/>
              <w:spacing w:after="0"/>
              <w:rPr>
                <w:sz w:val="20"/>
                <w:szCs w:val="20"/>
                <w:color w:val="auto"/>
              </w:rPr>
            </w:pPr>
            <w:r>
              <w:rPr>
                <w:rFonts w:ascii="Arial" w:cs="Arial" w:eastAsia="Arial" w:hAnsi="Arial"/>
                <w:sz w:val="16"/>
                <w:szCs w:val="16"/>
                <w:color w:val="auto"/>
              </w:rPr>
              <w:t>65,986</w:t>
            </w:r>
          </w:p>
        </w:tc>
        <w:tc>
          <w:tcPr>
            <w:tcW w:w="1540" w:type="dxa"/>
            <w:vAlign w:val="bottom"/>
            <w:tcBorders>
              <w:bottom w:val="single" w:sz="8" w:color="333333"/>
              <w:right w:val="single" w:sz="8" w:color="auto"/>
            </w:tcBorders>
          </w:tcPr>
          <w:p>
            <w:pPr>
              <w:jc w:val="right"/>
              <w:ind w:right="139"/>
              <w:spacing w:after="0"/>
              <w:rPr>
                <w:sz w:val="20"/>
                <w:szCs w:val="20"/>
                <w:color w:val="auto"/>
              </w:rPr>
            </w:pPr>
            <w:r>
              <w:rPr>
                <w:rFonts w:ascii="Arial" w:cs="Arial" w:eastAsia="Arial" w:hAnsi="Arial"/>
                <w:sz w:val="16"/>
                <w:szCs w:val="16"/>
                <w:color w:val="auto"/>
              </w:rPr>
              <w:t>23,440</w:t>
            </w:r>
          </w:p>
        </w:tc>
        <w:tc>
          <w:tcPr>
            <w:tcW w:w="1180" w:type="dxa"/>
            <w:vAlign w:val="bottom"/>
            <w:tcBorders>
              <w:bottom w:val="single" w:sz="8" w:color="333333"/>
            </w:tcBorders>
          </w:tcPr>
          <w:p>
            <w:pPr>
              <w:jc w:val="right"/>
              <w:ind w:right="139"/>
              <w:spacing w:after="0"/>
              <w:rPr>
                <w:sz w:val="20"/>
                <w:szCs w:val="20"/>
                <w:color w:val="auto"/>
              </w:rPr>
            </w:pPr>
            <w:r>
              <w:rPr>
                <w:rFonts w:ascii="Arial" w:cs="Arial" w:eastAsia="Arial" w:hAnsi="Arial"/>
                <w:sz w:val="16"/>
                <w:szCs w:val="16"/>
                <w:color w:val="auto"/>
              </w:rPr>
              <w:t>89,426</w:t>
            </w:r>
          </w:p>
        </w:tc>
        <w:tc>
          <w:tcPr>
            <w:tcW w:w="0" w:type="dxa"/>
            <w:vAlign w:val="bottom"/>
          </w:tcPr>
          <w:p>
            <w:pPr>
              <w:spacing w:after="0"/>
              <w:rPr>
                <w:sz w:val="1"/>
                <w:szCs w:val="1"/>
                <w:color w:val="auto"/>
              </w:rPr>
            </w:pPr>
          </w:p>
        </w:tc>
      </w:tr>
      <w:tr>
        <w:trPr>
          <w:trHeight w:val="223"/>
        </w:trPr>
        <w:tc>
          <w:tcPr>
            <w:tcW w:w="4020" w:type="dxa"/>
            <w:vAlign w:val="bottom"/>
            <w:tcBorders>
              <w:bottom w:val="single" w:sz="8" w:color="333333"/>
              <w:right w:val="single" w:sz="8" w:color="auto"/>
            </w:tcBorders>
          </w:tcPr>
          <w:p>
            <w:pPr>
              <w:ind w:left="60"/>
              <w:spacing w:after="0"/>
              <w:rPr>
                <w:sz w:val="20"/>
                <w:szCs w:val="20"/>
                <w:color w:val="auto"/>
              </w:rPr>
            </w:pPr>
            <w:r>
              <w:rPr>
                <w:rFonts w:ascii="Arial" w:cs="Arial" w:eastAsia="Arial" w:hAnsi="Arial"/>
                <w:sz w:val="16"/>
                <w:szCs w:val="16"/>
                <w:b w:val="1"/>
                <w:bCs w:val="1"/>
                <w:color w:val="auto"/>
              </w:rPr>
              <w:t>James A. Bell</w:t>
            </w:r>
          </w:p>
        </w:tc>
        <w:tc>
          <w:tcPr>
            <w:tcW w:w="1160" w:type="dxa"/>
            <w:vAlign w:val="bottom"/>
            <w:tcBorders>
              <w:bottom w:val="single" w:sz="8" w:color="333333"/>
              <w:right w:val="single" w:sz="8" w:color="auto"/>
            </w:tcBorders>
          </w:tcPr>
          <w:p>
            <w:pPr>
              <w:jc w:val="right"/>
              <w:ind w:right="119"/>
              <w:spacing w:after="0"/>
              <w:rPr>
                <w:sz w:val="20"/>
                <w:szCs w:val="20"/>
                <w:color w:val="auto"/>
              </w:rPr>
            </w:pPr>
            <w:r>
              <w:rPr>
                <w:rFonts w:ascii="Arial" w:cs="Arial" w:eastAsia="Arial" w:hAnsi="Arial"/>
                <w:sz w:val="16"/>
                <w:szCs w:val="16"/>
                <w:color w:val="auto"/>
              </w:rPr>
              <w:t>135</w:t>
            </w:r>
          </w:p>
        </w:tc>
        <w:tc>
          <w:tcPr>
            <w:tcW w:w="1660" w:type="dxa"/>
            <w:vAlign w:val="bottom"/>
            <w:tcBorders>
              <w:bottom w:val="single" w:sz="8" w:color="333333"/>
              <w:right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333333"/>
            </w:tcBorders>
          </w:tcPr>
          <w:p>
            <w:pPr>
              <w:spacing w:after="0"/>
              <w:rPr>
                <w:sz w:val="19"/>
                <w:szCs w:val="19"/>
                <w:color w:val="auto"/>
              </w:rPr>
            </w:pPr>
          </w:p>
        </w:tc>
        <w:tc>
          <w:tcPr>
            <w:tcW w:w="1380" w:type="dxa"/>
            <w:vAlign w:val="bottom"/>
            <w:tcBorders>
              <w:bottom w:val="single" w:sz="8" w:color="333333"/>
              <w:right w:val="single" w:sz="8" w:color="auto"/>
            </w:tcBorders>
          </w:tcPr>
          <w:p>
            <w:pPr>
              <w:jc w:val="right"/>
              <w:ind w:right="159"/>
              <w:spacing w:after="0"/>
              <w:rPr>
                <w:sz w:val="20"/>
                <w:szCs w:val="20"/>
                <w:color w:val="auto"/>
              </w:rPr>
            </w:pPr>
            <w:r>
              <w:rPr>
                <w:rFonts w:ascii="Arial" w:cs="Arial" w:eastAsia="Arial" w:hAnsi="Arial"/>
                <w:sz w:val="16"/>
                <w:szCs w:val="16"/>
                <w:color w:val="auto"/>
              </w:rPr>
              <w:t>135</w:t>
            </w:r>
          </w:p>
        </w:tc>
        <w:tc>
          <w:tcPr>
            <w:tcW w:w="1540" w:type="dxa"/>
            <w:vAlign w:val="bottom"/>
            <w:tcBorders>
              <w:bottom w:val="single" w:sz="8" w:color="333333"/>
              <w:right w:val="single" w:sz="8" w:color="auto"/>
            </w:tcBorders>
          </w:tcPr>
          <w:p>
            <w:pPr>
              <w:jc w:val="right"/>
              <w:ind w:right="139"/>
              <w:spacing w:after="0"/>
              <w:rPr>
                <w:sz w:val="20"/>
                <w:szCs w:val="20"/>
                <w:color w:val="auto"/>
              </w:rPr>
            </w:pPr>
            <w:r>
              <w:rPr>
                <w:rFonts w:ascii="Arial" w:cs="Arial" w:eastAsia="Arial" w:hAnsi="Arial"/>
                <w:sz w:val="16"/>
                <w:szCs w:val="16"/>
                <w:color w:val="auto"/>
              </w:rPr>
              <w:t>33,747</w:t>
            </w:r>
          </w:p>
        </w:tc>
        <w:tc>
          <w:tcPr>
            <w:tcW w:w="1180" w:type="dxa"/>
            <w:vAlign w:val="bottom"/>
            <w:tcBorders>
              <w:bottom w:val="single" w:sz="8" w:color="333333"/>
            </w:tcBorders>
          </w:tcPr>
          <w:p>
            <w:pPr>
              <w:jc w:val="right"/>
              <w:ind w:right="139"/>
              <w:spacing w:after="0"/>
              <w:rPr>
                <w:sz w:val="20"/>
                <w:szCs w:val="20"/>
                <w:color w:val="auto"/>
              </w:rPr>
            </w:pPr>
            <w:r>
              <w:rPr>
                <w:rFonts w:ascii="Arial" w:cs="Arial" w:eastAsia="Arial" w:hAnsi="Arial"/>
                <w:sz w:val="16"/>
                <w:szCs w:val="16"/>
                <w:color w:val="auto"/>
              </w:rPr>
              <w:t>33,882</w:t>
            </w:r>
          </w:p>
        </w:tc>
        <w:tc>
          <w:tcPr>
            <w:tcW w:w="0" w:type="dxa"/>
            <w:vAlign w:val="bottom"/>
          </w:tcPr>
          <w:p>
            <w:pPr>
              <w:spacing w:after="0"/>
              <w:rPr>
                <w:sz w:val="1"/>
                <w:szCs w:val="1"/>
                <w:color w:val="auto"/>
              </w:rPr>
            </w:pPr>
          </w:p>
        </w:tc>
      </w:tr>
      <w:tr>
        <w:trPr>
          <w:trHeight w:val="223"/>
        </w:trPr>
        <w:tc>
          <w:tcPr>
            <w:tcW w:w="4020" w:type="dxa"/>
            <w:vAlign w:val="bottom"/>
            <w:tcBorders>
              <w:bottom w:val="single" w:sz="8" w:color="333333"/>
              <w:right w:val="single" w:sz="8" w:color="auto"/>
            </w:tcBorders>
          </w:tcPr>
          <w:p>
            <w:pPr>
              <w:ind w:left="60"/>
              <w:spacing w:after="0"/>
              <w:rPr>
                <w:sz w:val="20"/>
                <w:szCs w:val="20"/>
                <w:color w:val="auto"/>
              </w:rPr>
            </w:pPr>
            <w:r>
              <w:rPr>
                <w:rFonts w:ascii="Arial" w:cs="Arial" w:eastAsia="Arial" w:hAnsi="Arial"/>
                <w:sz w:val="16"/>
                <w:szCs w:val="16"/>
                <w:b w:val="1"/>
                <w:bCs w:val="1"/>
                <w:color w:val="auto"/>
              </w:rPr>
              <w:t>Stephen B. Burke</w:t>
            </w:r>
          </w:p>
        </w:tc>
        <w:tc>
          <w:tcPr>
            <w:tcW w:w="1160" w:type="dxa"/>
            <w:vAlign w:val="bottom"/>
            <w:tcBorders>
              <w:bottom w:val="single" w:sz="8" w:color="333333"/>
              <w:right w:val="single" w:sz="8" w:color="auto"/>
            </w:tcBorders>
          </w:tcPr>
          <w:p>
            <w:pPr>
              <w:jc w:val="right"/>
              <w:ind w:right="119"/>
              <w:spacing w:after="0"/>
              <w:rPr>
                <w:sz w:val="20"/>
                <w:szCs w:val="20"/>
                <w:color w:val="auto"/>
              </w:rPr>
            </w:pPr>
            <w:r>
              <w:rPr>
                <w:rFonts w:ascii="Arial" w:cs="Arial" w:eastAsia="Arial" w:hAnsi="Arial"/>
                <w:sz w:val="16"/>
                <w:szCs w:val="16"/>
                <w:color w:val="auto"/>
              </w:rPr>
              <w:t>32,107</w:t>
            </w:r>
          </w:p>
        </w:tc>
        <w:tc>
          <w:tcPr>
            <w:tcW w:w="1660" w:type="dxa"/>
            <w:vAlign w:val="bottom"/>
            <w:tcBorders>
              <w:bottom w:val="single" w:sz="8" w:color="333333"/>
              <w:right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333333"/>
            </w:tcBorders>
          </w:tcPr>
          <w:p>
            <w:pPr>
              <w:spacing w:after="0"/>
              <w:rPr>
                <w:sz w:val="19"/>
                <w:szCs w:val="19"/>
                <w:color w:val="auto"/>
              </w:rPr>
            </w:pPr>
          </w:p>
        </w:tc>
        <w:tc>
          <w:tcPr>
            <w:tcW w:w="1380" w:type="dxa"/>
            <w:vAlign w:val="bottom"/>
            <w:tcBorders>
              <w:bottom w:val="single" w:sz="8" w:color="333333"/>
              <w:right w:val="single" w:sz="8" w:color="auto"/>
            </w:tcBorders>
          </w:tcPr>
          <w:p>
            <w:pPr>
              <w:jc w:val="right"/>
              <w:ind w:right="159"/>
              <w:spacing w:after="0"/>
              <w:rPr>
                <w:sz w:val="20"/>
                <w:szCs w:val="20"/>
                <w:color w:val="auto"/>
              </w:rPr>
            </w:pPr>
            <w:r>
              <w:rPr>
                <w:rFonts w:ascii="Arial" w:cs="Arial" w:eastAsia="Arial" w:hAnsi="Arial"/>
                <w:sz w:val="16"/>
                <w:szCs w:val="16"/>
                <w:color w:val="auto"/>
              </w:rPr>
              <w:t>32,107</w:t>
            </w:r>
          </w:p>
        </w:tc>
        <w:tc>
          <w:tcPr>
            <w:tcW w:w="1540" w:type="dxa"/>
            <w:vAlign w:val="bottom"/>
            <w:tcBorders>
              <w:bottom w:val="single" w:sz="8" w:color="333333"/>
              <w:right w:val="single" w:sz="8" w:color="auto"/>
            </w:tcBorders>
          </w:tcPr>
          <w:p>
            <w:pPr>
              <w:jc w:val="right"/>
              <w:ind w:right="139"/>
              <w:spacing w:after="0"/>
              <w:rPr>
                <w:sz w:val="20"/>
                <w:szCs w:val="20"/>
                <w:color w:val="auto"/>
              </w:rPr>
            </w:pPr>
            <w:r>
              <w:rPr>
                <w:rFonts w:ascii="Arial" w:cs="Arial" w:eastAsia="Arial" w:hAnsi="Arial"/>
                <w:sz w:val="16"/>
                <w:szCs w:val="16"/>
                <w:color w:val="auto"/>
              </w:rPr>
              <w:t>116,192</w:t>
            </w:r>
          </w:p>
        </w:tc>
        <w:tc>
          <w:tcPr>
            <w:tcW w:w="1180" w:type="dxa"/>
            <w:vAlign w:val="bottom"/>
            <w:tcBorders>
              <w:bottom w:val="single" w:sz="8" w:color="333333"/>
            </w:tcBorders>
          </w:tcPr>
          <w:p>
            <w:pPr>
              <w:jc w:val="right"/>
              <w:ind w:right="139"/>
              <w:spacing w:after="0"/>
              <w:rPr>
                <w:sz w:val="20"/>
                <w:szCs w:val="20"/>
                <w:color w:val="auto"/>
              </w:rPr>
            </w:pPr>
            <w:r>
              <w:rPr>
                <w:rFonts w:ascii="Arial" w:cs="Arial" w:eastAsia="Arial" w:hAnsi="Arial"/>
                <w:sz w:val="16"/>
                <w:szCs w:val="16"/>
                <w:color w:val="auto"/>
              </w:rPr>
              <w:t>148,299</w:t>
            </w:r>
          </w:p>
        </w:tc>
        <w:tc>
          <w:tcPr>
            <w:tcW w:w="0" w:type="dxa"/>
            <w:vAlign w:val="bottom"/>
          </w:tcPr>
          <w:p>
            <w:pPr>
              <w:spacing w:after="0"/>
              <w:rPr>
                <w:sz w:val="1"/>
                <w:szCs w:val="1"/>
                <w:color w:val="auto"/>
              </w:rPr>
            </w:pPr>
          </w:p>
        </w:tc>
      </w:tr>
      <w:tr>
        <w:trPr>
          <w:trHeight w:val="223"/>
        </w:trPr>
        <w:tc>
          <w:tcPr>
            <w:tcW w:w="4020" w:type="dxa"/>
            <w:vAlign w:val="bottom"/>
            <w:tcBorders>
              <w:bottom w:val="single" w:sz="8" w:color="333333"/>
              <w:right w:val="single" w:sz="8" w:color="auto"/>
            </w:tcBorders>
          </w:tcPr>
          <w:p>
            <w:pPr>
              <w:ind w:left="60"/>
              <w:spacing w:after="0"/>
              <w:rPr>
                <w:sz w:val="20"/>
                <w:szCs w:val="20"/>
                <w:color w:val="auto"/>
              </w:rPr>
            </w:pPr>
            <w:r>
              <w:rPr>
                <w:rFonts w:ascii="Arial" w:cs="Arial" w:eastAsia="Arial" w:hAnsi="Arial"/>
                <w:sz w:val="16"/>
                <w:szCs w:val="16"/>
                <w:b w:val="1"/>
                <w:bCs w:val="1"/>
                <w:color w:val="auto"/>
              </w:rPr>
              <w:t>Todd A. Combs</w:t>
            </w:r>
          </w:p>
        </w:tc>
        <w:tc>
          <w:tcPr>
            <w:tcW w:w="1160" w:type="dxa"/>
            <w:vAlign w:val="bottom"/>
            <w:tcBorders>
              <w:bottom w:val="single" w:sz="8" w:color="333333"/>
              <w:right w:val="single" w:sz="8" w:color="auto"/>
            </w:tcBorders>
          </w:tcPr>
          <w:p>
            <w:pPr>
              <w:jc w:val="right"/>
              <w:ind w:right="119"/>
              <w:spacing w:after="0"/>
              <w:rPr>
                <w:sz w:val="20"/>
                <w:szCs w:val="20"/>
                <w:color w:val="auto"/>
              </w:rPr>
            </w:pPr>
            <w:r>
              <w:rPr>
                <w:rFonts w:ascii="Arial" w:cs="Arial" w:eastAsia="Arial" w:hAnsi="Arial"/>
                <w:sz w:val="16"/>
                <w:szCs w:val="16"/>
                <w:color w:val="auto"/>
              </w:rPr>
              <w:t>13,016</w:t>
            </w:r>
          </w:p>
        </w:tc>
        <w:tc>
          <w:tcPr>
            <w:tcW w:w="1660" w:type="dxa"/>
            <w:vAlign w:val="bottom"/>
            <w:tcBorders>
              <w:bottom w:val="single" w:sz="8" w:color="333333"/>
              <w:right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333333"/>
            </w:tcBorders>
          </w:tcPr>
          <w:p>
            <w:pPr>
              <w:spacing w:after="0"/>
              <w:rPr>
                <w:sz w:val="19"/>
                <w:szCs w:val="19"/>
                <w:color w:val="auto"/>
              </w:rPr>
            </w:pPr>
          </w:p>
        </w:tc>
        <w:tc>
          <w:tcPr>
            <w:tcW w:w="1380" w:type="dxa"/>
            <w:vAlign w:val="bottom"/>
            <w:tcBorders>
              <w:bottom w:val="single" w:sz="8" w:color="333333"/>
              <w:right w:val="single" w:sz="8" w:color="auto"/>
            </w:tcBorders>
          </w:tcPr>
          <w:p>
            <w:pPr>
              <w:jc w:val="right"/>
              <w:ind w:right="159"/>
              <w:spacing w:after="0"/>
              <w:rPr>
                <w:sz w:val="20"/>
                <w:szCs w:val="20"/>
                <w:color w:val="auto"/>
              </w:rPr>
            </w:pPr>
            <w:r>
              <w:rPr>
                <w:rFonts w:ascii="Arial" w:cs="Arial" w:eastAsia="Arial" w:hAnsi="Arial"/>
                <w:sz w:val="16"/>
                <w:szCs w:val="16"/>
                <w:color w:val="auto"/>
              </w:rPr>
              <w:t>13,016</w:t>
            </w:r>
          </w:p>
        </w:tc>
        <w:tc>
          <w:tcPr>
            <w:tcW w:w="1540" w:type="dxa"/>
            <w:vAlign w:val="bottom"/>
            <w:tcBorders>
              <w:bottom w:val="single" w:sz="8" w:color="333333"/>
              <w:right w:val="single" w:sz="8" w:color="auto"/>
            </w:tcBorders>
          </w:tcPr>
          <w:p>
            <w:pPr>
              <w:jc w:val="right"/>
              <w:ind w:right="139"/>
              <w:spacing w:after="0"/>
              <w:rPr>
                <w:sz w:val="20"/>
                <w:szCs w:val="20"/>
                <w:color w:val="auto"/>
              </w:rPr>
            </w:pPr>
            <w:r>
              <w:rPr>
                <w:rFonts w:ascii="Arial" w:cs="Arial" w:eastAsia="Arial" w:hAnsi="Arial"/>
                <w:sz w:val="16"/>
                <w:szCs w:val="16"/>
                <w:color w:val="auto"/>
              </w:rPr>
              <w:t>9,933</w:t>
            </w:r>
          </w:p>
        </w:tc>
        <w:tc>
          <w:tcPr>
            <w:tcW w:w="1180" w:type="dxa"/>
            <w:vAlign w:val="bottom"/>
            <w:tcBorders>
              <w:bottom w:val="single" w:sz="8" w:color="333333"/>
            </w:tcBorders>
          </w:tcPr>
          <w:p>
            <w:pPr>
              <w:jc w:val="right"/>
              <w:ind w:right="139"/>
              <w:spacing w:after="0"/>
              <w:rPr>
                <w:sz w:val="20"/>
                <w:szCs w:val="20"/>
                <w:color w:val="auto"/>
              </w:rPr>
            </w:pPr>
            <w:r>
              <w:rPr>
                <w:rFonts w:ascii="Arial" w:cs="Arial" w:eastAsia="Arial" w:hAnsi="Arial"/>
                <w:sz w:val="16"/>
                <w:szCs w:val="16"/>
                <w:color w:val="auto"/>
              </w:rPr>
              <w:t>22,949</w:t>
            </w:r>
          </w:p>
        </w:tc>
        <w:tc>
          <w:tcPr>
            <w:tcW w:w="0" w:type="dxa"/>
            <w:vAlign w:val="bottom"/>
          </w:tcPr>
          <w:p>
            <w:pPr>
              <w:spacing w:after="0"/>
              <w:rPr>
                <w:sz w:val="1"/>
                <w:szCs w:val="1"/>
                <w:color w:val="auto"/>
              </w:rPr>
            </w:pPr>
          </w:p>
        </w:tc>
      </w:tr>
      <w:tr>
        <w:trPr>
          <w:trHeight w:val="223"/>
        </w:trPr>
        <w:tc>
          <w:tcPr>
            <w:tcW w:w="4020" w:type="dxa"/>
            <w:vAlign w:val="bottom"/>
            <w:tcBorders>
              <w:bottom w:val="single" w:sz="8" w:color="333333"/>
              <w:right w:val="single" w:sz="8" w:color="auto"/>
            </w:tcBorders>
          </w:tcPr>
          <w:p>
            <w:pPr>
              <w:ind w:left="60"/>
              <w:spacing w:after="0" w:line="223" w:lineRule="exact"/>
              <w:rPr>
                <w:sz w:val="20"/>
                <w:szCs w:val="20"/>
                <w:color w:val="auto"/>
              </w:rPr>
            </w:pPr>
            <w:r>
              <w:rPr>
                <w:rFonts w:ascii="Arial" w:cs="Arial" w:eastAsia="Arial" w:hAnsi="Arial"/>
                <w:sz w:val="15"/>
                <w:szCs w:val="15"/>
                <w:b w:val="1"/>
                <w:bCs w:val="1"/>
                <w:color w:val="auto"/>
              </w:rPr>
              <w:t>James S. Crown</w:t>
            </w:r>
            <w:r>
              <w:rPr>
                <w:rFonts w:ascii="Arial" w:cs="Arial" w:eastAsia="Arial" w:hAnsi="Arial"/>
                <w:sz w:val="25"/>
                <w:szCs w:val="25"/>
                <w:b w:val="1"/>
                <w:bCs w:val="1"/>
                <w:color w:val="auto"/>
                <w:vertAlign w:val="superscript"/>
              </w:rPr>
              <w:t>3</w:t>
            </w:r>
          </w:p>
        </w:tc>
        <w:tc>
          <w:tcPr>
            <w:tcW w:w="1160" w:type="dxa"/>
            <w:vAlign w:val="bottom"/>
            <w:tcBorders>
              <w:bottom w:val="single" w:sz="8" w:color="333333"/>
              <w:right w:val="single" w:sz="8" w:color="auto"/>
            </w:tcBorders>
          </w:tcPr>
          <w:p>
            <w:pPr>
              <w:jc w:val="right"/>
              <w:ind w:right="119"/>
              <w:spacing w:after="0"/>
              <w:rPr>
                <w:sz w:val="20"/>
                <w:szCs w:val="20"/>
                <w:color w:val="auto"/>
              </w:rPr>
            </w:pPr>
            <w:r>
              <w:rPr>
                <w:rFonts w:ascii="Arial" w:cs="Arial" w:eastAsia="Arial" w:hAnsi="Arial"/>
                <w:sz w:val="16"/>
                <w:szCs w:val="16"/>
                <w:color w:val="auto"/>
              </w:rPr>
              <w:t>12,279,989</w:t>
            </w:r>
          </w:p>
        </w:tc>
        <w:tc>
          <w:tcPr>
            <w:tcW w:w="1660" w:type="dxa"/>
            <w:vAlign w:val="bottom"/>
            <w:tcBorders>
              <w:bottom w:val="single" w:sz="8" w:color="333333"/>
              <w:right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333333"/>
            </w:tcBorders>
          </w:tcPr>
          <w:p>
            <w:pPr>
              <w:spacing w:after="0"/>
              <w:rPr>
                <w:sz w:val="19"/>
                <w:szCs w:val="19"/>
                <w:color w:val="auto"/>
              </w:rPr>
            </w:pPr>
          </w:p>
        </w:tc>
        <w:tc>
          <w:tcPr>
            <w:tcW w:w="1380" w:type="dxa"/>
            <w:vAlign w:val="bottom"/>
            <w:tcBorders>
              <w:bottom w:val="single" w:sz="8" w:color="333333"/>
              <w:right w:val="single" w:sz="8" w:color="auto"/>
            </w:tcBorders>
          </w:tcPr>
          <w:p>
            <w:pPr>
              <w:jc w:val="right"/>
              <w:ind w:right="159"/>
              <w:spacing w:after="0"/>
              <w:rPr>
                <w:sz w:val="20"/>
                <w:szCs w:val="20"/>
                <w:color w:val="auto"/>
              </w:rPr>
            </w:pPr>
            <w:r>
              <w:rPr>
                <w:rFonts w:ascii="Arial" w:cs="Arial" w:eastAsia="Arial" w:hAnsi="Arial"/>
                <w:sz w:val="16"/>
                <w:szCs w:val="16"/>
                <w:color w:val="auto"/>
              </w:rPr>
              <w:t>12,279,989</w:t>
            </w:r>
          </w:p>
        </w:tc>
        <w:tc>
          <w:tcPr>
            <w:tcW w:w="1540" w:type="dxa"/>
            <w:vAlign w:val="bottom"/>
            <w:tcBorders>
              <w:bottom w:val="single" w:sz="8" w:color="333333"/>
              <w:right w:val="single" w:sz="8" w:color="auto"/>
            </w:tcBorders>
          </w:tcPr>
          <w:p>
            <w:pPr>
              <w:jc w:val="right"/>
              <w:ind w:right="139"/>
              <w:spacing w:after="0"/>
              <w:rPr>
                <w:sz w:val="20"/>
                <w:szCs w:val="20"/>
                <w:color w:val="auto"/>
              </w:rPr>
            </w:pPr>
            <w:r>
              <w:rPr>
                <w:rFonts w:ascii="Arial" w:cs="Arial" w:eastAsia="Arial" w:hAnsi="Arial"/>
                <w:sz w:val="16"/>
                <w:szCs w:val="16"/>
                <w:color w:val="auto"/>
              </w:rPr>
              <w:t>189,497</w:t>
            </w:r>
          </w:p>
        </w:tc>
        <w:tc>
          <w:tcPr>
            <w:tcW w:w="1180" w:type="dxa"/>
            <w:vAlign w:val="bottom"/>
            <w:tcBorders>
              <w:bottom w:val="single" w:sz="8" w:color="333333"/>
            </w:tcBorders>
          </w:tcPr>
          <w:p>
            <w:pPr>
              <w:jc w:val="right"/>
              <w:ind w:right="139"/>
              <w:spacing w:after="0"/>
              <w:rPr>
                <w:sz w:val="20"/>
                <w:szCs w:val="20"/>
                <w:color w:val="auto"/>
              </w:rPr>
            </w:pPr>
            <w:r>
              <w:rPr>
                <w:rFonts w:ascii="Arial" w:cs="Arial" w:eastAsia="Arial" w:hAnsi="Arial"/>
                <w:sz w:val="16"/>
                <w:szCs w:val="16"/>
                <w:color w:val="auto"/>
              </w:rPr>
              <w:t>12,469,486</w:t>
            </w:r>
          </w:p>
        </w:tc>
        <w:tc>
          <w:tcPr>
            <w:tcW w:w="0" w:type="dxa"/>
            <w:vAlign w:val="bottom"/>
          </w:tcPr>
          <w:p>
            <w:pPr>
              <w:spacing w:after="0"/>
              <w:rPr>
                <w:sz w:val="1"/>
                <w:szCs w:val="1"/>
                <w:color w:val="auto"/>
              </w:rPr>
            </w:pPr>
          </w:p>
        </w:tc>
      </w:tr>
      <w:tr>
        <w:trPr>
          <w:trHeight w:val="223"/>
        </w:trPr>
        <w:tc>
          <w:tcPr>
            <w:tcW w:w="4020" w:type="dxa"/>
            <w:vAlign w:val="bottom"/>
            <w:tcBorders>
              <w:bottom w:val="single" w:sz="8" w:color="333333"/>
              <w:right w:val="single" w:sz="8" w:color="auto"/>
            </w:tcBorders>
          </w:tcPr>
          <w:p>
            <w:pPr>
              <w:ind w:left="60"/>
              <w:spacing w:after="0" w:line="223" w:lineRule="exact"/>
              <w:rPr>
                <w:sz w:val="20"/>
                <w:szCs w:val="20"/>
                <w:color w:val="auto"/>
              </w:rPr>
            </w:pPr>
            <w:r>
              <w:rPr>
                <w:rFonts w:ascii="Arial" w:cs="Arial" w:eastAsia="Arial" w:hAnsi="Arial"/>
                <w:sz w:val="15"/>
                <w:szCs w:val="15"/>
                <w:b w:val="1"/>
                <w:bCs w:val="1"/>
                <w:color w:val="auto"/>
              </w:rPr>
              <w:t>James Dimon</w:t>
            </w:r>
            <w:r>
              <w:rPr>
                <w:rFonts w:ascii="Arial" w:cs="Arial" w:eastAsia="Arial" w:hAnsi="Arial"/>
                <w:sz w:val="25"/>
                <w:szCs w:val="25"/>
                <w:b w:val="1"/>
                <w:bCs w:val="1"/>
                <w:color w:val="auto"/>
                <w:vertAlign w:val="superscript"/>
              </w:rPr>
              <w:t>4</w:t>
            </w:r>
          </w:p>
        </w:tc>
        <w:tc>
          <w:tcPr>
            <w:tcW w:w="1160" w:type="dxa"/>
            <w:vAlign w:val="bottom"/>
            <w:tcBorders>
              <w:bottom w:val="single" w:sz="8" w:color="333333"/>
              <w:right w:val="single" w:sz="8" w:color="auto"/>
            </w:tcBorders>
          </w:tcPr>
          <w:p>
            <w:pPr>
              <w:jc w:val="right"/>
              <w:ind w:right="119"/>
              <w:spacing w:after="0"/>
              <w:rPr>
                <w:sz w:val="20"/>
                <w:szCs w:val="20"/>
                <w:color w:val="auto"/>
              </w:rPr>
            </w:pPr>
            <w:r>
              <w:rPr>
                <w:rFonts w:ascii="Arial" w:cs="Arial" w:eastAsia="Arial" w:hAnsi="Arial"/>
                <w:sz w:val="16"/>
                <w:szCs w:val="16"/>
                <w:color w:val="auto"/>
              </w:rPr>
              <w:t>7,859,738</w:t>
            </w:r>
          </w:p>
        </w:tc>
        <w:tc>
          <w:tcPr>
            <w:tcW w:w="1660" w:type="dxa"/>
            <w:vAlign w:val="bottom"/>
            <w:tcBorders>
              <w:bottom w:val="single" w:sz="8" w:color="333333"/>
              <w:right w:val="single" w:sz="8" w:color="auto"/>
            </w:tcBorders>
          </w:tcPr>
          <w:p>
            <w:pPr>
              <w:jc w:val="right"/>
              <w:ind w:right="139"/>
              <w:spacing w:after="0"/>
              <w:rPr>
                <w:sz w:val="20"/>
                <w:szCs w:val="20"/>
                <w:color w:val="auto"/>
              </w:rPr>
            </w:pPr>
            <w:r>
              <w:rPr>
                <w:rFonts w:ascii="Arial" w:cs="Arial" w:eastAsia="Arial" w:hAnsi="Arial"/>
                <w:sz w:val="16"/>
                <w:szCs w:val="16"/>
                <w:color w:val="auto"/>
              </w:rPr>
              <w:t>929,807</w:t>
            </w:r>
          </w:p>
        </w:tc>
        <w:tc>
          <w:tcPr>
            <w:tcW w:w="80" w:type="dxa"/>
            <w:vAlign w:val="bottom"/>
            <w:tcBorders>
              <w:bottom w:val="single" w:sz="8" w:color="333333"/>
            </w:tcBorders>
          </w:tcPr>
          <w:p>
            <w:pPr>
              <w:spacing w:after="0"/>
              <w:rPr>
                <w:sz w:val="19"/>
                <w:szCs w:val="19"/>
                <w:color w:val="auto"/>
              </w:rPr>
            </w:pPr>
          </w:p>
        </w:tc>
        <w:tc>
          <w:tcPr>
            <w:tcW w:w="1380" w:type="dxa"/>
            <w:vAlign w:val="bottom"/>
            <w:tcBorders>
              <w:bottom w:val="single" w:sz="8" w:color="333333"/>
              <w:right w:val="single" w:sz="8" w:color="auto"/>
            </w:tcBorders>
          </w:tcPr>
          <w:p>
            <w:pPr>
              <w:jc w:val="right"/>
              <w:ind w:right="159"/>
              <w:spacing w:after="0"/>
              <w:rPr>
                <w:sz w:val="20"/>
                <w:szCs w:val="20"/>
                <w:color w:val="auto"/>
              </w:rPr>
            </w:pPr>
            <w:r>
              <w:rPr>
                <w:rFonts w:ascii="Arial" w:cs="Arial" w:eastAsia="Arial" w:hAnsi="Arial"/>
                <w:sz w:val="16"/>
                <w:szCs w:val="16"/>
                <w:color w:val="auto"/>
              </w:rPr>
              <w:t>8,789,545</w:t>
            </w:r>
          </w:p>
        </w:tc>
        <w:tc>
          <w:tcPr>
            <w:tcW w:w="1540" w:type="dxa"/>
            <w:vAlign w:val="bottom"/>
            <w:tcBorders>
              <w:bottom w:val="single" w:sz="8" w:color="333333"/>
              <w:right w:val="single" w:sz="8" w:color="auto"/>
            </w:tcBorders>
          </w:tcPr>
          <w:p>
            <w:pPr>
              <w:jc w:val="right"/>
              <w:ind w:right="139"/>
              <w:spacing w:after="0"/>
              <w:rPr>
                <w:sz w:val="20"/>
                <w:szCs w:val="20"/>
                <w:color w:val="auto"/>
              </w:rPr>
            </w:pPr>
            <w:r>
              <w:rPr>
                <w:rFonts w:ascii="Arial" w:cs="Arial" w:eastAsia="Arial" w:hAnsi="Arial"/>
                <w:sz w:val="16"/>
                <w:szCs w:val="16"/>
                <w:color w:val="auto"/>
              </w:rPr>
              <w:t>749,122</w:t>
            </w:r>
          </w:p>
        </w:tc>
        <w:tc>
          <w:tcPr>
            <w:tcW w:w="1180" w:type="dxa"/>
            <w:vAlign w:val="bottom"/>
            <w:tcBorders>
              <w:bottom w:val="single" w:sz="8" w:color="333333"/>
            </w:tcBorders>
          </w:tcPr>
          <w:p>
            <w:pPr>
              <w:jc w:val="right"/>
              <w:ind w:right="139"/>
              <w:spacing w:after="0"/>
              <w:rPr>
                <w:sz w:val="20"/>
                <w:szCs w:val="20"/>
                <w:color w:val="auto"/>
              </w:rPr>
            </w:pPr>
            <w:r>
              <w:rPr>
                <w:rFonts w:ascii="Arial" w:cs="Arial" w:eastAsia="Arial" w:hAnsi="Arial"/>
                <w:sz w:val="16"/>
                <w:szCs w:val="16"/>
                <w:color w:val="auto"/>
              </w:rPr>
              <w:t>9,538,667</w:t>
            </w:r>
          </w:p>
        </w:tc>
        <w:tc>
          <w:tcPr>
            <w:tcW w:w="0" w:type="dxa"/>
            <w:vAlign w:val="bottom"/>
          </w:tcPr>
          <w:p>
            <w:pPr>
              <w:spacing w:after="0"/>
              <w:rPr>
                <w:sz w:val="1"/>
                <w:szCs w:val="1"/>
                <w:color w:val="auto"/>
              </w:rPr>
            </w:pPr>
          </w:p>
        </w:tc>
      </w:tr>
      <w:tr>
        <w:trPr>
          <w:trHeight w:val="223"/>
        </w:trPr>
        <w:tc>
          <w:tcPr>
            <w:tcW w:w="4020" w:type="dxa"/>
            <w:vAlign w:val="bottom"/>
            <w:tcBorders>
              <w:bottom w:val="single" w:sz="8" w:color="333333"/>
              <w:right w:val="single" w:sz="8" w:color="auto"/>
            </w:tcBorders>
          </w:tcPr>
          <w:p>
            <w:pPr>
              <w:ind w:left="60"/>
              <w:spacing w:after="0" w:line="223" w:lineRule="exact"/>
              <w:rPr>
                <w:sz w:val="20"/>
                <w:szCs w:val="20"/>
                <w:color w:val="auto"/>
              </w:rPr>
            </w:pPr>
            <w:r>
              <w:rPr>
                <w:rFonts w:ascii="Arial" w:cs="Arial" w:eastAsia="Arial" w:hAnsi="Arial"/>
                <w:sz w:val="15"/>
                <w:szCs w:val="15"/>
                <w:b w:val="1"/>
                <w:bCs w:val="1"/>
                <w:color w:val="auto"/>
              </w:rPr>
              <w:t>Mary Callahan Erdoes</w:t>
            </w:r>
            <w:r>
              <w:rPr>
                <w:rFonts w:ascii="Arial" w:cs="Arial" w:eastAsia="Arial" w:hAnsi="Arial"/>
                <w:sz w:val="25"/>
                <w:szCs w:val="25"/>
                <w:b w:val="1"/>
                <w:bCs w:val="1"/>
                <w:color w:val="auto"/>
                <w:vertAlign w:val="superscript"/>
              </w:rPr>
              <w:t>5</w:t>
            </w:r>
          </w:p>
        </w:tc>
        <w:tc>
          <w:tcPr>
            <w:tcW w:w="1160" w:type="dxa"/>
            <w:vAlign w:val="bottom"/>
            <w:tcBorders>
              <w:bottom w:val="single" w:sz="8" w:color="333333"/>
              <w:right w:val="single" w:sz="8" w:color="auto"/>
            </w:tcBorders>
          </w:tcPr>
          <w:p>
            <w:pPr>
              <w:jc w:val="right"/>
              <w:ind w:right="119"/>
              <w:spacing w:after="0"/>
              <w:rPr>
                <w:sz w:val="20"/>
                <w:szCs w:val="20"/>
                <w:color w:val="auto"/>
              </w:rPr>
            </w:pPr>
            <w:r>
              <w:rPr>
                <w:rFonts w:ascii="Arial" w:cs="Arial" w:eastAsia="Arial" w:hAnsi="Arial"/>
                <w:sz w:val="16"/>
                <w:szCs w:val="16"/>
                <w:color w:val="auto"/>
              </w:rPr>
              <w:t>458,658</w:t>
            </w:r>
          </w:p>
        </w:tc>
        <w:tc>
          <w:tcPr>
            <w:tcW w:w="1660" w:type="dxa"/>
            <w:vAlign w:val="bottom"/>
            <w:tcBorders>
              <w:bottom w:val="single" w:sz="8" w:color="333333"/>
              <w:right w:val="single" w:sz="8" w:color="auto"/>
            </w:tcBorders>
          </w:tcPr>
          <w:p>
            <w:pPr>
              <w:jc w:val="right"/>
              <w:ind w:right="139"/>
              <w:spacing w:after="0"/>
              <w:rPr>
                <w:sz w:val="20"/>
                <w:szCs w:val="20"/>
                <w:color w:val="auto"/>
              </w:rPr>
            </w:pPr>
            <w:r>
              <w:rPr>
                <w:rFonts w:ascii="Arial" w:cs="Arial" w:eastAsia="Arial" w:hAnsi="Arial"/>
                <w:sz w:val="16"/>
                <w:szCs w:val="16"/>
                <w:color w:val="auto"/>
              </w:rPr>
              <w:t>105,143</w:t>
            </w:r>
          </w:p>
        </w:tc>
        <w:tc>
          <w:tcPr>
            <w:tcW w:w="80" w:type="dxa"/>
            <w:vAlign w:val="bottom"/>
            <w:tcBorders>
              <w:bottom w:val="single" w:sz="8" w:color="333333"/>
            </w:tcBorders>
          </w:tcPr>
          <w:p>
            <w:pPr>
              <w:spacing w:after="0"/>
              <w:rPr>
                <w:sz w:val="19"/>
                <w:szCs w:val="19"/>
                <w:color w:val="auto"/>
              </w:rPr>
            </w:pPr>
          </w:p>
        </w:tc>
        <w:tc>
          <w:tcPr>
            <w:tcW w:w="1380" w:type="dxa"/>
            <w:vAlign w:val="bottom"/>
            <w:tcBorders>
              <w:bottom w:val="single" w:sz="8" w:color="333333"/>
              <w:right w:val="single" w:sz="8" w:color="auto"/>
            </w:tcBorders>
          </w:tcPr>
          <w:p>
            <w:pPr>
              <w:jc w:val="right"/>
              <w:ind w:right="159"/>
              <w:spacing w:after="0"/>
              <w:rPr>
                <w:sz w:val="20"/>
                <w:szCs w:val="20"/>
                <w:color w:val="auto"/>
              </w:rPr>
            </w:pPr>
            <w:r>
              <w:rPr>
                <w:rFonts w:ascii="Arial" w:cs="Arial" w:eastAsia="Arial" w:hAnsi="Arial"/>
                <w:sz w:val="16"/>
                <w:szCs w:val="16"/>
                <w:color w:val="auto"/>
              </w:rPr>
              <w:t>563,801</w:t>
            </w:r>
          </w:p>
        </w:tc>
        <w:tc>
          <w:tcPr>
            <w:tcW w:w="1540" w:type="dxa"/>
            <w:vAlign w:val="bottom"/>
            <w:tcBorders>
              <w:bottom w:val="single" w:sz="8" w:color="333333"/>
              <w:right w:val="single" w:sz="8" w:color="auto"/>
            </w:tcBorders>
          </w:tcPr>
          <w:p>
            <w:pPr>
              <w:jc w:val="right"/>
              <w:ind w:right="139"/>
              <w:spacing w:after="0"/>
              <w:rPr>
                <w:sz w:val="20"/>
                <w:szCs w:val="20"/>
                <w:color w:val="auto"/>
              </w:rPr>
            </w:pPr>
            <w:r>
              <w:rPr>
                <w:rFonts w:ascii="Arial" w:cs="Arial" w:eastAsia="Arial" w:hAnsi="Arial"/>
                <w:sz w:val="16"/>
                <w:szCs w:val="16"/>
                <w:color w:val="auto"/>
              </w:rPr>
              <w:t>311,607</w:t>
            </w:r>
          </w:p>
        </w:tc>
        <w:tc>
          <w:tcPr>
            <w:tcW w:w="1180" w:type="dxa"/>
            <w:vAlign w:val="bottom"/>
            <w:tcBorders>
              <w:bottom w:val="single" w:sz="8" w:color="333333"/>
            </w:tcBorders>
          </w:tcPr>
          <w:p>
            <w:pPr>
              <w:jc w:val="right"/>
              <w:ind w:right="139"/>
              <w:spacing w:after="0"/>
              <w:rPr>
                <w:sz w:val="20"/>
                <w:szCs w:val="20"/>
                <w:color w:val="auto"/>
              </w:rPr>
            </w:pPr>
            <w:r>
              <w:rPr>
                <w:rFonts w:ascii="Arial" w:cs="Arial" w:eastAsia="Arial" w:hAnsi="Arial"/>
                <w:sz w:val="16"/>
                <w:szCs w:val="16"/>
                <w:color w:val="auto"/>
              </w:rPr>
              <w:t>875,408</w:t>
            </w:r>
          </w:p>
        </w:tc>
        <w:tc>
          <w:tcPr>
            <w:tcW w:w="0" w:type="dxa"/>
            <w:vAlign w:val="bottom"/>
          </w:tcPr>
          <w:p>
            <w:pPr>
              <w:spacing w:after="0"/>
              <w:rPr>
                <w:sz w:val="1"/>
                <w:szCs w:val="1"/>
                <w:color w:val="auto"/>
              </w:rPr>
            </w:pPr>
          </w:p>
        </w:tc>
      </w:tr>
      <w:tr>
        <w:trPr>
          <w:trHeight w:val="223"/>
        </w:trPr>
        <w:tc>
          <w:tcPr>
            <w:tcW w:w="4020" w:type="dxa"/>
            <w:vAlign w:val="bottom"/>
            <w:tcBorders>
              <w:bottom w:val="single" w:sz="8" w:color="333333"/>
              <w:right w:val="single" w:sz="8" w:color="auto"/>
            </w:tcBorders>
          </w:tcPr>
          <w:p>
            <w:pPr>
              <w:ind w:left="60"/>
              <w:spacing w:after="0"/>
              <w:rPr>
                <w:sz w:val="20"/>
                <w:szCs w:val="20"/>
                <w:color w:val="auto"/>
              </w:rPr>
            </w:pPr>
            <w:r>
              <w:rPr>
                <w:rFonts w:ascii="Arial" w:cs="Arial" w:eastAsia="Arial" w:hAnsi="Arial"/>
                <w:sz w:val="16"/>
                <w:szCs w:val="16"/>
                <w:b w:val="1"/>
                <w:bCs w:val="1"/>
                <w:color w:val="auto"/>
              </w:rPr>
              <w:t>Timothy P. Flynn</w:t>
            </w:r>
          </w:p>
        </w:tc>
        <w:tc>
          <w:tcPr>
            <w:tcW w:w="1160" w:type="dxa"/>
            <w:vAlign w:val="bottom"/>
            <w:tcBorders>
              <w:bottom w:val="single" w:sz="8" w:color="333333"/>
              <w:right w:val="single" w:sz="8" w:color="auto"/>
            </w:tcBorders>
          </w:tcPr>
          <w:p>
            <w:pPr>
              <w:jc w:val="right"/>
              <w:ind w:right="119"/>
              <w:spacing w:after="0"/>
              <w:rPr>
                <w:sz w:val="20"/>
                <w:szCs w:val="20"/>
                <w:color w:val="auto"/>
              </w:rPr>
            </w:pPr>
            <w:r>
              <w:rPr>
                <w:rFonts w:ascii="Arial" w:cs="Arial" w:eastAsia="Arial" w:hAnsi="Arial"/>
                <w:sz w:val="16"/>
                <w:szCs w:val="16"/>
                <w:color w:val="auto"/>
              </w:rPr>
              <w:t>10,000</w:t>
            </w:r>
          </w:p>
        </w:tc>
        <w:tc>
          <w:tcPr>
            <w:tcW w:w="1660" w:type="dxa"/>
            <w:vAlign w:val="bottom"/>
            <w:tcBorders>
              <w:bottom w:val="single" w:sz="8" w:color="333333"/>
              <w:right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333333"/>
            </w:tcBorders>
          </w:tcPr>
          <w:p>
            <w:pPr>
              <w:spacing w:after="0"/>
              <w:rPr>
                <w:sz w:val="19"/>
                <w:szCs w:val="19"/>
                <w:color w:val="auto"/>
              </w:rPr>
            </w:pPr>
          </w:p>
        </w:tc>
        <w:tc>
          <w:tcPr>
            <w:tcW w:w="1380" w:type="dxa"/>
            <w:vAlign w:val="bottom"/>
            <w:tcBorders>
              <w:bottom w:val="single" w:sz="8" w:color="333333"/>
              <w:right w:val="single" w:sz="8" w:color="auto"/>
            </w:tcBorders>
          </w:tcPr>
          <w:p>
            <w:pPr>
              <w:jc w:val="right"/>
              <w:ind w:right="159"/>
              <w:spacing w:after="0"/>
              <w:rPr>
                <w:sz w:val="20"/>
                <w:szCs w:val="20"/>
                <w:color w:val="auto"/>
              </w:rPr>
            </w:pPr>
            <w:r>
              <w:rPr>
                <w:rFonts w:ascii="Arial" w:cs="Arial" w:eastAsia="Arial" w:hAnsi="Arial"/>
                <w:sz w:val="16"/>
                <w:szCs w:val="16"/>
                <w:color w:val="auto"/>
              </w:rPr>
              <w:t>10,000</w:t>
            </w:r>
          </w:p>
        </w:tc>
        <w:tc>
          <w:tcPr>
            <w:tcW w:w="1540" w:type="dxa"/>
            <w:vAlign w:val="bottom"/>
            <w:tcBorders>
              <w:bottom w:val="single" w:sz="8" w:color="333333"/>
              <w:right w:val="single" w:sz="8" w:color="auto"/>
            </w:tcBorders>
          </w:tcPr>
          <w:p>
            <w:pPr>
              <w:jc w:val="right"/>
              <w:ind w:right="139"/>
              <w:spacing w:after="0"/>
              <w:rPr>
                <w:sz w:val="20"/>
                <w:szCs w:val="20"/>
                <w:color w:val="auto"/>
              </w:rPr>
            </w:pPr>
            <w:r>
              <w:rPr>
                <w:rFonts w:ascii="Arial" w:cs="Arial" w:eastAsia="Arial" w:hAnsi="Arial"/>
                <w:sz w:val="16"/>
                <w:szCs w:val="16"/>
                <w:color w:val="auto"/>
              </w:rPr>
              <w:t>42,438</w:t>
            </w:r>
          </w:p>
        </w:tc>
        <w:tc>
          <w:tcPr>
            <w:tcW w:w="1180" w:type="dxa"/>
            <w:vAlign w:val="bottom"/>
            <w:tcBorders>
              <w:bottom w:val="single" w:sz="8" w:color="333333"/>
            </w:tcBorders>
          </w:tcPr>
          <w:p>
            <w:pPr>
              <w:jc w:val="right"/>
              <w:ind w:right="139"/>
              <w:spacing w:after="0"/>
              <w:rPr>
                <w:sz w:val="20"/>
                <w:szCs w:val="20"/>
                <w:color w:val="auto"/>
              </w:rPr>
            </w:pPr>
            <w:r>
              <w:rPr>
                <w:rFonts w:ascii="Arial" w:cs="Arial" w:eastAsia="Arial" w:hAnsi="Arial"/>
                <w:sz w:val="16"/>
                <w:szCs w:val="16"/>
                <w:color w:val="auto"/>
              </w:rPr>
              <w:t>52,438</w:t>
            </w:r>
          </w:p>
        </w:tc>
        <w:tc>
          <w:tcPr>
            <w:tcW w:w="0" w:type="dxa"/>
            <w:vAlign w:val="bottom"/>
          </w:tcPr>
          <w:p>
            <w:pPr>
              <w:spacing w:after="0"/>
              <w:rPr>
                <w:sz w:val="1"/>
                <w:szCs w:val="1"/>
                <w:color w:val="auto"/>
              </w:rPr>
            </w:pPr>
          </w:p>
        </w:tc>
      </w:tr>
      <w:tr>
        <w:trPr>
          <w:trHeight w:val="223"/>
        </w:trPr>
        <w:tc>
          <w:tcPr>
            <w:tcW w:w="4020" w:type="dxa"/>
            <w:vAlign w:val="bottom"/>
            <w:tcBorders>
              <w:bottom w:val="single" w:sz="8" w:color="333333"/>
              <w:right w:val="single" w:sz="8" w:color="auto"/>
            </w:tcBorders>
          </w:tcPr>
          <w:p>
            <w:pPr>
              <w:ind w:left="60"/>
              <w:spacing w:after="0"/>
              <w:rPr>
                <w:sz w:val="20"/>
                <w:szCs w:val="20"/>
                <w:color w:val="auto"/>
              </w:rPr>
            </w:pPr>
            <w:r>
              <w:rPr>
                <w:rFonts w:ascii="Arial" w:cs="Arial" w:eastAsia="Arial" w:hAnsi="Arial"/>
                <w:sz w:val="16"/>
                <w:szCs w:val="16"/>
                <w:b w:val="1"/>
                <w:bCs w:val="1"/>
                <w:color w:val="auto"/>
              </w:rPr>
              <w:t>Mellody Hobson</w:t>
            </w:r>
          </w:p>
        </w:tc>
        <w:tc>
          <w:tcPr>
            <w:tcW w:w="1160" w:type="dxa"/>
            <w:vAlign w:val="bottom"/>
            <w:tcBorders>
              <w:bottom w:val="single" w:sz="8" w:color="333333"/>
              <w:right w:val="single" w:sz="8" w:color="auto"/>
            </w:tcBorders>
          </w:tcPr>
          <w:p>
            <w:pPr>
              <w:jc w:val="right"/>
              <w:ind w:right="119"/>
              <w:spacing w:after="0"/>
              <w:rPr>
                <w:sz w:val="20"/>
                <w:szCs w:val="20"/>
                <w:color w:val="auto"/>
              </w:rPr>
            </w:pPr>
            <w:r>
              <w:rPr>
                <w:rFonts w:ascii="Arial" w:cs="Arial" w:eastAsia="Arial" w:hAnsi="Arial"/>
                <w:sz w:val="16"/>
                <w:szCs w:val="16"/>
                <w:color w:val="auto"/>
              </w:rPr>
              <w:t>127,869</w:t>
            </w:r>
          </w:p>
        </w:tc>
        <w:tc>
          <w:tcPr>
            <w:tcW w:w="1660" w:type="dxa"/>
            <w:vAlign w:val="bottom"/>
            <w:tcBorders>
              <w:bottom w:val="single" w:sz="8" w:color="333333"/>
              <w:right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333333"/>
            </w:tcBorders>
          </w:tcPr>
          <w:p>
            <w:pPr>
              <w:spacing w:after="0"/>
              <w:rPr>
                <w:sz w:val="19"/>
                <w:szCs w:val="19"/>
                <w:color w:val="auto"/>
              </w:rPr>
            </w:pPr>
          </w:p>
        </w:tc>
        <w:tc>
          <w:tcPr>
            <w:tcW w:w="1380" w:type="dxa"/>
            <w:vAlign w:val="bottom"/>
            <w:tcBorders>
              <w:bottom w:val="single" w:sz="8" w:color="333333"/>
              <w:right w:val="single" w:sz="8" w:color="auto"/>
            </w:tcBorders>
          </w:tcPr>
          <w:p>
            <w:pPr>
              <w:jc w:val="right"/>
              <w:ind w:right="159"/>
              <w:spacing w:after="0"/>
              <w:rPr>
                <w:sz w:val="20"/>
                <w:szCs w:val="20"/>
                <w:color w:val="auto"/>
              </w:rPr>
            </w:pPr>
            <w:r>
              <w:rPr>
                <w:rFonts w:ascii="Arial" w:cs="Arial" w:eastAsia="Arial" w:hAnsi="Arial"/>
                <w:sz w:val="16"/>
                <w:szCs w:val="16"/>
                <w:color w:val="auto"/>
              </w:rPr>
              <w:t>127,869</w:t>
            </w:r>
          </w:p>
        </w:tc>
        <w:tc>
          <w:tcPr>
            <w:tcW w:w="1540" w:type="dxa"/>
            <w:vAlign w:val="bottom"/>
            <w:tcBorders>
              <w:bottom w:val="single" w:sz="8" w:color="333333"/>
              <w:right w:val="single" w:sz="8" w:color="auto"/>
            </w:tcBorders>
          </w:tcPr>
          <w:p>
            <w:pPr>
              <w:jc w:val="right"/>
              <w:ind w:right="139"/>
              <w:spacing w:after="0"/>
              <w:rPr>
                <w:sz w:val="20"/>
                <w:szCs w:val="20"/>
                <w:color w:val="auto"/>
              </w:rPr>
            </w:pPr>
            <w:r>
              <w:rPr>
                <w:rFonts w:ascii="Arial" w:cs="Arial" w:eastAsia="Arial" w:hAnsi="Arial"/>
                <w:sz w:val="16"/>
                <w:szCs w:val="16"/>
                <w:color w:val="auto"/>
              </w:rPr>
              <w:t>6,664</w:t>
            </w:r>
          </w:p>
        </w:tc>
        <w:tc>
          <w:tcPr>
            <w:tcW w:w="1180" w:type="dxa"/>
            <w:vAlign w:val="bottom"/>
            <w:tcBorders>
              <w:bottom w:val="single" w:sz="8" w:color="333333"/>
            </w:tcBorders>
          </w:tcPr>
          <w:p>
            <w:pPr>
              <w:jc w:val="right"/>
              <w:ind w:right="139"/>
              <w:spacing w:after="0"/>
              <w:rPr>
                <w:sz w:val="20"/>
                <w:szCs w:val="20"/>
                <w:color w:val="auto"/>
              </w:rPr>
            </w:pPr>
            <w:r>
              <w:rPr>
                <w:rFonts w:ascii="Arial" w:cs="Arial" w:eastAsia="Arial" w:hAnsi="Arial"/>
                <w:sz w:val="16"/>
                <w:szCs w:val="16"/>
                <w:color w:val="auto"/>
              </w:rPr>
              <w:t>134,533</w:t>
            </w:r>
          </w:p>
        </w:tc>
        <w:tc>
          <w:tcPr>
            <w:tcW w:w="0" w:type="dxa"/>
            <w:vAlign w:val="bottom"/>
          </w:tcPr>
          <w:p>
            <w:pPr>
              <w:spacing w:after="0"/>
              <w:rPr>
                <w:sz w:val="1"/>
                <w:szCs w:val="1"/>
                <w:color w:val="auto"/>
              </w:rPr>
            </w:pPr>
          </w:p>
        </w:tc>
      </w:tr>
      <w:tr>
        <w:trPr>
          <w:trHeight w:val="223"/>
        </w:trPr>
        <w:tc>
          <w:tcPr>
            <w:tcW w:w="4020" w:type="dxa"/>
            <w:vAlign w:val="bottom"/>
            <w:tcBorders>
              <w:bottom w:val="single" w:sz="8" w:color="333333"/>
              <w:right w:val="single" w:sz="8" w:color="auto"/>
            </w:tcBorders>
          </w:tcPr>
          <w:p>
            <w:pPr>
              <w:ind w:left="60"/>
              <w:spacing w:after="0"/>
              <w:rPr>
                <w:sz w:val="20"/>
                <w:szCs w:val="20"/>
                <w:color w:val="auto"/>
              </w:rPr>
            </w:pPr>
            <w:r>
              <w:rPr>
                <w:rFonts w:ascii="Arial" w:cs="Arial" w:eastAsia="Arial" w:hAnsi="Arial"/>
                <w:sz w:val="16"/>
                <w:szCs w:val="16"/>
                <w:b w:val="1"/>
                <w:bCs w:val="1"/>
                <w:color w:val="auto"/>
              </w:rPr>
              <w:t>Laban P. Jackson, Jr.</w:t>
            </w:r>
          </w:p>
        </w:tc>
        <w:tc>
          <w:tcPr>
            <w:tcW w:w="1160" w:type="dxa"/>
            <w:vAlign w:val="bottom"/>
            <w:tcBorders>
              <w:bottom w:val="single" w:sz="8" w:color="333333"/>
              <w:right w:val="single" w:sz="8" w:color="auto"/>
            </w:tcBorders>
          </w:tcPr>
          <w:p>
            <w:pPr>
              <w:jc w:val="right"/>
              <w:ind w:right="119"/>
              <w:spacing w:after="0"/>
              <w:rPr>
                <w:sz w:val="20"/>
                <w:szCs w:val="20"/>
                <w:color w:val="auto"/>
              </w:rPr>
            </w:pPr>
            <w:r>
              <w:rPr>
                <w:rFonts w:ascii="Arial" w:cs="Arial" w:eastAsia="Arial" w:hAnsi="Arial"/>
                <w:sz w:val="16"/>
                <w:szCs w:val="16"/>
                <w:color w:val="auto"/>
              </w:rPr>
              <w:t>32,290</w:t>
            </w:r>
          </w:p>
        </w:tc>
        <w:tc>
          <w:tcPr>
            <w:tcW w:w="1660" w:type="dxa"/>
            <w:vAlign w:val="bottom"/>
            <w:tcBorders>
              <w:bottom w:val="single" w:sz="8" w:color="333333"/>
              <w:right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333333"/>
            </w:tcBorders>
          </w:tcPr>
          <w:p>
            <w:pPr>
              <w:spacing w:after="0"/>
              <w:rPr>
                <w:sz w:val="19"/>
                <w:szCs w:val="19"/>
                <w:color w:val="auto"/>
              </w:rPr>
            </w:pPr>
          </w:p>
        </w:tc>
        <w:tc>
          <w:tcPr>
            <w:tcW w:w="1380" w:type="dxa"/>
            <w:vAlign w:val="bottom"/>
            <w:tcBorders>
              <w:bottom w:val="single" w:sz="8" w:color="333333"/>
              <w:right w:val="single" w:sz="8" w:color="auto"/>
            </w:tcBorders>
          </w:tcPr>
          <w:p>
            <w:pPr>
              <w:jc w:val="right"/>
              <w:ind w:right="159"/>
              <w:spacing w:after="0"/>
              <w:rPr>
                <w:sz w:val="20"/>
                <w:szCs w:val="20"/>
                <w:color w:val="auto"/>
              </w:rPr>
            </w:pPr>
            <w:r>
              <w:rPr>
                <w:rFonts w:ascii="Arial" w:cs="Arial" w:eastAsia="Arial" w:hAnsi="Arial"/>
                <w:sz w:val="16"/>
                <w:szCs w:val="16"/>
                <w:color w:val="auto"/>
              </w:rPr>
              <w:t>32,290</w:t>
            </w:r>
          </w:p>
        </w:tc>
        <w:tc>
          <w:tcPr>
            <w:tcW w:w="1540" w:type="dxa"/>
            <w:vAlign w:val="bottom"/>
            <w:tcBorders>
              <w:bottom w:val="single" w:sz="8" w:color="333333"/>
              <w:right w:val="single" w:sz="8" w:color="auto"/>
            </w:tcBorders>
          </w:tcPr>
          <w:p>
            <w:pPr>
              <w:jc w:val="right"/>
              <w:ind w:right="139"/>
              <w:spacing w:after="0"/>
              <w:rPr>
                <w:sz w:val="20"/>
                <w:szCs w:val="20"/>
                <w:color w:val="auto"/>
              </w:rPr>
            </w:pPr>
            <w:r>
              <w:rPr>
                <w:rFonts w:ascii="Arial" w:cs="Arial" w:eastAsia="Arial" w:hAnsi="Arial"/>
                <w:sz w:val="16"/>
                <w:szCs w:val="16"/>
                <w:color w:val="auto"/>
              </w:rPr>
              <w:t>166,639</w:t>
            </w:r>
          </w:p>
        </w:tc>
        <w:tc>
          <w:tcPr>
            <w:tcW w:w="1180" w:type="dxa"/>
            <w:vAlign w:val="bottom"/>
            <w:tcBorders>
              <w:bottom w:val="single" w:sz="8" w:color="333333"/>
            </w:tcBorders>
          </w:tcPr>
          <w:p>
            <w:pPr>
              <w:jc w:val="right"/>
              <w:ind w:right="139"/>
              <w:spacing w:after="0"/>
              <w:rPr>
                <w:sz w:val="20"/>
                <w:szCs w:val="20"/>
                <w:color w:val="auto"/>
              </w:rPr>
            </w:pPr>
            <w:r>
              <w:rPr>
                <w:rFonts w:ascii="Arial" w:cs="Arial" w:eastAsia="Arial" w:hAnsi="Arial"/>
                <w:sz w:val="16"/>
                <w:szCs w:val="16"/>
                <w:color w:val="auto"/>
              </w:rPr>
              <w:t>198,929</w:t>
            </w:r>
          </w:p>
        </w:tc>
        <w:tc>
          <w:tcPr>
            <w:tcW w:w="0" w:type="dxa"/>
            <w:vAlign w:val="bottom"/>
          </w:tcPr>
          <w:p>
            <w:pPr>
              <w:spacing w:after="0"/>
              <w:rPr>
                <w:sz w:val="1"/>
                <w:szCs w:val="1"/>
                <w:color w:val="auto"/>
              </w:rPr>
            </w:pPr>
          </w:p>
        </w:tc>
      </w:tr>
      <w:tr>
        <w:trPr>
          <w:trHeight w:val="223"/>
        </w:trPr>
        <w:tc>
          <w:tcPr>
            <w:tcW w:w="4020" w:type="dxa"/>
            <w:vAlign w:val="bottom"/>
            <w:tcBorders>
              <w:bottom w:val="single" w:sz="8" w:color="333333"/>
              <w:right w:val="single" w:sz="8" w:color="auto"/>
            </w:tcBorders>
          </w:tcPr>
          <w:p>
            <w:pPr>
              <w:ind w:left="60"/>
              <w:spacing w:after="0"/>
              <w:rPr>
                <w:sz w:val="20"/>
                <w:szCs w:val="20"/>
                <w:color w:val="auto"/>
              </w:rPr>
            </w:pPr>
            <w:r>
              <w:rPr>
                <w:rFonts w:ascii="Arial" w:cs="Arial" w:eastAsia="Arial" w:hAnsi="Arial"/>
                <w:sz w:val="16"/>
                <w:szCs w:val="16"/>
                <w:b w:val="1"/>
                <w:bCs w:val="1"/>
                <w:color w:val="auto"/>
              </w:rPr>
              <w:t>Marianne Lake</w:t>
            </w:r>
          </w:p>
        </w:tc>
        <w:tc>
          <w:tcPr>
            <w:tcW w:w="1160" w:type="dxa"/>
            <w:vAlign w:val="bottom"/>
            <w:tcBorders>
              <w:bottom w:val="single" w:sz="8" w:color="333333"/>
              <w:right w:val="single" w:sz="8" w:color="auto"/>
            </w:tcBorders>
          </w:tcPr>
          <w:p>
            <w:pPr>
              <w:jc w:val="right"/>
              <w:ind w:right="119"/>
              <w:spacing w:after="0"/>
              <w:rPr>
                <w:sz w:val="20"/>
                <w:szCs w:val="20"/>
                <w:color w:val="auto"/>
              </w:rPr>
            </w:pPr>
            <w:r>
              <w:rPr>
                <w:rFonts w:ascii="Arial" w:cs="Arial" w:eastAsia="Arial" w:hAnsi="Arial"/>
                <w:sz w:val="16"/>
                <w:szCs w:val="16"/>
                <w:color w:val="auto"/>
              </w:rPr>
              <w:t>119,793</w:t>
            </w:r>
          </w:p>
        </w:tc>
        <w:tc>
          <w:tcPr>
            <w:tcW w:w="1660" w:type="dxa"/>
            <w:vAlign w:val="bottom"/>
            <w:tcBorders>
              <w:bottom w:val="single" w:sz="8" w:color="333333"/>
              <w:right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333333"/>
            </w:tcBorders>
          </w:tcPr>
          <w:p>
            <w:pPr>
              <w:spacing w:after="0"/>
              <w:rPr>
                <w:sz w:val="19"/>
                <w:szCs w:val="19"/>
                <w:color w:val="auto"/>
              </w:rPr>
            </w:pPr>
          </w:p>
        </w:tc>
        <w:tc>
          <w:tcPr>
            <w:tcW w:w="1380" w:type="dxa"/>
            <w:vAlign w:val="bottom"/>
            <w:tcBorders>
              <w:bottom w:val="single" w:sz="8" w:color="333333"/>
              <w:right w:val="single" w:sz="8" w:color="auto"/>
            </w:tcBorders>
          </w:tcPr>
          <w:p>
            <w:pPr>
              <w:jc w:val="right"/>
              <w:ind w:right="159"/>
              <w:spacing w:after="0"/>
              <w:rPr>
                <w:sz w:val="20"/>
                <w:szCs w:val="20"/>
                <w:color w:val="auto"/>
              </w:rPr>
            </w:pPr>
            <w:r>
              <w:rPr>
                <w:rFonts w:ascii="Arial" w:cs="Arial" w:eastAsia="Arial" w:hAnsi="Arial"/>
                <w:sz w:val="16"/>
                <w:szCs w:val="16"/>
                <w:color w:val="auto"/>
              </w:rPr>
              <w:t>119,793</w:t>
            </w:r>
          </w:p>
        </w:tc>
        <w:tc>
          <w:tcPr>
            <w:tcW w:w="1540" w:type="dxa"/>
            <w:vAlign w:val="bottom"/>
            <w:tcBorders>
              <w:bottom w:val="single" w:sz="8" w:color="333333"/>
              <w:right w:val="single" w:sz="8" w:color="auto"/>
            </w:tcBorders>
          </w:tcPr>
          <w:p>
            <w:pPr>
              <w:jc w:val="right"/>
              <w:ind w:right="139"/>
              <w:spacing w:after="0"/>
              <w:rPr>
                <w:sz w:val="20"/>
                <w:szCs w:val="20"/>
                <w:color w:val="auto"/>
              </w:rPr>
            </w:pPr>
            <w:r>
              <w:rPr>
                <w:rFonts w:ascii="Arial" w:cs="Arial" w:eastAsia="Arial" w:hAnsi="Arial"/>
                <w:sz w:val="16"/>
                <w:szCs w:val="16"/>
                <w:color w:val="auto"/>
              </w:rPr>
              <w:t>216,137</w:t>
            </w:r>
          </w:p>
        </w:tc>
        <w:tc>
          <w:tcPr>
            <w:tcW w:w="1180" w:type="dxa"/>
            <w:vAlign w:val="bottom"/>
            <w:tcBorders>
              <w:bottom w:val="single" w:sz="8" w:color="333333"/>
            </w:tcBorders>
          </w:tcPr>
          <w:p>
            <w:pPr>
              <w:jc w:val="right"/>
              <w:ind w:right="139"/>
              <w:spacing w:after="0"/>
              <w:rPr>
                <w:sz w:val="20"/>
                <w:szCs w:val="20"/>
                <w:color w:val="auto"/>
              </w:rPr>
            </w:pPr>
            <w:r>
              <w:rPr>
                <w:rFonts w:ascii="Arial" w:cs="Arial" w:eastAsia="Arial" w:hAnsi="Arial"/>
                <w:sz w:val="16"/>
                <w:szCs w:val="16"/>
                <w:color w:val="auto"/>
              </w:rPr>
              <w:t>335,930</w:t>
            </w:r>
          </w:p>
        </w:tc>
        <w:tc>
          <w:tcPr>
            <w:tcW w:w="0" w:type="dxa"/>
            <w:vAlign w:val="bottom"/>
          </w:tcPr>
          <w:p>
            <w:pPr>
              <w:spacing w:after="0"/>
              <w:rPr>
                <w:sz w:val="1"/>
                <w:szCs w:val="1"/>
                <w:color w:val="auto"/>
              </w:rPr>
            </w:pPr>
          </w:p>
        </w:tc>
      </w:tr>
      <w:tr>
        <w:trPr>
          <w:trHeight w:val="223"/>
        </w:trPr>
        <w:tc>
          <w:tcPr>
            <w:tcW w:w="4020" w:type="dxa"/>
            <w:vAlign w:val="bottom"/>
            <w:tcBorders>
              <w:bottom w:val="single" w:sz="8" w:color="333333"/>
              <w:right w:val="single" w:sz="8" w:color="auto"/>
            </w:tcBorders>
          </w:tcPr>
          <w:p>
            <w:pPr>
              <w:ind w:left="60"/>
              <w:spacing w:after="0"/>
              <w:rPr>
                <w:sz w:val="20"/>
                <w:szCs w:val="20"/>
                <w:color w:val="auto"/>
              </w:rPr>
            </w:pPr>
            <w:r>
              <w:rPr>
                <w:rFonts w:ascii="Arial" w:cs="Arial" w:eastAsia="Arial" w:hAnsi="Arial"/>
                <w:sz w:val="16"/>
                <w:szCs w:val="16"/>
                <w:b w:val="1"/>
                <w:bCs w:val="1"/>
                <w:color w:val="auto"/>
              </w:rPr>
              <w:t>Michael A. Neal</w:t>
            </w:r>
          </w:p>
        </w:tc>
        <w:tc>
          <w:tcPr>
            <w:tcW w:w="1160" w:type="dxa"/>
            <w:vAlign w:val="bottom"/>
            <w:tcBorders>
              <w:bottom w:val="single" w:sz="8" w:color="333333"/>
              <w:right w:val="single" w:sz="8" w:color="auto"/>
            </w:tcBorders>
          </w:tcPr>
          <w:p>
            <w:pPr>
              <w:jc w:val="right"/>
              <w:ind w:right="119"/>
              <w:spacing w:after="0"/>
              <w:rPr>
                <w:sz w:val="20"/>
                <w:szCs w:val="20"/>
                <w:color w:val="auto"/>
              </w:rPr>
            </w:pPr>
            <w:r>
              <w:rPr>
                <w:rFonts w:ascii="Arial" w:cs="Arial" w:eastAsia="Arial" w:hAnsi="Arial"/>
                <w:sz w:val="16"/>
                <w:szCs w:val="16"/>
                <w:color w:val="auto"/>
              </w:rPr>
              <w:t>9,050</w:t>
            </w:r>
          </w:p>
        </w:tc>
        <w:tc>
          <w:tcPr>
            <w:tcW w:w="1660" w:type="dxa"/>
            <w:vAlign w:val="bottom"/>
            <w:tcBorders>
              <w:bottom w:val="single" w:sz="8" w:color="333333"/>
              <w:right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333333"/>
            </w:tcBorders>
          </w:tcPr>
          <w:p>
            <w:pPr>
              <w:spacing w:after="0"/>
              <w:rPr>
                <w:sz w:val="19"/>
                <w:szCs w:val="19"/>
                <w:color w:val="auto"/>
              </w:rPr>
            </w:pPr>
          </w:p>
        </w:tc>
        <w:tc>
          <w:tcPr>
            <w:tcW w:w="1380" w:type="dxa"/>
            <w:vAlign w:val="bottom"/>
            <w:tcBorders>
              <w:bottom w:val="single" w:sz="8" w:color="333333"/>
              <w:right w:val="single" w:sz="8" w:color="auto"/>
            </w:tcBorders>
          </w:tcPr>
          <w:p>
            <w:pPr>
              <w:jc w:val="right"/>
              <w:ind w:right="159"/>
              <w:spacing w:after="0"/>
              <w:rPr>
                <w:sz w:val="20"/>
                <w:szCs w:val="20"/>
                <w:color w:val="auto"/>
              </w:rPr>
            </w:pPr>
            <w:r>
              <w:rPr>
                <w:rFonts w:ascii="Arial" w:cs="Arial" w:eastAsia="Arial" w:hAnsi="Arial"/>
                <w:sz w:val="16"/>
                <w:szCs w:val="16"/>
                <w:color w:val="auto"/>
              </w:rPr>
              <w:t>9,050</w:t>
            </w:r>
          </w:p>
        </w:tc>
        <w:tc>
          <w:tcPr>
            <w:tcW w:w="1540" w:type="dxa"/>
            <w:vAlign w:val="bottom"/>
            <w:tcBorders>
              <w:bottom w:val="single" w:sz="8" w:color="333333"/>
              <w:right w:val="single" w:sz="8" w:color="auto"/>
            </w:tcBorders>
          </w:tcPr>
          <w:p>
            <w:pPr>
              <w:jc w:val="right"/>
              <w:ind w:right="139"/>
              <w:spacing w:after="0"/>
              <w:rPr>
                <w:sz w:val="20"/>
                <w:szCs w:val="20"/>
                <w:color w:val="auto"/>
              </w:rPr>
            </w:pPr>
            <w:r>
              <w:rPr>
                <w:rFonts w:ascii="Arial" w:cs="Arial" w:eastAsia="Arial" w:hAnsi="Arial"/>
                <w:sz w:val="16"/>
                <w:szCs w:val="16"/>
                <w:color w:val="auto"/>
              </w:rPr>
              <w:t>32,279</w:t>
            </w:r>
          </w:p>
        </w:tc>
        <w:tc>
          <w:tcPr>
            <w:tcW w:w="1180" w:type="dxa"/>
            <w:vAlign w:val="bottom"/>
            <w:tcBorders>
              <w:bottom w:val="single" w:sz="8" w:color="333333"/>
            </w:tcBorders>
          </w:tcPr>
          <w:p>
            <w:pPr>
              <w:jc w:val="right"/>
              <w:ind w:right="139"/>
              <w:spacing w:after="0"/>
              <w:rPr>
                <w:sz w:val="20"/>
                <w:szCs w:val="20"/>
                <w:color w:val="auto"/>
              </w:rPr>
            </w:pPr>
            <w:r>
              <w:rPr>
                <w:rFonts w:ascii="Arial" w:cs="Arial" w:eastAsia="Arial" w:hAnsi="Arial"/>
                <w:sz w:val="16"/>
                <w:szCs w:val="16"/>
                <w:color w:val="auto"/>
              </w:rPr>
              <w:t>41,329</w:t>
            </w:r>
          </w:p>
        </w:tc>
        <w:tc>
          <w:tcPr>
            <w:tcW w:w="0" w:type="dxa"/>
            <w:vAlign w:val="bottom"/>
          </w:tcPr>
          <w:p>
            <w:pPr>
              <w:spacing w:after="0"/>
              <w:rPr>
                <w:sz w:val="1"/>
                <w:szCs w:val="1"/>
                <w:color w:val="auto"/>
              </w:rPr>
            </w:pPr>
          </w:p>
        </w:tc>
      </w:tr>
      <w:tr>
        <w:trPr>
          <w:trHeight w:val="223"/>
        </w:trPr>
        <w:tc>
          <w:tcPr>
            <w:tcW w:w="4020" w:type="dxa"/>
            <w:vAlign w:val="bottom"/>
            <w:tcBorders>
              <w:bottom w:val="single" w:sz="8" w:color="333333"/>
              <w:right w:val="single" w:sz="8" w:color="auto"/>
            </w:tcBorders>
          </w:tcPr>
          <w:p>
            <w:pPr>
              <w:ind w:left="60"/>
              <w:spacing w:after="0"/>
              <w:rPr>
                <w:sz w:val="20"/>
                <w:szCs w:val="20"/>
                <w:color w:val="auto"/>
              </w:rPr>
            </w:pPr>
            <w:r>
              <w:rPr>
                <w:rFonts w:ascii="Arial" w:cs="Arial" w:eastAsia="Arial" w:hAnsi="Arial"/>
                <w:sz w:val="16"/>
                <w:szCs w:val="16"/>
                <w:b w:val="1"/>
                <w:bCs w:val="1"/>
                <w:color w:val="auto"/>
              </w:rPr>
              <w:t>Jennifer Piepszak</w:t>
            </w:r>
          </w:p>
        </w:tc>
        <w:tc>
          <w:tcPr>
            <w:tcW w:w="1160" w:type="dxa"/>
            <w:vAlign w:val="bottom"/>
            <w:tcBorders>
              <w:bottom w:val="single" w:sz="8" w:color="333333"/>
              <w:right w:val="single" w:sz="8" w:color="auto"/>
            </w:tcBorders>
          </w:tcPr>
          <w:p>
            <w:pPr>
              <w:jc w:val="right"/>
              <w:ind w:right="119"/>
              <w:spacing w:after="0"/>
              <w:rPr>
                <w:sz w:val="20"/>
                <w:szCs w:val="20"/>
                <w:color w:val="auto"/>
              </w:rPr>
            </w:pPr>
            <w:r>
              <w:rPr>
                <w:rFonts w:ascii="Arial" w:cs="Arial" w:eastAsia="Arial" w:hAnsi="Arial"/>
                <w:sz w:val="16"/>
                <w:szCs w:val="16"/>
                <w:color w:val="auto"/>
              </w:rPr>
              <w:t>6,470</w:t>
            </w:r>
          </w:p>
        </w:tc>
        <w:tc>
          <w:tcPr>
            <w:tcW w:w="1660" w:type="dxa"/>
            <w:vAlign w:val="bottom"/>
            <w:tcBorders>
              <w:bottom w:val="single" w:sz="8" w:color="333333"/>
              <w:right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333333"/>
            </w:tcBorders>
          </w:tcPr>
          <w:p>
            <w:pPr>
              <w:spacing w:after="0"/>
              <w:rPr>
                <w:sz w:val="19"/>
                <w:szCs w:val="19"/>
                <w:color w:val="auto"/>
              </w:rPr>
            </w:pPr>
          </w:p>
        </w:tc>
        <w:tc>
          <w:tcPr>
            <w:tcW w:w="1380" w:type="dxa"/>
            <w:vAlign w:val="bottom"/>
            <w:tcBorders>
              <w:bottom w:val="single" w:sz="8" w:color="333333"/>
              <w:right w:val="single" w:sz="8" w:color="auto"/>
            </w:tcBorders>
          </w:tcPr>
          <w:p>
            <w:pPr>
              <w:jc w:val="right"/>
              <w:ind w:right="159"/>
              <w:spacing w:after="0"/>
              <w:rPr>
                <w:sz w:val="20"/>
                <w:szCs w:val="20"/>
                <w:color w:val="auto"/>
              </w:rPr>
            </w:pPr>
            <w:r>
              <w:rPr>
                <w:rFonts w:ascii="Arial" w:cs="Arial" w:eastAsia="Arial" w:hAnsi="Arial"/>
                <w:sz w:val="16"/>
                <w:szCs w:val="16"/>
                <w:color w:val="auto"/>
              </w:rPr>
              <w:t>6,470</w:t>
            </w:r>
          </w:p>
        </w:tc>
        <w:tc>
          <w:tcPr>
            <w:tcW w:w="1540" w:type="dxa"/>
            <w:vAlign w:val="bottom"/>
            <w:tcBorders>
              <w:bottom w:val="single" w:sz="8" w:color="333333"/>
              <w:right w:val="single" w:sz="8" w:color="auto"/>
            </w:tcBorders>
          </w:tcPr>
          <w:p>
            <w:pPr>
              <w:jc w:val="right"/>
              <w:ind w:right="139"/>
              <w:spacing w:after="0"/>
              <w:rPr>
                <w:sz w:val="20"/>
                <w:szCs w:val="20"/>
                <w:color w:val="auto"/>
              </w:rPr>
            </w:pPr>
            <w:r>
              <w:rPr>
                <w:rFonts w:ascii="Arial" w:cs="Arial" w:eastAsia="Arial" w:hAnsi="Arial"/>
                <w:sz w:val="16"/>
                <w:szCs w:val="16"/>
                <w:color w:val="auto"/>
              </w:rPr>
              <w:t>68,613</w:t>
            </w:r>
          </w:p>
        </w:tc>
        <w:tc>
          <w:tcPr>
            <w:tcW w:w="1180" w:type="dxa"/>
            <w:vAlign w:val="bottom"/>
            <w:tcBorders>
              <w:bottom w:val="single" w:sz="8" w:color="333333"/>
            </w:tcBorders>
          </w:tcPr>
          <w:p>
            <w:pPr>
              <w:jc w:val="right"/>
              <w:ind w:right="139"/>
              <w:spacing w:after="0"/>
              <w:rPr>
                <w:sz w:val="20"/>
                <w:szCs w:val="20"/>
                <w:color w:val="auto"/>
              </w:rPr>
            </w:pPr>
            <w:r>
              <w:rPr>
                <w:rFonts w:ascii="Arial" w:cs="Arial" w:eastAsia="Arial" w:hAnsi="Arial"/>
                <w:sz w:val="16"/>
                <w:szCs w:val="16"/>
                <w:color w:val="auto"/>
              </w:rPr>
              <w:t>75,083</w:t>
            </w:r>
          </w:p>
        </w:tc>
        <w:tc>
          <w:tcPr>
            <w:tcW w:w="0" w:type="dxa"/>
            <w:vAlign w:val="bottom"/>
          </w:tcPr>
          <w:p>
            <w:pPr>
              <w:spacing w:after="0"/>
              <w:rPr>
                <w:sz w:val="1"/>
                <w:szCs w:val="1"/>
                <w:color w:val="auto"/>
              </w:rPr>
            </w:pPr>
          </w:p>
        </w:tc>
      </w:tr>
      <w:tr>
        <w:trPr>
          <w:trHeight w:val="223"/>
        </w:trPr>
        <w:tc>
          <w:tcPr>
            <w:tcW w:w="4020" w:type="dxa"/>
            <w:vAlign w:val="bottom"/>
            <w:tcBorders>
              <w:bottom w:val="single" w:sz="8" w:color="333333"/>
              <w:right w:val="single" w:sz="8" w:color="auto"/>
            </w:tcBorders>
          </w:tcPr>
          <w:p>
            <w:pPr>
              <w:ind w:left="60"/>
              <w:spacing w:after="0"/>
              <w:rPr>
                <w:sz w:val="20"/>
                <w:szCs w:val="20"/>
                <w:color w:val="auto"/>
              </w:rPr>
            </w:pPr>
            <w:r>
              <w:rPr>
                <w:rFonts w:ascii="Arial" w:cs="Arial" w:eastAsia="Arial" w:hAnsi="Arial"/>
                <w:sz w:val="16"/>
                <w:szCs w:val="16"/>
                <w:b w:val="1"/>
                <w:bCs w:val="1"/>
                <w:color w:val="auto"/>
              </w:rPr>
              <w:t>Daniel Pinto</w:t>
            </w:r>
          </w:p>
        </w:tc>
        <w:tc>
          <w:tcPr>
            <w:tcW w:w="1160" w:type="dxa"/>
            <w:vAlign w:val="bottom"/>
            <w:tcBorders>
              <w:bottom w:val="single" w:sz="8" w:color="333333"/>
              <w:right w:val="single" w:sz="8" w:color="auto"/>
            </w:tcBorders>
          </w:tcPr>
          <w:p>
            <w:pPr>
              <w:jc w:val="right"/>
              <w:ind w:right="119"/>
              <w:spacing w:after="0"/>
              <w:rPr>
                <w:sz w:val="20"/>
                <w:szCs w:val="20"/>
                <w:color w:val="auto"/>
              </w:rPr>
            </w:pPr>
            <w:r>
              <w:rPr>
                <w:rFonts w:ascii="Arial" w:cs="Arial" w:eastAsia="Arial" w:hAnsi="Arial"/>
                <w:sz w:val="16"/>
                <w:szCs w:val="16"/>
                <w:color w:val="auto"/>
              </w:rPr>
              <w:t>458,209</w:t>
            </w:r>
          </w:p>
        </w:tc>
        <w:tc>
          <w:tcPr>
            <w:tcW w:w="1660" w:type="dxa"/>
            <w:vAlign w:val="bottom"/>
            <w:tcBorders>
              <w:bottom w:val="single" w:sz="8" w:color="333333"/>
              <w:right w:val="single" w:sz="8" w:color="auto"/>
            </w:tcBorders>
          </w:tcPr>
          <w:p>
            <w:pPr>
              <w:jc w:val="right"/>
              <w:ind w:right="139"/>
              <w:spacing w:after="0"/>
              <w:rPr>
                <w:sz w:val="20"/>
                <w:szCs w:val="20"/>
                <w:color w:val="auto"/>
              </w:rPr>
            </w:pPr>
            <w:r>
              <w:rPr>
                <w:rFonts w:ascii="Arial" w:cs="Arial" w:eastAsia="Arial" w:hAnsi="Arial"/>
                <w:sz w:val="16"/>
                <w:szCs w:val="16"/>
                <w:color w:val="auto"/>
              </w:rPr>
              <w:t>261,718</w:t>
            </w:r>
          </w:p>
        </w:tc>
        <w:tc>
          <w:tcPr>
            <w:tcW w:w="80" w:type="dxa"/>
            <w:vAlign w:val="bottom"/>
            <w:tcBorders>
              <w:bottom w:val="single" w:sz="8" w:color="333333"/>
            </w:tcBorders>
          </w:tcPr>
          <w:p>
            <w:pPr>
              <w:spacing w:after="0"/>
              <w:rPr>
                <w:sz w:val="19"/>
                <w:szCs w:val="19"/>
                <w:color w:val="auto"/>
              </w:rPr>
            </w:pPr>
          </w:p>
        </w:tc>
        <w:tc>
          <w:tcPr>
            <w:tcW w:w="1380" w:type="dxa"/>
            <w:vAlign w:val="bottom"/>
            <w:tcBorders>
              <w:bottom w:val="single" w:sz="8" w:color="333333"/>
              <w:right w:val="single" w:sz="8" w:color="auto"/>
            </w:tcBorders>
          </w:tcPr>
          <w:p>
            <w:pPr>
              <w:jc w:val="right"/>
              <w:ind w:right="159"/>
              <w:spacing w:after="0"/>
              <w:rPr>
                <w:sz w:val="20"/>
                <w:szCs w:val="20"/>
                <w:color w:val="auto"/>
              </w:rPr>
            </w:pPr>
            <w:r>
              <w:rPr>
                <w:rFonts w:ascii="Arial" w:cs="Arial" w:eastAsia="Arial" w:hAnsi="Arial"/>
                <w:sz w:val="16"/>
                <w:szCs w:val="16"/>
                <w:color w:val="auto"/>
              </w:rPr>
              <w:t>719,927</w:t>
            </w:r>
          </w:p>
        </w:tc>
        <w:tc>
          <w:tcPr>
            <w:tcW w:w="1540" w:type="dxa"/>
            <w:vAlign w:val="bottom"/>
            <w:tcBorders>
              <w:bottom w:val="single" w:sz="8" w:color="333333"/>
              <w:right w:val="single" w:sz="8" w:color="auto"/>
            </w:tcBorders>
          </w:tcPr>
          <w:p>
            <w:pPr>
              <w:jc w:val="right"/>
              <w:ind w:right="139"/>
              <w:spacing w:after="0"/>
              <w:rPr>
                <w:sz w:val="20"/>
                <w:szCs w:val="20"/>
                <w:color w:val="auto"/>
              </w:rPr>
            </w:pPr>
            <w:r>
              <w:rPr>
                <w:rFonts w:ascii="Arial" w:cs="Arial" w:eastAsia="Arial" w:hAnsi="Arial"/>
                <w:sz w:val="16"/>
                <w:szCs w:val="16"/>
                <w:color w:val="auto"/>
              </w:rPr>
              <w:t>328,032</w:t>
            </w:r>
          </w:p>
        </w:tc>
        <w:tc>
          <w:tcPr>
            <w:tcW w:w="1180" w:type="dxa"/>
            <w:vAlign w:val="bottom"/>
            <w:tcBorders>
              <w:bottom w:val="single" w:sz="8" w:color="333333"/>
            </w:tcBorders>
          </w:tcPr>
          <w:p>
            <w:pPr>
              <w:jc w:val="right"/>
              <w:ind w:right="139"/>
              <w:spacing w:after="0"/>
              <w:rPr>
                <w:sz w:val="20"/>
                <w:szCs w:val="20"/>
                <w:color w:val="auto"/>
              </w:rPr>
            </w:pPr>
            <w:r>
              <w:rPr>
                <w:rFonts w:ascii="Arial" w:cs="Arial" w:eastAsia="Arial" w:hAnsi="Arial"/>
                <w:sz w:val="16"/>
                <w:szCs w:val="16"/>
                <w:color w:val="auto"/>
              </w:rPr>
              <w:t>1,047,959</w:t>
            </w:r>
          </w:p>
        </w:tc>
        <w:tc>
          <w:tcPr>
            <w:tcW w:w="0" w:type="dxa"/>
            <w:vAlign w:val="bottom"/>
          </w:tcPr>
          <w:p>
            <w:pPr>
              <w:spacing w:after="0"/>
              <w:rPr>
                <w:sz w:val="1"/>
                <w:szCs w:val="1"/>
                <w:color w:val="auto"/>
              </w:rPr>
            </w:pPr>
          </w:p>
        </w:tc>
      </w:tr>
      <w:tr>
        <w:trPr>
          <w:trHeight w:val="223"/>
        </w:trPr>
        <w:tc>
          <w:tcPr>
            <w:tcW w:w="4020" w:type="dxa"/>
            <w:vAlign w:val="bottom"/>
            <w:tcBorders>
              <w:bottom w:val="single" w:sz="8" w:color="333333"/>
              <w:right w:val="single" w:sz="8" w:color="auto"/>
            </w:tcBorders>
          </w:tcPr>
          <w:p>
            <w:pPr>
              <w:ind w:left="60"/>
              <w:spacing w:after="0" w:line="223" w:lineRule="exact"/>
              <w:rPr>
                <w:sz w:val="20"/>
                <w:szCs w:val="20"/>
                <w:color w:val="auto"/>
              </w:rPr>
            </w:pPr>
            <w:r>
              <w:rPr>
                <w:rFonts w:ascii="Arial" w:cs="Arial" w:eastAsia="Arial" w:hAnsi="Arial"/>
                <w:sz w:val="15"/>
                <w:szCs w:val="15"/>
                <w:b w:val="1"/>
                <w:bCs w:val="1"/>
                <w:color w:val="auto"/>
              </w:rPr>
              <w:t>Lee R. Raymond</w:t>
            </w:r>
            <w:r>
              <w:rPr>
                <w:rFonts w:ascii="Arial" w:cs="Arial" w:eastAsia="Arial" w:hAnsi="Arial"/>
                <w:sz w:val="25"/>
                <w:szCs w:val="25"/>
                <w:b w:val="1"/>
                <w:bCs w:val="1"/>
                <w:color w:val="auto"/>
                <w:vertAlign w:val="superscript"/>
              </w:rPr>
              <w:t>6</w:t>
            </w:r>
          </w:p>
        </w:tc>
        <w:tc>
          <w:tcPr>
            <w:tcW w:w="1160" w:type="dxa"/>
            <w:vAlign w:val="bottom"/>
            <w:tcBorders>
              <w:bottom w:val="single" w:sz="8" w:color="333333"/>
              <w:right w:val="single" w:sz="8" w:color="auto"/>
            </w:tcBorders>
          </w:tcPr>
          <w:p>
            <w:pPr>
              <w:jc w:val="right"/>
              <w:ind w:right="119"/>
              <w:spacing w:after="0"/>
              <w:rPr>
                <w:sz w:val="20"/>
                <w:szCs w:val="20"/>
                <w:color w:val="auto"/>
              </w:rPr>
            </w:pPr>
            <w:r>
              <w:rPr>
                <w:rFonts w:ascii="Arial" w:cs="Arial" w:eastAsia="Arial" w:hAnsi="Arial"/>
                <w:sz w:val="16"/>
                <w:szCs w:val="16"/>
                <w:color w:val="auto"/>
              </w:rPr>
              <w:t>1,850</w:t>
            </w:r>
          </w:p>
        </w:tc>
        <w:tc>
          <w:tcPr>
            <w:tcW w:w="1660" w:type="dxa"/>
            <w:vAlign w:val="bottom"/>
            <w:tcBorders>
              <w:bottom w:val="single" w:sz="8" w:color="333333"/>
              <w:right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333333"/>
            </w:tcBorders>
          </w:tcPr>
          <w:p>
            <w:pPr>
              <w:spacing w:after="0"/>
              <w:rPr>
                <w:sz w:val="19"/>
                <w:szCs w:val="19"/>
                <w:color w:val="auto"/>
              </w:rPr>
            </w:pPr>
          </w:p>
        </w:tc>
        <w:tc>
          <w:tcPr>
            <w:tcW w:w="1380" w:type="dxa"/>
            <w:vAlign w:val="bottom"/>
            <w:tcBorders>
              <w:bottom w:val="single" w:sz="8" w:color="333333"/>
              <w:right w:val="single" w:sz="8" w:color="auto"/>
            </w:tcBorders>
          </w:tcPr>
          <w:p>
            <w:pPr>
              <w:jc w:val="right"/>
              <w:ind w:right="159"/>
              <w:spacing w:after="0"/>
              <w:rPr>
                <w:sz w:val="20"/>
                <w:szCs w:val="20"/>
                <w:color w:val="auto"/>
              </w:rPr>
            </w:pPr>
            <w:r>
              <w:rPr>
                <w:rFonts w:ascii="Arial" w:cs="Arial" w:eastAsia="Arial" w:hAnsi="Arial"/>
                <w:sz w:val="16"/>
                <w:szCs w:val="16"/>
                <w:color w:val="auto"/>
              </w:rPr>
              <w:t>1,850</w:t>
            </w:r>
          </w:p>
        </w:tc>
        <w:tc>
          <w:tcPr>
            <w:tcW w:w="1540" w:type="dxa"/>
            <w:vAlign w:val="bottom"/>
            <w:tcBorders>
              <w:bottom w:val="single" w:sz="8" w:color="333333"/>
              <w:right w:val="single" w:sz="8" w:color="auto"/>
            </w:tcBorders>
          </w:tcPr>
          <w:p>
            <w:pPr>
              <w:jc w:val="right"/>
              <w:ind w:right="139"/>
              <w:spacing w:after="0"/>
              <w:rPr>
                <w:sz w:val="20"/>
                <w:szCs w:val="20"/>
                <w:color w:val="auto"/>
              </w:rPr>
            </w:pPr>
            <w:r>
              <w:rPr>
                <w:rFonts w:ascii="Arial" w:cs="Arial" w:eastAsia="Arial" w:hAnsi="Arial"/>
                <w:sz w:val="16"/>
                <w:szCs w:val="16"/>
                <w:color w:val="auto"/>
              </w:rPr>
              <w:t>254,081</w:t>
            </w:r>
          </w:p>
        </w:tc>
        <w:tc>
          <w:tcPr>
            <w:tcW w:w="1180" w:type="dxa"/>
            <w:vAlign w:val="bottom"/>
            <w:tcBorders>
              <w:bottom w:val="single" w:sz="8" w:color="333333"/>
            </w:tcBorders>
          </w:tcPr>
          <w:p>
            <w:pPr>
              <w:jc w:val="right"/>
              <w:ind w:right="139"/>
              <w:spacing w:after="0"/>
              <w:rPr>
                <w:sz w:val="20"/>
                <w:szCs w:val="20"/>
                <w:color w:val="auto"/>
              </w:rPr>
            </w:pPr>
            <w:r>
              <w:rPr>
                <w:rFonts w:ascii="Arial" w:cs="Arial" w:eastAsia="Arial" w:hAnsi="Arial"/>
                <w:sz w:val="16"/>
                <w:szCs w:val="16"/>
                <w:color w:val="auto"/>
              </w:rPr>
              <w:t>255,931</w:t>
            </w:r>
          </w:p>
        </w:tc>
        <w:tc>
          <w:tcPr>
            <w:tcW w:w="0" w:type="dxa"/>
            <w:vAlign w:val="bottom"/>
          </w:tcPr>
          <w:p>
            <w:pPr>
              <w:spacing w:after="0"/>
              <w:rPr>
                <w:sz w:val="1"/>
                <w:szCs w:val="1"/>
                <w:color w:val="auto"/>
              </w:rPr>
            </w:pPr>
          </w:p>
        </w:tc>
      </w:tr>
      <w:tr>
        <w:trPr>
          <w:trHeight w:val="223"/>
        </w:trPr>
        <w:tc>
          <w:tcPr>
            <w:tcW w:w="4020" w:type="dxa"/>
            <w:vAlign w:val="bottom"/>
            <w:tcBorders>
              <w:bottom w:val="single" w:sz="8" w:color="333333"/>
              <w:right w:val="single" w:sz="8" w:color="auto"/>
            </w:tcBorders>
          </w:tcPr>
          <w:p>
            <w:pPr>
              <w:ind w:left="60"/>
              <w:spacing w:after="0"/>
              <w:rPr>
                <w:sz w:val="20"/>
                <w:szCs w:val="20"/>
                <w:color w:val="auto"/>
              </w:rPr>
            </w:pPr>
            <w:r>
              <w:rPr>
                <w:rFonts w:ascii="Arial" w:cs="Arial" w:eastAsia="Arial" w:hAnsi="Arial"/>
                <w:sz w:val="16"/>
                <w:szCs w:val="16"/>
                <w:b w:val="1"/>
                <w:bCs w:val="1"/>
                <w:color w:val="auto"/>
              </w:rPr>
              <w:t>Virginia M. Rometty</w:t>
            </w:r>
          </w:p>
        </w:tc>
        <w:tc>
          <w:tcPr>
            <w:tcW w:w="1160" w:type="dxa"/>
            <w:vAlign w:val="bottom"/>
            <w:tcBorders>
              <w:bottom w:val="single" w:sz="8" w:color="333333"/>
              <w:right w:val="single" w:sz="8" w:color="auto"/>
            </w:tcBorders>
          </w:tcPr>
          <w:p>
            <w:pPr>
              <w:jc w:val="right"/>
              <w:ind w:right="119"/>
              <w:spacing w:after="0"/>
              <w:rPr>
                <w:sz w:val="20"/>
                <w:szCs w:val="20"/>
                <w:color w:val="auto"/>
              </w:rPr>
            </w:pPr>
            <w:r>
              <w:rPr>
                <w:rFonts w:ascii="Arial" w:cs="Arial" w:eastAsia="Arial" w:hAnsi="Arial"/>
                <w:sz w:val="16"/>
                <w:szCs w:val="16"/>
                <w:color w:val="auto"/>
              </w:rPr>
              <w:t>200</w:t>
            </w:r>
          </w:p>
        </w:tc>
        <w:tc>
          <w:tcPr>
            <w:tcW w:w="1660" w:type="dxa"/>
            <w:vAlign w:val="bottom"/>
            <w:tcBorders>
              <w:bottom w:val="single" w:sz="8" w:color="333333"/>
              <w:right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333333"/>
            </w:tcBorders>
          </w:tcPr>
          <w:p>
            <w:pPr>
              <w:spacing w:after="0"/>
              <w:rPr>
                <w:sz w:val="19"/>
                <w:szCs w:val="19"/>
                <w:color w:val="auto"/>
              </w:rPr>
            </w:pPr>
          </w:p>
        </w:tc>
        <w:tc>
          <w:tcPr>
            <w:tcW w:w="1380" w:type="dxa"/>
            <w:vAlign w:val="bottom"/>
            <w:tcBorders>
              <w:bottom w:val="single" w:sz="8" w:color="333333"/>
              <w:right w:val="single" w:sz="8" w:color="auto"/>
            </w:tcBorders>
          </w:tcPr>
          <w:p>
            <w:pPr>
              <w:jc w:val="right"/>
              <w:ind w:right="159"/>
              <w:spacing w:after="0"/>
              <w:rPr>
                <w:sz w:val="20"/>
                <w:szCs w:val="20"/>
                <w:color w:val="auto"/>
              </w:rPr>
            </w:pPr>
            <w:r>
              <w:rPr>
                <w:rFonts w:ascii="Arial" w:cs="Arial" w:eastAsia="Arial" w:hAnsi="Arial"/>
                <w:sz w:val="16"/>
                <w:szCs w:val="16"/>
                <w:color w:val="auto"/>
              </w:rPr>
              <w:t>200</w:t>
            </w:r>
          </w:p>
        </w:tc>
        <w:tc>
          <w:tcPr>
            <w:tcW w:w="1540" w:type="dxa"/>
            <w:vAlign w:val="bottom"/>
            <w:tcBorders>
              <w:bottom w:val="single" w:sz="8" w:color="333333"/>
              <w:right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333333"/>
            </w:tcBorders>
          </w:tcPr>
          <w:p>
            <w:pPr>
              <w:jc w:val="right"/>
              <w:ind w:right="139"/>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23"/>
        </w:trPr>
        <w:tc>
          <w:tcPr>
            <w:tcW w:w="4020" w:type="dxa"/>
            <w:vAlign w:val="bottom"/>
            <w:tcBorders>
              <w:bottom w:val="single" w:sz="8" w:color="333333"/>
              <w:right w:val="single" w:sz="8" w:color="auto"/>
            </w:tcBorders>
          </w:tcPr>
          <w:p>
            <w:pPr>
              <w:ind w:left="60"/>
              <w:spacing w:after="0"/>
              <w:rPr>
                <w:sz w:val="20"/>
                <w:szCs w:val="20"/>
                <w:color w:val="auto"/>
              </w:rPr>
            </w:pPr>
            <w:r>
              <w:rPr>
                <w:rFonts w:ascii="Arial" w:cs="Arial" w:eastAsia="Arial" w:hAnsi="Arial"/>
                <w:sz w:val="16"/>
                <w:szCs w:val="16"/>
                <w:b w:val="1"/>
                <w:bCs w:val="1"/>
                <w:color w:val="auto"/>
              </w:rPr>
              <w:t>Gordon Smith</w:t>
            </w:r>
          </w:p>
        </w:tc>
        <w:tc>
          <w:tcPr>
            <w:tcW w:w="1160" w:type="dxa"/>
            <w:vAlign w:val="bottom"/>
            <w:tcBorders>
              <w:bottom w:val="single" w:sz="8" w:color="333333"/>
              <w:right w:val="single" w:sz="8" w:color="auto"/>
            </w:tcBorders>
          </w:tcPr>
          <w:p>
            <w:pPr>
              <w:jc w:val="right"/>
              <w:ind w:right="119"/>
              <w:spacing w:after="0"/>
              <w:rPr>
                <w:sz w:val="20"/>
                <w:szCs w:val="20"/>
                <w:color w:val="auto"/>
              </w:rPr>
            </w:pPr>
            <w:r>
              <w:rPr>
                <w:rFonts w:ascii="Arial" w:cs="Arial" w:eastAsia="Arial" w:hAnsi="Arial"/>
                <w:sz w:val="16"/>
                <w:szCs w:val="16"/>
                <w:color w:val="auto"/>
              </w:rPr>
              <w:t>464,998</w:t>
            </w:r>
          </w:p>
        </w:tc>
        <w:tc>
          <w:tcPr>
            <w:tcW w:w="1660" w:type="dxa"/>
            <w:vAlign w:val="bottom"/>
            <w:tcBorders>
              <w:bottom w:val="single" w:sz="8" w:color="333333"/>
              <w:right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333333"/>
            </w:tcBorders>
          </w:tcPr>
          <w:p>
            <w:pPr>
              <w:spacing w:after="0"/>
              <w:rPr>
                <w:sz w:val="19"/>
                <w:szCs w:val="19"/>
                <w:color w:val="auto"/>
              </w:rPr>
            </w:pPr>
          </w:p>
        </w:tc>
        <w:tc>
          <w:tcPr>
            <w:tcW w:w="1380" w:type="dxa"/>
            <w:vAlign w:val="bottom"/>
            <w:tcBorders>
              <w:bottom w:val="single" w:sz="8" w:color="333333"/>
              <w:right w:val="single" w:sz="8" w:color="auto"/>
            </w:tcBorders>
          </w:tcPr>
          <w:p>
            <w:pPr>
              <w:jc w:val="right"/>
              <w:ind w:right="159"/>
              <w:spacing w:after="0"/>
              <w:rPr>
                <w:sz w:val="20"/>
                <w:szCs w:val="20"/>
                <w:color w:val="auto"/>
              </w:rPr>
            </w:pPr>
            <w:r>
              <w:rPr>
                <w:rFonts w:ascii="Arial" w:cs="Arial" w:eastAsia="Arial" w:hAnsi="Arial"/>
                <w:sz w:val="16"/>
                <w:szCs w:val="16"/>
                <w:color w:val="auto"/>
              </w:rPr>
              <w:t>464,998</w:t>
            </w:r>
          </w:p>
        </w:tc>
        <w:tc>
          <w:tcPr>
            <w:tcW w:w="1540" w:type="dxa"/>
            <w:vAlign w:val="bottom"/>
            <w:tcBorders>
              <w:bottom w:val="single" w:sz="8" w:color="333333"/>
              <w:right w:val="single" w:sz="8" w:color="auto"/>
            </w:tcBorders>
          </w:tcPr>
          <w:p>
            <w:pPr>
              <w:jc w:val="right"/>
              <w:ind w:right="139"/>
              <w:spacing w:after="0"/>
              <w:rPr>
                <w:sz w:val="20"/>
                <w:szCs w:val="20"/>
                <w:color w:val="auto"/>
              </w:rPr>
            </w:pPr>
            <w:r>
              <w:rPr>
                <w:rFonts w:ascii="Arial" w:cs="Arial" w:eastAsia="Arial" w:hAnsi="Arial"/>
                <w:sz w:val="16"/>
                <w:szCs w:val="16"/>
                <w:color w:val="auto"/>
              </w:rPr>
              <w:t>326,036</w:t>
            </w:r>
          </w:p>
        </w:tc>
        <w:tc>
          <w:tcPr>
            <w:tcW w:w="1180" w:type="dxa"/>
            <w:vAlign w:val="bottom"/>
            <w:tcBorders>
              <w:bottom w:val="single" w:sz="8" w:color="333333"/>
            </w:tcBorders>
          </w:tcPr>
          <w:p>
            <w:pPr>
              <w:jc w:val="right"/>
              <w:ind w:right="139"/>
              <w:spacing w:after="0"/>
              <w:rPr>
                <w:sz w:val="20"/>
                <w:szCs w:val="20"/>
                <w:color w:val="auto"/>
              </w:rPr>
            </w:pPr>
            <w:r>
              <w:rPr>
                <w:rFonts w:ascii="Arial" w:cs="Arial" w:eastAsia="Arial" w:hAnsi="Arial"/>
                <w:sz w:val="16"/>
                <w:szCs w:val="16"/>
                <w:color w:val="auto"/>
              </w:rPr>
              <w:t>791,034</w:t>
            </w:r>
          </w:p>
        </w:tc>
        <w:tc>
          <w:tcPr>
            <w:tcW w:w="0" w:type="dxa"/>
            <w:vAlign w:val="bottom"/>
          </w:tcPr>
          <w:p>
            <w:pPr>
              <w:spacing w:after="0"/>
              <w:rPr>
                <w:sz w:val="1"/>
                <w:szCs w:val="1"/>
                <w:color w:val="auto"/>
              </w:rPr>
            </w:pPr>
          </w:p>
        </w:tc>
      </w:tr>
      <w:tr>
        <w:trPr>
          <w:trHeight w:val="208"/>
        </w:trPr>
        <w:tc>
          <w:tcPr>
            <w:tcW w:w="4020" w:type="dxa"/>
            <w:vAlign w:val="bottom"/>
            <w:tcBorders>
              <w:right w:val="single" w:sz="8" w:color="auto"/>
            </w:tcBorders>
          </w:tcPr>
          <w:p>
            <w:pPr>
              <w:ind w:left="60"/>
              <w:spacing w:after="0"/>
              <w:rPr>
                <w:sz w:val="20"/>
                <w:szCs w:val="20"/>
                <w:color w:val="auto"/>
              </w:rPr>
            </w:pPr>
            <w:r>
              <w:rPr>
                <w:rFonts w:ascii="Arial" w:cs="Arial" w:eastAsia="Arial" w:hAnsi="Arial"/>
                <w:sz w:val="16"/>
                <w:szCs w:val="16"/>
                <w:b w:val="1"/>
                <w:bCs w:val="1"/>
                <w:color w:val="auto"/>
              </w:rPr>
              <w:t>All directors and current executive officers as a</w:t>
            </w:r>
          </w:p>
        </w:tc>
        <w:tc>
          <w:tcPr>
            <w:tcW w:w="116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4020" w:type="dxa"/>
            <w:vAlign w:val="bottom"/>
            <w:tcBorders>
              <w:right w:val="single" w:sz="8" w:color="auto"/>
            </w:tcBorders>
          </w:tcPr>
          <w:p>
            <w:pPr>
              <w:ind w:left="60"/>
              <w:spacing w:after="0" w:line="258" w:lineRule="exact"/>
              <w:rPr>
                <w:sz w:val="20"/>
                <w:szCs w:val="20"/>
                <w:color w:val="auto"/>
              </w:rPr>
            </w:pPr>
            <w:r>
              <w:rPr>
                <w:rFonts w:ascii="Arial" w:cs="Arial" w:eastAsia="Arial" w:hAnsi="Arial"/>
                <w:sz w:val="16"/>
                <w:szCs w:val="16"/>
                <w:b w:val="1"/>
                <w:bCs w:val="1"/>
                <w:color w:val="auto"/>
              </w:rPr>
              <w:t xml:space="preserve">group (23 persons) </w:t>
            </w:r>
            <w:r>
              <w:rPr>
                <w:rFonts w:ascii="Arial" w:cs="Arial" w:eastAsia="Arial" w:hAnsi="Arial"/>
                <w:sz w:val="27"/>
                <w:szCs w:val="27"/>
                <w:b w:val="1"/>
                <w:bCs w:val="1"/>
                <w:color w:val="auto"/>
                <w:vertAlign w:val="superscript"/>
              </w:rPr>
              <w:t>3, 5, 6</w:t>
            </w:r>
          </w:p>
        </w:tc>
        <w:tc>
          <w:tcPr>
            <w:tcW w:w="1160" w:type="dxa"/>
            <w:vAlign w:val="bottom"/>
            <w:tcBorders>
              <w:right w:val="single" w:sz="8" w:color="auto"/>
            </w:tcBorders>
            <w:vMerge w:val="restart"/>
          </w:tcPr>
          <w:p>
            <w:pPr>
              <w:jc w:val="right"/>
              <w:ind w:right="119"/>
              <w:spacing w:after="0"/>
              <w:rPr>
                <w:sz w:val="20"/>
                <w:szCs w:val="20"/>
                <w:color w:val="auto"/>
              </w:rPr>
            </w:pPr>
            <w:r>
              <w:rPr>
                <w:rFonts w:ascii="Arial" w:cs="Arial" w:eastAsia="Arial" w:hAnsi="Arial"/>
                <w:sz w:val="16"/>
                <w:szCs w:val="16"/>
                <w:color w:val="auto"/>
              </w:rPr>
              <w:t>22,481,407</w:t>
            </w:r>
          </w:p>
        </w:tc>
        <w:tc>
          <w:tcPr>
            <w:tcW w:w="1660" w:type="dxa"/>
            <w:vAlign w:val="bottom"/>
            <w:tcBorders>
              <w:right w:val="single" w:sz="8" w:color="auto"/>
            </w:tcBorders>
            <w:vMerge w:val="restart"/>
          </w:tcPr>
          <w:p>
            <w:pPr>
              <w:jc w:val="right"/>
              <w:ind w:right="139"/>
              <w:spacing w:after="0"/>
              <w:rPr>
                <w:sz w:val="20"/>
                <w:szCs w:val="20"/>
                <w:color w:val="auto"/>
              </w:rPr>
            </w:pPr>
            <w:r>
              <w:rPr>
                <w:rFonts w:ascii="Arial" w:cs="Arial" w:eastAsia="Arial" w:hAnsi="Arial"/>
                <w:sz w:val="16"/>
                <w:szCs w:val="16"/>
                <w:color w:val="auto"/>
              </w:rPr>
              <w:t>1,323,992</w:t>
            </w:r>
          </w:p>
        </w:tc>
        <w:tc>
          <w:tcPr>
            <w:tcW w:w="80" w:type="dxa"/>
            <w:vAlign w:val="bottom"/>
          </w:tcPr>
          <w:p>
            <w:pPr>
              <w:spacing w:after="0"/>
              <w:rPr>
                <w:sz w:val="22"/>
                <w:szCs w:val="22"/>
                <w:color w:val="auto"/>
              </w:rPr>
            </w:pPr>
          </w:p>
        </w:tc>
        <w:tc>
          <w:tcPr>
            <w:tcW w:w="1380" w:type="dxa"/>
            <w:vAlign w:val="bottom"/>
            <w:tcBorders>
              <w:right w:val="single" w:sz="8" w:color="auto"/>
            </w:tcBorders>
            <w:vMerge w:val="restart"/>
          </w:tcPr>
          <w:p>
            <w:pPr>
              <w:jc w:val="right"/>
              <w:ind w:right="159"/>
              <w:spacing w:after="0"/>
              <w:rPr>
                <w:sz w:val="20"/>
                <w:szCs w:val="20"/>
                <w:color w:val="auto"/>
              </w:rPr>
            </w:pPr>
            <w:r>
              <w:rPr>
                <w:rFonts w:ascii="Arial" w:cs="Arial" w:eastAsia="Arial" w:hAnsi="Arial"/>
                <w:sz w:val="16"/>
                <w:szCs w:val="16"/>
                <w:color w:val="auto"/>
              </w:rPr>
              <w:t>23,805,199</w:t>
            </w:r>
          </w:p>
        </w:tc>
        <w:tc>
          <w:tcPr>
            <w:tcW w:w="1540" w:type="dxa"/>
            <w:vAlign w:val="bottom"/>
            <w:tcBorders>
              <w:right w:val="single" w:sz="8" w:color="auto"/>
            </w:tcBorders>
            <w:vMerge w:val="restart"/>
          </w:tcPr>
          <w:p>
            <w:pPr>
              <w:jc w:val="right"/>
              <w:ind w:right="139"/>
              <w:spacing w:after="0"/>
              <w:rPr>
                <w:sz w:val="20"/>
                <w:szCs w:val="20"/>
                <w:color w:val="auto"/>
              </w:rPr>
            </w:pPr>
            <w:r>
              <w:rPr>
                <w:rFonts w:ascii="Arial" w:cs="Arial" w:eastAsia="Arial" w:hAnsi="Arial"/>
                <w:sz w:val="16"/>
                <w:szCs w:val="16"/>
                <w:color w:val="auto"/>
              </w:rPr>
              <w:t>3,564,007</w:t>
            </w:r>
          </w:p>
        </w:tc>
        <w:tc>
          <w:tcPr>
            <w:tcW w:w="1180" w:type="dxa"/>
            <w:vAlign w:val="bottom"/>
            <w:vMerge w:val="restart"/>
          </w:tcPr>
          <w:p>
            <w:pPr>
              <w:jc w:val="right"/>
              <w:ind w:right="139"/>
              <w:spacing w:after="0"/>
              <w:rPr>
                <w:sz w:val="20"/>
                <w:szCs w:val="20"/>
                <w:color w:val="auto"/>
              </w:rPr>
            </w:pPr>
            <w:r>
              <w:rPr>
                <w:rFonts w:ascii="Arial" w:cs="Arial" w:eastAsia="Arial" w:hAnsi="Arial"/>
                <w:sz w:val="16"/>
                <w:szCs w:val="16"/>
                <w:color w:val="auto"/>
              </w:rPr>
              <w:t>27,369,406</w:t>
            </w:r>
          </w:p>
        </w:tc>
        <w:tc>
          <w:tcPr>
            <w:tcW w:w="0" w:type="dxa"/>
            <w:vAlign w:val="bottom"/>
          </w:tcPr>
          <w:p>
            <w:pPr>
              <w:spacing w:after="0"/>
              <w:rPr>
                <w:sz w:val="1"/>
                <w:szCs w:val="1"/>
                <w:color w:val="auto"/>
              </w:rPr>
            </w:pPr>
          </w:p>
        </w:tc>
      </w:tr>
      <w:tr>
        <w:trPr>
          <w:trHeight w:val="40"/>
        </w:trPr>
        <w:tc>
          <w:tcPr>
            <w:tcW w:w="4020" w:type="dxa"/>
            <w:vAlign w:val="bottom"/>
            <w:tcBorders>
              <w:bottom w:val="single" w:sz="8" w:color="333333"/>
              <w:right w:val="single" w:sz="8" w:color="auto"/>
            </w:tcBorders>
          </w:tcPr>
          <w:p>
            <w:pPr>
              <w:spacing w:after="0"/>
              <w:rPr>
                <w:sz w:val="3"/>
                <w:szCs w:val="3"/>
                <w:color w:val="auto"/>
              </w:rPr>
            </w:pPr>
          </w:p>
        </w:tc>
        <w:tc>
          <w:tcPr>
            <w:tcW w:w="1160" w:type="dxa"/>
            <w:vAlign w:val="bottom"/>
            <w:tcBorders>
              <w:bottom w:val="single" w:sz="8" w:color="333333"/>
              <w:right w:val="single" w:sz="8" w:color="auto"/>
            </w:tcBorders>
            <w:vMerge w:val="continue"/>
          </w:tcPr>
          <w:p>
            <w:pPr>
              <w:spacing w:after="0"/>
              <w:rPr>
                <w:sz w:val="3"/>
                <w:szCs w:val="3"/>
                <w:color w:val="auto"/>
              </w:rPr>
            </w:pPr>
          </w:p>
        </w:tc>
        <w:tc>
          <w:tcPr>
            <w:tcW w:w="1660" w:type="dxa"/>
            <w:vAlign w:val="bottom"/>
            <w:tcBorders>
              <w:bottom w:val="single" w:sz="8" w:color="333333"/>
              <w:right w:val="single" w:sz="8" w:color="auto"/>
            </w:tcBorders>
            <w:vMerge w:val="continue"/>
          </w:tcPr>
          <w:p>
            <w:pPr>
              <w:spacing w:after="0"/>
              <w:rPr>
                <w:sz w:val="3"/>
                <w:szCs w:val="3"/>
                <w:color w:val="auto"/>
              </w:rPr>
            </w:pPr>
          </w:p>
        </w:tc>
        <w:tc>
          <w:tcPr>
            <w:tcW w:w="80" w:type="dxa"/>
            <w:vAlign w:val="bottom"/>
            <w:tcBorders>
              <w:bottom w:val="single" w:sz="8" w:color="333333"/>
            </w:tcBorders>
          </w:tcPr>
          <w:p>
            <w:pPr>
              <w:spacing w:after="0"/>
              <w:rPr>
                <w:sz w:val="3"/>
                <w:szCs w:val="3"/>
                <w:color w:val="auto"/>
              </w:rPr>
            </w:pPr>
          </w:p>
        </w:tc>
        <w:tc>
          <w:tcPr>
            <w:tcW w:w="1380" w:type="dxa"/>
            <w:vAlign w:val="bottom"/>
            <w:tcBorders>
              <w:bottom w:val="single" w:sz="8" w:color="333333"/>
              <w:right w:val="single" w:sz="8" w:color="auto"/>
            </w:tcBorders>
            <w:vMerge w:val="continue"/>
          </w:tcPr>
          <w:p>
            <w:pPr>
              <w:spacing w:after="0"/>
              <w:rPr>
                <w:sz w:val="3"/>
                <w:szCs w:val="3"/>
                <w:color w:val="auto"/>
              </w:rPr>
            </w:pPr>
          </w:p>
        </w:tc>
        <w:tc>
          <w:tcPr>
            <w:tcW w:w="1540" w:type="dxa"/>
            <w:vAlign w:val="bottom"/>
            <w:tcBorders>
              <w:bottom w:val="single" w:sz="8" w:color="333333"/>
              <w:right w:val="single" w:sz="8" w:color="auto"/>
            </w:tcBorders>
            <w:vMerge w:val="continue"/>
          </w:tcPr>
          <w:p>
            <w:pPr>
              <w:spacing w:after="0"/>
              <w:rPr>
                <w:sz w:val="3"/>
                <w:szCs w:val="3"/>
                <w:color w:val="auto"/>
              </w:rPr>
            </w:pPr>
          </w:p>
        </w:tc>
        <w:tc>
          <w:tcPr>
            <w:tcW w:w="1180" w:type="dxa"/>
            <w:vAlign w:val="bottom"/>
            <w:tcBorders>
              <w:bottom w:val="single" w:sz="8" w:color="333333"/>
            </w:tcBorders>
            <w:vMerge w:val="continue"/>
          </w:tcPr>
          <w:p>
            <w:pPr>
              <w:spacing w:after="0"/>
              <w:rPr>
                <w:sz w:val="3"/>
                <w:szCs w:val="3"/>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340" w:right="100" w:hanging="210"/>
        <w:spacing w:after="0" w:line="216" w:lineRule="auto"/>
        <w:tabs>
          <w:tab w:leader="none" w:pos="340" w:val="left"/>
        </w:tabs>
        <w:numPr>
          <w:ilvl w:val="0"/>
          <w:numId w:val="202"/>
        </w:numPr>
        <w:rPr>
          <w:rFonts w:ascii="Arial" w:cs="Arial" w:eastAsia="Arial" w:hAnsi="Arial"/>
          <w:sz w:val="11"/>
          <w:szCs w:val="11"/>
          <w:color w:val="auto"/>
        </w:rPr>
      </w:pPr>
      <w:r>
        <w:rPr>
          <w:rFonts w:ascii="Arial" w:cs="Arial" w:eastAsia="Arial" w:hAnsi="Arial"/>
          <w:sz w:val="13"/>
          <w:szCs w:val="13"/>
          <w:color w:val="auto"/>
        </w:rPr>
        <w:t>Shares owned outright, except as otherwise noted. Directors agree to retain all shares of common stock of JPMorgan Chase purchased on the open market or received pursuant to their service as a Board member for as long as they serve on the Board.</w:t>
      </w:r>
    </w:p>
    <w:p>
      <w:pPr>
        <w:spacing w:after="0" w:line="1" w:lineRule="exact"/>
        <w:rPr>
          <w:sz w:val="20"/>
          <w:szCs w:val="20"/>
          <w:color w:val="auto"/>
        </w:rPr>
      </w:pPr>
    </w:p>
    <w:p>
      <w:pPr>
        <w:ind w:left="340" w:right="140" w:hanging="210"/>
        <w:spacing w:after="0" w:line="216" w:lineRule="auto"/>
        <w:tabs>
          <w:tab w:leader="none" w:pos="340" w:val="left"/>
        </w:tabs>
        <w:numPr>
          <w:ilvl w:val="0"/>
          <w:numId w:val="203"/>
        </w:numPr>
        <w:rPr>
          <w:rFonts w:ascii="Arial" w:cs="Arial" w:eastAsia="Arial" w:hAnsi="Arial"/>
          <w:sz w:val="11"/>
          <w:szCs w:val="11"/>
          <w:color w:val="auto"/>
        </w:rPr>
      </w:pPr>
      <w:r>
        <w:rPr>
          <w:rFonts w:ascii="Arial" w:cs="Arial" w:eastAsia="Arial" w:hAnsi="Arial"/>
          <w:sz w:val="13"/>
          <w:szCs w:val="13"/>
          <w:color w:val="auto"/>
        </w:rPr>
        <w:t>Amounts include for directors and executive officers, shares or deferred stock units, receipt of which has been deferred under deferred compensation plan arrangements. For executive officers, amounts also include unvested RSUs and unvested PSUs (including accumulated reinvested dividend equivalent shares), as well as share equivalents attributable under the JPMorgan Chase 401(k) Savings Plan. The ultimate number of PSUs earned at vesting is formulaically determined, with potential payout value ranging from 0% to 150%. Additional details on the PSU program are provided on pages 48-49.</w:t>
      </w:r>
    </w:p>
    <w:p>
      <w:pPr>
        <w:spacing w:after="0" w:line="2" w:lineRule="exact"/>
        <w:rPr>
          <w:sz w:val="20"/>
          <w:szCs w:val="20"/>
          <w:color w:val="auto"/>
        </w:rPr>
      </w:pPr>
    </w:p>
    <w:p>
      <w:pPr>
        <w:ind w:left="340" w:right="340" w:hanging="210"/>
        <w:spacing w:after="0" w:line="216" w:lineRule="auto"/>
        <w:tabs>
          <w:tab w:leader="none" w:pos="340" w:val="left"/>
        </w:tabs>
        <w:numPr>
          <w:ilvl w:val="0"/>
          <w:numId w:val="204"/>
        </w:numPr>
        <w:rPr>
          <w:rFonts w:ascii="Arial" w:cs="Arial" w:eastAsia="Arial" w:hAnsi="Arial"/>
          <w:sz w:val="11"/>
          <w:szCs w:val="11"/>
          <w:color w:val="auto"/>
        </w:rPr>
      </w:pPr>
      <w:r>
        <w:rPr>
          <w:rFonts w:ascii="Arial" w:cs="Arial" w:eastAsia="Arial" w:hAnsi="Arial"/>
          <w:sz w:val="13"/>
          <w:szCs w:val="13"/>
          <w:color w:val="auto"/>
        </w:rPr>
        <w:t>Includes 165,719 shares Mr. Crown owns individually; 36,537 shares owned by Mr. Crown’s spouse; and 38,140 shares held in trusts for the benefit of his children. None of such shares are pledged or held in margin accounts.</w:t>
      </w:r>
    </w:p>
    <w:p>
      <w:pPr>
        <w:ind w:left="340" w:right="480"/>
        <w:spacing w:after="0" w:line="234" w:lineRule="auto"/>
        <w:rPr>
          <w:rFonts w:ascii="Arial" w:cs="Arial" w:eastAsia="Arial" w:hAnsi="Arial"/>
          <w:sz w:val="11"/>
          <w:szCs w:val="11"/>
          <w:color w:val="auto"/>
        </w:rPr>
      </w:pPr>
      <w:r>
        <w:rPr>
          <w:rFonts w:ascii="Arial" w:cs="Arial" w:eastAsia="Arial" w:hAnsi="Arial"/>
          <w:sz w:val="12"/>
          <w:szCs w:val="12"/>
          <w:color w:val="auto"/>
        </w:rPr>
        <w:t>Also includes 12,039,593 shares owned by entities as to which Mr. Crown disclaims beneficial ownership, except to the extent of his pecuniary interest therein. Of such shares (and for all directors and current executive officers as a group) 11,106,493 shares may be pledged or held by brokers in margin loan accounts, whether or not there are loans outstanding.</w:t>
      </w:r>
    </w:p>
    <w:p>
      <w:pPr>
        <w:spacing w:after="0" w:line="1" w:lineRule="exact"/>
        <w:rPr>
          <w:sz w:val="20"/>
          <w:szCs w:val="20"/>
          <w:color w:val="auto"/>
        </w:rPr>
      </w:pPr>
    </w:p>
    <w:p>
      <w:pPr>
        <w:ind w:left="340" w:hanging="210"/>
        <w:spacing w:after="0"/>
        <w:tabs>
          <w:tab w:leader="none" w:pos="340" w:val="left"/>
        </w:tabs>
        <w:numPr>
          <w:ilvl w:val="0"/>
          <w:numId w:val="205"/>
        </w:numPr>
        <w:rPr>
          <w:rFonts w:ascii="Arial" w:cs="Arial" w:eastAsia="Arial" w:hAnsi="Arial"/>
          <w:sz w:val="11"/>
          <w:szCs w:val="11"/>
          <w:color w:val="auto"/>
        </w:rPr>
      </w:pPr>
      <w:r>
        <w:rPr>
          <w:rFonts w:ascii="Arial" w:cs="Arial" w:eastAsia="Arial" w:hAnsi="Arial"/>
          <w:sz w:val="13"/>
          <w:szCs w:val="13"/>
          <w:color w:val="auto"/>
        </w:rPr>
        <w:t>Includes 115,800 shares owned by entities as to which Mr. Dimon disclaims beneficial ownership, except to the extent of his pecuniary interest therein.</w:t>
      </w:r>
    </w:p>
    <w:p>
      <w:pPr>
        <w:spacing w:after="0" w:line="13" w:lineRule="exact"/>
        <w:rPr>
          <w:sz w:val="20"/>
          <w:szCs w:val="20"/>
          <w:color w:val="auto"/>
        </w:rPr>
      </w:pPr>
    </w:p>
    <w:p>
      <w:pPr>
        <w:ind w:left="340" w:right="220" w:hanging="210"/>
        <w:spacing w:after="0" w:line="216" w:lineRule="auto"/>
        <w:tabs>
          <w:tab w:leader="none" w:pos="340" w:val="left"/>
        </w:tabs>
        <w:numPr>
          <w:ilvl w:val="0"/>
          <w:numId w:val="206"/>
        </w:numPr>
        <w:rPr>
          <w:rFonts w:ascii="Arial" w:cs="Arial" w:eastAsia="Arial" w:hAnsi="Arial"/>
          <w:sz w:val="11"/>
          <w:szCs w:val="11"/>
          <w:color w:val="auto"/>
        </w:rPr>
      </w:pPr>
      <w:r>
        <w:rPr>
          <w:rFonts w:ascii="Arial" w:cs="Arial" w:eastAsia="Arial" w:hAnsi="Arial"/>
          <w:sz w:val="13"/>
          <w:szCs w:val="13"/>
          <w:color w:val="auto"/>
        </w:rPr>
        <w:t>As of February 29, 2020, Ms. Erdoes held 51,000 depositary shares, each representing a one-tenth interest in a share of JPMorgan Chase’s Fixed-to-Floating Rate Non-Cumulative Perpetual Preferred Stock, Series HH (“Series HH Preferred”). Ms. Erdoes is the only director or executive officer who owns shares of the Series HH Preferred.</w:t>
      </w:r>
    </w:p>
    <w:p>
      <w:pPr>
        <w:spacing w:after="0" w:line="1" w:lineRule="exact"/>
        <w:rPr>
          <w:sz w:val="20"/>
          <w:szCs w:val="20"/>
          <w:color w:val="auto"/>
        </w:rPr>
      </w:pPr>
    </w:p>
    <w:p>
      <w:pPr>
        <w:ind w:left="340" w:right="180" w:hanging="210"/>
        <w:spacing w:after="0" w:line="230" w:lineRule="auto"/>
        <w:tabs>
          <w:tab w:leader="none" w:pos="340" w:val="left"/>
        </w:tabs>
        <w:numPr>
          <w:ilvl w:val="0"/>
          <w:numId w:val="207"/>
        </w:numPr>
        <w:rPr>
          <w:rFonts w:ascii="Arial" w:cs="Arial" w:eastAsia="Arial" w:hAnsi="Arial"/>
          <w:sz w:val="11"/>
          <w:szCs w:val="11"/>
          <w:color w:val="auto"/>
        </w:rPr>
      </w:pPr>
      <w:r>
        <w:rPr>
          <w:rFonts w:ascii="Arial" w:cs="Arial" w:eastAsia="Arial" w:hAnsi="Arial"/>
          <w:sz w:val="13"/>
          <w:szCs w:val="13"/>
          <w:color w:val="auto"/>
        </w:rPr>
        <w:t>As of February 29, 2020, Mr. Raymond held 1,435 depositary shares, each representing a one-tenth interest in a share of JPMorgan Chase’s Fixed-to-Floating Rate Non-Cumulative Perpetual Preferred Stock, Series I (“Series I Preferred”). Mr. Raymond is the only director or executive officer who owns shares of the Series I Preferred.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241935</wp:posOffset>
            </wp:positionV>
            <wp:extent cx="7029450" cy="19685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029450" cy="19685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center"/>
        <w:ind w:right="-119"/>
        <w:spacing w:after="0"/>
        <w:rPr>
          <w:sz w:val="20"/>
          <w:szCs w:val="20"/>
          <w:color w:val="auto"/>
        </w:rPr>
      </w:pPr>
      <w:r>
        <w:rPr>
          <w:rFonts w:ascii="Arial" w:cs="Arial" w:eastAsia="Arial" w:hAnsi="Arial"/>
          <w:sz w:val="13"/>
          <w:szCs w:val="13"/>
          <w:b w:val="1"/>
          <w:bCs w:val="1"/>
          <w:color w:val="004876"/>
        </w:rPr>
        <w:t>84</w:t>
      </w:r>
    </w:p>
    <w:p>
      <w:pPr>
        <w:sectPr>
          <w:pgSz w:w="11900" w:h="16838" w:orient="portrait"/>
          <w:cols w:equalWidth="0" w:num="1">
            <w:col w:w="11140"/>
          </w:cols>
          <w:pgMar w:left="320" w:top="459" w:right="439" w:bottom="1440" w:gutter="0" w:footer="0" w:header="0"/>
          <w:type w:val="continuous"/>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04876"/>
        </w:rPr>
        <w:t>EXECUTIVE COMPENSATION | SECURITY OWNERSHIP OF DIRECTORS AND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13" w:lineRule="exact"/>
        <w:rPr>
          <w:sz w:val="20"/>
          <w:szCs w:val="20"/>
          <w:color w:val="auto"/>
        </w:rPr>
      </w:pPr>
    </w:p>
    <w:p>
      <w:pPr>
        <w:ind w:left="120" w:right="700"/>
        <w:spacing w:after="0" w:line="246" w:lineRule="auto"/>
        <w:rPr>
          <w:sz w:val="20"/>
          <w:szCs w:val="20"/>
          <w:color w:val="auto"/>
        </w:rPr>
      </w:pPr>
      <w:r>
        <w:rPr>
          <w:rFonts w:ascii="Arial" w:cs="Arial" w:eastAsia="Arial" w:hAnsi="Arial"/>
          <w:sz w:val="18"/>
          <w:szCs w:val="18"/>
          <w:color w:val="auto"/>
        </w:rPr>
        <w:t>Pursuant to SEC filings, the companies included in the table below were the beneficial owners of more than 5% of our outstanding common stock as of December 31, 2019.</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406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1460" w:type="dxa"/>
            <w:vAlign w:val="bottom"/>
          </w:tcPr>
          <w:p>
            <w:pPr>
              <w:jc w:val="right"/>
              <w:ind w:right="179"/>
              <w:spacing w:after="0"/>
              <w:rPr>
                <w:sz w:val="20"/>
                <w:szCs w:val="20"/>
                <w:color w:val="auto"/>
              </w:rPr>
            </w:pPr>
            <w:r>
              <w:rPr>
                <w:rFonts w:ascii="Arial" w:cs="Arial" w:eastAsia="Arial" w:hAnsi="Arial"/>
                <w:sz w:val="16"/>
                <w:szCs w:val="16"/>
                <w:color w:val="004876"/>
              </w:rPr>
              <w:t>Common stock</w:t>
            </w:r>
          </w:p>
        </w:tc>
        <w:tc>
          <w:tcPr>
            <w:tcW w:w="1200" w:type="dxa"/>
            <w:vAlign w:val="bottom"/>
          </w:tcPr>
          <w:p>
            <w:pPr>
              <w:jc w:val="right"/>
              <w:ind w:right="179"/>
              <w:spacing w:after="0"/>
              <w:rPr>
                <w:sz w:val="20"/>
                <w:szCs w:val="20"/>
                <w:color w:val="auto"/>
              </w:rPr>
            </w:pPr>
            <w:r>
              <w:rPr>
                <w:rFonts w:ascii="Arial" w:cs="Arial" w:eastAsia="Arial" w:hAnsi="Arial"/>
                <w:sz w:val="16"/>
                <w:szCs w:val="16"/>
                <w:color w:val="004876"/>
              </w:rPr>
              <w:t>Percent</w:t>
            </w:r>
          </w:p>
        </w:tc>
      </w:tr>
      <w:tr>
        <w:trPr>
          <w:trHeight w:val="201"/>
        </w:trPr>
        <w:tc>
          <w:tcPr>
            <w:tcW w:w="4060" w:type="dxa"/>
            <w:vAlign w:val="bottom"/>
            <w:tcBorders>
              <w:bottom w:val="single" w:sz="8" w:color="333333"/>
            </w:tcBorders>
          </w:tcPr>
          <w:p>
            <w:pPr>
              <w:ind w:left="60"/>
              <w:spacing w:after="0"/>
              <w:rPr>
                <w:sz w:val="20"/>
                <w:szCs w:val="20"/>
                <w:color w:val="auto"/>
              </w:rPr>
            </w:pPr>
            <w:r>
              <w:rPr>
                <w:rFonts w:ascii="Arial" w:cs="Arial" w:eastAsia="Arial" w:hAnsi="Arial"/>
                <w:sz w:val="16"/>
                <w:szCs w:val="16"/>
                <w:color w:val="004876"/>
              </w:rPr>
              <w:t>Name of beneficial owner</w:t>
            </w:r>
          </w:p>
        </w:tc>
        <w:tc>
          <w:tcPr>
            <w:tcW w:w="4300" w:type="dxa"/>
            <w:vAlign w:val="bottom"/>
            <w:tcBorders>
              <w:bottom w:val="single" w:sz="8" w:color="333333"/>
            </w:tcBorders>
          </w:tcPr>
          <w:p>
            <w:pPr>
              <w:jc w:val="right"/>
              <w:ind w:right="59"/>
              <w:spacing w:after="0"/>
              <w:rPr>
                <w:sz w:val="20"/>
                <w:szCs w:val="20"/>
                <w:color w:val="auto"/>
              </w:rPr>
            </w:pPr>
            <w:r>
              <w:rPr>
                <w:rFonts w:ascii="Arial" w:cs="Arial" w:eastAsia="Arial" w:hAnsi="Arial"/>
                <w:sz w:val="16"/>
                <w:szCs w:val="16"/>
                <w:color w:val="004876"/>
              </w:rPr>
              <w:t>Address of beneficial owner</w:t>
            </w:r>
          </w:p>
        </w:tc>
        <w:tc>
          <w:tcPr>
            <w:tcW w:w="1460" w:type="dxa"/>
            <w:vAlign w:val="bottom"/>
            <w:tcBorders>
              <w:bottom w:val="single" w:sz="8" w:color="333333"/>
            </w:tcBorders>
          </w:tcPr>
          <w:p>
            <w:pPr>
              <w:jc w:val="right"/>
              <w:ind w:right="359"/>
              <w:spacing w:after="0"/>
              <w:rPr>
                <w:sz w:val="20"/>
                <w:szCs w:val="20"/>
                <w:color w:val="auto"/>
              </w:rPr>
            </w:pPr>
            <w:r>
              <w:rPr>
                <w:rFonts w:ascii="Arial" w:cs="Arial" w:eastAsia="Arial" w:hAnsi="Arial"/>
                <w:sz w:val="16"/>
                <w:szCs w:val="16"/>
                <w:color w:val="004876"/>
              </w:rPr>
              <w:t>owned (#)</w:t>
            </w:r>
          </w:p>
        </w:tc>
        <w:tc>
          <w:tcPr>
            <w:tcW w:w="1200" w:type="dxa"/>
            <w:vAlign w:val="bottom"/>
            <w:tcBorders>
              <w:bottom w:val="single" w:sz="8" w:color="333333"/>
            </w:tcBorders>
          </w:tcPr>
          <w:p>
            <w:pPr>
              <w:jc w:val="right"/>
              <w:ind w:right="79"/>
              <w:spacing w:after="0"/>
              <w:rPr>
                <w:sz w:val="20"/>
                <w:szCs w:val="20"/>
                <w:color w:val="auto"/>
              </w:rPr>
            </w:pPr>
            <w:r>
              <w:rPr>
                <w:rFonts w:ascii="Arial" w:cs="Arial" w:eastAsia="Arial" w:hAnsi="Arial"/>
                <w:sz w:val="16"/>
                <w:szCs w:val="16"/>
                <w:color w:val="004876"/>
              </w:rPr>
              <w:t>owned (%)</w:t>
            </w:r>
          </w:p>
        </w:tc>
      </w:tr>
      <w:tr>
        <w:trPr>
          <w:trHeight w:val="184"/>
        </w:trPr>
        <w:tc>
          <w:tcPr>
            <w:tcW w:w="4060" w:type="dxa"/>
            <w:vAlign w:val="bottom"/>
          </w:tcPr>
          <w:p>
            <w:pPr>
              <w:ind w:left="60"/>
              <w:spacing w:after="0" w:line="185" w:lineRule="exact"/>
              <w:rPr>
                <w:sz w:val="20"/>
                <w:szCs w:val="20"/>
                <w:color w:val="auto"/>
              </w:rPr>
            </w:pPr>
            <w:r>
              <w:rPr>
                <w:rFonts w:ascii="Arial" w:cs="Arial" w:eastAsia="Arial" w:hAnsi="Arial"/>
                <w:sz w:val="13"/>
                <w:szCs w:val="13"/>
                <w:color w:val="auto"/>
              </w:rPr>
              <w:t>The Vanguard Group</w:t>
            </w:r>
            <w:r>
              <w:rPr>
                <w:rFonts w:ascii="Arial" w:cs="Arial" w:eastAsia="Arial" w:hAnsi="Arial"/>
                <w:sz w:val="21"/>
                <w:szCs w:val="21"/>
                <w:color w:val="auto"/>
                <w:vertAlign w:val="superscript"/>
              </w:rPr>
              <w:t>1</w:t>
            </w:r>
          </w:p>
        </w:tc>
        <w:tc>
          <w:tcPr>
            <w:tcW w:w="4300" w:type="dxa"/>
            <w:vAlign w:val="bottom"/>
          </w:tcPr>
          <w:p>
            <w:pPr>
              <w:jc w:val="right"/>
              <w:ind w:right="39"/>
              <w:spacing w:after="0"/>
              <w:rPr>
                <w:sz w:val="20"/>
                <w:szCs w:val="20"/>
                <w:color w:val="auto"/>
              </w:rPr>
            </w:pPr>
            <w:r>
              <w:rPr>
                <w:rFonts w:ascii="Arial" w:cs="Arial" w:eastAsia="Arial" w:hAnsi="Arial"/>
                <w:sz w:val="16"/>
                <w:szCs w:val="16"/>
                <w:color w:val="auto"/>
              </w:rPr>
              <w:t>100 Vanguard Blvd.</w:t>
            </w:r>
          </w:p>
        </w:tc>
        <w:tc>
          <w:tcPr>
            <w:tcW w:w="14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01"/>
        </w:trPr>
        <w:tc>
          <w:tcPr>
            <w:tcW w:w="4060" w:type="dxa"/>
            <w:vAlign w:val="bottom"/>
            <w:tcBorders>
              <w:bottom w:val="single" w:sz="8" w:color="333333"/>
            </w:tcBorders>
          </w:tcPr>
          <w:p>
            <w:pPr>
              <w:spacing w:after="0"/>
              <w:rPr>
                <w:sz w:val="17"/>
                <w:szCs w:val="17"/>
                <w:color w:val="auto"/>
              </w:rPr>
            </w:pPr>
          </w:p>
        </w:tc>
        <w:tc>
          <w:tcPr>
            <w:tcW w:w="4300" w:type="dxa"/>
            <w:vAlign w:val="bottom"/>
            <w:tcBorders>
              <w:bottom w:val="single" w:sz="8" w:color="333333"/>
            </w:tcBorders>
          </w:tcPr>
          <w:p>
            <w:pPr>
              <w:jc w:val="right"/>
              <w:ind w:right="39"/>
              <w:spacing w:after="0"/>
              <w:rPr>
                <w:sz w:val="20"/>
                <w:szCs w:val="20"/>
                <w:color w:val="auto"/>
              </w:rPr>
            </w:pPr>
            <w:r>
              <w:rPr>
                <w:rFonts w:ascii="Arial" w:cs="Arial" w:eastAsia="Arial" w:hAnsi="Arial"/>
                <w:sz w:val="16"/>
                <w:szCs w:val="16"/>
                <w:color w:val="auto"/>
              </w:rPr>
              <w:t>Malvern, PA 19355</w:t>
            </w:r>
          </w:p>
        </w:tc>
        <w:tc>
          <w:tcPr>
            <w:tcW w:w="1460" w:type="dxa"/>
            <w:vAlign w:val="bottom"/>
            <w:tcBorders>
              <w:bottom w:val="single" w:sz="8" w:color="333333"/>
            </w:tcBorders>
          </w:tcPr>
          <w:p>
            <w:pPr>
              <w:jc w:val="right"/>
              <w:ind w:right="179"/>
              <w:spacing w:after="0"/>
              <w:rPr>
                <w:sz w:val="20"/>
                <w:szCs w:val="20"/>
                <w:color w:val="auto"/>
              </w:rPr>
            </w:pPr>
            <w:r>
              <w:rPr>
                <w:rFonts w:ascii="Arial" w:cs="Arial" w:eastAsia="Arial" w:hAnsi="Arial"/>
                <w:sz w:val="16"/>
                <w:szCs w:val="16"/>
                <w:color w:val="auto"/>
              </w:rPr>
              <w:t>246,807,787</w:t>
            </w:r>
          </w:p>
        </w:tc>
        <w:tc>
          <w:tcPr>
            <w:tcW w:w="1200" w:type="dxa"/>
            <w:vAlign w:val="bottom"/>
            <w:tcBorders>
              <w:bottom w:val="single" w:sz="8" w:color="333333"/>
            </w:tcBorders>
          </w:tcPr>
          <w:p>
            <w:pPr>
              <w:jc w:val="right"/>
              <w:ind w:right="79"/>
              <w:spacing w:after="0"/>
              <w:rPr>
                <w:sz w:val="20"/>
                <w:szCs w:val="20"/>
                <w:color w:val="auto"/>
              </w:rPr>
            </w:pPr>
            <w:r>
              <w:rPr>
                <w:rFonts w:ascii="Arial" w:cs="Arial" w:eastAsia="Arial" w:hAnsi="Arial"/>
                <w:sz w:val="16"/>
                <w:szCs w:val="16"/>
                <w:color w:val="auto"/>
              </w:rPr>
              <w:t>7.86</w:t>
            </w:r>
          </w:p>
        </w:tc>
      </w:tr>
      <w:tr>
        <w:trPr>
          <w:trHeight w:val="184"/>
        </w:trPr>
        <w:tc>
          <w:tcPr>
            <w:tcW w:w="4060" w:type="dxa"/>
            <w:vAlign w:val="bottom"/>
          </w:tcPr>
          <w:p>
            <w:pPr>
              <w:ind w:left="60"/>
              <w:spacing w:after="0" w:line="185" w:lineRule="exact"/>
              <w:rPr>
                <w:sz w:val="20"/>
                <w:szCs w:val="20"/>
                <w:color w:val="auto"/>
              </w:rPr>
            </w:pPr>
            <w:r>
              <w:rPr>
                <w:rFonts w:ascii="Arial" w:cs="Arial" w:eastAsia="Arial" w:hAnsi="Arial"/>
                <w:sz w:val="13"/>
                <w:szCs w:val="13"/>
                <w:color w:val="auto"/>
              </w:rPr>
              <w:t>BlackRock, Inc.</w:t>
            </w:r>
            <w:r>
              <w:rPr>
                <w:rFonts w:ascii="Arial" w:cs="Arial" w:eastAsia="Arial" w:hAnsi="Arial"/>
                <w:sz w:val="21"/>
                <w:szCs w:val="21"/>
                <w:color w:val="auto"/>
                <w:vertAlign w:val="superscript"/>
              </w:rPr>
              <w:t>2</w:t>
            </w:r>
          </w:p>
        </w:tc>
        <w:tc>
          <w:tcPr>
            <w:tcW w:w="4300" w:type="dxa"/>
            <w:vAlign w:val="bottom"/>
          </w:tcPr>
          <w:p>
            <w:pPr>
              <w:jc w:val="right"/>
              <w:ind w:right="39"/>
              <w:spacing w:after="0"/>
              <w:rPr>
                <w:sz w:val="20"/>
                <w:szCs w:val="20"/>
                <w:color w:val="auto"/>
              </w:rPr>
            </w:pPr>
            <w:r>
              <w:rPr>
                <w:rFonts w:ascii="Arial" w:cs="Arial" w:eastAsia="Arial" w:hAnsi="Arial"/>
                <w:sz w:val="16"/>
                <w:szCs w:val="16"/>
                <w:color w:val="auto"/>
              </w:rPr>
              <w:t>55 East 52nd Street</w:t>
            </w:r>
          </w:p>
        </w:tc>
        <w:tc>
          <w:tcPr>
            <w:tcW w:w="14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01"/>
        </w:trPr>
        <w:tc>
          <w:tcPr>
            <w:tcW w:w="4060" w:type="dxa"/>
            <w:vAlign w:val="bottom"/>
            <w:tcBorders>
              <w:bottom w:val="single" w:sz="8" w:color="333333"/>
            </w:tcBorders>
          </w:tcPr>
          <w:p>
            <w:pPr>
              <w:spacing w:after="0"/>
              <w:rPr>
                <w:sz w:val="17"/>
                <w:szCs w:val="17"/>
                <w:color w:val="auto"/>
              </w:rPr>
            </w:pPr>
          </w:p>
        </w:tc>
        <w:tc>
          <w:tcPr>
            <w:tcW w:w="4300" w:type="dxa"/>
            <w:vAlign w:val="bottom"/>
            <w:tcBorders>
              <w:bottom w:val="single" w:sz="8" w:color="333333"/>
            </w:tcBorders>
          </w:tcPr>
          <w:p>
            <w:pPr>
              <w:jc w:val="right"/>
              <w:ind w:right="39"/>
              <w:spacing w:after="0"/>
              <w:rPr>
                <w:sz w:val="20"/>
                <w:szCs w:val="20"/>
                <w:color w:val="auto"/>
              </w:rPr>
            </w:pPr>
            <w:r>
              <w:rPr>
                <w:rFonts w:ascii="Arial" w:cs="Arial" w:eastAsia="Arial" w:hAnsi="Arial"/>
                <w:sz w:val="16"/>
                <w:szCs w:val="16"/>
                <w:color w:val="auto"/>
              </w:rPr>
              <w:t>New York, NY 10055</w:t>
            </w:r>
          </w:p>
        </w:tc>
        <w:tc>
          <w:tcPr>
            <w:tcW w:w="1460" w:type="dxa"/>
            <w:vAlign w:val="bottom"/>
            <w:tcBorders>
              <w:bottom w:val="single" w:sz="8" w:color="333333"/>
            </w:tcBorders>
          </w:tcPr>
          <w:p>
            <w:pPr>
              <w:jc w:val="right"/>
              <w:ind w:right="179"/>
              <w:spacing w:after="0"/>
              <w:rPr>
                <w:sz w:val="20"/>
                <w:szCs w:val="20"/>
                <w:color w:val="auto"/>
              </w:rPr>
            </w:pPr>
            <w:r>
              <w:rPr>
                <w:rFonts w:ascii="Arial" w:cs="Arial" w:eastAsia="Arial" w:hAnsi="Arial"/>
                <w:sz w:val="16"/>
                <w:szCs w:val="16"/>
                <w:color w:val="auto"/>
              </w:rPr>
              <w:t>209,532,587</w:t>
            </w:r>
          </w:p>
        </w:tc>
        <w:tc>
          <w:tcPr>
            <w:tcW w:w="1200" w:type="dxa"/>
            <w:vAlign w:val="bottom"/>
            <w:tcBorders>
              <w:bottom w:val="single" w:sz="8" w:color="333333"/>
            </w:tcBorders>
          </w:tcPr>
          <w:p>
            <w:pPr>
              <w:jc w:val="right"/>
              <w:ind w:right="79"/>
              <w:spacing w:after="0"/>
              <w:rPr>
                <w:sz w:val="20"/>
                <w:szCs w:val="20"/>
                <w:color w:val="auto"/>
              </w:rPr>
            </w:pPr>
            <w:r>
              <w:rPr>
                <w:rFonts w:ascii="Arial" w:cs="Arial" w:eastAsia="Arial" w:hAnsi="Arial"/>
                <w:sz w:val="16"/>
                <w:szCs w:val="16"/>
                <w:color w:val="auto"/>
              </w:rPr>
              <w:t>6.70</w:t>
            </w:r>
          </w:p>
        </w:tc>
      </w:tr>
    </w:tbl>
    <w:p>
      <w:pPr>
        <w:spacing w:after="0" w:line="75" w:lineRule="exact"/>
        <w:rPr>
          <w:sz w:val="20"/>
          <w:szCs w:val="20"/>
          <w:color w:val="auto"/>
        </w:rPr>
      </w:pPr>
    </w:p>
    <w:p>
      <w:pPr>
        <w:ind w:left="340" w:right="100" w:hanging="175"/>
        <w:spacing w:after="0" w:line="216" w:lineRule="auto"/>
        <w:tabs>
          <w:tab w:leader="none" w:pos="340" w:val="left"/>
        </w:tabs>
        <w:numPr>
          <w:ilvl w:val="0"/>
          <w:numId w:val="208"/>
        </w:numPr>
        <w:rPr>
          <w:rFonts w:ascii="Arial" w:cs="Arial" w:eastAsia="Arial" w:hAnsi="Arial"/>
          <w:sz w:val="11"/>
          <w:szCs w:val="11"/>
          <w:color w:val="auto"/>
        </w:rPr>
      </w:pPr>
      <w:r>
        <w:rPr>
          <w:rFonts w:ascii="Arial" w:cs="Arial" w:eastAsia="Arial" w:hAnsi="Arial"/>
          <w:sz w:val="13"/>
          <w:szCs w:val="13"/>
          <w:color w:val="auto"/>
        </w:rPr>
        <w:t>The Vanguard Group owns the above holdings in its capacity as an investment advisor in accordance with SEC Rule 13d-1(b)(1)(ii)(E). According to the Schedule 13G dated February 12, 2020, filed with the SEC, in the aggregate, Vanguard and the affiliated entities included in the Schedule 13G (“Vanguard”) have sole dispositive power over 241,524,570 shares, shared dispositive power over 5,283,217 shares, sole voting power over 4,672,787 shares, and shared voting power over 898,434 shares of our common stock.</w:t>
      </w:r>
    </w:p>
    <w:p>
      <w:pPr>
        <w:spacing w:after="0" w:line="1" w:lineRule="exact"/>
        <w:rPr>
          <w:sz w:val="20"/>
          <w:szCs w:val="20"/>
          <w:color w:val="auto"/>
        </w:rPr>
      </w:pPr>
    </w:p>
    <w:p>
      <w:pPr>
        <w:ind w:left="340" w:right="240" w:hanging="175"/>
        <w:spacing w:after="0" w:line="225" w:lineRule="auto"/>
        <w:tabs>
          <w:tab w:leader="none" w:pos="340" w:val="left"/>
        </w:tabs>
        <w:numPr>
          <w:ilvl w:val="0"/>
          <w:numId w:val="209"/>
        </w:numPr>
        <w:rPr>
          <w:rFonts w:ascii="Arial" w:cs="Arial" w:eastAsia="Arial" w:hAnsi="Arial"/>
          <w:sz w:val="11"/>
          <w:szCs w:val="11"/>
          <w:color w:val="auto"/>
        </w:rPr>
      </w:pPr>
      <w:r>
        <w:rPr>
          <w:rFonts w:ascii="Arial" w:cs="Arial" w:eastAsia="Arial" w:hAnsi="Arial"/>
          <w:sz w:val="13"/>
          <w:szCs w:val="13"/>
          <w:color w:val="auto"/>
        </w:rPr>
        <w:t>BlackRock, Inc. owns the above holdings in its capacity as a parent holding company or control person in accordance with SEC Rule 13d-1(b)(1)(ii)(G). According to the Schedule 13G dated February 7, 2020, filed with the SEC, in the aggregate, BlackRock and the affiliated entities included in the Schedule 13G (“BlackRock”) have sole dispositive power over 209,532,587 shares, and sole voting power over 180,525,876 shares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242570</wp:posOffset>
            </wp:positionV>
            <wp:extent cx="7029450" cy="19685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029450" cy="19685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jc w:val="center"/>
        <w:ind w:right="-99"/>
        <w:spacing w:after="0"/>
        <w:rPr>
          <w:sz w:val="20"/>
          <w:szCs w:val="20"/>
          <w:color w:val="auto"/>
        </w:rPr>
      </w:pPr>
      <w:r>
        <w:rPr>
          <w:rFonts w:ascii="Arial" w:cs="Arial" w:eastAsia="Arial" w:hAnsi="Arial"/>
          <w:sz w:val="13"/>
          <w:szCs w:val="13"/>
          <w:b w:val="1"/>
          <w:bCs w:val="1"/>
          <w:color w:val="004876"/>
        </w:rPr>
        <w:t>85</w:t>
      </w:r>
    </w:p>
    <w:p>
      <w:pPr>
        <w:sectPr>
          <w:pgSz w:w="11900" w:h="16838" w:orient="portrait"/>
          <w:cols w:equalWidth="0" w:num="1">
            <w:col w:w="11140"/>
          </w:cols>
          <w:pgMar w:left="320" w:top="459" w:right="4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20"/>
        <w:spacing w:after="0"/>
        <w:rPr>
          <w:sz w:val="20"/>
          <w:szCs w:val="20"/>
          <w:color w:val="auto"/>
        </w:rPr>
      </w:pPr>
      <w:r>
        <w:rPr>
          <w:rFonts w:ascii="Arial" w:cs="Arial" w:eastAsia="Arial" w:hAnsi="Arial"/>
          <w:sz w:val="43"/>
          <w:szCs w:val="43"/>
          <w:color w:val="004876"/>
        </w:rPr>
        <w:t>Audit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20"/>
        <w:spacing w:after="0"/>
        <w:rPr>
          <w:sz w:val="20"/>
          <w:szCs w:val="20"/>
          <w:color w:val="auto"/>
        </w:rPr>
      </w:pPr>
      <w:r>
        <w:rPr>
          <w:rFonts w:ascii="Arial" w:cs="Arial" w:eastAsia="Arial" w:hAnsi="Arial"/>
          <w:sz w:val="29"/>
          <w:szCs w:val="29"/>
          <w:color w:val="004876"/>
        </w:rPr>
        <w:t>Proposal 3: Ratification of independent registered public accounting firm</w:t>
      </w:r>
    </w:p>
    <w:p>
      <w:pPr>
        <w:spacing w:after="0" w:line="200" w:lineRule="exact"/>
        <w:rPr>
          <w:sz w:val="20"/>
          <w:szCs w:val="20"/>
          <w:color w:val="auto"/>
        </w:rPr>
      </w:pPr>
    </w:p>
    <w:p>
      <w:pPr>
        <w:spacing w:after="0" w:line="213"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The Audit Committee has appointed PwC as the Firm’s</w:t>
            </w:r>
          </w:p>
        </w:tc>
        <w:tc>
          <w:tcPr>
            <w:tcW w:w="5040" w:type="dxa"/>
            <w:vAlign w:val="bottom"/>
            <w:shd w:val="clear" w:color="auto" w:fill="004876"/>
          </w:tcPr>
          <w:p>
            <w:pPr>
              <w:ind w:left="140"/>
              <w:spacing w:after="0"/>
              <w:rPr>
                <w:sz w:val="20"/>
                <w:szCs w:val="20"/>
                <w:color w:val="auto"/>
              </w:rPr>
            </w:pPr>
            <w:r>
              <w:rPr>
                <w:rFonts w:ascii="Arial" w:cs="Arial" w:eastAsia="Arial" w:hAnsi="Arial"/>
                <w:sz w:val="20"/>
                <w:szCs w:val="20"/>
                <w:b w:val="1"/>
                <w:bCs w:val="1"/>
                <w:color w:val="FFFFFF"/>
              </w:rPr>
              <w:t>RECOMMENDATION:</w:t>
            </w:r>
          </w:p>
        </w:tc>
        <w:tc>
          <w:tcPr>
            <w:tcW w:w="0" w:type="dxa"/>
            <w:vAlign w:val="bottom"/>
          </w:tcPr>
          <w:p>
            <w:pPr>
              <w:spacing w:after="0"/>
              <w:rPr>
                <w:sz w:val="1"/>
                <w:szCs w:val="1"/>
                <w:color w:val="auto"/>
              </w:rPr>
            </w:pPr>
          </w:p>
        </w:tc>
      </w:tr>
      <w:tr>
        <w:trPr>
          <w:trHeight w:val="188"/>
        </w:trPr>
        <w:tc>
          <w:tcPr>
            <w:tcW w:w="5980" w:type="dxa"/>
            <w:vAlign w:val="bottom"/>
          </w:tcPr>
          <w:p>
            <w:pPr>
              <w:spacing w:after="0" w:line="189" w:lineRule="exact"/>
              <w:rPr>
                <w:sz w:val="20"/>
                <w:szCs w:val="20"/>
                <w:color w:val="auto"/>
              </w:rPr>
            </w:pPr>
            <w:r>
              <w:rPr>
                <w:rFonts w:ascii="Arial" w:cs="Arial" w:eastAsia="Arial" w:hAnsi="Arial"/>
                <w:sz w:val="18"/>
                <w:szCs w:val="18"/>
                <w:color w:val="auto"/>
              </w:rPr>
              <w:t>independent registered public accounting firm for the year ending</w:t>
            </w:r>
          </w:p>
        </w:tc>
        <w:tc>
          <w:tcPr>
            <w:tcW w:w="5040" w:type="dxa"/>
            <w:vAlign w:val="bottom"/>
            <w:vMerge w:val="restart"/>
            <w:shd w:val="clear" w:color="auto" w:fill="004876"/>
          </w:tcPr>
          <w:p>
            <w:pPr>
              <w:ind w:left="140"/>
              <w:spacing w:after="0"/>
              <w:rPr>
                <w:sz w:val="20"/>
                <w:szCs w:val="20"/>
                <w:color w:val="auto"/>
              </w:rPr>
            </w:pPr>
            <w:r>
              <w:rPr>
                <w:rFonts w:ascii="Arial" w:cs="Arial" w:eastAsia="Arial" w:hAnsi="Arial"/>
                <w:sz w:val="20"/>
                <w:szCs w:val="20"/>
                <w:color w:val="FFFFFF"/>
              </w:rPr>
              <w:t xml:space="preserve">Vote </w:t>
            </w:r>
            <w:r>
              <w:rPr>
                <w:rFonts w:ascii="Arial" w:cs="Arial" w:eastAsia="Arial" w:hAnsi="Arial"/>
                <w:sz w:val="20"/>
                <w:szCs w:val="20"/>
                <w:b w:val="1"/>
                <w:bCs w:val="1"/>
                <w:color w:val="FFFFFF"/>
              </w:rPr>
              <w:t>FOR</w:t>
            </w:r>
            <w:r>
              <w:rPr>
                <w:rFonts w:ascii="Arial" w:cs="Arial" w:eastAsia="Arial" w:hAnsi="Arial"/>
                <w:sz w:val="20"/>
                <w:szCs w:val="20"/>
                <w:color w:val="FFFFFF"/>
              </w:rPr>
              <w:t xml:space="preserve"> ratification of PwC</w:t>
            </w:r>
          </w:p>
        </w:tc>
        <w:tc>
          <w:tcPr>
            <w:tcW w:w="0" w:type="dxa"/>
            <w:vAlign w:val="bottom"/>
          </w:tcPr>
          <w:p>
            <w:pPr>
              <w:spacing w:after="0"/>
              <w:rPr>
                <w:sz w:val="1"/>
                <w:szCs w:val="1"/>
                <w:color w:val="auto"/>
              </w:rPr>
            </w:pPr>
          </w:p>
        </w:tc>
      </w:tr>
      <w:tr>
        <w:trPr>
          <w:trHeight w:val="126"/>
        </w:trPr>
        <w:tc>
          <w:tcPr>
            <w:tcW w:w="5980" w:type="dxa"/>
            <w:vAlign w:val="bottom"/>
            <w:vMerge w:val="restart"/>
          </w:tcPr>
          <w:p>
            <w:pPr>
              <w:spacing w:after="0" w:line="143" w:lineRule="exact"/>
              <w:rPr>
                <w:sz w:val="20"/>
                <w:szCs w:val="20"/>
                <w:color w:val="auto"/>
              </w:rPr>
            </w:pPr>
            <w:r>
              <w:rPr>
                <w:rFonts w:ascii="Arial" w:cs="Arial" w:eastAsia="Arial" w:hAnsi="Arial"/>
                <w:sz w:val="16"/>
                <w:szCs w:val="16"/>
                <w:color w:val="auto"/>
              </w:rPr>
              <w:t>December 31, 2020.</w:t>
            </w:r>
          </w:p>
        </w:tc>
        <w:tc>
          <w:tcPr>
            <w:tcW w:w="5040" w:type="dxa"/>
            <w:vAlign w:val="bottom"/>
            <w:vMerge w:val="continue"/>
            <w:shd w:val="clear" w:color="auto" w:fill="004876"/>
          </w:tcPr>
          <w:p>
            <w:pPr>
              <w:spacing w:after="0"/>
              <w:rPr>
                <w:sz w:val="10"/>
                <w:szCs w:val="10"/>
                <w:color w:val="auto"/>
              </w:rPr>
            </w:pPr>
          </w:p>
        </w:tc>
        <w:tc>
          <w:tcPr>
            <w:tcW w:w="0" w:type="dxa"/>
            <w:vAlign w:val="bottom"/>
          </w:tcPr>
          <w:p>
            <w:pPr>
              <w:spacing w:after="0"/>
              <w:rPr>
                <w:sz w:val="1"/>
                <w:szCs w:val="1"/>
                <w:color w:val="auto"/>
              </w:rPr>
            </w:pPr>
          </w:p>
        </w:tc>
      </w:tr>
      <w:tr>
        <w:trPr>
          <w:trHeight w:val="37"/>
        </w:trPr>
        <w:tc>
          <w:tcPr>
            <w:tcW w:w="5980" w:type="dxa"/>
            <w:vAlign w:val="bottom"/>
            <w:vMerge w:val="continue"/>
          </w:tcPr>
          <w:p>
            <w:pPr>
              <w:spacing w:after="0"/>
              <w:rPr>
                <w:sz w:val="3"/>
                <w:szCs w:val="3"/>
                <w:color w:val="auto"/>
              </w:rPr>
            </w:pPr>
          </w:p>
        </w:tc>
        <w:tc>
          <w:tcPr>
            <w:tcW w:w="5040" w:type="dxa"/>
            <w:vAlign w:val="bottom"/>
            <w:shd w:val="clear" w:color="auto" w:fill="004876"/>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874395</wp:posOffset>
            </wp:positionV>
            <wp:extent cx="6995160"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1156970</wp:posOffset>
            </wp:positionV>
            <wp:extent cx="7029450" cy="19748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029450" cy="19748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-205105</wp:posOffset>
            </wp:positionV>
            <wp:extent cx="137160" cy="14541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137160" cy="145415"/>
                    </a:xfrm>
                    <a:prstGeom prst="rect">
                      <a:avLst/>
                    </a:prstGeom>
                    <a:noFill/>
                  </pic:spPr>
                </pic:pic>
              </a:graphicData>
            </a:graphic>
          </wp:anchor>
        </w:drawing>
        <w:drawing>
          <wp:anchor simplePos="0" relativeHeight="251657728" behindDoc="1" locked="0" layoutInCell="0" allowOverlap="1">
            <wp:simplePos x="0" y="0"/>
            <wp:positionH relativeFrom="column">
              <wp:posOffset>4250055</wp:posOffset>
            </wp:positionH>
            <wp:positionV relativeFrom="paragraph">
              <wp:posOffset>-50800</wp:posOffset>
            </wp:positionV>
            <wp:extent cx="264795"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2647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99"/>
        <w:spacing w:after="0"/>
        <w:rPr>
          <w:sz w:val="20"/>
          <w:szCs w:val="20"/>
          <w:color w:val="auto"/>
        </w:rPr>
      </w:pPr>
      <w:r>
        <w:rPr>
          <w:rFonts w:ascii="Arial" w:cs="Arial" w:eastAsia="Arial" w:hAnsi="Arial"/>
          <w:sz w:val="13"/>
          <w:szCs w:val="13"/>
          <w:b w:val="1"/>
          <w:bCs w:val="1"/>
          <w:color w:val="004876"/>
        </w:rPr>
        <w:t>86</w:t>
      </w:r>
    </w:p>
    <w:p>
      <w:pPr>
        <w:sectPr>
          <w:pgSz w:w="11900" w:h="16838" w:orient="portrait"/>
          <w:cols w:equalWidth="0" w:num="1">
            <w:col w:w="11140"/>
          </w:cols>
          <w:pgMar w:left="320" w:top="459" w:right="4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04876"/>
        </w:rPr>
        <w:t>AUDIT MATTERS |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64" w:lineRule="exact"/>
        <w:rPr>
          <w:sz w:val="20"/>
          <w:szCs w:val="20"/>
          <w:color w:val="auto"/>
        </w:rPr>
      </w:pPr>
    </w:p>
    <w:p>
      <w:pPr>
        <w:ind w:left="120"/>
        <w:spacing w:after="0"/>
        <w:rPr>
          <w:sz w:val="20"/>
          <w:szCs w:val="20"/>
          <w:color w:val="auto"/>
        </w:rPr>
      </w:pPr>
      <w:r>
        <w:rPr>
          <w:rFonts w:ascii="Arial" w:cs="Arial" w:eastAsia="Arial" w:hAnsi="Arial"/>
          <w:sz w:val="29"/>
          <w:szCs w:val="29"/>
          <w:color w:val="004876"/>
        </w:rPr>
        <w:t>Executive Summary</w:t>
      </w:r>
    </w:p>
    <w:p>
      <w:pPr>
        <w:spacing w:after="0" w:line="115" w:lineRule="exact"/>
        <w:rPr>
          <w:sz w:val="20"/>
          <w:szCs w:val="20"/>
          <w:color w:val="auto"/>
        </w:rPr>
      </w:pPr>
    </w:p>
    <w:p>
      <w:pPr>
        <w:ind w:left="120" w:right="4759"/>
        <w:spacing w:after="0" w:line="236" w:lineRule="auto"/>
        <w:rPr>
          <w:sz w:val="20"/>
          <w:szCs w:val="20"/>
          <w:color w:val="auto"/>
        </w:rPr>
      </w:pPr>
      <w:r>
        <w:rPr>
          <w:rFonts w:ascii="Arial" w:cs="Arial" w:eastAsia="Arial" w:hAnsi="Arial"/>
          <w:sz w:val="18"/>
          <w:szCs w:val="18"/>
          <w:color w:val="auto"/>
        </w:rPr>
        <w:t>The Audit Committee is responsible for the appointment, retention, compensation, evaluation and oversight of the Firm’s independent registered public accounting firm. It is also responsible for assisting the Board in its oversight of the Firm’s Internal Audit function and of management’s responsibilities to assure that there is an effective system of controls in place reasonably designed to safeguard the assets and income of the Firm, assure the integrity of the Firm’s financial statements and maintain compliance with the Firm’s ethical standards and with laws and regulations. The Report of the Audit Committee on these matters can be found on pages 90-91.</w:t>
      </w:r>
    </w:p>
    <w:p>
      <w:pPr>
        <w:spacing w:after="0" w:line="97" w:lineRule="exact"/>
        <w:rPr>
          <w:sz w:val="20"/>
          <w:szCs w:val="20"/>
          <w:color w:val="auto"/>
        </w:rPr>
      </w:pPr>
    </w:p>
    <w:p>
      <w:pPr>
        <w:ind w:left="120" w:right="4799"/>
        <w:spacing w:after="0" w:line="236" w:lineRule="auto"/>
        <w:rPr>
          <w:sz w:val="20"/>
          <w:szCs w:val="20"/>
          <w:color w:val="auto"/>
        </w:rPr>
      </w:pPr>
      <w:r>
        <w:rPr>
          <w:rFonts w:ascii="Arial" w:cs="Arial" w:eastAsia="Arial" w:hAnsi="Arial"/>
          <w:sz w:val="18"/>
          <w:szCs w:val="18"/>
          <w:color w:val="auto"/>
        </w:rPr>
        <w:t>The Audit Committee has appointed PwC as the Firm’s independent registered public accounting firm to audit the Consolidated Financial Statements of JPMorgan Chase and its subsidiaries for the year ending December 31, 2020. A resolution will be presented to our shareholders at the annual meeting requesting them to ratify PwC’s appointment. For more information on this resolution, see page 88. If the shareholders do not ratify the appointment of PwC, the Audit Committee will consider the appointment of another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336550</wp:posOffset>
            </wp:positionV>
            <wp:extent cx="7029450" cy="19685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029450" cy="196850"/>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p>
      <w:pPr>
        <w:jc w:val="right"/>
        <w:ind w:right="4439"/>
        <w:spacing w:after="0"/>
        <w:rPr>
          <w:sz w:val="20"/>
          <w:szCs w:val="20"/>
          <w:color w:val="auto"/>
        </w:rPr>
      </w:pPr>
      <w:r>
        <w:rPr>
          <w:rFonts w:ascii="Arial" w:cs="Arial" w:eastAsia="Arial" w:hAnsi="Arial"/>
          <w:sz w:val="13"/>
          <w:szCs w:val="13"/>
          <w:b w:val="1"/>
          <w:bCs w:val="1"/>
          <w:color w:val="004876"/>
        </w:rPr>
        <w:t>87</w:t>
      </w:r>
    </w:p>
    <w:p>
      <w:pPr>
        <w:sectPr>
          <w:pgSz w:w="11900" w:h="16838" w:orient="portrait"/>
          <w:cols w:equalWidth="0" w:num="1">
            <w:col w:w="10139"/>
          </w:cols>
          <w:pgMar w:left="320" w:top="459" w:right="1440"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4876"/>
        </w:rPr>
        <w:t>RATIFICATION OF INDEPENDENT REGISTERED PUBLIC ACCOUNTING FIRM | AUDIT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10" w:lineRule="exact"/>
        <w:rPr>
          <w:sz w:val="20"/>
          <w:szCs w:val="20"/>
          <w:color w:val="auto"/>
        </w:rPr>
      </w:pPr>
    </w:p>
    <w:p>
      <w:pPr>
        <w:ind w:left="120"/>
        <w:spacing w:after="0"/>
        <w:rPr>
          <w:sz w:val="20"/>
          <w:szCs w:val="20"/>
          <w:color w:val="auto"/>
        </w:rPr>
      </w:pPr>
      <w:r>
        <w:rPr>
          <w:rFonts w:ascii="Arial" w:cs="Arial" w:eastAsia="Arial" w:hAnsi="Arial"/>
          <w:sz w:val="29"/>
          <w:szCs w:val="29"/>
          <w:color w:val="004876"/>
        </w:rPr>
        <w:t>Proposal 3 — Ratification of independent registered public accounting firm</w:t>
      </w:r>
    </w:p>
    <w:p>
      <w:pPr>
        <w:sectPr>
          <w:pgSz w:w="11900" w:h="16838" w:orient="portrait"/>
          <w:cols w:equalWidth="0" w:num="1">
            <w:col w:w="11140"/>
          </w:cols>
          <w:pgMar w:left="320" w:top="459" w:right="439" w:bottom="1440" w:gutter="0" w:footer="0" w:header="0"/>
        </w:sectPr>
      </w:pPr>
    </w:p>
    <w:p>
      <w:pPr>
        <w:spacing w:after="0" w:line="302" w:lineRule="exact"/>
        <w:rPr>
          <w:sz w:val="20"/>
          <w:szCs w:val="20"/>
          <w:color w:val="auto"/>
        </w:rPr>
      </w:pPr>
    </w:p>
    <w:p>
      <w:pPr>
        <w:ind w:left="120" w:right="260"/>
        <w:spacing w:after="0" w:line="236" w:lineRule="auto"/>
        <w:rPr>
          <w:sz w:val="20"/>
          <w:szCs w:val="20"/>
          <w:color w:val="auto"/>
        </w:rPr>
      </w:pPr>
      <w:r>
        <w:rPr>
          <w:rFonts w:ascii="Arial" w:cs="Arial" w:eastAsia="Arial" w:hAnsi="Arial"/>
          <w:sz w:val="20"/>
          <w:szCs w:val="20"/>
          <w:color w:val="004876"/>
        </w:rPr>
        <w:t>Engagement of independent registered public accounting firm</w:t>
      </w:r>
    </w:p>
    <w:p>
      <w:pPr>
        <w:spacing w:after="0" w:line="90" w:lineRule="exact"/>
        <w:rPr>
          <w:sz w:val="20"/>
          <w:szCs w:val="20"/>
          <w:color w:val="auto"/>
        </w:rPr>
      </w:pPr>
    </w:p>
    <w:p>
      <w:pPr>
        <w:ind w:left="120" w:right="260"/>
        <w:spacing w:after="0"/>
        <w:rPr>
          <w:sz w:val="20"/>
          <w:szCs w:val="20"/>
          <w:color w:val="auto"/>
        </w:rPr>
      </w:pPr>
      <w:r>
        <w:rPr>
          <w:rFonts w:ascii="Arial" w:cs="Arial" w:eastAsia="Arial" w:hAnsi="Arial"/>
          <w:sz w:val="18"/>
          <w:szCs w:val="18"/>
          <w:color w:val="auto"/>
        </w:rPr>
        <w:t>The Audit Committee is responsible for the appointment, retention, compensation, evaluation and oversight of the Firm’s independent registered public accounting firm.</w:t>
      </w:r>
    </w:p>
    <w:p>
      <w:pPr>
        <w:spacing w:after="0" w:line="95" w:lineRule="exact"/>
        <w:rPr>
          <w:sz w:val="20"/>
          <w:szCs w:val="20"/>
          <w:color w:val="auto"/>
        </w:rPr>
      </w:pPr>
    </w:p>
    <w:p>
      <w:pPr>
        <w:ind w:left="120" w:right="260"/>
        <w:spacing w:after="0" w:line="238" w:lineRule="auto"/>
        <w:rPr>
          <w:sz w:val="20"/>
          <w:szCs w:val="20"/>
          <w:color w:val="auto"/>
        </w:rPr>
      </w:pPr>
      <w:r>
        <w:rPr>
          <w:rFonts w:ascii="Arial" w:cs="Arial" w:eastAsia="Arial" w:hAnsi="Arial"/>
          <w:sz w:val="18"/>
          <w:szCs w:val="18"/>
          <w:color w:val="auto"/>
        </w:rPr>
        <w:t>The Audit Committee has appointed PwC as the Firm’s independent registered public accounting firm to audit the Consolidated Financial Statements of JPMorgan Chase and its subsidiaries for the year ending December 31, 2020.</w:t>
      </w:r>
    </w:p>
    <w:p>
      <w:pPr>
        <w:spacing w:after="0" w:line="97"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The Audit Committee annually reviews PwC’s qualifications, performance and independence in connection with its determination as to whether to retain PwC. For information on the factors reviewed by the Audit Committee, see the Audit Committee Report on pages 90-91.</w:t>
      </w:r>
    </w:p>
    <w:p>
      <w:pPr>
        <w:spacing w:after="0" w:line="94" w:lineRule="exact"/>
        <w:rPr>
          <w:sz w:val="20"/>
          <w:szCs w:val="20"/>
          <w:color w:val="auto"/>
        </w:rPr>
      </w:pPr>
    </w:p>
    <w:p>
      <w:pPr>
        <w:ind w:left="120" w:right="120"/>
        <w:spacing w:after="0" w:line="253" w:lineRule="auto"/>
        <w:rPr>
          <w:sz w:val="20"/>
          <w:szCs w:val="20"/>
          <w:color w:val="auto"/>
        </w:rPr>
      </w:pPr>
      <w:r>
        <w:rPr>
          <w:rFonts w:ascii="Arial" w:cs="Arial" w:eastAsia="Arial" w:hAnsi="Arial"/>
          <w:sz w:val="17"/>
          <w:szCs w:val="17"/>
          <w:color w:val="auto"/>
        </w:rPr>
        <w:t>The members of the Audit Committee and the Board believe that continued retention of PwC as the Firm’s independent external auditor is in the best interests of JPMorgan Chase and its shareholders. PwC and its predecessors have acted as our independent registered public accounting firm since 1965. The Board believes the Firm receives significant benefits from the extensive history PwC has with the Firm. These benefits include:</w:t>
      </w:r>
    </w:p>
    <w:p>
      <w:pPr>
        <w:spacing w:after="0" w:line="97" w:lineRule="exact"/>
        <w:rPr>
          <w:sz w:val="20"/>
          <w:szCs w:val="20"/>
          <w:color w:val="auto"/>
        </w:rPr>
      </w:pPr>
    </w:p>
    <w:p>
      <w:pPr>
        <w:ind w:left="300" w:hanging="184"/>
        <w:spacing w:after="0" w:line="238" w:lineRule="auto"/>
        <w:tabs>
          <w:tab w:leader="none" w:pos="300" w:val="left"/>
        </w:tabs>
        <w:numPr>
          <w:ilvl w:val="0"/>
          <w:numId w:val="210"/>
        </w:numPr>
        <w:rPr>
          <w:rFonts w:ascii="Arial" w:cs="Arial" w:eastAsia="Arial" w:hAnsi="Arial"/>
          <w:sz w:val="18"/>
          <w:szCs w:val="18"/>
          <w:color w:val="004876"/>
        </w:rPr>
      </w:pPr>
      <w:r>
        <w:rPr>
          <w:rFonts w:ascii="Arial" w:cs="Arial" w:eastAsia="Arial" w:hAnsi="Arial"/>
          <w:sz w:val="18"/>
          <w:szCs w:val="18"/>
          <w:color w:val="auto"/>
        </w:rPr>
        <w:t>the high quality of their audit work and accounting advice, as a result of their institutional knowledge of our businesses, global operations, key risks, accounting policies, financial systems and internal control framework</w:t>
      </w:r>
    </w:p>
    <w:p>
      <w:pPr>
        <w:spacing w:after="0" w:line="110" w:lineRule="exact"/>
        <w:rPr>
          <w:rFonts w:ascii="Arial" w:cs="Arial" w:eastAsia="Arial" w:hAnsi="Arial"/>
          <w:sz w:val="18"/>
          <w:szCs w:val="18"/>
          <w:color w:val="004876"/>
        </w:rPr>
      </w:pPr>
    </w:p>
    <w:p>
      <w:pPr>
        <w:ind w:left="300" w:right="100" w:hanging="184"/>
        <w:spacing w:after="0"/>
        <w:tabs>
          <w:tab w:leader="none" w:pos="300" w:val="left"/>
        </w:tabs>
        <w:numPr>
          <w:ilvl w:val="0"/>
          <w:numId w:val="210"/>
        </w:numPr>
        <w:rPr>
          <w:rFonts w:ascii="Arial" w:cs="Arial" w:eastAsia="Arial" w:hAnsi="Arial"/>
          <w:sz w:val="18"/>
          <w:szCs w:val="18"/>
          <w:color w:val="004876"/>
        </w:rPr>
      </w:pPr>
      <w:r>
        <w:rPr>
          <w:rFonts w:ascii="Arial" w:cs="Arial" w:eastAsia="Arial" w:hAnsi="Arial"/>
          <w:sz w:val="18"/>
          <w:szCs w:val="18"/>
          <w:color w:val="auto"/>
        </w:rPr>
        <w:t>their audit efficiency and effectiveness, which results in a lower fee structure due to their history and familiarity with our businesses</w:t>
      </w:r>
    </w:p>
    <w:p>
      <w:pPr>
        <w:spacing w:after="0" w:line="108" w:lineRule="exact"/>
        <w:rPr>
          <w:rFonts w:ascii="Arial" w:cs="Arial" w:eastAsia="Arial" w:hAnsi="Arial"/>
          <w:sz w:val="18"/>
          <w:szCs w:val="18"/>
          <w:color w:val="004876"/>
        </w:rPr>
      </w:pPr>
    </w:p>
    <w:p>
      <w:pPr>
        <w:ind w:left="300" w:right="220" w:hanging="184"/>
        <w:spacing w:after="0" w:line="274" w:lineRule="auto"/>
        <w:tabs>
          <w:tab w:leader="none" w:pos="300" w:val="left"/>
        </w:tabs>
        <w:numPr>
          <w:ilvl w:val="0"/>
          <w:numId w:val="210"/>
        </w:numPr>
        <w:rPr>
          <w:rFonts w:ascii="Arial" w:cs="Arial" w:eastAsia="Arial" w:hAnsi="Arial"/>
          <w:sz w:val="17"/>
          <w:szCs w:val="17"/>
          <w:color w:val="004876"/>
        </w:rPr>
      </w:pPr>
      <w:r>
        <w:rPr>
          <w:rFonts w:ascii="Arial" w:cs="Arial" w:eastAsia="Arial" w:hAnsi="Arial"/>
          <w:sz w:val="17"/>
          <w:szCs w:val="17"/>
          <w:color w:val="auto"/>
        </w:rPr>
        <w:t>the time and expense that would be avoided by management and staff in order to onboard a new auditor, and</w:t>
      </w:r>
    </w:p>
    <w:p>
      <w:pPr>
        <w:spacing w:after="0" w:line="80" w:lineRule="exact"/>
        <w:rPr>
          <w:rFonts w:ascii="Arial" w:cs="Arial" w:eastAsia="Arial" w:hAnsi="Arial"/>
          <w:sz w:val="17"/>
          <w:szCs w:val="17"/>
          <w:color w:val="004876"/>
        </w:rPr>
      </w:pPr>
    </w:p>
    <w:p>
      <w:pPr>
        <w:ind w:left="300" w:right="240" w:hanging="184"/>
        <w:spacing w:after="0" w:line="246" w:lineRule="auto"/>
        <w:tabs>
          <w:tab w:leader="none" w:pos="300" w:val="left"/>
        </w:tabs>
        <w:numPr>
          <w:ilvl w:val="0"/>
          <w:numId w:val="210"/>
        </w:numPr>
        <w:rPr>
          <w:rFonts w:ascii="Arial" w:cs="Arial" w:eastAsia="Arial" w:hAnsi="Arial"/>
          <w:sz w:val="18"/>
          <w:szCs w:val="18"/>
          <w:color w:val="004876"/>
        </w:rPr>
      </w:pPr>
      <w:r>
        <w:rPr>
          <w:rFonts w:ascii="Arial" w:cs="Arial" w:eastAsia="Arial" w:hAnsi="Arial"/>
          <w:sz w:val="18"/>
          <w:szCs w:val="18"/>
          <w:color w:val="auto"/>
        </w:rPr>
        <w:t>their commitment to maintaining their independence from the Firm</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ind w:right="320"/>
        <w:spacing w:after="0"/>
        <w:rPr>
          <w:sz w:val="20"/>
          <w:szCs w:val="20"/>
          <w:color w:val="auto"/>
        </w:rPr>
      </w:pPr>
      <w:r>
        <w:rPr>
          <w:rFonts w:ascii="Arial" w:cs="Arial" w:eastAsia="Arial" w:hAnsi="Arial"/>
          <w:sz w:val="18"/>
          <w:szCs w:val="18"/>
          <w:color w:val="auto"/>
        </w:rPr>
        <w:t>A member of PwC will be present at the annual meeting and will have the opportunity to make a statement and respond to appropriate questions from shareholders.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004876"/>
        </w:rPr>
        <w:t>Board oversight of PwC</w:t>
      </w:r>
    </w:p>
    <w:p>
      <w:pPr>
        <w:spacing w:after="0" w:line="97"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The Audit Committee held seven private sessions with PwC during 2019.</w:t>
      </w:r>
    </w:p>
    <w:p>
      <w:pPr>
        <w:spacing w:after="0" w:line="89" w:lineRule="exact"/>
        <w:rPr>
          <w:sz w:val="20"/>
          <w:szCs w:val="20"/>
          <w:color w:val="auto"/>
        </w:rPr>
      </w:pPr>
    </w:p>
    <w:p>
      <w:pPr>
        <w:ind w:right="240"/>
        <w:spacing w:after="0" w:line="236" w:lineRule="auto"/>
        <w:rPr>
          <w:sz w:val="20"/>
          <w:szCs w:val="20"/>
          <w:color w:val="auto"/>
        </w:rPr>
      </w:pPr>
      <w:r>
        <w:rPr>
          <w:rFonts w:ascii="Arial" w:cs="Arial" w:eastAsia="Arial" w:hAnsi="Arial"/>
          <w:sz w:val="18"/>
          <w:szCs w:val="18"/>
          <w:color w:val="auto"/>
        </w:rPr>
        <w:t>The Audit Committee assesses PwC’s independence throughout the year. This includes reviewing with PwC its practices for maintaining its independence. The Audit Committee has also established policies and procedures for approving services provided by PwC. It is JPMorgan Chase’s policy to use PwC only for audit and audit-related services, and tax services in certain circumstances. For more information see Audit Committee Approval Policies and Procedures on page 89.</w:t>
      </w:r>
    </w:p>
    <w:p>
      <w:pPr>
        <w:spacing w:after="0" w:line="100"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No member of PwC’s audit team may be hired by the Firm for a period of one year after such person transferred from the Firm’s audit engagement to another role at PwC, or has terminated employment with PwC. Further, no former PwC employee who was a manager or partner may be hired by the Firm as the CFO, Principal Accounting Officer, General Auditor, Treasurer, Head of Tax or CFO of a LOB for a period of two years following his or her termination of employment with PwC.</w:t>
      </w:r>
    </w:p>
    <w:p>
      <w:pPr>
        <w:spacing w:after="0" w:line="100" w:lineRule="exact"/>
        <w:rPr>
          <w:sz w:val="20"/>
          <w:szCs w:val="20"/>
          <w:color w:val="auto"/>
        </w:rPr>
      </w:pPr>
    </w:p>
    <w:p>
      <w:pPr>
        <w:ind w:right="100"/>
        <w:spacing w:after="0" w:line="252" w:lineRule="auto"/>
        <w:rPr>
          <w:sz w:val="20"/>
          <w:szCs w:val="20"/>
          <w:color w:val="auto"/>
        </w:rPr>
      </w:pPr>
      <w:r>
        <w:rPr>
          <w:rFonts w:ascii="Arial" w:cs="Arial" w:eastAsia="Arial" w:hAnsi="Arial"/>
          <w:sz w:val="17"/>
          <w:szCs w:val="17"/>
          <w:color w:val="auto"/>
        </w:rPr>
        <w:t>In accordance with SEC rules and PwC policies, audit partners are subject to rotation requirements to limit the number of consecutive years of service an individual partner may provide audit services to our Firm. The lead audit partner and quality review partner may provide services to our Firm for a maximum of five consecutive years. The current lead audit partner is expected to serve in this capacity through the end of the 2020 audit. The Audit Committee was directly involved in the selection of the lead audit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766445</wp:posOffset>
            </wp:positionV>
            <wp:extent cx="7029450" cy="19685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029450" cy="196850"/>
                    </a:xfrm>
                    <a:prstGeom prst="rect">
                      <a:avLst/>
                    </a:prstGeom>
                    <a:noFill/>
                  </pic:spPr>
                </pic:pic>
              </a:graphicData>
            </a:graphic>
          </wp:anchor>
        </w:drawing>
      </w:r>
    </w:p>
    <w:p>
      <w:pPr>
        <w:spacing w:after="0" w:line="885" w:lineRule="exact"/>
        <w:rPr>
          <w:sz w:val="20"/>
          <w:szCs w:val="20"/>
          <w:color w:val="auto"/>
        </w:rPr>
      </w:pPr>
    </w:p>
    <w:p>
      <w:pPr>
        <w:sectPr>
          <w:pgSz w:w="11900" w:h="16838" w:orient="portrait"/>
          <w:cols w:equalWidth="0" w:num="2">
            <w:col w:w="5380" w:space="360"/>
            <w:col w:w="5400"/>
          </w:cols>
          <w:pgMar w:left="320" w:top="459" w:right="439" w:bottom="1440" w:gutter="0" w:footer="0" w:header="0"/>
          <w:type w:val="continuous"/>
        </w:sectPr>
      </w:pPr>
    </w:p>
    <w:p>
      <w:pPr>
        <w:spacing w:after="0" w:line="399" w:lineRule="exact"/>
        <w:rPr>
          <w:sz w:val="20"/>
          <w:szCs w:val="20"/>
          <w:color w:val="auto"/>
        </w:rPr>
      </w:pPr>
    </w:p>
    <w:p>
      <w:pPr>
        <w:jc w:val="center"/>
        <w:ind w:right="-99"/>
        <w:spacing w:after="0"/>
        <w:rPr>
          <w:sz w:val="20"/>
          <w:szCs w:val="20"/>
          <w:color w:val="auto"/>
        </w:rPr>
      </w:pPr>
      <w:r>
        <w:rPr>
          <w:rFonts w:ascii="Arial" w:cs="Arial" w:eastAsia="Arial" w:hAnsi="Arial"/>
          <w:sz w:val="13"/>
          <w:szCs w:val="13"/>
          <w:b w:val="1"/>
          <w:bCs w:val="1"/>
          <w:color w:val="004876"/>
        </w:rPr>
        <w:t>88</w:t>
      </w:r>
    </w:p>
    <w:p>
      <w:pPr>
        <w:sectPr>
          <w:pgSz w:w="11900" w:h="16838" w:orient="portrait"/>
          <w:cols w:equalWidth="0" w:num="1">
            <w:col w:w="11140"/>
          </w:cols>
          <w:pgMar w:left="320" w:top="459" w:right="439" w:bottom="1440" w:gutter="0" w:footer="0" w:header="0"/>
          <w:type w:val="continuous"/>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04876"/>
        </w:rPr>
        <w:t>AUDIT MATTERS | RATIFICATION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20"/>
          </w:cols>
          <w:pgMar w:left="320" w:top="459" w:right="459" w:bottom="1440" w:gutter="0" w:footer="0" w:header="0"/>
        </w:sectPr>
      </w:pPr>
    </w:p>
    <w:p>
      <w:pPr>
        <w:spacing w:after="0" w:line="384" w:lineRule="exact"/>
        <w:rPr>
          <w:sz w:val="20"/>
          <w:szCs w:val="20"/>
          <w:color w:val="auto"/>
        </w:rPr>
      </w:pPr>
    </w:p>
    <w:p>
      <w:pPr>
        <w:ind w:left="120"/>
        <w:spacing w:after="0"/>
        <w:rPr>
          <w:sz w:val="20"/>
          <w:szCs w:val="20"/>
          <w:color w:val="auto"/>
        </w:rPr>
      </w:pPr>
      <w:r>
        <w:rPr>
          <w:rFonts w:ascii="Arial" w:cs="Arial" w:eastAsia="Arial" w:hAnsi="Arial"/>
          <w:sz w:val="20"/>
          <w:szCs w:val="20"/>
          <w:color w:val="004876"/>
        </w:rPr>
        <w:t>Fees paid to PricewaterhouseCoopers LLP</w:t>
      </w:r>
    </w:p>
    <w:p>
      <w:pPr>
        <w:spacing w:after="0" w:line="97" w:lineRule="exact"/>
        <w:rPr>
          <w:sz w:val="20"/>
          <w:szCs w:val="20"/>
          <w:color w:val="auto"/>
        </w:rPr>
      </w:pPr>
    </w:p>
    <w:p>
      <w:pPr>
        <w:ind w:left="120" w:right="100"/>
        <w:spacing w:after="0" w:line="238" w:lineRule="auto"/>
        <w:rPr>
          <w:sz w:val="20"/>
          <w:szCs w:val="20"/>
          <w:color w:val="auto"/>
        </w:rPr>
      </w:pPr>
      <w:r>
        <w:rPr>
          <w:rFonts w:ascii="Arial" w:cs="Arial" w:eastAsia="Arial" w:hAnsi="Arial"/>
          <w:sz w:val="18"/>
          <w:szCs w:val="18"/>
          <w:color w:val="auto"/>
        </w:rPr>
        <w:t>The Audit Committee is responsible for negotiating the terms and fees associated with the Firm’s retention of PwC, including the annual integrated audit of the Firm’s Consolidated Financial Statements.</w:t>
      </w:r>
    </w:p>
    <w:p>
      <w:pPr>
        <w:spacing w:after="0" w:line="97" w:lineRule="exact"/>
        <w:rPr>
          <w:sz w:val="20"/>
          <w:szCs w:val="20"/>
          <w:color w:val="auto"/>
        </w:rPr>
      </w:pPr>
    </w:p>
    <w:p>
      <w:pPr>
        <w:ind w:left="120" w:right="380"/>
        <w:spacing w:after="0"/>
        <w:rPr>
          <w:sz w:val="20"/>
          <w:szCs w:val="20"/>
          <w:color w:val="auto"/>
        </w:rPr>
      </w:pPr>
      <w:r>
        <w:rPr>
          <w:rFonts w:ascii="Arial" w:cs="Arial" w:eastAsia="Arial" w:hAnsi="Arial"/>
          <w:sz w:val="18"/>
          <w:szCs w:val="18"/>
          <w:color w:val="auto"/>
        </w:rPr>
        <w:t>Aggregate fees for professional services rendered by PwC for JPMorgan Chase and its subsidiaries for the years ended December 31, 2019 and 2018, were:</w:t>
      </w:r>
    </w:p>
    <w:p>
      <w:pPr>
        <w:spacing w:after="0" w:line="91"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2960" w:type="dxa"/>
            <w:vAlign w:val="bottom"/>
          </w:tcPr>
          <w:p>
            <w:pPr>
              <w:ind w:left="80"/>
              <w:spacing w:after="0"/>
              <w:rPr>
                <w:sz w:val="20"/>
                <w:szCs w:val="20"/>
                <w:color w:val="auto"/>
              </w:rPr>
            </w:pPr>
            <w:r>
              <w:rPr>
                <w:rFonts w:ascii="Arial" w:cs="Arial" w:eastAsia="Arial" w:hAnsi="Arial"/>
                <w:sz w:val="16"/>
                <w:szCs w:val="16"/>
                <w:b w:val="1"/>
                <w:bCs w:val="1"/>
                <w:color w:val="auto"/>
              </w:rPr>
              <w:t>Year ended December 31,</w:t>
            </w:r>
          </w:p>
        </w:tc>
        <w:tc>
          <w:tcPr>
            <w:tcW w:w="10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21"/>
        </w:trPr>
        <w:tc>
          <w:tcPr>
            <w:tcW w:w="2960" w:type="dxa"/>
            <w:vAlign w:val="bottom"/>
            <w:tcBorders>
              <w:bottom w:val="single" w:sz="8" w:color="004876"/>
            </w:tcBorders>
          </w:tcPr>
          <w:p>
            <w:pPr>
              <w:ind w:left="80"/>
              <w:spacing w:after="0"/>
              <w:rPr>
                <w:sz w:val="20"/>
                <w:szCs w:val="20"/>
                <w:color w:val="auto"/>
              </w:rPr>
            </w:pPr>
            <w:r>
              <w:rPr>
                <w:rFonts w:ascii="Arial" w:cs="Arial" w:eastAsia="Arial" w:hAnsi="Arial"/>
                <w:sz w:val="16"/>
                <w:szCs w:val="16"/>
                <w:b w:val="1"/>
                <w:bCs w:val="1"/>
                <w:color w:val="auto"/>
              </w:rPr>
              <w:t>($ in millions)</w:t>
            </w:r>
          </w:p>
        </w:tc>
        <w:tc>
          <w:tcPr>
            <w:tcW w:w="1000" w:type="dxa"/>
            <w:vAlign w:val="bottom"/>
            <w:tcBorders>
              <w:bottom w:val="single" w:sz="8" w:color="004876"/>
            </w:tcBorders>
          </w:tcPr>
          <w:p>
            <w:pPr>
              <w:spacing w:after="0"/>
              <w:rPr>
                <w:sz w:val="19"/>
                <w:szCs w:val="19"/>
                <w:color w:val="auto"/>
              </w:rPr>
            </w:pPr>
          </w:p>
        </w:tc>
        <w:tc>
          <w:tcPr>
            <w:tcW w:w="520" w:type="dxa"/>
            <w:vAlign w:val="bottom"/>
            <w:tcBorders>
              <w:bottom w:val="single" w:sz="8" w:color="004876"/>
            </w:tcBorders>
          </w:tcPr>
          <w:p>
            <w:pPr>
              <w:jc w:val="right"/>
              <w:ind w:right="86"/>
              <w:spacing w:after="0"/>
              <w:rPr>
                <w:sz w:val="20"/>
                <w:szCs w:val="20"/>
                <w:color w:val="auto"/>
              </w:rPr>
            </w:pPr>
            <w:r>
              <w:rPr>
                <w:rFonts w:ascii="Arial" w:cs="Arial" w:eastAsia="Arial" w:hAnsi="Arial"/>
                <w:sz w:val="16"/>
                <w:szCs w:val="16"/>
                <w:b w:val="1"/>
                <w:bCs w:val="1"/>
                <w:color w:val="auto"/>
                <w:w w:val="95"/>
              </w:rPr>
              <w:t>2019</w:t>
            </w:r>
          </w:p>
        </w:tc>
        <w:tc>
          <w:tcPr>
            <w:tcW w:w="240" w:type="dxa"/>
            <w:vAlign w:val="bottom"/>
            <w:tcBorders>
              <w:bottom w:val="single" w:sz="8" w:color="004876"/>
            </w:tcBorders>
          </w:tcPr>
          <w:p>
            <w:pPr>
              <w:spacing w:after="0"/>
              <w:rPr>
                <w:sz w:val="19"/>
                <w:szCs w:val="19"/>
                <w:color w:val="auto"/>
              </w:rPr>
            </w:pPr>
          </w:p>
        </w:tc>
        <w:tc>
          <w:tcPr>
            <w:tcW w:w="560" w:type="dxa"/>
            <w:vAlign w:val="bottom"/>
            <w:tcBorders>
              <w:bottom w:val="single" w:sz="8" w:color="004876"/>
            </w:tcBorders>
          </w:tcPr>
          <w:p>
            <w:pPr>
              <w:jc w:val="right"/>
              <w:ind w:right="146"/>
              <w:spacing w:after="0"/>
              <w:rPr>
                <w:sz w:val="20"/>
                <w:szCs w:val="20"/>
                <w:color w:val="auto"/>
              </w:rPr>
            </w:pPr>
            <w:r>
              <w:rPr>
                <w:rFonts w:ascii="Arial" w:cs="Arial" w:eastAsia="Arial" w:hAnsi="Arial"/>
                <w:sz w:val="16"/>
                <w:szCs w:val="16"/>
                <w:color w:val="auto"/>
                <w:w w:val="89"/>
              </w:rPr>
              <w:t>2018</w:t>
            </w:r>
          </w:p>
        </w:tc>
      </w:tr>
      <w:tr>
        <w:trPr>
          <w:trHeight w:val="224"/>
        </w:trPr>
        <w:tc>
          <w:tcPr>
            <w:tcW w:w="2960" w:type="dxa"/>
            <w:vAlign w:val="bottom"/>
          </w:tcPr>
          <w:p>
            <w:pPr>
              <w:ind w:left="80"/>
              <w:spacing w:after="0"/>
              <w:rPr>
                <w:sz w:val="20"/>
                <w:szCs w:val="20"/>
                <w:color w:val="auto"/>
              </w:rPr>
            </w:pPr>
            <w:r>
              <w:rPr>
                <w:rFonts w:ascii="Arial" w:cs="Arial" w:eastAsia="Arial" w:hAnsi="Arial"/>
                <w:sz w:val="14"/>
                <w:szCs w:val="14"/>
                <w:color w:val="auto"/>
              </w:rPr>
              <w:t>Audit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jc w:val="right"/>
              <w:ind w:right="66"/>
              <w:spacing w:after="0"/>
              <w:rPr>
                <w:sz w:val="20"/>
                <w:szCs w:val="20"/>
                <w:color w:val="auto"/>
              </w:rPr>
            </w:pPr>
            <w:r>
              <w:rPr>
                <w:rFonts w:ascii="Arial" w:cs="Arial" w:eastAsia="Arial" w:hAnsi="Arial"/>
                <w:sz w:val="14"/>
                <w:szCs w:val="14"/>
                <w:b w:val="1"/>
                <w:bCs w:val="1"/>
                <w:color w:val="auto"/>
              </w:rPr>
              <w:t>76.9</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126"/>
              <w:spacing w:after="0"/>
              <w:rPr>
                <w:sz w:val="20"/>
                <w:szCs w:val="20"/>
                <w:color w:val="auto"/>
              </w:rPr>
            </w:pPr>
            <w:r>
              <w:rPr>
                <w:rFonts w:ascii="Arial" w:cs="Arial" w:eastAsia="Arial" w:hAnsi="Arial"/>
                <w:sz w:val="14"/>
                <w:szCs w:val="14"/>
                <w:color w:val="auto"/>
              </w:rPr>
              <w:t>64.8</w:t>
            </w:r>
          </w:p>
        </w:tc>
      </w:tr>
      <w:tr>
        <w:trPr>
          <w:trHeight w:val="216"/>
        </w:trPr>
        <w:tc>
          <w:tcPr>
            <w:tcW w:w="2960" w:type="dxa"/>
            <w:vAlign w:val="bottom"/>
          </w:tcPr>
          <w:p>
            <w:pPr>
              <w:ind w:left="80"/>
              <w:spacing w:after="0"/>
              <w:rPr>
                <w:sz w:val="20"/>
                <w:szCs w:val="20"/>
                <w:color w:val="auto"/>
              </w:rPr>
            </w:pPr>
            <w:r>
              <w:rPr>
                <w:rFonts w:ascii="Arial" w:cs="Arial" w:eastAsia="Arial" w:hAnsi="Arial"/>
                <w:sz w:val="14"/>
                <w:szCs w:val="14"/>
                <w:color w:val="auto"/>
              </w:rPr>
              <w:t>Audit-related</w:t>
            </w:r>
          </w:p>
        </w:tc>
        <w:tc>
          <w:tcPr>
            <w:tcW w:w="1000" w:type="dxa"/>
            <w:vAlign w:val="bottom"/>
          </w:tcPr>
          <w:p>
            <w:pPr>
              <w:spacing w:after="0"/>
              <w:rPr>
                <w:sz w:val="18"/>
                <w:szCs w:val="18"/>
                <w:color w:val="auto"/>
              </w:rPr>
            </w:pPr>
          </w:p>
        </w:tc>
        <w:tc>
          <w:tcPr>
            <w:tcW w:w="520" w:type="dxa"/>
            <w:vAlign w:val="bottom"/>
          </w:tcPr>
          <w:p>
            <w:pPr>
              <w:jc w:val="right"/>
              <w:ind w:right="66"/>
              <w:spacing w:after="0"/>
              <w:rPr>
                <w:sz w:val="20"/>
                <w:szCs w:val="20"/>
                <w:color w:val="auto"/>
              </w:rPr>
            </w:pPr>
            <w:r>
              <w:rPr>
                <w:rFonts w:ascii="Arial" w:cs="Arial" w:eastAsia="Arial" w:hAnsi="Arial"/>
                <w:sz w:val="14"/>
                <w:szCs w:val="14"/>
                <w:b w:val="1"/>
                <w:bCs w:val="1"/>
                <w:color w:val="auto"/>
              </w:rPr>
              <w:t>24.7</w:t>
            </w:r>
          </w:p>
        </w:tc>
        <w:tc>
          <w:tcPr>
            <w:tcW w:w="240" w:type="dxa"/>
            <w:vAlign w:val="bottom"/>
          </w:tcPr>
          <w:p>
            <w:pPr>
              <w:spacing w:after="0"/>
              <w:rPr>
                <w:sz w:val="18"/>
                <w:szCs w:val="18"/>
                <w:color w:val="auto"/>
              </w:rPr>
            </w:pPr>
          </w:p>
        </w:tc>
        <w:tc>
          <w:tcPr>
            <w:tcW w:w="560" w:type="dxa"/>
            <w:vAlign w:val="bottom"/>
          </w:tcPr>
          <w:p>
            <w:pPr>
              <w:jc w:val="right"/>
              <w:ind w:right="126"/>
              <w:spacing w:after="0"/>
              <w:rPr>
                <w:sz w:val="20"/>
                <w:szCs w:val="20"/>
                <w:color w:val="auto"/>
              </w:rPr>
            </w:pPr>
            <w:r>
              <w:rPr>
                <w:rFonts w:ascii="Arial" w:cs="Arial" w:eastAsia="Arial" w:hAnsi="Arial"/>
                <w:sz w:val="14"/>
                <w:szCs w:val="14"/>
                <w:color w:val="auto"/>
              </w:rPr>
              <w:t>30.2</w:t>
            </w:r>
          </w:p>
        </w:tc>
      </w:tr>
      <w:tr>
        <w:trPr>
          <w:trHeight w:val="201"/>
        </w:trPr>
        <w:tc>
          <w:tcPr>
            <w:tcW w:w="2960" w:type="dxa"/>
            <w:vAlign w:val="bottom"/>
            <w:tcBorders>
              <w:bottom w:val="single" w:sz="8" w:color="004876"/>
            </w:tcBorders>
          </w:tcPr>
          <w:p>
            <w:pPr>
              <w:ind w:left="80"/>
              <w:spacing w:after="0"/>
              <w:rPr>
                <w:sz w:val="20"/>
                <w:szCs w:val="20"/>
                <w:color w:val="auto"/>
              </w:rPr>
            </w:pPr>
            <w:r>
              <w:rPr>
                <w:rFonts w:ascii="Arial" w:cs="Arial" w:eastAsia="Arial" w:hAnsi="Arial"/>
                <w:sz w:val="14"/>
                <w:szCs w:val="14"/>
                <w:color w:val="auto"/>
              </w:rPr>
              <w:t>Tax</w:t>
            </w:r>
          </w:p>
        </w:tc>
        <w:tc>
          <w:tcPr>
            <w:tcW w:w="1000" w:type="dxa"/>
            <w:vAlign w:val="bottom"/>
            <w:tcBorders>
              <w:bottom w:val="single" w:sz="8" w:color="004876"/>
            </w:tcBorders>
          </w:tcPr>
          <w:p>
            <w:pPr>
              <w:spacing w:after="0"/>
              <w:rPr>
                <w:sz w:val="17"/>
                <w:szCs w:val="17"/>
                <w:color w:val="auto"/>
              </w:rPr>
            </w:pPr>
          </w:p>
        </w:tc>
        <w:tc>
          <w:tcPr>
            <w:tcW w:w="520" w:type="dxa"/>
            <w:vAlign w:val="bottom"/>
            <w:tcBorders>
              <w:bottom w:val="single" w:sz="8" w:color="004876"/>
            </w:tcBorders>
          </w:tcPr>
          <w:p>
            <w:pPr>
              <w:jc w:val="right"/>
              <w:ind w:right="66"/>
              <w:spacing w:after="0"/>
              <w:rPr>
                <w:sz w:val="20"/>
                <w:szCs w:val="20"/>
                <w:color w:val="auto"/>
              </w:rPr>
            </w:pPr>
            <w:r>
              <w:rPr>
                <w:rFonts w:ascii="Arial" w:cs="Arial" w:eastAsia="Arial" w:hAnsi="Arial"/>
                <w:sz w:val="14"/>
                <w:szCs w:val="14"/>
                <w:b w:val="1"/>
                <w:bCs w:val="1"/>
                <w:color w:val="auto"/>
              </w:rPr>
              <w:t>3.2</w:t>
            </w:r>
          </w:p>
        </w:tc>
        <w:tc>
          <w:tcPr>
            <w:tcW w:w="240" w:type="dxa"/>
            <w:vAlign w:val="bottom"/>
            <w:tcBorders>
              <w:bottom w:val="single" w:sz="8" w:color="004876"/>
            </w:tcBorders>
          </w:tcPr>
          <w:p>
            <w:pPr>
              <w:spacing w:after="0"/>
              <w:rPr>
                <w:sz w:val="17"/>
                <w:szCs w:val="17"/>
                <w:color w:val="auto"/>
              </w:rPr>
            </w:pPr>
          </w:p>
        </w:tc>
        <w:tc>
          <w:tcPr>
            <w:tcW w:w="560" w:type="dxa"/>
            <w:vAlign w:val="bottom"/>
            <w:tcBorders>
              <w:bottom w:val="single" w:sz="8" w:color="004876"/>
            </w:tcBorders>
          </w:tcPr>
          <w:p>
            <w:pPr>
              <w:jc w:val="right"/>
              <w:ind w:right="126"/>
              <w:spacing w:after="0"/>
              <w:rPr>
                <w:sz w:val="20"/>
                <w:szCs w:val="20"/>
                <w:color w:val="auto"/>
              </w:rPr>
            </w:pPr>
            <w:r>
              <w:rPr>
                <w:rFonts w:ascii="Arial" w:cs="Arial" w:eastAsia="Arial" w:hAnsi="Arial"/>
                <w:sz w:val="14"/>
                <w:szCs w:val="14"/>
                <w:color w:val="auto"/>
              </w:rPr>
              <w:t>2.0</w:t>
            </w:r>
          </w:p>
        </w:tc>
      </w:tr>
      <w:tr>
        <w:trPr>
          <w:trHeight w:val="210"/>
        </w:trPr>
        <w:tc>
          <w:tcPr>
            <w:tcW w:w="2960" w:type="dxa"/>
            <w:vAlign w:val="bottom"/>
            <w:tcBorders>
              <w:bottom w:val="single" w:sz="8" w:color="004876"/>
            </w:tcBorders>
          </w:tcPr>
          <w:p>
            <w:pPr>
              <w:ind w:left="80"/>
              <w:spacing w:after="0"/>
              <w:rPr>
                <w:sz w:val="20"/>
                <w:szCs w:val="20"/>
                <w:color w:val="auto"/>
              </w:rPr>
            </w:pPr>
            <w:r>
              <w:rPr>
                <w:rFonts w:ascii="Arial" w:cs="Arial" w:eastAsia="Arial" w:hAnsi="Arial"/>
                <w:sz w:val="14"/>
                <w:szCs w:val="14"/>
                <w:color w:val="auto"/>
              </w:rPr>
              <w:t>Total</w:t>
            </w:r>
          </w:p>
        </w:tc>
        <w:tc>
          <w:tcPr>
            <w:tcW w:w="1000" w:type="dxa"/>
            <w:vAlign w:val="bottom"/>
            <w:tcBorders>
              <w:bottom w:val="single" w:sz="8" w:color="004876"/>
            </w:tcBorders>
          </w:tcPr>
          <w:p>
            <w:pPr>
              <w:jc w:val="right"/>
              <w:spacing w:after="0"/>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004876"/>
            </w:tcBorders>
          </w:tcPr>
          <w:p>
            <w:pPr>
              <w:jc w:val="right"/>
              <w:ind w:right="66"/>
              <w:spacing w:after="0"/>
              <w:rPr>
                <w:sz w:val="20"/>
                <w:szCs w:val="20"/>
                <w:color w:val="auto"/>
              </w:rPr>
            </w:pPr>
            <w:r>
              <w:rPr>
                <w:rFonts w:ascii="Arial" w:cs="Arial" w:eastAsia="Arial" w:hAnsi="Arial"/>
                <w:sz w:val="14"/>
                <w:szCs w:val="14"/>
                <w:b w:val="1"/>
                <w:bCs w:val="1"/>
                <w:color w:val="auto"/>
              </w:rPr>
              <w:t>104.8</w:t>
            </w:r>
          </w:p>
        </w:tc>
        <w:tc>
          <w:tcPr>
            <w:tcW w:w="240" w:type="dxa"/>
            <w:vAlign w:val="bottom"/>
            <w:tcBorders>
              <w:bottom w:val="single" w:sz="8" w:color="004876"/>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004876"/>
            </w:tcBorders>
          </w:tcPr>
          <w:p>
            <w:pPr>
              <w:jc w:val="right"/>
              <w:ind w:right="126"/>
              <w:spacing w:after="0"/>
              <w:rPr>
                <w:sz w:val="20"/>
                <w:szCs w:val="20"/>
                <w:color w:val="auto"/>
              </w:rPr>
            </w:pPr>
            <w:r>
              <w:rPr>
                <w:rFonts w:ascii="Arial" w:cs="Arial" w:eastAsia="Arial" w:hAnsi="Arial"/>
                <w:sz w:val="14"/>
                <w:szCs w:val="14"/>
                <w:color w:val="auto"/>
              </w:rPr>
              <w:t>97.0</w:t>
            </w:r>
          </w:p>
        </w:tc>
      </w:tr>
    </w:tbl>
    <w:p>
      <w:pPr>
        <w:spacing w:after="0" w:line="107"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The amounts reported in the table above exclude all fees paid to PwC by investment companies and asset management funds (e.g., private equity, mutual and exchange-traded funds, and collective investment funds), and special purpose vehicles that are sponsored, managed or advised by subsidiaries of JPMorgan Chase but are not consolidated with the Firm.</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Audit fees</w:t>
      </w:r>
    </w:p>
    <w:p>
      <w:pPr>
        <w:spacing w:after="0" w:line="58" w:lineRule="exact"/>
        <w:rPr>
          <w:sz w:val="20"/>
          <w:szCs w:val="20"/>
          <w:color w:val="auto"/>
        </w:rPr>
      </w:pPr>
    </w:p>
    <w:p>
      <w:pPr>
        <w:ind w:left="120" w:right="200"/>
        <w:spacing w:after="0" w:line="236" w:lineRule="auto"/>
        <w:rPr>
          <w:sz w:val="20"/>
          <w:szCs w:val="20"/>
          <w:color w:val="auto"/>
        </w:rPr>
      </w:pPr>
      <w:r>
        <w:rPr>
          <w:rFonts w:ascii="Arial" w:cs="Arial" w:eastAsia="Arial" w:hAnsi="Arial"/>
          <w:sz w:val="18"/>
          <w:szCs w:val="18"/>
          <w:color w:val="auto"/>
        </w:rPr>
        <w:t>For the years ended December 31, 2019 and 2018, fees for the annual integrated audit of the Firm’s Consolidated Financial Statements and of the Firm’s internal control over financial reporting, and quarterly reviews of the Firm’s Consolidated Financial Statements, were $40.2 million and $41.7 million, respectively. Fees for services related to statutory/subsidiary audits, attestation reports required by statute or regulation, and comfort letters and consents related to SEC filings and other similar filings with non-U.S. authorities were $36.7 million and $23.1 million, respectively. The increase in audit fees is predominantly attributable to additional work related to Brexit for certain European and UK entities.</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Audit-related fees</w:t>
      </w:r>
    </w:p>
    <w:p>
      <w:pPr>
        <w:spacing w:after="0" w:line="5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Audit-related fees comprise assurance and related services that are traditionally performed by the independent registered public accounting firm. These services include attestation and agreed-upon procedures which address accounting, reporting and control matters relating to fiduciary, transaction processing, investment management and servicing activities; reviews related to investment and lending processes, and technology systems; and due diligence reviews related to acquisitions and divestitures. These services are normally provided in connection with the recurring audit engagement. The decrease in audit-related fees is predominantly due to consolidation of procedures across control reviews and a lower number of engagements.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fees</w:t>
      </w:r>
    </w:p>
    <w:p>
      <w:pPr>
        <w:spacing w:after="0" w:line="58"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Fees for the years ended December 31, 2019 and 2018, for tax compliance and tax return preparation services were $2.6 million and $1.5 million, respectively. Fees for other tax services, including tax advisory and consultation on tax matters, were $0.6 million and $0.5 million, respectively.</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004876"/>
        </w:rPr>
        <w:t>Audit Committee approval policies and procedures</w:t>
      </w:r>
    </w:p>
    <w:p>
      <w:pPr>
        <w:spacing w:after="0" w:line="97"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Audit Committee’s policies and procedures require the Audit Committee to pre-approve a list of specified audit, audit-related and tax services, and review and approve the terms and fees for the annual integrated audit of the Consolidated Financial Statements. All requests for audit, audit-related and tax services that are not on the pre-approved list of specified services must be approved by the Audit Committee. JPMorgan Chase’s pre-approval policy does not provide for a de minimis exception under which the pre-approval requirement may be waived.</w:t>
      </w:r>
    </w:p>
    <w:p>
      <w:pPr>
        <w:spacing w:after="0" w:line="99"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Pre-approved services to be performed by PwC with estimated costs in excess of $250,000 are approved by the Chair of the Audit Committee; and pre-approved services with estimated costs less than or equal to $ 250,000 are delegated to the Firmwide Controller’s office for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326390</wp:posOffset>
            </wp:positionV>
            <wp:extent cx="7029450" cy="19685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029450" cy="1968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00" w:space="340"/>
            <w:col w:w="5380"/>
          </w:cols>
          <w:pgMar w:left="320" w:top="459" w:right="459" w:bottom="1440" w:gutter="0" w:footer="0" w:header="0"/>
          <w:type w:val="continuous"/>
        </w:sectPr>
      </w:pPr>
    </w:p>
    <w:p>
      <w:pPr>
        <w:spacing w:after="0" w:line="391" w:lineRule="exact"/>
        <w:rPr>
          <w:sz w:val="20"/>
          <w:szCs w:val="20"/>
          <w:color w:val="auto"/>
        </w:rPr>
      </w:pPr>
    </w:p>
    <w:p>
      <w:pPr>
        <w:jc w:val="center"/>
        <w:ind w:right="-119"/>
        <w:spacing w:after="0"/>
        <w:rPr>
          <w:sz w:val="20"/>
          <w:szCs w:val="20"/>
          <w:color w:val="auto"/>
        </w:rPr>
      </w:pPr>
      <w:r>
        <w:rPr>
          <w:rFonts w:ascii="Arial" w:cs="Arial" w:eastAsia="Arial" w:hAnsi="Arial"/>
          <w:sz w:val="13"/>
          <w:szCs w:val="13"/>
          <w:b w:val="1"/>
          <w:bCs w:val="1"/>
          <w:color w:val="004876"/>
        </w:rPr>
        <w:t>89</w:t>
      </w:r>
    </w:p>
    <w:p>
      <w:pPr>
        <w:sectPr>
          <w:pgSz w:w="11900" w:h="16838" w:orient="portrait"/>
          <w:cols w:equalWidth="0" w:num="1">
            <w:col w:w="11120"/>
          </w:cols>
          <w:pgMar w:left="320" w:top="459" w:right="459" w:bottom="1440" w:gutter="0" w:footer="0" w:header="0"/>
          <w:type w:val="continuous"/>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4876"/>
        </w:rPr>
        <w:t>AUDIT COMMITTEE REPORT | AUDIT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384" w:lineRule="exact"/>
        <w:rPr>
          <w:sz w:val="20"/>
          <w:szCs w:val="20"/>
          <w:color w:val="auto"/>
        </w:rPr>
      </w:pPr>
    </w:p>
    <w:p>
      <w:pPr>
        <w:ind w:left="120"/>
        <w:spacing w:after="0"/>
        <w:rPr>
          <w:sz w:val="20"/>
          <w:szCs w:val="20"/>
          <w:color w:val="auto"/>
        </w:rPr>
      </w:pPr>
      <w:r>
        <w:rPr>
          <w:rFonts w:ascii="Arial" w:cs="Arial" w:eastAsia="Arial" w:hAnsi="Arial"/>
          <w:sz w:val="29"/>
          <w:szCs w:val="29"/>
          <w:color w:val="004876"/>
        </w:rPr>
        <w:t>Audit Committee report</w:t>
      </w:r>
    </w:p>
    <w:p>
      <w:pPr>
        <w:spacing w:after="0" w:line="115"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The Audit Committee of the Board of Directors of JPMorgan Chase is comprised of three non-management directors. The Board has determined that each member of our committee has no material relationship with the Firm under the Board’s director independence standards and that each member is independent under the listing standards of the NYSE, where the Firm’s securities are listed, and under the SEC’s standards relating to the independence of audit committees. The Board has also determined that each member is financially literate and is an audit committee financial expert as defined by the SEC.</w:t>
      </w:r>
    </w:p>
    <w:p>
      <w:pPr>
        <w:spacing w:after="0" w:line="203" w:lineRule="exact"/>
        <w:rPr>
          <w:sz w:val="20"/>
          <w:szCs w:val="20"/>
          <w:color w:val="auto"/>
        </w:rPr>
      </w:pPr>
    </w:p>
    <w:p>
      <w:pPr>
        <w:ind w:left="120"/>
        <w:spacing w:after="0"/>
        <w:rPr>
          <w:sz w:val="20"/>
          <w:szCs w:val="20"/>
          <w:color w:val="auto"/>
        </w:rPr>
      </w:pPr>
      <w:r>
        <w:rPr>
          <w:rFonts w:ascii="Arial" w:cs="Arial" w:eastAsia="Arial" w:hAnsi="Arial"/>
          <w:sz w:val="20"/>
          <w:szCs w:val="20"/>
          <w:color w:val="004876"/>
        </w:rPr>
        <w:t>Charter</w:t>
      </w:r>
    </w:p>
    <w:p>
      <w:pPr>
        <w:spacing w:after="0" w:line="97"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The Audit Committee operates under a written charter adopted by the Board, which is available on our website at jpmorganchase.com/audit-charter, under the heading “Audit Committee” located under Board Committees, which is in the Governance section of the About Us tab. We annually review our charter and our practices. We have determined that our charter and practices are consistent with the listing standards of the NYSE and the provisions of the Sarbanes-Oxley Act of 2002. The purpose of the Audit Committee is to assist the Board in its oversight of:</w:t>
      </w:r>
    </w:p>
    <w:p>
      <w:pPr>
        <w:spacing w:after="0" w:line="111" w:lineRule="exact"/>
        <w:rPr>
          <w:sz w:val="20"/>
          <w:szCs w:val="20"/>
          <w:color w:val="auto"/>
        </w:rPr>
      </w:pPr>
    </w:p>
    <w:p>
      <w:pPr>
        <w:ind w:left="300" w:right="1060" w:hanging="184"/>
        <w:spacing w:after="0" w:line="246" w:lineRule="auto"/>
        <w:tabs>
          <w:tab w:leader="none" w:pos="300" w:val="left"/>
        </w:tabs>
        <w:numPr>
          <w:ilvl w:val="0"/>
          <w:numId w:val="211"/>
        </w:numPr>
        <w:rPr>
          <w:rFonts w:ascii="Arial" w:cs="Arial" w:eastAsia="Arial" w:hAnsi="Arial"/>
          <w:sz w:val="18"/>
          <w:szCs w:val="18"/>
          <w:color w:val="004876"/>
        </w:rPr>
      </w:pPr>
      <w:r>
        <w:rPr>
          <w:rFonts w:ascii="Arial" w:cs="Arial" w:eastAsia="Arial" w:hAnsi="Arial"/>
          <w:sz w:val="18"/>
          <w:szCs w:val="18"/>
          <w:color w:val="auto"/>
        </w:rPr>
        <w:t>the independent registered public accounting firm’s qualifications and independence,</w:t>
      </w:r>
    </w:p>
    <w:p>
      <w:pPr>
        <w:spacing w:after="0" w:line="102" w:lineRule="exact"/>
        <w:rPr>
          <w:rFonts w:ascii="Arial" w:cs="Arial" w:eastAsia="Arial" w:hAnsi="Arial"/>
          <w:sz w:val="18"/>
          <w:szCs w:val="18"/>
          <w:color w:val="004876"/>
        </w:rPr>
      </w:pPr>
    </w:p>
    <w:p>
      <w:pPr>
        <w:ind w:left="300" w:right="880" w:hanging="184"/>
        <w:spacing w:after="0" w:line="274" w:lineRule="auto"/>
        <w:tabs>
          <w:tab w:leader="none" w:pos="300" w:val="left"/>
        </w:tabs>
        <w:numPr>
          <w:ilvl w:val="0"/>
          <w:numId w:val="211"/>
        </w:numPr>
        <w:rPr>
          <w:rFonts w:ascii="Arial" w:cs="Arial" w:eastAsia="Arial" w:hAnsi="Arial"/>
          <w:sz w:val="17"/>
          <w:szCs w:val="17"/>
          <w:color w:val="004876"/>
        </w:rPr>
      </w:pPr>
      <w:r>
        <w:rPr>
          <w:rFonts w:ascii="Arial" w:cs="Arial" w:eastAsia="Arial" w:hAnsi="Arial"/>
          <w:sz w:val="17"/>
          <w:szCs w:val="17"/>
          <w:color w:val="auto"/>
        </w:rPr>
        <w:t>the performance of the internal audit function and the independent registered public accounting firm, and</w:t>
      </w:r>
    </w:p>
    <w:p>
      <w:pPr>
        <w:spacing w:after="0" w:line="80" w:lineRule="exact"/>
        <w:rPr>
          <w:rFonts w:ascii="Arial" w:cs="Arial" w:eastAsia="Arial" w:hAnsi="Arial"/>
          <w:sz w:val="17"/>
          <w:szCs w:val="17"/>
          <w:color w:val="004876"/>
        </w:rPr>
      </w:pPr>
    </w:p>
    <w:p>
      <w:pPr>
        <w:ind w:left="300" w:right="260" w:hanging="184"/>
        <w:spacing w:after="0" w:line="237" w:lineRule="auto"/>
        <w:tabs>
          <w:tab w:leader="none" w:pos="300" w:val="left"/>
        </w:tabs>
        <w:numPr>
          <w:ilvl w:val="0"/>
          <w:numId w:val="211"/>
        </w:numPr>
        <w:rPr>
          <w:rFonts w:ascii="Arial" w:cs="Arial" w:eastAsia="Arial" w:hAnsi="Arial"/>
          <w:sz w:val="18"/>
          <w:szCs w:val="18"/>
          <w:color w:val="004876"/>
        </w:rPr>
      </w:pPr>
      <w:r>
        <w:rPr>
          <w:rFonts w:ascii="Arial" w:cs="Arial" w:eastAsia="Arial" w:hAnsi="Arial"/>
          <w:sz w:val="18"/>
          <w:szCs w:val="18"/>
          <w:color w:val="auto"/>
        </w:rPr>
        <w:t>management’s responsibilities to assure that there is in place an effective system of controls reasonably designed to safeguard the assets and income of the Firm; assure the integrity of the Firm’s financial statements; and maintain compliance with the Firm’s ethical standards, policies, plans and procedures, and with laws and regulations.</w:t>
      </w:r>
    </w:p>
    <w:p>
      <w:pPr>
        <w:spacing w:after="0" w:line="202" w:lineRule="exact"/>
        <w:rPr>
          <w:sz w:val="20"/>
          <w:szCs w:val="20"/>
          <w:color w:val="auto"/>
        </w:rPr>
      </w:pPr>
    </w:p>
    <w:p>
      <w:pPr>
        <w:ind w:left="120"/>
        <w:spacing w:after="0"/>
        <w:rPr>
          <w:sz w:val="20"/>
          <w:szCs w:val="20"/>
          <w:color w:val="auto"/>
        </w:rPr>
      </w:pPr>
      <w:r>
        <w:rPr>
          <w:rFonts w:ascii="Arial" w:cs="Arial" w:eastAsia="Arial" w:hAnsi="Arial"/>
          <w:sz w:val="20"/>
          <w:szCs w:val="20"/>
          <w:color w:val="004876"/>
        </w:rPr>
        <w:t>Audit communications and fees</w:t>
      </w:r>
    </w:p>
    <w:p>
      <w:pPr>
        <w:spacing w:after="0" w:line="97"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 xml:space="preserve">We discussed with PwC the matters required to be discussed by Public Company Accounting Oversight Board (“PCAOB”) Auditing Standard No. 1301, </w:t>
      </w:r>
      <w:r>
        <w:rPr>
          <w:rFonts w:ascii="Arial" w:cs="Arial" w:eastAsia="Arial" w:hAnsi="Arial"/>
          <w:sz w:val="18"/>
          <w:szCs w:val="18"/>
          <w:i w:val="1"/>
          <w:iCs w:val="1"/>
          <w:color w:val="auto"/>
        </w:rPr>
        <w:t>Communications with Audit Committees</w:t>
      </w:r>
      <w:r>
        <w:rPr>
          <w:rFonts w:ascii="Arial" w:cs="Arial" w:eastAsia="Arial" w:hAnsi="Arial"/>
          <w:sz w:val="18"/>
          <w:szCs w:val="18"/>
          <w:color w:val="auto"/>
        </w:rPr>
        <w:t>, including PwC’s overall audit scope and audit approach as set forth in the terms of their engagement letter; PwC’s overall audit strategy for significant audit risks identified by them; and the nature and extent of the specialized skills necessary to perform the planned audit. We have established procedures to receive and track the handling of issues regarding accounting and reporting, internal control and auditing matters. In addition, we monitor the audit, audit-related and tax services provided by PwC. The Audit Committee has also evaluated and concluded that audit-related and tax services provided by PwC do not impair PwC’s independence.</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jc w:val="both"/>
        <w:ind w:left="6" w:right="100"/>
        <w:spacing w:after="0"/>
        <w:rPr>
          <w:sz w:val="20"/>
          <w:szCs w:val="20"/>
          <w:color w:val="auto"/>
        </w:rPr>
      </w:pPr>
      <w:r>
        <w:rPr>
          <w:rFonts w:ascii="Arial" w:cs="Arial" w:eastAsia="Arial" w:hAnsi="Arial"/>
          <w:sz w:val="18"/>
          <w:szCs w:val="18"/>
          <w:color w:val="auto"/>
        </w:rPr>
        <w:t>Details of the fees paid to PwC for its services, as well as the Audit Committee’s “pre-approval policy” for such services, can be found on page 89.</w:t>
      </w:r>
    </w:p>
    <w:p>
      <w:pPr>
        <w:spacing w:after="0" w:line="200" w:lineRule="exact"/>
        <w:rPr>
          <w:sz w:val="20"/>
          <w:szCs w:val="20"/>
          <w:color w:val="auto"/>
        </w:rPr>
      </w:pPr>
    </w:p>
    <w:p>
      <w:pPr>
        <w:ind w:left="6"/>
        <w:spacing w:after="0"/>
        <w:rPr>
          <w:sz w:val="20"/>
          <w:szCs w:val="20"/>
          <w:color w:val="auto"/>
        </w:rPr>
      </w:pPr>
      <w:r>
        <w:rPr>
          <w:rFonts w:ascii="Arial" w:cs="Arial" w:eastAsia="Arial" w:hAnsi="Arial"/>
          <w:sz w:val="20"/>
          <w:szCs w:val="20"/>
          <w:color w:val="004876"/>
        </w:rPr>
        <w:t>Assessment of PwC</w:t>
      </w:r>
    </w:p>
    <w:p>
      <w:pPr>
        <w:spacing w:after="0" w:line="97" w:lineRule="exact"/>
        <w:rPr>
          <w:sz w:val="20"/>
          <w:szCs w:val="20"/>
          <w:color w:val="auto"/>
        </w:rPr>
      </w:pPr>
    </w:p>
    <w:p>
      <w:pPr>
        <w:ind w:left="6" w:right="20"/>
        <w:spacing w:after="0" w:line="238" w:lineRule="auto"/>
        <w:rPr>
          <w:sz w:val="20"/>
          <w:szCs w:val="20"/>
          <w:color w:val="auto"/>
        </w:rPr>
      </w:pPr>
      <w:r>
        <w:rPr>
          <w:rFonts w:ascii="Arial" w:cs="Arial" w:eastAsia="Arial" w:hAnsi="Arial"/>
          <w:sz w:val="18"/>
          <w:szCs w:val="18"/>
          <w:color w:val="auto"/>
        </w:rPr>
        <w:t>The Audit Committee annually reviews PwC’s qualifications, performance and independence in connection with its determination as to whether to retain PwC. In conducting our review we considered, among other things:</w:t>
      </w:r>
    </w:p>
    <w:p>
      <w:pPr>
        <w:spacing w:after="0" w:line="110" w:lineRule="exact"/>
        <w:rPr>
          <w:sz w:val="20"/>
          <w:szCs w:val="20"/>
          <w:color w:val="auto"/>
        </w:rPr>
      </w:pPr>
    </w:p>
    <w:p>
      <w:pPr>
        <w:ind w:left="166" w:right="160" w:hanging="166"/>
        <w:spacing w:after="0"/>
        <w:tabs>
          <w:tab w:leader="none" w:pos="166" w:val="left"/>
        </w:tabs>
        <w:numPr>
          <w:ilvl w:val="0"/>
          <w:numId w:val="212"/>
        </w:numPr>
        <w:rPr>
          <w:rFonts w:ascii="Arial" w:cs="Arial" w:eastAsia="Arial" w:hAnsi="Arial"/>
          <w:sz w:val="18"/>
          <w:szCs w:val="18"/>
          <w:color w:val="004876"/>
        </w:rPr>
      </w:pPr>
      <w:r>
        <w:rPr>
          <w:rFonts w:ascii="Arial" w:cs="Arial" w:eastAsia="Arial" w:hAnsi="Arial"/>
          <w:sz w:val="18"/>
          <w:szCs w:val="18"/>
          <w:color w:val="auto"/>
        </w:rPr>
        <w:t>the professional qualifications of PwC, and that of the lead audit partner, quality review partner and other key engagement partners;</w:t>
      </w:r>
    </w:p>
    <w:p>
      <w:pPr>
        <w:spacing w:after="0" w:line="108" w:lineRule="exact"/>
        <w:rPr>
          <w:rFonts w:ascii="Arial" w:cs="Arial" w:eastAsia="Arial" w:hAnsi="Arial"/>
          <w:sz w:val="18"/>
          <w:szCs w:val="18"/>
          <w:color w:val="004876"/>
        </w:rPr>
      </w:pPr>
    </w:p>
    <w:p>
      <w:pPr>
        <w:jc w:val="both"/>
        <w:ind w:left="166" w:right="300" w:hanging="166"/>
        <w:spacing w:after="0"/>
        <w:tabs>
          <w:tab w:leader="none" w:pos="166" w:val="left"/>
        </w:tabs>
        <w:numPr>
          <w:ilvl w:val="0"/>
          <w:numId w:val="212"/>
        </w:numPr>
        <w:rPr>
          <w:rFonts w:ascii="Arial" w:cs="Arial" w:eastAsia="Arial" w:hAnsi="Arial"/>
          <w:sz w:val="18"/>
          <w:szCs w:val="18"/>
          <w:color w:val="004876"/>
        </w:rPr>
      </w:pPr>
      <w:r>
        <w:rPr>
          <w:rFonts w:ascii="Arial" w:cs="Arial" w:eastAsia="Arial" w:hAnsi="Arial"/>
          <w:sz w:val="18"/>
          <w:szCs w:val="18"/>
          <w:color w:val="auto"/>
        </w:rPr>
        <w:t>PwC’s current and historical performance on the Firm’s audit, including the extent and quality of its communications with the Audit Committee and the Firm’s management;</w:t>
      </w:r>
    </w:p>
    <w:p>
      <w:pPr>
        <w:spacing w:after="0" w:line="108" w:lineRule="exact"/>
        <w:rPr>
          <w:rFonts w:ascii="Arial" w:cs="Arial" w:eastAsia="Arial" w:hAnsi="Arial"/>
          <w:sz w:val="18"/>
          <w:szCs w:val="18"/>
          <w:color w:val="004876"/>
        </w:rPr>
      </w:pPr>
    </w:p>
    <w:p>
      <w:pPr>
        <w:ind w:left="166" w:right="100" w:hanging="166"/>
        <w:spacing w:after="0" w:line="238" w:lineRule="auto"/>
        <w:tabs>
          <w:tab w:leader="none" w:pos="166" w:val="left"/>
        </w:tabs>
        <w:numPr>
          <w:ilvl w:val="0"/>
          <w:numId w:val="212"/>
        </w:numPr>
        <w:rPr>
          <w:rFonts w:ascii="Arial" w:cs="Arial" w:eastAsia="Arial" w:hAnsi="Arial"/>
          <w:sz w:val="18"/>
          <w:szCs w:val="18"/>
          <w:color w:val="004876"/>
        </w:rPr>
      </w:pPr>
      <w:r>
        <w:rPr>
          <w:rFonts w:ascii="Arial" w:cs="Arial" w:eastAsia="Arial" w:hAnsi="Arial"/>
          <w:sz w:val="18"/>
          <w:szCs w:val="18"/>
          <w:color w:val="auto"/>
        </w:rPr>
        <w:t>PwC’s demonstrated professional skepticism and objectivity, including fresh perspectives brought through the required periodic rotation of the lead audit partner, the quality review partner and other partners who play a significant role in the audit engagement;</w:t>
      </w:r>
    </w:p>
    <w:p>
      <w:pPr>
        <w:spacing w:after="0" w:line="107" w:lineRule="exact"/>
        <w:rPr>
          <w:rFonts w:ascii="Arial" w:cs="Arial" w:eastAsia="Arial" w:hAnsi="Arial"/>
          <w:sz w:val="18"/>
          <w:szCs w:val="18"/>
          <w:color w:val="004876"/>
        </w:rPr>
      </w:pPr>
    </w:p>
    <w:p>
      <w:pPr>
        <w:ind w:left="166" w:right="100" w:hanging="166"/>
        <w:spacing w:after="0" w:line="238" w:lineRule="auto"/>
        <w:tabs>
          <w:tab w:leader="none" w:pos="166" w:val="left"/>
        </w:tabs>
        <w:numPr>
          <w:ilvl w:val="0"/>
          <w:numId w:val="212"/>
        </w:numPr>
        <w:rPr>
          <w:rFonts w:ascii="Arial" w:cs="Arial" w:eastAsia="Arial" w:hAnsi="Arial"/>
          <w:sz w:val="18"/>
          <w:szCs w:val="18"/>
          <w:color w:val="004876"/>
        </w:rPr>
      </w:pPr>
      <w:r>
        <w:rPr>
          <w:rFonts w:ascii="Arial" w:cs="Arial" w:eastAsia="Arial" w:hAnsi="Arial"/>
          <w:sz w:val="18"/>
          <w:szCs w:val="18"/>
          <w:color w:val="auto"/>
        </w:rPr>
        <w:t>PwC’s demonstrated capability, expertise and efficiency in which it handles the breadth and complexity of the Firm’s global operations, including the use of technology, specialists, and subject matter experts;</w:t>
      </w:r>
    </w:p>
    <w:p>
      <w:pPr>
        <w:spacing w:after="0" w:line="110" w:lineRule="exact"/>
        <w:rPr>
          <w:rFonts w:ascii="Arial" w:cs="Arial" w:eastAsia="Arial" w:hAnsi="Arial"/>
          <w:sz w:val="18"/>
          <w:szCs w:val="18"/>
          <w:color w:val="004876"/>
        </w:rPr>
      </w:pPr>
    </w:p>
    <w:p>
      <w:pPr>
        <w:ind w:left="166" w:right="80" w:hanging="166"/>
        <w:spacing w:after="0" w:line="237" w:lineRule="auto"/>
        <w:tabs>
          <w:tab w:leader="none" w:pos="166" w:val="left"/>
        </w:tabs>
        <w:numPr>
          <w:ilvl w:val="0"/>
          <w:numId w:val="212"/>
        </w:numPr>
        <w:rPr>
          <w:rFonts w:ascii="Arial" w:cs="Arial" w:eastAsia="Arial" w:hAnsi="Arial"/>
          <w:sz w:val="18"/>
          <w:szCs w:val="18"/>
          <w:color w:val="004876"/>
        </w:rPr>
      </w:pPr>
      <w:r>
        <w:rPr>
          <w:rFonts w:ascii="Arial" w:cs="Arial" w:eastAsia="Arial" w:hAnsi="Arial"/>
          <w:sz w:val="18"/>
          <w:szCs w:val="18"/>
          <w:color w:val="auto"/>
        </w:rPr>
        <w:t>PwC’s depth of institutional knowledge and understanding of the Firm’s global businesses, operations and systems, the financial services industry, including the global regulatory environment, U.S. and international accounting standards, the potential effect on the financial statements of the significant risks and exposures facing the Firm, and the Firm’s internal control over financial reporting;</w:t>
      </w:r>
    </w:p>
    <w:p>
      <w:pPr>
        <w:spacing w:after="0" w:line="108" w:lineRule="exact"/>
        <w:rPr>
          <w:rFonts w:ascii="Arial" w:cs="Arial" w:eastAsia="Arial" w:hAnsi="Arial"/>
          <w:sz w:val="18"/>
          <w:szCs w:val="18"/>
          <w:color w:val="004876"/>
        </w:rPr>
      </w:pPr>
    </w:p>
    <w:p>
      <w:pPr>
        <w:ind w:left="166" w:right="180" w:hanging="166"/>
        <w:spacing w:after="0" w:line="238" w:lineRule="auto"/>
        <w:tabs>
          <w:tab w:leader="none" w:pos="166" w:val="left"/>
        </w:tabs>
        <w:numPr>
          <w:ilvl w:val="0"/>
          <w:numId w:val="212"/>
        </w:numPr>
        <w:rPr>
          <w:rFonts w:ascii="Arial" w:cs="Arial" w:eastAsia="Arial" w:hAnsi="Arial"/>
          <w:sz w:val="18"/>
          <w:szCs w:val="18"/>
          <w:color w:val="004876"/>
        </w:rPr>
      </w:pPr>
      <w:r>
        <w:rPr>
          <w:rFonts w:ascii="Arial" w:cs="Arial" w:eastAsia="Arial" w:hAnsi="Arial"/>
          <w:sz w:val="18"/>
          <w:szCs w:val="18"/>
          <w:color w:val="auto"/>
        </w:rPr>
        <w:t>external data relating to PwC’s audit quality and performance, including recent PCAOB reports on PwC (including its global network of firms), and the results of peer review and self-review examinations;</w:t>
      </w:r>
    </w:p>
    <w:p>
      <w:pPr>
        <w:spacing w:after="0" w:line="110" w:lineRule="exact"/>
        <w:rPr>
          <w:rFonts w:ascii="Arial" w:cs="Arial" w:eastAsia="Arial" w:hAnsi="Arial"/>
          <w:sz w:val="18"/>
          <w:szCs w:val="18"/>
          <w:color w:val="004876"/>
        </w:rPr>
      </w:pPr>
    </w:p>
    <w:p>
      <w:pPr>
        <w:ind w:left="166" w:right="100" w:hanging="166"/>
        <w:spacing w:after="0"/>
        <w:tabs>
          <w:tab w:leader="none" w:pos="166" w:val="left"/>
        </w:tabs>
        <w:numPr>
          <w:ilvl w:val="0"/>
          <w:numId w:val="212"/>
        </w:numPr>
        <w:rPr>
          <w:rFonts w:ascii="Arial" w:cs="Arial" w:eastAsia="Arial" w:hAnsi="Arial"/>
          <w:sz w:val="18"/>
          <w:szCs w:val="18"/>
          <w:color w:val="004876"/>
        </w:rPr>
      </w:pPr>
      <w:r>
        <w:rPr>
          <w:rFonts w:ascii="Arial" w:cs="Arial" w:eastAsia="Arial" w:hAnsi="Arial"/>
          <w:sz w:val="18"/>
          <w:szCs w:val="18"/>
          <w:color w:val="auto"/>
        </w:rPr>
        <w:t>an analysis of PwC’s known legal risks and significant proceedings that could impair PwC’s ability to perform the Firm’s annual audit;</w:t>
      </w:r>
    </w:p>
    <w:p>
      <w:pPr>
        <w:spacing w:after="0" w:line="108" w:lineRule="exact"/>
        <w:rPr>
          <w:rFonts w:ascii="Arial" w:cs="Arial" w:eastAsia="Arial" w:hAnsi="Arial"/>
          <w:sz w:val="18"/>
          <w:szCs w:val="18"/>
          <w:color w:val="004876"/>
        </w:rPr>
      </w:pPr>
    </w:p>
    <w:p>
      <w:pPr>
        <w:ind w:left="166" w:hanging="166"/>
        <w:spacing w:after="0"/>
        <w:tabs>
          <w:tab w:leader="none" w:pos="166" w:val="left"/>
        </w:tabs>
        <w:numPr>
          <w:ilvl w:val="0"/>
          <w:numId w:val="212"/>
        </w:numPr>
        <w:rPr>
          <w:rFonts w:ascii="Arial" w:cs="Arial" w:eastAsia="Arial" w:hAnsi="Arial"/>
          <w:sz w:val="18"/>
          <w:szCs w:val="18"/>
          <w:color w:val="004876"/>
        </w:rPr>
      </w:pPr>
      <w:r>
        <w:rPr>
          <w:rFonts w:ascii="Arial" w:cs="Arial" w:eastAsia="Arial" w:hAnsi="Arial"/>
          <w:sz w:val="18"/>
          <w:szCs w:val="18"/>
          <w:color w:val="auto"/>
        </w:rPr>
        <w:t>PwC’s tenure as the Firm’s independent auditor;</w:t>
      </w:r>
    </w:p>
    <w:p>
      <w:pPr>
        <w:spacing w:after="0" w:line="117" w:lineRule="exact"/>
        <w:rPr>
          <w:rFonts w:ascii="Arial" w:cs="Arial" w:eastAsia="Arial" w:hAnsi="Arial"/>
          <w:sz w:val="18"/>
          <w:szCs w:val="18"/>
          <w:color w:val="004876"/>
        </w:rPr>
      </w:pPr>
    </w:p>
    <w:p>
      <w:pPr>
        <w:jc w:val="both"/>
        <w:ind w:left="166" w:right="280" w:hanging="166"/>
        <w:spacing w:after="0"/>
        <w:tabs>
          <w:tab w:leader="none" w:pos="166" w:val="left"/>
        </w:tabs>
        <w:numPr>
          <w:ilvl w:val="0"/>
          <w:numId w:val="212"/>
        </w:numPr>
        <w:rPr>
          <w:rFonts w:ascii="Arial" w:cs="Arial" w:eastAsia="Arial" w:hAnsi="Arial"/>
          <w:sz w:val="18"/>
          <w:szCs w:val="18"/>
          <w:color w:val="004876"/>
        </w:rPr>
      </w:pPr>
      <w:r>
        <w:rPr>
          <w:rFonts w:ascii="Arial" w:cs="Arial" w:eastAsia="Arial" w:hAnsi="Arial"/>
          <w:sz w:val="18"/>
          <w:szCs w:val="18"/>
          <w:color w:val="auto"/>
        </w:rPr>
        <w:t>the appropriateness of PwC’s fees, both on an absolute basis and as compared with fees paid by certain peer banking firms; and</w:t>
      </w:r>
    </w:p>
    <w:p>
      <w:pPr>
        <w:spacing w:after="0" w:line="108" w:lineRule="exact"/>
        <w:rPr>
          <w:rFonts w:ascii="Arial" w:cs="Arial" w:eastAsia="Arial" w:hAnsi="Arial"/>
          <w:sz w:val="18"/>
          <w:szCs w:val="18"/>
          <w:color w:val="004876"/>
        </w:rPr>
      </w:pPr>
    </w:p>
    <w:p>
      <w:pPr>
        <w:ind w:left="166" w:right="260" w:hanging="166"/>
        <w:spacing w:after="0" w:line="238" w:lineRule="auto"/>
        <w:tabs>
          <w:tab w:leader="none" w:pos="166" w:val="left"/>
        </w:tabs>
        <w:numPr>
          <w:ilvl w:val="0"/>
          <w:numId w:val="212"/>
        </w:numPr>
        <w:rPr>
          <w:rFonts w:ascii="Arial" w:cs="Arial" w:eastAsia="Arial" w:hAnsi="Arial"/>
          <w:sz w:val="18"/>
          <w:szCs w:val="18"/>
          <w:color w:val="004876"/>
        </w:rPr>
      </w:pPr>
      <w:r>
        <w:rPr>
          <w:rFonts w:ascii="Arial" w:cs="Arial" w:eastAsia="Arial" w:hAnsi="Arial"/>
          <w:sz w:val="18"/>
          <w:szCs w:val="18"/>
          <w:color w:val="auto"/>
        </w:rPr>
        <w:t>the advisability and potential impact of selecting a different independent registered public accounting firm, including the additional costs and inefficiencies associated with hiring a new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-3566795</wp:posOffset>
            </wp:positionH>
            <wp:positionV relativeFrom="paragraph">
              <wp:posOffset>499110</wp:posOffset>
            </wp:positionV>
            <wp:extent cx="7029450" cy="19685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029450" cy="196850"/>
                    </a:xfrm>
                    <a:prstGeom prst="rect">
                      <a:avLst/>
                    </a:prstGeom>
                    <a:noFill/>
                  </pic:spPr>
                </pic:pic>
              </a:graphicData>
            </a:graphic>
          </wp:anchor>
        </w:drawing>
      </w:r>
    </w:p>
    <w:p>
      <w:pPr>
        <w:spacing w:after="0" w:line="326" w:lineRule="exact"/>
        <w:rPr>
          <w:sz w:val="20"/>
          <w:szCs w:val="20"/>
          <w:color w:val="auto"/>
        </w:rPr>
      </w:pPr>
    </w:p>
    <w:p>
      <w:pPr>
        <w:sectPr>
          <w:pgSz w:w="11900" w:h="16838" w:orient="portrait"/>
          <w:cols w:equalWidth="0" w:num="2">
            <w:col w:w="5400" w:space="334"/>
            <w:col w:w="5406"/>
          </w:cols>
          <w:pgMar w:left="320" w:top="459" w:right="439" w:bottom="1440" w:gutter="0" w:footer="0" w:header="0"/>
          <w:type w:val="continuous"/>
        </w:sectPr>
      </w:pPr>
    </w:p>
    <w:p>
      <w:pPr>
        <w:spacing w:after="0" w:line="200" w:lineRule="exact"/>
        <w:rPr>
          <w:sz w:val="20"/>
          <w:szCs w:val="20"/>
          <w:color w:val="auto"/>
        </w:rPr>
      </w:pPr>
    </w:p>
    <w:p>
      <w:pPr>
        <w:spacing w:after="0" w:line="338" w:lineRule="exact"/>
        <w:rPr>
          <w:sz w:val="20"/>
          <w:szCs w:val="20"/>
          <w:color w:val="auto"/>
        </w:rPr>
      </w:pPr>
    </w:p>
    <w:p>
      <w:pPr>
        <w:jc w:val="center"/>
        <w:ind w:right="-99"/>
        <w:spacing w:after="0"/>
        <w:rPr>
          <w:sz w:val="20"/>
          <w:szCs w:val="20"/>
          <w:color w:val="auto"/>
        </w:rPr>
      </w:pPr>
      <w:r>
        <w:rPr>
          <w:rFonts w:ascii="Arial" w:cs="Arial" w:eastAsia="Arial" w:hAnsi="Arial"/>
          <w:sz w:val="13"/>
          <w:szCs w:val="13"/>
          <w:b w:val="1"/>
          <w:bCs w:val="1"/>
          <w:color w:val="004876"/>
        </w:rPr>
        <w:t>90</w:t>
      </w:r>
    </w:p>
    <w:p>
      <w:pPr>
        <w:sectPr>
          <w:pgSz w:w="11900" w:h="16838" w:orient="portrait"/>
          <w:cols w:equalWidth="0" w:num="1">
            <w:col w:w="11140"/>
          </w:cols>
          <w:pgMar w:left="320" w:top="459" w:right="439" w:bottom="1440" w:gutter="0" w:footer="0" w:header="0"/>
          <w:type w:val="continuous"/>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04876"/>
        </w:rPr>
        <w:t>AUDIT MATTERS | AUDIT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60"/>
          </w:cols>
          <w:pgMar w:left="320" w:top="459" w:right="519" w:bottom="1440" w:gutter="0" w:footer="0" w:header="0"/>
        </w:sectPr>
      </w:pPr>
    </w:p>
    <w:p>
      <w:pPr>
        <w:spacing w:after="0" w:line="387" w:lineRule="exact"/>
        <w:rPr>
          <w:sz w:val="20"/>
          <w:szCs w:val="20"/>
          <w:color w:val="auto"/>
        </w:rPr>
      </w:pPr>
    </w:p>
    <w:p>
      <w:pPr>
        <w:ind w:left="120" w:right="20"/>
        <w:spacing w:after="0" w:line="257" w:lineRule="auto"/>
        <w:rPr>
          <w:sz w:val="20"/>
          <w:szCs w:val="20"/>
          <w:color w:val="auto"/>
        </w:rPr>
      </w:pPr>
      <w:r>
        <w:rPr>
          <w:rFonts w:ascii="Arial" w:cs="Arial" w:eastAsia="Arial" w:hAnsi="Arial"/>
          <w:sz w:val="17"/>
          <w:szCs w:val="17"/>
          <w:color w:val="auto"/>
        </w:rPr>
        <w:t xml:space="preserve">PwC provided us the written disclosures and the letter required by PCAOB’s Ethics and Independence Rule 3526, </w:t>
      </w:r>
      <w:r>
        <w:rPr>
          <w:rFonts w:ascii="Arial" w:cs="Arial" w:eastAsia="Arial" w:hAnsi="Arial"/>
          <w:sz w:val="17"/>
          <w:szCs w:val="17"/>
          <w:i w:val="1"/>
          <w:iCs w:val="1"/>
          <w:color w:val="auto"/>
        </w:rPr>
        <w:t>Communications</w:t>
      </w:r>
      <w:r>
        <w:rPr>
          <w:rFonts w:ascii="Arial" w:cs="Arial" w:eastAsia="Arial" w:hAnsi="Arial"/>
          <w:sz w:val="17"/>
          <w:szCs w:val="17"/>
          <w:color w:val="auto"/>
        </w:rPr>
        <w:t xml:space="preserve"> </w:t>
      </w:r>
      <w:r>
        <w:rPr>
          <w:rFonts w:ascii="Arial" w:cs="Arial" w:eastAsia="Arial" w:hAnsi="Arial"/>
          <w:sz w:val="17"/>
          <w:szCs w:val="17"/>
          <w:i w:val="1"/>
          <w:iCs w:val="1"/>
          <w:color w:val="auto"/>
        </w:rPr>
        <w:t>with Audit Committees Concerning Independence</w:t>
      </w:r>
      <w:r>
        <w:rPr>
          <w:rFonts w:ascii="Arial" w:cs="Arial" w:eastAsia="Arial" w:hAnsi="Arial"/>
          <w:sz w:val="17"/>
          <w:szCs w:val="17"/>
          <w:color w:val="auto"/>
        </w:rPr>
        <w:t>, and we</w:t>
      </w:r>
      <w:r>
        <w:rPr>
          <w:rFonts w:ascii="Arial" w:cs="Arial" w:eastAsia="Arial" w:hAnsi="Arial"/>
          <w:sz w:val="17"/>
          <w:szCs w:val="17"/>
          <w:i w:val="1"/>
          <w:iCs w:val="1"/>
          <w:color w:val="auto"/>
        </w:rPr>
        <w:t xml:space="preserve"> </w:t>
      </w:r>
      <w:r>
        <w:rPr>
          <w:rFonts w:ascii="Arial" w:cs="Arial" w:eastAsia="Arial" w:hAnsi="Arial"/>
          <w:sz w:val="17"/>
          <w:szCs w:val="17"/>
          <w:color w:val="auto"/>
        </w:rPr>
        <w:t>discussed and confirmed with PwC their independence.</w:t>
      </w:r>
    </w:p>
    <w:p>
      <w:pPr>
        <w:spacing w:after="0" w:line="81"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As a result of this evaluation, we believe PwC has the capability to provide the necessary expertise, independence and professional skepticism to continue to audit the Firm’s businesses on a global basis, and we approved the appointment of PwC as JPMorgan Chase’s independent registered public accounting firm for 2020, subject to shareholder ratification.</w:t>
      </w:r>
    </w:p>
    <w:p>
      <w:pPr>
        <w:spacing w:after="0" w:line="97"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Management is responsible for the Firm’s internal control over financial reporting, the financial reporting process and JPMorgan Chase’s Consolidated Financial Statements. PwC is responsible for performing an independent audit of JPMorgan Chase’s Consolidated Financial Statements and of the effectiveness of internal control over financial reporting in accordance with auditing standards promulgated by the PCAOB. The Firm’s Internal Audit function, under the direction of the General Auditor, is independent of the Firm’s businesses and the Independent Risk Management function. Internal Audit reports directly to the Audit Committee (and administratively to the Firm’s CEO) and is responsible for preparing an annual audit plan and conducting internal audits intended to independently test and evaluate the Firm’s governance, risk management and internal controls. The members of the Audit Committee are not professionally engaged in the practice of accounting or auditing; as noted above, the Audit Committee’s responsibility is to monitor and oversee these processes.</w:t>
      </w:r>
    </w:p>
    <w:p>
      <w:pPr>
        <w:spacing w:after="0" w:line="105"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The Audit Committee regularly meets and holds discussions with the Firm’s management, internal auditors and with PwC, and also holds private sessions with the General Auditor and with PwC without members of</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management present. These discussions include issues encountered during the audit, the Firm’s quarterly earnings materials, and Quarterly and Annual Reports on Form 10-Q and Form 10-K, respectively, prior to filing with the SEC; as well as actions the Audit Committee has taken during the prior year.</w:t>
      </w:r>
    </w:p>
    <w:p>
      <w:pPr>
        <w:spacing w:after="0" w:line="9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Management represented to us that JPMorgan Chase’s Consolidated Financial Statements were prepared in accordance with accounting principles generally accepted in the United States of America (“U.S. GAAP”). We reviewed and discussed JPMorgan Chase’s Consolidated Financial Statements with management, the General Auditor and PwC. We also reviewed and discussed with PwC the quality of the Firm’s significant accounting principles, the reasonableness of critical accounting estimates and judgments, critical audit matters PwC identified during the audit, and the disclosures in JPMorgan Chase’s Consolidated Financial Statements, including disclosures relating to significant accounting policies. We relied, without independent verification, on the information provided to us and on the representations made by management, internal auditors and the independent auditor. Based on our review of the reports given to us by PwC and our discussions with the Firm’s management, internal auditors and PwC, as well as their respective representations to us, we recommended to the Board, and the Board approved, inclusion of the audited Consolidated Financial Statements in the 2019 Annual Report on Form 10-K, as filed with the SEC.</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Dated as of March 17, 2020</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James A. Bell (Chair)</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Timothy P. Flynn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Laban P. Jackson,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391795</wp:posOffset>
            </wp:positionV>
            <wp:extent cx="7029450" cy="19685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029450" cy="196850"/>
                    </a:xfrm>
                    <a:prstGeom prst="rect">
                      <a:avLst/>
                    </a:prstGeom>
                    <a:noFill/>
                  </pic:spPr>
                </pic:pic>
              </a:graphicData>
            </a:graphic>
          </wp:anchor>
        </w:drawing>
      </w:r>
    </w:p>
    <w:p>
      <w:pPr>
        <w:spacing w:after="0" w:line="287" w:lineRule="exact"/>
        <w:rPr>
          <w:sz w:val="20"/>
          <w:szCs w:val="20"/>
          <w:color w:val="auto"/>
        </w:rPr>
      </w:pPr>
    </w:p>
    <w:p>
      <w:pPr>
        <w:sectPr>
          <w:pgSz w:w="11900" w:h="16838" w:orient="portrait"/>
          <w:cols w:equalWidth="0" w:num="2">
            <w:col w:w="5380" w:space="360"/>
            <w:col w:w="5320"/>
          </w:cols>
          <w:pgMar w:left="320" w:top="459" w:right="519" w:bottom="1440" w:gutter="0" w:footer="0" w:header="0"/>
          <w:type w:val="continuous"/>
        </w:sectPr>
      </w:pPr>
    </w:p>
    <w:p>
      <w:pPr>
        <w:spacing w:after="0" w:line="200" w:lineRule="exact"/>
        <w:rPr>
          <w:sz w:val="20"/>
          <w:szCs w:val="20"/>
          <w:color w:val="auto"/>
        </w:rPr>
      </w:pPr>
    </w:p>
    <w:p>
      <w:pPr>
        <w:spacing w:after="0" w:line="208" w:lineRule="exact"/>
        <w:rPr>
          <w:sz w:val="20"/>
          <w:szCs w:val="20"/>
          <w:color w:val="auto"/>
        </w:rPr>
      </w:pPr>
    </w:p>
    <w:p>
      <w:pPr>
        <w:jc w:val="center"/>
        <w:ind w:right="-179"/>
        <w:spacing w:after="0"/>
        <w:rPr>
          <w:sz w:val="20"/>
          <w:szCs w:val="20"/>
          <w:color w:val="auto"/>
        </w:rPr>
      </w:pPr>
      <w:r>
        <w:rPr>
          <w:rFonts w:ascii="Arial" w:cs="Arial" w:eastAsia="Arial" w:hAnsi="Arial"/>
          <w:sz w:val="13"/>
          <w:szCs w:val="13"/>
          <w:b w:val="1"/>
          <w:bCs w:val="1"/>
          <w:color w:val="004876"/>
        </w:rPr>
        <w:t>91</w:t>
      </w:r>
    </w:p>
    <w:p>
      <w:pPr>
        <w:sectPr>
          <w:pgSz w:w="11900" w:h="16838" w:orient="portrait"/>
          <w:cols w:equalWidth="0" w:num="1">
            <w:col w:w="11060"/>
          </w:cols>
          <w:pgMar w:left="320" w:top="459" w:right="519" w:bottom="1440" w:gutter="0" w:footer="0" w:header="0"/>
          <w:type w:val="continuous"/>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left="120"/>
        <w:spacing w:after="0"/>
        <w:rPr>
          <w:sz w:val="20"/>
          <w:szCs w:val="20"/>
          <w:color w:val="auto"/>
        </w:rPr>
      </w:pPr>
      <w:r>
        <w:rPr>
          <w:rFonts w:ascii="Arial" w:cs="Arial" w:eastAsia="Arial" w:hAnsi="Arial"/>
          <w:sz w:val="43"/>
          <w:szCs w:val="43"/>
          <w:color w:val="004876"/>
        </w:rPr>
        <w:t>Shareholder proposals</w:t>
      </w:r>
      <w:r>
        <w:rPr>
          <w:rFonts w:ascii="Arial" w:cs="Arial" w:eastAsia="Arial" w:hAnsi="Arial"/>
          <w:sz w:val="36"/>
          <w:szCs w:val="36"/>
          <w:color w:val="004876"/>
        </w:rPr>
        <w:t>1</w:t>
      </w:r>
      <w:r>
        <w:rPr>
          <w:rFonts w:ascii="Arial" w:cs="Arial" w:eastAsia="Arial" w:hAnsi="Arial"/>
          <w:sz w:val="43"/>
          <w:szCs w:val="43"/>
          <w:color w:val="004876"/>
        </w:rPr>
        <w:t>:</w:t>
      </w:r>
    </w:p>
    <w:p>
      <w:pPr>
        <w:spacing w:after="0" w:line="200" w:lineRule="exact"/>
        <w:rPr>
          <w:sz w:val="20"/>
          <w:szCs w:val="20"/>
          <w:color w:val="auto"/>
        </w:rPr>
      </w:pPr>
    </w:p>
    <w:p>
      <w:pPr>
        <w:spacing w:after="0" w:line="342" w:lineRule="exact"/>
        <w:rPr>
          <w:sz w:val="20"/>
          <w:szCs w:val="20"/>
          <w:color w:val="auto"/>
        </w:rPr>
      </w:pPr>
    </w:p>
    <w:tbl>
      <w:tblPr>
        <w:tblLayout w:type="fixed"/>
        <w:tblInd w:w="5740" w:type="dxa"/>
        <w:tblCellMar>
          <w:top w:w="0" w:type="dxa"/>
          <w:left w:w="0" w:type="dxa"/>
          <w:bottom w:w="0" w:type="dxa"/>
          <w:right w:w="0" w:type="dxa"/>
        </w:tblCellMar>
      </w:tblPr>
      <w:tr>
        <w:trPr>
          <w:trHeight w:val="215"/>
        </w:trPr>
        <w:tc>
          <w:tcPr>
            <w:tcW w:w="8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6"/>
                <w:szCs w:val="16"/>
                <w:b w:val="1"/>
                <w:bCs w:val="1"/>
                <w:color w:val="004876"/>
              </w:rPr>
              <w:t>PROPOSAL 4:</w:t>
            </w:r>
          </w:p>
        </w:tc>
        <w:tc>
          <w:tcPr>
            <w:tcW w:w="620" w:type="dxa"/>
            <w:vAlign w:val="bottom"/>
          </w:tcPr>
          <w:p>
            <w:pPr>
              <w:spacing w:after="0"/>
              <w:rPr>
                <w:sz w:val="18"/>
                <w:szCs w:val="18"/>
                <w:color w:val="auto"/>
              </w:rPr>
            </w:pPr>
          </w:p>
        </w:tc>
      </w:tr>
      <w:tr>
        <w:trPr>
          <w:trHeight w:val="327"/>
        </w:trPr>
        <w:tc>
          <w:tcPr>
            <w:tcW w:w="80" w:type="dxa"/>
            <w:vAlign w:val="bottom"/>
          </w:tcPr>
          <w:p>
            <w:pPr>
              <w:spacing w:after="0"/>
              <w:rPr>
                <w:sz w:val="24"/>
                <w:szCs w:val="24"/>
                <w:color w:val="auto"/>
              </w:rPr>
            </w:pPr>
          </w:p>
        </w:tc>
        <w:tc>
          <w:tcPr>
            <w:tcW w:w="4700" w:type="dxa"/>
            <w:vAlign w:val="bottom"/>
            <w:gridSpan w:val="2"/>
          </w:tcPr>
          <w:p>
            <w:pPr>
              <w:spacing w:after="0"/>
              <w:rPr>
                <w:rFonts w:ascii="Arial" w:cs="Arial" w:eastAsia="Arial" w:hAnsi="Arial"/>
                <w:sz w:val="22"/>
                <w:szCs w:val="22"/>
                <w:u w:val="single" w:color="auto"/>
                <w:color w:val="0000EE"/>
              </w:rPr>
            </w:pPr>
            <w:hyperlink w:anchor="page100">
              <w:r>
                <w:rPr>
                  <w:rFonts w:ascii="Arial" w:cs="Arial" w:eastAsia="Arial" w:hAnsi="Arial"/>
                  <w:sz w:val="22"/>
                  <w:szCs w:val="22"/>
                  <w:u w:val="single" w:color="auto"/>
                  <w:color w:val="0000EE"/>
                </w:rPr>
                <w:t>Independent board chairman</w:t>
              </w:r>
            </w:hyperlink>
          </w:p>
        </w:tc>
        <w:tc>
          <w:tcPr>
            <w:tcW w:w="620" w:type="dxa"/>
            <w:vAlign w:val="bottom"/>
          </w:tcPr>
          <w:p>
            <w:pPr>
              <w:jc w:val="right"/>
              <w:spacing w:after="0"/>
              <w:rPr>
                <w:sz w:val="20"/>
                <w:szCs w:val="20"/>
                <w:color w:val="auto"/>
              </w:rPr>
            </w:pPr>
            <w:r>
              <w:rPr>
                <w:rFonts w:ascii="Arial" w:cs="Arial" w:eastAsia="Arial" w:hAnsi="Arial"/>
                <w:sz w:val="22"/>
                <w:szCs w:val="22"/>
                <w:color w:val="004876"/>
              </w:rPr>
              <w:t>93</w:t>
            </w:r>
          </w:p>
        </w:tc>
      </w:tr>
      <w:tr>
        <w:trPr>
          <w:trHeight w:val="58"/>
        </w:trPr>
        <w:tc>
          <w:tcPr>
            <w:tcW w:w="80" w:type="dxa"/>
            <w:vAlign w:val="bottom"/>
            <w:tcBorders>
              <w:bottom w:val="single" w:sz="8" w:color="004876"/>
            </w:tcBorders>
          </w:tcPr>
          <w:p>
            <w:pPr>
              <w:spacing w:after="0"/>
              <w:rPr>
                <w:sz w:val="5"/>
                <w:szCs w:val="5"/>
                <w:color w:val="auto"/>
              </w:rPr>
            </w:pPr>
          </w:p>
        </w:tc>
        <w:tc>
          <w:tcPr>
            <w:tcW w:w="4080" w:type="dxa"/>
            <w:vAlign w:val="bottom"/>
            <w:tcBorders>
              <w:bottom w:val="single" w:sz="8" w:color="004876"/>
            </w:tcBorders>
          </w:tcPr>
          <w:p>
            <w:pPr>
              <w:spacing w:after="0"/>
              <w:rPr>
                <w:sz w:val="5"/>
                <w:szCs w:val="5"/>
                <w:color w:val="auto"/>
              </w:rPr>
            </w:pPr>
          </w:p>
        </w:tc>
        <w:tc>
          <w:tcPr>
            <w:tcW w:w="620" w:type="dxa"/>
            <w:vAlign w:val="bottom"/>
            <w:tcBorders>
              <w:bottom w:val="single" w:sz="8" w:color="004876"/>
            </w:tcBorders>
          </w:tcPr>
          <w:p>
            <w:pPr>
              <w:spacing w:after="0"/>
              <w:rPr>
                <w:sz w:val="5"/>
                <w:szCs w:val="5"/>
                <w:color w:val="auto"/>
              </w:rPr>
            </w:pPr>
          </w:p>
        </w:tc>
        <w:tc>
          <w:tcPr>
            <w:tcW w:w="620" w:type="dxa"/>
            <w:vAlign w:val="bottom"/>
            <w:tcBorders>
              <w:bottom w:val="single" w:sz="8" w:color="004876"/>
            </w:tcBorders>
          </w:tcPr>
          <w:p>
            <w:pPr>
              <w:spacing w:after="0"/>
              <w:rPr>
                <w:sz w:val="5"/>
                <w:szCs w:val="5"/>
                <w:color w:val="auto"/>
              </w:rPr>
            </w:pPr>
          </w:p>
        </w:tc>
      </w:tr>
      <w:tr>
        <w:trPr>
          <w:trHeight w:val="284"/>
        </w:trPr>
        <w:tc>
          <w:tcPr>
            <w:tcW w:w="8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Arial" w:cs="Arial" w:eastAsia="Arial" w:hAnsi="Arial"/>
                <w:sz w:val="16"/>
                <w:szCs w:val="16"/>
                <w:b w:val="1"/>
                <w:bCs w:val="1"/>
                <w:color w:val="004876"/>
              </w:rPr>
              <w:t>PROPOSAL 5:</w:t>
            </w:r>
          </w:p>
        </w:tc>
        <w:tc>
          <w:tcPr>
            <w:tcW w:w="620" w:type="dxa"/>
            <w:vAlign w:val="bottom"/>
          </w:tcPr>
          <w:p>
            <w:pPr>
              <w:spacing w:after="0"/>
              <w:rPr>
                <w:sz w:val="24"/>
                <w:szCs w:val="24"/>
                <w:color w:val="auto"/>
              </w:rPr>
            </w:pPr>
          </w:p>
        </w:tc>
      </w:tr>
      <w:tr>
        <w:trPr>
          <w:trHeight w:val="276"/>
        </w:trPr>
        <w:tc>
          <w:tcPr>
            <w:tcW w:w="80" w:type="dxa"/>
            <w:vAlign w:val="bottom"/>
          </w:tcPr>
          <w:p>
            <w:pPr>
              <w:spacing w:after="0"/>
              <w:rPr>
                <w:sz w:val="24"/>
                <w:szCs w:val="24"/>
                <w:color w:val="auto"/>
              </w:rPr>
            </w:pPr>
          </w:p>
        </w:tc>
        <w:tc>
          <w:tcPr>
            <w:tcW w:w="4080" w:type="dxa"/>
            <w:vAlign w:val="bottom"/>
            <w:tcBorders>
              <w:bottom w:val="single" w:sz="8" w:color="0000EE"/>
            </w:tcBorders>
          </w:tcPr>
          <w:p>
            <w:pPr>
              <w:spacing w:after="0"/>
              <w:rPr>
                <w:rFonts w:ascii="Arial" w:cs="Arial" w:eastAsia="Arial" w:hAnsi="Arial"/>
                <w:sz w:val="22"/>
                <w:szCs w:val="22"/>
                <w:color w:val="0000EE"/>
                <w:w w:val="97"/>
              </w:rPr>
            </w:pPr>
            <w:hyperlink w:anchor="page102">
              <w:r>
                <w:rPr>
                  <w:rFonts w:ascii="Arial" w:cs="Arial" w:eastAsia="Arial" w:hAnsi="Arial"/>
                  <w:sz w:val="22"/>
                  <w:szCs w:val="22"/>
                  <w:color w:val="0000EE"/>
                  <w:w w:val="97"/>
                </w:rPr>
                <w:t>Oil and gas company and project financing</w:t>
              </w:r>
            </w:hyperlink>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74"/>
        </w:trPr>
        <w:tc>
          <w:tcPr>
            <w:tcW w:w="80" w:type="dxa"/>
            <w:vAlign w:val="bottom"/>
          </w:tcPr>
          <w:p>
            <w:pPr>
              <w:spacing w:after="0"/>
              <w:rPr>
                <w:sz w:val="23"/>
                <w:szCs w:val="23"/>
                <w:color w:val="auto"/>
              </w:rPr>
            </w:pPr>
          </w:p>
        </w:tc>
        <w:tc>
          <w:tcPr>
            <w:tcW w:w="4700" w:type="dxa"/>
            <w:vAlign w:val="bottom"/>
            <w:gridSpan w:val="2"/>
          </w:tcPr>
          <w:p>
            <w:pPr>
              <w:spacing w:after="0"/>
              <w:rPr>
                <w:rFonts w:ascii="Arial" w:cs="Arial" w:eastAsia="Arial" w:hAnsi="Arial"/>
                <w:sz w:val="22"/>
                <w:szCs w:val="22"/>
                <w:u w:val="single" w:color="auto"/>
                <w:color w:val="0000EE"/>
              </w:rPr>
            </w:pPr>
            <w:hyperlink w:anchor="page102">
              <w:r>
                <w:rPr>
                  <w:rFonts w:ascii="Arial" w:cs="Arial" w:eastAsia="Arial" w:hAnsi="Arial"/>
                  <w:sz w:val="22"/>
                  <w:szCs w:val="22"/>
                  <w:u w:val="single" w:color="auto"/>
                  <w:color w:val="0000EE"/>
                </w:rPr>
                <w:t>related to the Arctic and the Canadian oil sands</w:t>
              </w:r>
            </w:hyperlink>
          </w:p>
        </w:tc>
        <w:tc>
          <w:tcPr>
            <w:tcW w:w="620" w:type="dxa"/>
            <w:vAlign w:val="bottom"/>
          </w:tcPr>
          <w:p>
            <w:pPr>
              <w:jc w:val="right"/>
              <w:spacing w:after="0"/>
              <w:rPr>
                <w:sz w:val="20"/>
                <w:szCs w:val="20"/>
                <w:color w:val="auto"/>
              </w:rPr>
            </w:pPr>
            <w:r>
              <w:rPr>
                <w:rFonts w:ascii="Arial" w:cs="Arial" w:eastAsia="Arial" w:hAnsi="Arial"/>
                <w:sz w:val="22"/>
                <w:szCs w:val="22"/>
                <w:color w:val="004876"/>
              </w:rPr>
              <w:t>95</w:t>
            </w:r>
          </w:p>
        </w:tc>
      </w:tr>
      <w:tr>
        <w:trPr>
          <w:trHeight w:val="57"/>
        </w:trPr>
        <w:tc>
          <w:tcPr>
            <w:tcW w:w="80" w:type="dxa"/>
            <w:vAlign w:val="bottom"/>
            <w:tcBorders>
              <w:bottom w:val="single" w:sz="8" w:color="004876"/>
            </w:tcBorders>
          </w:tcPr>
          <w:p>
            <w:pPr>
              <w:spacing w:after="0"/>
              <w:rPr>
                <w:sz w:val="5"/>
                <w:szCs w:val="5"/>
                <w:color w:val="auto"/>
              </w:rPr>
            </w:pPr>
          </w:p>
        </w:tc>
        <w:tc>
          <w:tcPr>
            <w:tcW w:w="4080" w:type="dxa"/>
            <w:vAlign w:val="bottom"/>
            <w:tcBorders>
              <w:bottom w:val="single" w:sz="8" w:color="004876"/>
            </w:tcBorders>
          </w:tcPr>
          <w:p>
            <w:pPr>
              <w:spacing w:after="0"/>
              <w:rPr>
                <w:sz w:val="5"/>
                <w:szCs w:val="5"/>
                <w:color w:val="auto"/>
              </w:rPr>
            </w:pPr>
          </w:p>
        </w:tc>
        <w:tc>
          <w:tcPr>
            <w:tcW w:w="620" w:type="dxa"/>
            <w:vAlign w:val="bottom"/>
            <w:tcBorders>
              <w:bottom w:val="single" w:sz="8" w:color="004876"/>
            </w:tcBorders>
          </w:tcPr>
          <w:p>
            <w:pPr>
              <w:spacing w:after="0"/>
              <w:rPr>
                <w:sz w:val="5"/>
                <w:szCs w:val="5"/>
                <w:color w:val="auto"/>
              </w:rPr>
            </w:pPr>
          </w:p>
        </w:tc>
        <w:tc>
          <w:tcPr>
            <w:tcW w:w="620" w:type="dxa"/>
            <w:vAlign w:val="bottom"/>
            <w:tcBorders>
              <w:bottom w:val="single" w:sz="8" w:color="004876"/>
            </w:tcBorders>
          </w:tcPr>
          <w:p>
            <w:pPr>
              <w:spacing w:after="0"/>
              <w:rPr>
                <w:sz w:val="5"/>
                <w:szCs w:val="5"/>
                <w:color w:val="auto"/>
              </w:rPr>
            </w:pPr>
          </w:p>
        </w:tc>
      </w:tr>
      <w:tr>
        <w:trPr>
          <w:trHeight w:val="285"/>
        </w:trPr>
        <w:tc>
          <w:tcPr>
            <w:tcW w:w="8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Arial" w:cs="Arial" w:eastAsia="Arial" w:hAnsi="Arial"/>
                <w:sz w:val="16"/>
                <w:szCs w:val="16"/>
                <w:b w:val="1"/>
                <w:bCs w:val="1"/>
                <w:color w:val="004876"/>
              </w:rPr>
              <w:t>PROPOSAL 6:</w:t>
            </w:r>
          </w:p>
        </w:tc>
        <w:tc>
          <w:tcPr>
            <w:tcW w:w="620" w:type="dxa"/>
            <w:vAlign w:val="bottom"/>
          </w:tcPr>
          <w:p>
            <w:pPr>
              <w:spacing w:after="0"/>
              <w:rPr>
                <w:sz w:val="24"/>
                <w:szCs w:val="24"/>
                <w:color w:val="auto"/>
              </w:rPr>
            </w:pPr>
          </w:p>
        </w:tc>
      </w:tr>
      <w:tr>
        <w:trPr>
          <w:trHeight w:val="327"/>
        </w:trPr>
        <w:tc>
          <w:tcPr>
            <w:tcW w:w="80" w:type="dxa"/>
            <w:vAlign w:val="bottom"/>
          </w:tcPr>
          <w:p>
            <w:pPr>
              <w:spacing w:after="0"/>
              <w:rPr>
                <w:sz w:val="24"/>
                <w:szCs w:val="24"/>
                <w:color w:val="auto"/>
              </w:rPr>
            </w:pPr>
          </w:p>
        </w:tc>
        <w:tc>
          <w:tcPr>
            <w:tcW w:w="4700" w:type="dxa"/>
            <w:vAlign w:val="bottom"/>
            <w:gridSpan w:val="2"/>
          </w:tcPr>
          <w:p>
            <w:pPr>
              <w:spacing w:after="0"/>
              <w:rPr>
                <w:rFonts w:ascii="Arial" w:cs="Arial" w:eastAsia="Arial" w:hAnsi="Arial"/>
                <w:sz w:val="22"/>
                <w:szCs w:val="22"/>
                <w:u w:val="single" w:color="auto"/>
                <w:color w:val="0000EE"/>
              </w:rPr>
            </w:pPr>
            <w:hyperlink w:anchor="page104">
              <w:r>
                <w:rPr>
                  <w:rFonts w:ascii="Arial" w:cs="Arial" w:eastAsia="Arial" w:hAnsi="Arial"/>
                  <w:sz w:val="22"/>
                  <w:szCs w:val="22"/>
                  <w:u w:val="single" w:color="auto"/>
                  <w:color w:val="0000EE"/>
                </w:rPr>
                <w:t>Climate change risk reporting</w:t>
              </w:r>
            </w:hyperlink>
          </w:p>
        </w:tc>
        <w:tc>
          <w:tcPr>
            <w:tcW w:w="620" w:type="dxa"/>
            <w:vAlign w:val="bottom"/>
          </w:tcPr>
          <w:p>
            <w:pPr>
              <w:jc w:val="right"/>
              <w:spacing w:after="0"/>
              <w:rPr>
                <w:sz w:val="20"/>
                <w:szCs w:val="20"/>
                <w:color w:val="auto"/>
              </w:rPr>
            </w:pPr>
            <w:r>
              <w:rPr>
                <w:rFonts w:ascii="Arial" w:cs="Arial" w:eastAsia="Arial" w:hAnsi="Arial"/>
                <w:sz w:val="22"/>
                <w:szCs w:val="22"/>
                <w:color w:val="004876"/>
              </w:rPr>
              <w:t>97</w:t>
            </w:r>
          </w:p>
        </w:tc>
      </w:tr>
      <w:tr>
        <w:trPr>
          <w:trHeight w:val="58"/>
        </w:trPr>
        <w:tc>
          <w:tcPr>
            <w:tcW w:w="80" w:type="dxa"/>
            <w:vAlign w:val="bottom"/>
            <w:tcBorders>
              <w:bottom w:val="single" w:sz="8" w:color="004876"/>
            </w:tcBorders>
          </w:tcPr>
          <w:p>
            <w:pPr>
              <w:spacing w:after="0"/>
              <w:rPr>
                <w:sz w:val="5"/>
                <w:szCs w:val="5"/>
                <w:color w:val="auto"/>
              </w:rPr>
            </w:pPr>
          </w:p>
        </w:tc>
        <w:tc>
          <w:tcPr>
            <w:tcW w:w="4080" w:type="dxa"/>
            <w:vAlign w:val="bottom"/>
            <w:tcBorders>
              <w:bottom w:val="single" w:sz="8" w:color="004876"/>
            </w:tcBorders>
          </w:tcPr>
          <w:p>
            <w:pPr>
              <w:spacing w:after="0"/>
              <w:rPr>
                <w:sz w:val="5"/>
                <w:szCs w:val="5"/>
                <w:color w:val="auto"/>
              </w:rPr>
            </w:pPr>
          </w:p>
        </w:tc>
        <w:tc>
          <w:tcPr>
            <w:tcW w:w="620" w:type="dxa"/>
            <w:vAlign w:val="bottom"/>
            <w:tcBorders>
              <w:bottom w:val="single" w:sz="8" w:color="004876"/>
            </w:tcBorders>
          </w:tcPr>
          <w:p>
            <w:pPr>
              <w:spacing w:after="0"/>
              <w:rPr>
                <w:sz w:val="5"/>
                <w:szCs w:val="5"/>
                <w:color w:val="auto"/>
              </w:rPr>
            </w:pPr>
          </w:p>
        </w:tc>
        <w:tc>
          <w:tcPr>
            <w:tcW w:w="620" w:type="dxa"/>
            <w:vAlign w:val="bottom"/>
            <w:tcBorders>
              <w:bottom w:val="single" w:sz="8" w:color="004876"/>
            </w:tcBorders>
          </w:tcPr>
          <w:p>
            <w:pPr>
              <w:spacing w:after="0"/>
              <w:rPr>
                <w:sz w:val="5"/>
                <w:szCs w:val="5"/>
                <w:color w:val="auto"/>
              </w:rPr>
            </w:pPr>
          </w:p>
        </w:tc>
      </w:tr>
      <w:tr>
        <w:trPr>
          <w:trHeight w:val="284"/>
        </w:trPr>
        <w:tc>
          <w:tcPr>
            <w:tcW w:w="8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Arial" w:cs="Arial" w:eastAsia="Arial" w:hAnsi="Arial"/>
                <w:sz w:val="16"/>
                <w:szCs w:val="16"/>
                <w:b w:val="1"/>
                <w:bCs w:val="1"/>
                <w:color w:val="004876"/>
              </w:rPr>
              <w:t>PROPOSAL 7:</w:t>
            </w:r>
          </w:p>
        </w:tc>
        <w:tc>
          <w:tcPr>
            <w:tcW w:w="620" w:type="dxa"/>
            <w:vAlign w:val="bottom"/>
          </w:tcPr>
          <w:p>
            <w:pPr>
              <w:spacing w:after="0"/>
              <w:rPr>
                <w:sz w:val="24"/>
                <w:szCs w:val="24"/>
                <w:color w:val="auto"/>
              </w:rPr>
            </w:pPr>
          </w:p>
        </w:tc>
      </w:tr>
      <w:tr>
        <w:trPr>
          <w:trHeight w:val="327"/>
        </w:trPr>
        <w:tc>
          <w:tcPr>
            <w:tcW w:w="80" w:type="dxa"/>
            <w:vAlign w:val="bottom"/>
          </w:tcPr>
          <w:p>
            <w:pPr>
              <w:spacing w:after="0"/>
              <w:rPr>
                <w:sz w:val="24"/>
                <w:szCs w:val="24"/>
                <w:color w:val="auto"/>
              </w:rPr>
            </w:pPr>
          </w:p>
        </w:tc>
        <w:tc>
          <w:tcPr>
            <w:tcW w:w="4700" w:type="dxa"/>
            <w:vAlign w:val="bottom"/>
            <w:gridSpan w:val="2"/>
          </w:tcPr>
          <w:p>
            <w:pPr>
              <w:spacing w:after="0"/>
              <w:rPr>
                <w:rFonts w:ascii="Arial" w:cs="Arial" w:eastAsia="Arial" w:hAnsi="Arial"/>
                <w:sz w:val="22"/>
                <w:szCs w:val="22"/>
                <w:u w:val="single" w:color="auto"/>
                <w:color w:val="0000EE"/>
              </w:rPr>
            </w:pPr>
            <w:hyperlink w:anchor="page107">
              <w:r>
                <w:rPr>
                  <w:rFonts w:ascii="Arial" w:cs="Arial" w:eastAsia="Arial" w:hAnsi="Arial"/>
                  <w:sz w:val="22"/>
                  <w:szCs w:val="22"/>
                  <w:u w:val="single" w:color="auto"/>
                  <w:color w:val="0000EE"/>
                </w:rPr>
                <w:t>Amend shareholder written consent provisions</w:t>
              </w:r>
            </w:hyperlink>
          </w:p>
        </w:tc>
        <w:tc>
          <w:tcPr>
            <w:tcW w:w="620" w:type="dxa"/>
            <w:vAlign w:val="bottom"/>
          </w:tcPr>
          <w:p>
            <w:pPr>
              <w:jc w:val="right"/>
              <w:spacing w:after="0"/>
              <w:rPr>
                <w:sz w:val="20"/>
                <w:szCs w:val="20"/>
                <w:color w:val="auto"/>
              </w:rPr>
            </w:pPr>
            <w:r>
              <w:rPr>
                <w:rFonts w:ascii="Arial" w:cs="Arial" w:eastAsia="Arial" w:hAnsi="Arial"/>
                <w:sz w:val="22"/>
                <w:szCs w:val="22"/>
                <w:color w:val="004876"/>
              </w:rPr>
              <w:t>100</w:t>
            </w:r>
          </w:p>
        </w:tc>
      </w:tr>
      <w:tr>
        <w:trPr>
          <w:trHeight w:val="58"/>
        </w:trPr>
        <w:tc>
          <w:tcPr>
            <w:tcW w:w="80" w:type="dxa"/>
            <w:vAlign w:val="bottom"/>
            <w:tcBorders>
              <w:bottom w:val="single" w:sz="8" w:color="004876"/>
            </w:tcBorders>
          </w:tcPr>
          <w:p>
            <w:pPr>
              <w:spacing w:after="0"/>
              <w:rPr>
                <w:sz w:val="5"/>
                <w:szCs w:val="5"/>
                <w:color w:val="auto"/>
              </w:rPr>
            </w:pPr>
          </w:p>
        </w:tc>
        <w:tc>
          <w:tcPr>
            <w:tcW w:w="4080" w:type="dxa"/>
            <w:vAlign w:val="bottom"/>
            <w:tcBorders>
              <w:bottom w:val="single" w:sz="8" w:color="004876"/>
            </w:tcBorders>
          </w:tcPr>
          <w:p>
            <w:pPr>
              <w:spacing w:after="0"/>
              <w:rPr>
                <w:sz w:val="5"/>
                <w:szCs w:val="5"/>
                <w:color w:val="auto"/>
              </w:rPr>
            </w:pPr>
          </w:p>
        </w:tc>
        <w:tc>
          <w:tcPr>
            <w:tcW w:w="620" w:type="dxa"/>
            <w:vAlign w:val="bottom"/>
            <w:tcBorders>
              <w:bottom w:val="single" w:sz="8" w:color="004876"/>
            </w:tcBorders>
          </w:tcPr>
          <w:p>
            <w:pPr>
              <w:spacing w:after="0"/>
              <w:rPr>
                <w:sz w:val="5"/>
                <w:szCs w:val="5"/>
                <w:color w:val="auto"/>
              </w:rPr>
            </w:pPr>
          </w:p>
        </w:tc>
        <w:tc>
          <w:tcPr>
            <w:tcW w:w="620" w:type="dxa"/>
            <w:vAlign w:val="bottom"/>
            <w:tcBorders>
              <w:bottom w:val="single" w:sz="8" w:color="004876"/>
            </w:tcBorders>
          </w:tcPr>
          <w:p>
            <w:pPr>
              <w:spacing w:after="0"/>
              <w:rPr>
                <w:sz w:val="5"/>
                <w:szCs w:val="5"/>
                <w:color w:val="auto"/>
              </w:rPr>
            </w:pPr>
          </w:p>
        </w:tc>
      </w:tr>
      <w:tr>
        <w:trPr>
          <w:trHeight w:val="284"/>
        </w:trPr>
        <w:tc>
          <w:tcPr>
            <w:tcW w:w="8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Arial" w:cs="Arial" w:eastAsia="Arial" w:hAnsi="Arial"/>
                <w:sz w:val="16"/>
                <w:szCs w:val="16"/>
                <w:b w:val="1"/>
                <w:bCs w:val="1"/>
                <w:color w:val="004876"/>
              </w:rPr>
              <w:t>PROPOSAL 8:</w:t>
            </w:r>
          </w:p>
        </w:tc>
        <w:tc>
          <w:tcPr>
            <w:tcW w:w="620" w:type="dxa"/>
            <w:vAlign w:val="bottom"/>
          </w:tcPr>
          <w:p>
            <w:pPr>
              <w:spacing w:after="0"/>
              <w:rPr>
                <w:sz w:val="24"/>
                <w:szCs w:val="24"/>
                <w:color w:val="auto"/>
              </w:rPr>
            </w:pPr>
          </w:p>
        </w:tc>
      </w:tr>
      <w:tr>
        <w:trPr>
          <w:trHeight w:val="327"/>
        </w:trPr>
        <w:tc>
          <w:tcPr>
            <w:tcW w:w="80" w:type="dxa"/>
            <w:vAlign w:val="bottom"/>
          </w:tcPr>
          <w:p>
            <w:pPr>
              <w:spacing w:after="0"/>
              <w:rPr>
                <w:sz w:val="24"/>
                <w:szCs w:val="24"/>
                <w:color w:val="auto"/>
              </w:rPr>
            </w:pPr>
          </w:p>
        </w:tc>
        <w:tc>
          <w:tcPr>
            <w:tcW w:w="4700" w:type="dxa"/>
            <w:vAlign w:val="bottom"/>
            <w:gridSpan w:val="2"/>
          </w:tcPr>
          <w:p>
            <w:pPr>
              <w:spacing w:after="0"/>
              <w:rPr>
                <w:rFonts w:ascii="Arial" w:cs="Arial" w:eastAsia="Arial" w:hAnsi="Arial"/>
                <w:sz w:val="22"/>
                <w:szCs w:val="22"/>
                <w:u w:val="single" w:color="auto"/>
                <w:color w:val="0000EE"/>
              </w:rPr>
            </w:pPr>
            <w:hyperlink w:anchor="page109">
              <w:r>
                <w:rPr>
                  <w:rFonts w:ascii="Arial" w:cs="Arial" w:eastAsia="Arial" w:hAnsi="Arial"/>
                  <w:sz w:val="22"/>
                  <w:szCs w:val="22"/>
                  <w:u w:val="single" w:color="auto"/>
                  <w:color w:val="0000EE"/>
                </w:rPr>
                <w:t>Charitable contributions disclosure</w:t>
              </w:r>
            </w:hyperlink>
          </w:p>
        </w:tc>
        <w:tc>
          <w:tcPr>
            <w:tcW w:w="620" w:type="dxa"/>
            <w:vAlign w:val="bottom"/>
          </w:tcPr>
          <w:p>
            <w:pPr>
              <w:jc w:val="right"/>
              <w:spacing w:after="0"/>
              <w:rPr>
                <w:sz w:val="20"/>
                <w:szCs w:val="20"/>
                <w:color w:val="auto"/>
              </w:rPr>
            </w:pPr>
            <w:r>
              <w:rPr>
                <w:rFonts w:ascii="Arial" w:cs="Arial" w:eastAsia="Arial" w:hAnsi="Arial"/>
                <w:sz w:val="22"/>
                <w:szCs w:val="22"/>
                <w:color w:val="004876"/>
              </w:rPr>
              <w:t>102</w:t>
            </w:r>
          </w:p>
        </w:tc>
      </w:tr>
      <w:tr>
        <w:trPr>
          <w:trHeight w:val="58"/>
        </w:trPr>
        <w:tc>
          <w:tcPr>
            <w:tcW w:w="80" w:type="dxa"/>
            <w:vAlign w:val="bottom"/>
            <w:tcBorders>
              <w:bottom w:val="single" w:sz="8" w:color="004876"/>
            </w:tcBorders>
          </w:tcPr>
          <w:p>
            <w:pPr>
              <w:spacing w:after="0"/>
              <w:rPr>
                <w:sz w:val="5"/>
                <w:szCs w:val="5"/>
                <w:color w:val="auto"/>
              </w:rPr>
            </w:pPr>
          </w:p>
        </w:tc>
        <w:tc>
          <w:tcPr>
            <w:tcW w:w="4080" w:type="dxa"/>
            <w:vAlign w:val="bottom"/>
            <w:tcBorders>
              <w:bottom w:val="single" w:sz="8" w:color="004876"/>
            </w:tcBorders>
          </w:tcPr>
          <w:p>
            <w:pPr>
              <w:spacing w:after="0"/>
              <w:rPr>
                <w:sz w:val="5"/>
                <w:szCs w:val="5"/>
                <w:color w:val="auto"/>
              </w:rPr>
            </w:pPr>
          </w:p>
        </w:tc>
        <w:tc>
          <w:tcPr>
            <w:tcW w:w="620" w:type="dxa"/>
            <w:vAlign w:val="bottom"/>
            <w:tcBorders>
              <w:bottom w:val="single" w:sz="8" w:color="004876"/>
            </w:tcBorders>
          </w:tcPr>
          <w:p>
            <w:pPr>
              <w:spacing w:after="0"/>
              <w:rPr>
                <w:sz w:val="5"/>
                <w:szCs w:val="5"/>
                <w:color w:val="auto"/>
              </w:rPr>
            </w:pPr>
          </w:p>
        </w:tc>
        <w:tc>
          <w:tcPr>
            <w:tcW w:w="620" w:type="dxa"/>
            <w:vAlign w:val="bottom"/>
            <w:tcBorders>
              <w:bottom w:val="single" w:sz="8" w:color="004876"/>
            </w:tcBorders>
          </w:tcPr>
          <w:p>
            <w:pPr>
              <w:spacing w:after="0"/>
              <w:rPr>
                <w:sz w:val="5"/>
                <w:szCs w:val="5"/>
                <w:color w:val="auto"/>
              </w:rPr>
            </w:pPr>
          </w:p>
        </w:tc>
      </w:tr>
      <w:tr>
        <w:trPr>
          <w:trHeight w:val="285"/>
        </w:trPr>
        <w:tc>
          <w:tcPr>
            <w:tcW w:w="8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Arial" w:cs="Arial" w:eastAsia="Arial" w:hAnsi="Arial"/>
                <w:sz w:val="16"/>
                <w:szCs w:val="16"/>
                <w:b w:val="1"/>
                <w:bCs w:val="1"/>
                <w:color w:val="004876"/>
              </w:rPr>
              <w:t>PROPOSAL 9:</w:t>
            </w:r>
          </w:p>
        </w:tc>
        <w:tc>
          <w:tcPr>
            <w:tcW w:w="620" w:type="dxa"/>
            <w:vAlign w:val="bottom"/>
          </w:tcPr>
          <w:p>
            <w:pPr>
              <w:spacing w:after="0"/>
              <w:rPr>
                <w:sz w:val="24"/>
                <w:szCs w:val="24"/>
                <w:color w:val="auto"/>
              </w:rPr>
            </w:pPr>
          </w:p>
        </w:tc>
      </w:tr>
      <w:tr>
        <w:trPr>
          <w:trHeight w:val="326"/>
        </w:trPr>
        <w:tc>
          <w:tcPr>
            <w:tcW w:w="80" w:type="dxa"/>
            <w:vAlign w:val="bottom"/>
          </w:tcPr>
          <w:p>
            <w:pPr>
              <w:spacing w:after="0"/>
              <w:rPr>
                <w:sz w:val="24"/>
                <w:szCs w:val="24"/>
                <w:color w:val="auto"/>
              </w:rPr>
            </w:pPr>
          </w:p>
        </w:tc>
        <w:tc>
          <w:tcPr>
            <w:tcW w:w="4700" w:type="dxa"/>
            <w:vAlign w:val="bottom"/>
            <w:gridSpan w:val="2"/>
          </w:tcPr>
          <w:p>
            <w:pPr>
              <w:spacing w:after="0"/>
              <w:rPr>
                <w:rFonts w:ascii="Arial" w:cs="Arial" w:eastAsia="Arial" w:hAnsi="Arial"/>
                <w:sz w:val="22"/>
                <w:szCs w:val="22"/>
                <w:u w:val="single" w:color="auto"/>
                <w:color w:val="0000EE"/>
              </w:rPr>
            </w:pPr>
            <w:hyperlink w:anchor="page111">
              <w:r>
                <w:rPr>
                  <w:rFonts w:ascii="Arial" w:cs="Arial" w:eastAsia="Arial" w:hAnsi="Arial"/>
                  <w:sz w:val="22"/>
                  <w:szCs w:val="22"/>
                  <w:u w:val="single" w:color="auto"/>
                  <w:color w:val="0000EE"/>
                </w:rPr>
                <w:t>Gender/Racial pay equity</w:t>
              </w:r>
            </w:hyperlink>
          </w:p>
        </w:tc>
        <w:tc>
          <w:tcPr>
            <w:tcW w:w="620" w:type="dxa"/>
            <w:vAlign w:val="bottom"/>
          </w:tcPr>
          <w:p>
            <w:pPr>
              <w:jc w:val="right"/>
              <w:spacing w:after="0"/>
              <w:rPr>
                <w:sz w:val="20"/>
                <w:szCs w:val="20"/>
                <w:color w:val="auto"/>
              </w:rPr>
            </w:pPr>
            <w:r>
              <w:rPr>
                <w:rFonts w:ascii="Arial" w:cs="Arial" w:eastAsia="Arial" w:hAnsi="Arial"/>
                <w:sz w:val="22"/>
                <w:szCs w:val="22"/>
                <w:color w:val="004876"/>
              </w:rPr>
              <w:t>104</w:t>
            </w:r>
          </w:p>
        </w:tc>
      </w:tr>
      <w:tr>
        <w:trPr>
          <w:trHeight w:val="58"/>
        </w:trPr>
        <w:tc>
          <w:tcPr>
            <w:tcW w:w="80" w:type="dxa"/>
            <w:vAlign w:val="bottom"/>
            <w:tcBorders>
              <w:bottom w:val="single" w:sz="8" w:color="004876"/>
            </w:tcBorders>
          </w:tcPr>
          <w:p>
            <w:pPr>
              <w:spacing w:after="0"/>
              <w:rPr>
                <w:sz w:val="5"/>
                <w:szCs w:val="5"/>
                <w:color w:val="auto"/>
              </w:rPr>
            </w:pPr>
          </w:p>
        </w:tc>
        <w:tc>
          <w:tcPr>
            <w:tcW w:w="4080" w:type="dxa"/>
            <w:vAlign w:val="bottom"/>
            <w:tcBorders>
              <w:bottom w:val="single" w:sz="8" w:color="004876"/>
            </w:tcBorders>
          </w:tcPr>
          <w:p>
            <w:pPr>
              <w:spacing w:after="0"/>
              <w:rPr>
                <w:sz w:val="5"/>
                <w:szCs w:val="5"/>
                <w:color w:val="auto"/>
              </w:rPr>
            </w:pPr>
          </w:p>
        </w:tc>
        <w:tc>
          <w:tcPr>
            <w:tcW w:w="620" w:type="dxa"/>
            <w:vAlign w:val="bottom"/>
            <w:tcBorders>
              <w:bottom w:val="single" w:sz="8" w:color="004876"/>
            </w:tcBorders>
          </w:tcPr>
          <w:p>
            <w:pPr>
              <w:spacing w:after="0"/>
              <w:rPr>
                <w:sz w:val="5"/>
                <w:szCs w:val="5"/>
                <w:color w:val="auto"/>
              </w:rPr>
            </w:pPr>
          </w:p>
        </w:tc>
        <w:tc>
          <w:tcPr>
            <w:tcW w:w="620" w:type="dxa"/>
            <w:vAlign w:val="bottom"/>
            <w:tcBorders>
              <w:bottom w:val="single" w:sz="8" w:color="004876"/>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214630</wp:posOffset>
            </wp:positionV>
            <wp:extent cx="3282950" cy="49720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3282950" cy="497205"/>
                    </a:xfrm>
                    <a:prstGeom prst="rect">
                      <a:avLst/>
                    </a:prstGeom>
                    <a:noFill/>
                  </pic:spPr>
                </pic:pic>
              </a:graphicData>
            </a:graphic>
          </wp:anchor>
        </w:drawing>
      </w:r>
    </w:p>
    <w:p>
      <w:pPr>
        <w:spacing w:after="0" w:line="330" w:lineRule="exact"/>
        <w:rPr>
          <w:sz w:val="20"/>
          <w:szCs w:val="20"/>
          <w:color w:val="auto"/>
        </w:rPr>
      </w:pPr>
    </w:p>
    <w:p>
      <w:pPr>
        <w:ind w:left="6100"/>
        <w:spacing w:after="0"/>
        <w:rPr>
          <w:sz w:val="20"/>
          <w:szCs w:val="20"/>
          <w:color w:val="auto"/>
        </w:rPr>
      </w:pPr>
      <w:r>
        <w:rPr>
          <w:rFonts w:ascii="Arial" w:cs="Arial" w:eastAsia="Arial" w:hAnsi="Arial"/>
          <w:sz w:val="20"/>
          <w:szCs w:val="20"/>
          <w:b w:val="1"/>
          <w:bCs w:val="1"/>
          <w:color w:val="FFFFFF"/>
        </w:rPr>
        <w:t>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-50800</wp:posOffset>
            </wp:positionV>
            <wp:extent cx="137160" cy="14541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137160" cy="145415"/>
                    </a:xfrm>
                    <a:prstGeom prst="rect">
                      <a:avLst/>
                    </a:prstGeom>
                    <a:noFill/>
                  </pic:spPr>
                </pic:pic>
              </a:graphicData>
            </a:graphic>
          </wp:anchor>
        </w:drawing>
      </w:r>
    </w:p>
    <w:p>
      <w:pPr>
        <w:spacing w:after="0" w:line="11" w:lineRule="exact"/>
        <w:rPr>
          <w:sz w:val="20"/>
          <w:szCs w:val="20"/>
          <w:color w:val="auto"/>
        </w:rPr>
      </w:pPr>
    </w:p>
    <w:p>
      <w:pPr>
        <w:ind w:left="6100" w:right="1640"/>
        <w:spacing w:after="0" w:line="253" w:lineRule="auto"/>
        <w:rPr>
          <w:sz w:val="20"/>
          <w:szCs w:val="20"/>
          <w:color w:val="auto"/>
        </w:rPr>
      </w:pPr>
      <w:r>
        <w:rPr>
          <w:rFonts w:ascii="Arial" w:cs="Arial" w:eastAsia="Arial" w:hAnsi="Arial"/>
          <w:sz w:val="20"/>
          <w:szCs w:val="20"/>
          <w:color w:val="FFFFFF"/>
        </w:rPr>
        <w:t xml:space="preserve">Vote </w:t>
      </w:r>
      <w:r>
        <w:rPr>
          <w:rFonts w:ascii="Arial" w:cs="Arial" w:eastAsia="Arial" w:hAnsi="Arial"/>
          <w:sz w:val="20"/>
          <w:szCs w:val="20"/>
          <w:b w:val="1"/>
          <w:bCs w:val="1"/>
          <w:color w:val="FFFFFF"/>
        </w:rPr>
        <w:t>AGAINST</w:t>
      </w:r>
      <w:r>
        <w:rPr>
          <w:rFonts w:ascii="Arial" w:cs="Arial" w:eastAsia="Arial" w:hAnsi="Arial"/>
          <w:sz w:val="20"/>
          <w:szCs w:val="20"/>
          <w:color w:val="FFFFFF"/>
        </w:rPr>
        <w:t xml:space="preserve"> shareholder proposals, if presented</w:t>
      </w:r>
    </w:p>
    <w:p>
      <w:pPr>
        <w:spacing w:after="0" w:line="200" w:lineRule="exact"/>
        <w:rPr>
          <w:sz w:val="20"/>
          <w:szCs w:val="20"/>
          <w:color w:val="auto"/>
        </w:rPr>
      </w:pPr>
    </w:p>
    <w:p>
      <w:pPr>
        <w:spacing w:after="0" w:line="264" w:lineRule="exact"/>
        <w:rPr>
          <w:sz w:val="20"/>
          <w:szCs w:val="20"/>
          <w:color w:val="auto"/>
        </w:rPr>
      </w:pPr>
    </w:p>
    <w:p>
      <w:pPr>
        <w:ind w:left="260" w:right="5820" w:hanging="144"/>
        <w:spacing w:after="0" w:line="225" w:lineRule="auto"/>
        <w:tabs>
          <w:tab w:leader="none" w:pos="260" w:val="left"/>
        </w:tabs>
        <w:numPr>
          <w:ilvl w:val="0"/>
          <w:numId w:val="213"/>
        </w:numPr>
        <w:rPr>
          <w:rFonts w:ascii="Arial" w:cs="Arial" w:eastAsia="Arial" w:hAnsi="Arial"/>
          <w:sz w:val="11"/>
          <w:szCs w:val="11"/>
          <w:color w:val="auto"/>
        </w:rPr>
      </w:pPr>
      <w:r>
        <w:rPr>
          <w:rFonts w:ascii="Arial" w:cs="Arial" w:eastAsia="Arial" w:hAnsi="Arial"/>
          <w:sz w:val="13"/>
          <w:szCs w:val="13"/>
          <w:color w:val="auto"/>
        </w:rPr>
        <w:t>The names, addresses and beneficial holdings of the proponents and any co-sponsors to a proposal are available to shareholders upon request by writing to the Secretary at the address listed on page 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336550</wp:posOffset>
            </wp:positionV>
            <wp:extent cx="7029450" cy="19685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029450" cy="196850"/>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p>
      <w:pPr>
        <w:jc w:val="center"/>
        <w:ind w:right="-99"/>
        <w:spacing w:after="0"/>
        <w:rPr>
          <w:sz w:val="20"/>
          <w:szCs w:val="20"/>
          <w:color w:val="auto"/>
        </w:rPr>
      </w:pPr>
      <w:r>
        <w:rPr>
          <w:rFonts w:ascii="Arial" w:cs="Arial" w:eastAsia="Arial" w:hAnsi="Arial"/>
          <w:sz w:val="13"/>
          <w:szCs w:val="13"/>
          <w:b w:val="1"/>
          <w:bCs w:val="1"/>
          <w:color w:val="004876"/>
        </w:rPr>
        <w:t>92</w:t>
      </w:r>
    </w:p>
    <w:p>
      <w:pPr>
        <w:sectPr>
          <w:pgSz w:w="11900" w:h="16838" w:orient="portrait"/>
          <w:cols w:equalWidth="0" w:num="1">
            <w:col w:w="11140"/>
          </w:cols>
          <w:pgMar w:left="320" w:top="459" w:right="4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04876"/>
        </w:rPr>
        <w:t>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20"/>
          </w:cols>
          <w:pgMar w:left="320" w:top="459" w:right="459" w:bottom="1440" w:gutter="0" w:footer="0" w:header="0"/>
        </w:sectPr>
      </w:pPr>
    </w:p>
    <w:p>
      <w:pPr>
        <w:spacing w:after="0" w:line="330" w:lineRule="exact"/>
        <w:rPr>
          <w:sz w:val="20"/>
          <w:szCs w:val="20"/>
          <w:color w:val="auto"/>
        </w:rPr>
      </w:pPr>
    </w:p>
    <w:p>
      <w:pPr>
        <w:ind w:left="120"/>
        <w:spacing w:after="0"/>
        <w:rPr>
          <w:sz w:val="20"/>
          <w:szCs w:val="20"/>
          <w:color w:val="auto"/>
        </w:rPr>
      </w:pPr>
      <w:r>
        <w:rPr>
          <w:rFonts w:ascii="Arial" w:cs="Arial" w:eastAsia="Arial" w:hAnsi="Arial"/>
          <w:sz w:val="20"/>
          <w:szCs w:val="20"/>
          <w:color w:val="004876"/>
        </w:rPr>
        <w:t>Proposal 4 – Independent board chairman</w:t>
      </w:r>
    </w:p>
    <w:p>
      <w:pPr>
        <w:spacing w:after="0" w:line="164" w:lineRule="exact"/>
        <w:rPr>
          <w:sz w:val="20"/>
          <w:szCs w:val="20"/>
          <w:color w:val="auto"/>
        </w:rPr>
      </w:pPr>
    </w:p>
    <w:p>
      <w:pPr>
        <w:ind w:left="120" w:right="260"/>
        <w:spacing w:after="0" w:line="246" w:lineRule="auto"/>
        <w:rPr>
          <w:sz w:val="20"/>
          <w:szCs w:val="20"/>
          <w:color w:val="auto"/>
        </w:rPr>
      </w:pPr>
      <w:r>
        <w:rPr>
          <w:rFonts w:ascii="Arial" w:cs="Arial" w:eastAsia="Arial" w:hAnsi="Arial"/>
          <w:sz w:val="18"/>
          <w:szCs w:val="18"/>
          <w:color w:val="auto"/>
        </w:rPr>
        <w:t>John Chevedden, on behalf of Kenneth Steiner, has advised us that he intends to introduce the following resolution:</w:t>
      </w:r>
    </w:p>
    <w:p>
      <w:pPr>
        <w:spacing w:after="0" w:line="89"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Shareholders request our Board of Directors adopt as policy, and amend our governing documents as necessary, to require that the Chairman of the Board be an independent member of the Board whenever possible. Although it would be better to have an immediate transition to an independent Board Chairman, the Board would have the discretion to phase in this policy for the next Chief Executive Officer transition.</w:t>
      </w:r>
    </w:p>
    <w:p>
      <w:pPr>
        <w:spacing w:after="0" w:line="95" w:lineRule="exact"/>
        <w:rPr>
          <w:sz w:val="20"/>
          <w:szCs w:val="20"/>
          <w:color w:val="auto"/>
        </w:rPr>
      </w:pPr>
    </w:p>
    <w:p>
      <w:pPr>
        <w:ind w:left="120" w:right="120"/>
        <w:spacing w:after="0" w:line="237" w:lineRule="auto"/>
        <w:rPr>
          <w:sz w:val="20"/>
          <w:szCs w:val="20"/>
          <w:color w:val="auto"/>
        </w:rPr>
      </w:pPr>
      <w:r>
        <w:rPr>
          <w:rFonts w:ascii="Arial" w:cs="Arial" w:eastAsia="Arial" w:hAnsi="Arial"/>
          <w:sz w:val="18"/>
          <w:szCs w:val="18"/>
          <w:color w:val="auto"/>
        </w:rPr>
        <w:t>If the Board determines that a Chairman, who was independent when selected is no longer independent, the Board shall select a new Chairman who satisfies the requirements of the policy within a reasonable amount of time. Compliance with this policy is waived in the unlikely event no independent director is available and willing to serve as Chairman under the succession-planning program of JPM.</w:t>
      </w:r>
    </w:p>
    <w:p>
      <w:pPr>
        <w:spacing w:after="0" w:line="95" w:lineRule="exact"/>
        <w:rPr>
          <w:sz w:val="20"/>
          <w:szCs w:val="20"/>
          <w:color w:val="auto"/>
        </w:rPr>
      </w:pPr>
    </w:p>
    <w:p>
      <w:pPr>
        <w:ind w:left="120" w:right="140"/>
        <w:spacing w:after="0" w:line="238" w:lineRule="auto"/>
        <w:rPr>
          <w:sz w:val="20"/>
          <w:szCs w:val="20"/>
          <w:color w:val="auto"/>
        </w:rPr>
      </w:pPr>
      <w:r>
        <w:rPr>
          <w:rFonts w:ascii="Arial" w:cs="Arial" w:eastAsia="Arial" w:hAnsi="Arial"/>
          <w:sz w:val="18"/>
          <w:szCs w:val="18"/>
          <w:color w:val="auto"/>
        </w:rPr>
        <w:t>This proposal topic won 50%-plus support at 5 major U.S. companies in one-year including 73%-support at Netflix. These 5 majority votes would have been still higher if more shareholders had access to independent proxy voting advice.</w:t>
      </w:r>
    </w:p>
    <w:p>
      <w:pPr>
        <w:spacing w:after="0" w:line="97" w:lineRule="exact"/>
        <w:rPr>
          <w:sz w:val="20"/>
          <w:szCs w:val="20"/>
          <w:color w:val="auto"/>
        </w:rPr>
      </w:pPr>
    </w:p>
    <w:p>
      <w:pPr>
        <w:ind w:left="120" w:right="140"/>
        <w:spacing w:after="0" w:line="234" w:lineRule="auto"/>
        <w:rPr>
          <w:sz w:val="20"/>
          <w:szCs w:val="20"/>
          <w:color w:val="auto"/>
        </w:rPr>
      </w:pPr>
      <w:r>
        <w:rPr>
          <w:rFonts w:ascii="Arial" w:cs="Arial" w:eastAsia="Arial" w:hAnsi="Arial"/>
          <w:sz w:val="18"/>
          <w:szCs w:val="18"/>
          <w:color w:val="auto"/>
        </w:rPr>
        <w:t>It is more important to have an independent Chairman of the Board since our Lead Director, Lee Raymond, at age 81, has 19-years long-tenure. Long-tenure in a director is the opposite of independence and independence can be the most important attribute for a director – especially a Lead Director. Plus</w:t>
      </w:r>
    </w:p>
    <w:p>
      <w:pPr>
        <w:spacing w:after="0" w:line="3"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Mr. Raymond serves on no other major Board of Directors to keep his skills up to date. Shareholders may becoming impatient with Mr. Raymond since he received the second highest negative votes at the 2019 JPM annual meeting.</w:t>
      </w:r>
    </w:p>
    <w:p>
      <w:pPr>
        <w:spacing w:after="0" w:line="97" w:lineRule="exact"/>
        <w:rPr>
          <w:sz w:val="20"/>
          <w:szCs w:val="20"/>
          <w:color w:val="auto"/>
        </w:rPr>
      </w:pPr>
    </w:p>
    <w:p>
      <w:pPr>
        <w:jc w:val="both"/>
        <w:ind w:left="120" w:right="280"/>
        <w:spacing w:after="0" w:line="261" w:lineRule="auto"/>
        <w:rPr>
          <w:sz w:val="20"/>
          <w:szCs w:val="20"/>
          <w:color w:val="auto"/>
        </w:rPr>
      </w:pPr>
      <w:r>
        <w:rPr>
          <w:rFonts w:ascii="Arial" w:cs="Arial" w:eastAsia="Arial" w:hAnsi="Arial"/>
          <w:sz w:val="17"/>
          <w:szCs w:val="17"/>
          <w:color w:val="auto"/>
        </w:rPr>
        <w:t>Stephen Burke received the highest negative votes at the 2019 JPM annual meeting which may be a negative reflection on his chairmanship of the JPM director refreshment committee.</w:t>
      </w:r>
    </w:p>
    <w:p>
      <w:pPr>
        <w:spacing w:after="0" w:line="78" w:lineRule="exact"/>
        <w:rPr>
          <w:sz w:val="20"/>
          <w:szCs w:val="20"/>
          <w:color w:val="auto"/>
        </w:rPr>
      </w:pPr>
    </w:p>
    <w:p>
      <w:pPr>
        <w:ind w:left="120" w:right="180"/>
        <w:spacing w:after="0" w:line="238" w:lineRule="auto"/>
        <w:rPr>
          <w:sz w:val="20"/>
          <w:szCs w:val="20"/>
          <w:color w:val="auto"/>
        </w:rPr>
      </w:pPr>
      <w:r>
        <w:rPr>
          <w:rFonts w:ascii="Arial" w:cs="Arial" w:eastAsia="Arial" w:hAnsi="Arial"/>
          <w:sz w:val="18"/>
          <w:szCs w:val="18"/>
          <w:color w:val="auto"/>
        </w:rPr>
        <w:t>The roles of Chairman and CEO are fundamentally different and should be held by 2 directors, a CEO and a Chairman who is completely independent of the CEO and our company – particularly at a company as large and powerful as JPM.</w:t>
      </w:r>
    </w:p>
    <w:p>
      <w:pPr>
        <w:spacing w:after="0" w:line="9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Please vote yes:</w:t>
      </w:r>
    </w:p>
    <w:p>
      <w:pPr>
        <w:spacing w:after="0" w:line="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Independent Board Chairman – Proposal 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20"/>
          <w:szCs w:val="20"/>
          <w:color w:val="004876"/>
        </w:rPr>
        <w:t>Board Response to Proposal 4</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recommends that shareholders vote</w:t>
      </w:r>
    </w:p>
    <w:p>
      <w:pPr>
        <w:spacing w:after="0"/>
        <w:rPr>
          <w:sz w:val="20"/>
          <w:szCs w:val="20"/>
          <w:color w:val="auto"/>
        </w:rPr>
      </w:pPr>
      <w:r>
        <w:rPr>
          <w:rFonts w:ascii="Arial" w:cs="Arial" w:eastAsia="Arial" w:hAnsi="Arial"/>
          <w:sz w:val="18"/>
          <w:szCs w:val="18"/>
          <w:b w:val="1"/>
          <w:bCs w:val="1"/>
          <w:u w:val="single" w:color="auto"/>
          <w:color w:val="920000"/>
        </w:rPr>
        <w:t>AGAINST</w:t>
      </w:r>
      <w:r>
        <w:rPr>
          <w:rFonts w:ascii="Arial" w:cs="Arial" w:eastAsia="Arial" w:hAnsi="Arial"/>
          <w:sz w:val="18"/>
          <w:szCs w:val="18"/>
          <w:b w:val="1"/>
          <w:bCs w:val="1"/>
          <w:color w:val="920000"/>
        </w:rPr>
        <w:t xml:space="preserve"> </w:t>
      </w:r>
      <w:r>
        <w:rPr>
          <w:rFonts w:ascii="Arial" w:cs="Arial" w:eastAsia="Arial" w:hAnsi="Arial"/>
          <w:sz w:val="18"/>
          <w:szCs w:val="18"/>
          <w:color w:val="000000"/>
        </w:rPr>
        <w:t>this proposal for the following reasons: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92075</wp:posOffset>
            </wp:positionV>
            <wp:extent cx="3429000" cy="286321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3429000" cy="2863215"/>
                    </a:xfrm>
                    <a:prstGeom prst="rect">
                      <a:avLst/>
                    </a:prstGeom>
                    <a:noFill/>
                  </pic:spPr>
                </pic:pic>
              </a:graphicData>
            </a:graphic>
          </wp:anchor>
        </w:drawing>
      </w:r>
    </w:p>
    <w:p>
      <w:pPr>
        <w:spacing w:after="0" w:line="143" w:lineRule="exact"/>
        <w:rPr>
          <w:sz w:val="20"/>
          <w:szCs w:val="20"/>
          <w:color w:val="auto"/>
        </w:rPr>
      </w:pPr>
    </w:p>
    <w:p>
      <w:pPr>
        <w:ind w:left="260" w:right="40" w:hanging="199"/>
        <w:spacing w:after="0" w:line="247" w:lineRule="auto"/>
        <w:tabs>
          <w:tab w:leader="none" w:pos="260" w:val="left"/>
        </w:tabs>
        <w:numPr>
          <w:ilvl w:val="0"/>
          <w:numId w:val="214"/>
        </w:numPr>
        <w:rPr>
          <w:rFonts w:ascii="Arial" w:cs="Arial" w:eastAsia="Arial" w:hAnsi="Arial"/>
          <w:sz w:val="18"/>
          <w:szCs w:val="18"/>
          <w:color w:val="004876"/>
        </w:rPr>
      </w:pPr>
      <w:r>
        <w:rPr>
          <w:rFonts w:ascii="Arial" w:cs="Arial" w:eastAsia="Arial" w:hAnsi="Arial"/>
          <w:sz w:val="18"/>
          <w:szCs w:val="18"/>
          <w:b w:val="1"/>
          <w:bCs w:val="1"/>
          <w:color w:val="auto"/>
        </w:rPr>
        <w:t>In exercising its fiduciary duty to act in the best interests of shareholders, the Board believes it is important to retain the flexibility to determine the leadership structure that will best serve those interests.</w:t>
      </w:r>
    </w:p>
    <w:p>
      <w:pPr>
        <w:spacing w:after="0" w:line="79" w:lineRule="exact"/>
        <w:rPr>
          <w:rFonts w:ascii="Arial" w:cs="Arial" w:eastAsia="Arial" w:hAnsi="Arial"/>
          <w:sz w:val="18"/>
          <w:szCs w:val="18"/>
          <w:color w:val="004876"/>
        </w:rPr>
      </w:pPr>
    </w:p>
    <w:p>
      <w:pPr>
        <w:ind w:left="260" w:right="300" w:hanging="199"/>
        <w:spacing w:after="0" w:line="253" w:lineRule="auto"/>
        <w:tabs>
          <w:tab w:leader="none" w:pos="260" w:val="left"/>
        </w:tabs>
        <w:numPr>
          <w:ilvl w:val="0"/>
          <w:numId w:val="214"/>
        </w:numPr>
        <w:rPr>
          <w:rFonts w:ascii="Arial" w:cs="Arial" w:eastAsia="Arial" w:hAnsi="Arial"/>
          <w:sz w:val="18"/>
          <w:szCs w:val="18"/>
          <w:color w:val="004876"/>
        </w:rPr>
      </w:pPr>
      <w:r>
        <w:rPr>
          <w:rFonts w:ascii="Arial" w:cs="Arial" w:eastAsia="Arial" w:hAnsi="Arial"/>
          <w:sz w:val="18"/>
          <w:szCs w:val="18"/>
          <w:b w:val="1"/>
          <w:bCs w:val="1"/>
          <w:color w:val="auto"/>
        </w:rPr>
        <w:t>The Board annually reviews and evaluates its leadership structure. For 2020, the Board determined to maintain a combined role of Chairman and CEO.</w:t>
      </w:r>
    </w:p>
    <w:p>
      <w:pPr>
        <w:spacing w:after="0" w:line="74" w:lineRule="exact"/>
        <w:rPr>
          <w:rFonts w:ascii="Arial" w:cs="Arial" w:eastAsia="Arial" w:hAnsi="Arial"/>
          <w:sz w:val="18"/>
          <w:szCs w:val="18"/>
          <w:color w:val="004876"/>
        </w:rPr>
      </w:pPr>
    </w:p>
    <w:p>
      <w:pPr>
        <w:ind w:left="260" w:right="220" w:hanging="199"/>
        <w:spacing w:after="0"/>
        <w:tabs>
          <w:tab w:leader="none" w:pos="260" w:val="left"/>
        </w:tabs>
        <w:numPr>
          <w:ilvl w:val="0"/>
          <w:numId w:val="214"/>
        </w:numPr>
        <w:rPr>
          <w:rFonts w:ascii="Arial" w:cs="Arial" w:eastAsia="Arial" w:hAnsi="Arial"/>
          <w:sz w:val="18"/>
          <w:szCs w:val="18"/>
          <w:color w:val="004876"/>
        </w:rPr>
      </w:pPr>
      <w:r>
        <w:rPr>
          <w:rFonts w:ascii="Arial" w:cs="Arial" w:eastAsia="Arial" w:hAnsi="Arial"/>
          <w:sz w:val="18"/>
          <w:szCs w:val="18"/>
          <w:b w:val="1"/>
          <w:bCs w:val="1"/>
          <w:color w:val="auto"/>
        </w:rPr>
        <w:t>The Lead Independent Director role allows the Firm to maintain the unified leadership of a combined Chair-CEO while providing an independent counterbalance to the Chairman. For example, the Lead Independent Director presides over executive sessions of the independent directors at which the CEO is not present, approves and adds items to the agenda for Board meetings, and guides the annual performance review of the CEO.</w:t>
      </w:r>
    </w:p>
    <w:p>
      <w:pPr>
        <w:spacing w:after="0" w:line="85" w:lineRule="exact"/>
        <w:rPr>
          <w:rFonts w:ascii="Arial" w:cs="Arial" w:eastAsia="Arial" w:hAnsi="Arial"/>
          <w:sz w:val="18"/>
          <w:szCs w:val="18"/>
          <w:color w:val="004876"/>
        </w:rPr>
      </w:pPr>
    </w:p>
    <w:p>
      <w:pPr>
        <w:ind w:left="260" w:right="20" w:hanging="199"/>
        <w:spacing w:after="0" w:line="244" w:lineRule="auto"/>
        <w:tabs>
          <w:tab w:leader="none" w:pos="260" w:val="left"/>
        </w:tabs>
        <w:numPr>
          <w:ilvl w:val="0"/>
          <w:numId w:val="214"/>
        </w:numPr>
        <w:rPr>
          <w:rFonts w:ascii="Arial" w:cs="Arial" w:eastAsia="Arial" w:hAnsi="Arial"/>
          <w:sz w:val="18"/>
          <w:szCs w:val="18"/>
          <w:color w:val="004876"/>
        </w:rPr>
      </w:pPr>
      <w:r>
        <w:rPr>
          <w:rFonts w:ascii="Arial" w:cs="Arial" w:eastAsia="Arial" w:hAnsi="Arial"/>
          <w:sz w:val="18"/>
          <w:szCs w:val="18"/>
          <w:b w:val="1"/>
          <w:bCs w:val="1"/>
          <w:color w:val="auto"/>
        </w:rPr>
        <w:t>The Board’s leadership structure is consistent with that of the majority of top U.S. public companies; this supports the Board’s view that it should retain the flexibility to determine the leadership structure that is most appropriate for the Firm’s circumstances.</w:t>
      </w:r>
    </w:p>
    <w:p>
      <w:pPr>
        <w:spacing w:after="0" w:line="14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Board believes its responsibilities to shareholders are best fulfilled by retaining the flexibility to determine the right leadership structure for any particular set of circumstances, a view expressed in engagements with shareholders and reflected in repeated votes against proposals that would mandate the Firm’s leadership structure and eliminate Board discretion. The decision to separate the positions of Chairman and CEO should not be mechanical; it should be contextual and based on the composition of the Board, the individual then serving or selected to serve as CEO and the needs and opportunities of the Firm as they change over time. Our shareholders look to the Board to use its experience, knowledge, and judgment, and to consider ongoing feedback from shareholders, to make the most well-informed decision regarding its leadership structure. The proposed policy would restrict the Board from performing this critical task and limit the Board’s ability to choose its leadership structure and the person best suited to serve as Chairman at a particular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341630</wp:posOffset>
            </wp:positionV>
            <wp:extent cx="7029450" cy="19685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029450" cy="1968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00" w:space="340"/>
            <w:col w:w="5380"/>
          </w:cols>
          <w:pgMar w:left="320" w:top="459" w:right="459" w:bottom="1440" w:gutter="0" w:footer="0" w:header="0"/>
          <w:type w:val="continuous"/>
        </w:sectPr>
      </w:pPr>
    </w:p>
    <w:p>
      <w:pPr>
        <w:spacing w:after="0" w:line="200" w:lineRule="exact"/>
        <w:rPr>
          <w:sz w:val="20"/>
          <w:szCs w:val="20"/>
          <w:color w:val="auto"/>
        </w:rPr>
      </w:pPr>
    </w:p>
    <w:p>
      <w:pPr>
        <w:spacing w:after="0" w:line="216" w:lineRule="exact"/>
        <w:rPr>
          <w:sz w:val="20"/>
          <w:szCs w:val="20"/>
          <w:color w:val="auto"/>
        </w:rPr>
      </w:pPr>
    </w:p>
    <w:p>
      <w:pPr>
        <w:jc w:val="center"/>
        <w:ind w:right="-119"/>
        <w:spacing w:after="0"/>
        <w:rPr>
          <w:sz w:val="20"/>
          <w:szCs w:val="20"/>
          <w:color w:val="auto"/>
        </w:rPr>
      </w:pPr>
      <w:r>
        <w:rPr>
          <w:rFonts w:ascii="Arial" w:cs="Arial" w:eastAsia="Arial" w:hAnsi="Arial"/>
          <w:sz w:val="13"/>
          <w:szCs w:val="13"/>
          <w:b w:val="1"/>
          <w:bCs w:val="1"/>
          <w:color w:val="004876"/>
        </w:rPr>
        <w:t>93</w:t>
      </w:r>
    </w:p>
    <w:p>
      <w:pPr>
        <w:sectPr>
          <w:pgSz w:w="11900" w:h="16838" w:orient="portrait"/>
          <w:cols w:equalWidth="0" w:num="1">
            <w:col w:w="11120"/>
          </w:cols>
          <w:pgMar w:left="320" w:top="459" w:right="459" w:bottom="1440" w:gutter="0" w:footer="0" w:header="0"/>
          <w:type w:val="continuous"/>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4876"/>
        </w:rPr>
        <w:t>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6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Firm’s corporate governance structure provides strong</w:t>
      </w:r>
    </w:p>
    <w:p>
      <w:pPr>
        <w:ind w:left="120"/>
        <w:spacing w:after="0" w:line="234" w:lineRule="auto"/>
        <w:rPr>
          <w:sz w:val="20"/>
          <w:szCs w:val="20"/>
          <w:color w:val="auto"/>
        </w:rPr>
      </w:pPr>
      <w:r>
        <w:rPr>
          <w:rFonts w:ascii="Arial" w:cs="Arial" w:eastAsia="Arial" w:hAnsi="Arial"/>
          <w:sz w:val="18"/>
          <w:szCs w:val="18"/>
          <w:color w:val="auto"/>
        </w:rPr>
        <w:t>independent Board oversight. The Firm’s Corporate Governance</w:t>
      </w:r>
    </w:p>
    <w:p>
      <w:pPr>
        <w:ind w:left="120"/>
        <w:spacing w:after="0" w:line="235" w:lineRule="auto"/>
        <w:rPr>
          <w:sz w:val="20"/>
          <w:szCs w:val="20"/>
          <w:color w:val="auto"/>
        </w:rPr>
      </w:pPr>
      <w:r>
        <w:rPr>
          <w:rFonts w:ascii="Arial" w:cs="Arial" w:eastAsia="Arial" w:hAnsi="Arial"/>
          <w:sz w:val="18"/>
          <w:szCs w:val="18"/>
          <w:color w:val="auto"/>
        </w:rPr>
        <w:t>Principles require that the independent directors of the Board</w:t>
      </w:r>
    </w:p>
    <w:p>
      <w:pPr>
        <w:ind w:left="120"/>
        <w:spacing w:after="0" w:line="235" w:lineRule="auto"/>
        <w:rPr>
          <w:sz w:val="20"/>
          <w:szCs w:val="20"/>
          <w:color w:val="auto"/>
        </w:rPr>
      </w:pPr>
      <w:r>
        <w:rPr>
          <w:rFonts w:ascii="Arial" w:cs="Arial" w:eastAsia="Arial" w:hAnsi="Arial"/>
          <w:sz w:val="18"/>
          <w:szCs w:val="18"/>
          <w:color w:val="auto"/>
        </w:rPr>
        <w:t>annually, and in connection with succession planning and the</w:t>
      </w:r>
    </w:p>
    <w:p>
      <w:pPr>
        <w:ind w:left="120"/>
        <w:spacing w:after="0" w:line="235" w:lineRule="auto"/>
        <w:rPr>
          <w:sz w:val="20"/>
          <w:szCs w:val="20"/>
          <w:color w:val="auto"/>
        </w:rPr>
      </w:pPr>
      <w:r>
        <w:rPr>
          <w:rFonts w:ascii="Arial" w:cs="Arial" w:eastAsia="Arial" w:hAnsi="Arial"/>
          <w:sz w:val="18"/>
          <w:szCs w:val="18"/>
          <w:color w:val="auto"/>
        </w:rPr>
        <w:t>selection of a new CEO, review and determine whether the</w:t>
      </w:r>
    </w:p>
    <w:p>
      <w:pPr>
        <w:ind w:left="120"/>
        <w:spacing w:after="0" w:line="235" w:lineRule="auto"/>
        <w:rPr>
          <w:sz w:val="20"/>
          <w:szCs w:val="20"/>
          <w:color w:val="auto"/>
        </w:rPr>
      </w:pPr>
      <w:r>
        <w:rPr>
          <w:rFonts w:ascii="Arial" w:cs="Arial" w:eastAsia="Arial" w:hAnsi="Arial"/>
          <w:sz w:val="18"/>
          <w:szCs w:val="18"/>
          <w:color w:val="auto"/>
        </w:rPr>
        <w:t>Chairman and CEO positions should be held by the same</w:t>
      </w:r>
    </w:p>
    <w:p>
      <w:pPr>
        <w:ind w:left="120"/>
        <w:spacing w:after="0" w:line="234" w:lineRule="auto"/>
        <w:rPr>
          <w:sz w:val="20"/>
          <w:szCs w:val="20"/>
          <w:color w:val="auto"/>
        </w:rPr>
      </w:pPr>
      <w:r>
        <w:rPr>
          <w:rFonts w:ascii="Arial" w:cs="Arial" w:eastAsia="Arial" w:hAnsi="Arial"/>
          <w:sz w:val="18"/>
          <w:szCs w:val="18"/>
          <w:color w:val="auto"/>
        </w:rPr>
        <w:t>individual. If, following its review, the independent directors</w:t>
      </w:r>
    </w:p>
    <w:p>
      <w:pPr>
        <w:ind w:left="120"/>
        <w:spacing w:after="0" w:line="235" w:lineRule="auto"/>
        <w:rPr>
          <w:sz w:val="20"/>
          <w:szCs w:val="20"/>
          <w:color w:val="auto"/>
        </w:rPr>
      </w:pPr>
      <w:r>
        <w:rPr>
          <w:rFonts w:ascii="Arial" w:cs="Arial" w:eastAsia="Arial" w:hAnsi="Arial"/>
          <w:sz w:val="18"/>
          <w:szCs w:val="18"/>
          <w:color w:val="auto"/>
        </w:rPr>
        <w:t>conclude that an independent Chairman is in the best interests of</w:t>
      </w:r>
    </w:p>
    <w:p>
      <w:pPr>
        <w:ind w:left="120"/>
        <w:spacing w:after="0" w:line="235" w:lineRule="auto"/>
        <w:rPr>
          <w:sz w:val="20"/>
          <w:szCs w:val="20"/>
          <w:color w:val="auto"/>
        </w:rPr>
      </w:pPr>
      <w:r>
        <w:rPr>
          <w:rFonts w:ascii="Arial" w:cs="Arial" w:eastAsia="Arial" w:hAnsi="Arial"/>
          <w:sz w:val="18"/>
          <w:szCs w:val="18"/>
          <w:color w:val="auto"/>
        </w:rPr>
        <w:t>our shareholders, the independent directors will appoint one. The</w:t>
      </w:r>
    </w:p>
    <w:p>
      <w:pPr>
        <w:ind w:left="120"/>
        <w:spacing w:after="0" w:line="235" w:lineRule="auto"/>
        <w:rPr>
          <w:sz w:val="20"/>
          <w:szCs w:val="20"/>
          <w:color w:val="auto"/>
        </w:rPr>
      </w:pPr>
      <w:r>
        <w:rPr>
          <w:rFonts w:ascii="Arial" w:cs="Arial" w:eastAsia="Arial" w:hAnsi="Arial"/>
          <w:sz w:val="18"/>
          <w:szCs w:val="18"/>
          <w:color w:val="auto"/>
        </w:rPr>
        <w:t>Board has separated the Chairman and CEO positions in the past</w:t>
      </w:r>
    </w:p>
    <w:p>
      <w:pPr>
        <w:ind w:left="120"/>
        <w:spacing w:after="0" w:line="235" w:lineRule="auto"/>
        <w:rPr>
          <w:sz w:val="20"/>
          <w:szCs w:val="20"/>
          <w:color w:val="auto"/>
        </w:rPr>
      </w:pPr>
      <w:r>
        <w:rPr>
          <w:rFonts w:ascii="Arial" w:cs="Arial" w:eastAsia="Arial" w:hAnsi="Arial"/>
          <w:sz w:val="18"/>
          <w:szCs w:val="18"/>
          <w:color w:val="auto"/>
        </w:rPr>
        <w:t>and will do so in the future if it believes that doing so is in the best</w:t>
      </w:r>
    </w:p>
    <w:p>
      <w:pPr>
        <w:ind w:left="120"/>
        <w:spacing w:after="0"/>
        <w:rPr>
          <w:sz w:val="20"/>
          <w:szCs w:val="20"/>
          <w:color w:val="auto"/>
        </w:rPr>
      </w:pPr>
      <w:r>
        <w:rPr>
          <w:rFonts w:ascii="Arial" w:cs="Arial" w:eastAsia="Arial" w:hAnsi="Arial"/>
          <w:sz w:val="18"/>
          <w:szCs w:val="18"/>
          <w:color w:val="auto"/>
        </w:rPr>
        <w:t>interests of our shareholders.</w:t>
      </w:r>
    </w:p>
    <w:p>
      <w:pPr>
        <w:spacing w:after="0" w:line="9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Early in 2020, the independent directors again reviewed the</w:t>
      </w:r>
    </w:p>
    <w:p>
      <w:pPr>
        <w:ind w:left="120"/>
        <w:spacing w:after="0" w:line="234" w:lineRule="auto"/>
        <w:rPr>
          <w:sz w:val="20"/>
          <w:szCs w:val="20"/>
          <w:color w:val="auto"/>
        </w:rPr>
      </w:pPr>
      <w:r>
        <w:rPr>
          <w:rFonts w:ascii="Arial" w:cs="Arial" w:eastAsia="Arial" w:hAnsi="Arial"/>
          <w:sz w:val="18"/>
          <w:szCs w:val="18"/>
          <w:color w:val="auto"/>
        </w:rPr>
        <w:t>Board’s leadership structure and determined that, at the present</w:t>
      </w:r>
    </w:p>
    <w:p>
      <w:pPr>
        <w:ind w:left="120"/>
        <w:spacing w:after="0" w:line="235" w:lineRule="auto"/>
        <w:rPr>
          <w:sz w:val="20"/>
          <w:szCs w:val="20"/>
          <w:color w:val="auto"/>
        </w:rPr>
      </w:pPr>
      <w:r>
        <w:rPr>
          <w:rFonts w:ascii="Arial" w:cs="Arial" w:eastAsia="Arial" w:hAnsi="Arial"/>
          <w:sz w:val="18"/>
          <w:szCs w:val="18"/>
          <w:color w:val="auto"/>
        </w:rPr>
        <w:t>time, Mr. Dimon’s combined role as Chairman and CEO, with a</w:t>
      </w:r>
    </w:p>
    <w:p>
      <w:pPr>
        <w:ind w:left="120"/>
        <w:spacing w:after="0" w:line="235" w:lineRule="auto"/>
        <w:rPr>
          <w:sz w:val="20"/>
          <w:szCs w:val="20"/>
          <w:color w:val="auto"/>
        </w:rPr>
      </w:pPr>
      <w:r>
        <w:rPr>
          <w:rFonts w:ascii="Arial" w:cs="Arial" w:eastAsia="Arial" w:hAnsi="Arial"/>
          <w:sz w:val="18"/>
          <w:szCs w:val="18"/>
          <w:color w:val="auto"/>
        </w:rPr>
        <w:t>robust Lead Independent Director role, provides the Board with</w:t>
      </w:r>
    </w:p>
    <w:p>
      <w:pPr>
        <w:ind w:left="120"/>
        <w:spacing w:after="0" w:line="235" w:lineRule="auto"/>
        <w:rPr>
          <w:sz w:val="20"/>
          <w:szCs w:val="20"/>
          <w:color w:val="auto"/>
        </w:rPr>
      </w:pPr>
      <w:r>
        <w:rPr>
          <w:rFonts w:ascii="Arial" w:cs="Arial" w:eastAsia="Arial" w:hAnsi="Arial"/>
          <w:sz w:val="18"/>
          <w:szCs w:val="18"/>
          <w:color w:val="auto"/>
        </w:rPr>
        <w:t>strong leadership and independent oversight of management and</w:t>
      </w:r>
    </w:p>
    <w:p>
      <w:pPr>
        <w:ind w:left="120"/>
        <w:spacing w:after="0" w:line="235" w:lineRule="auto"/>
        <w:rPr>
          <w:sz w:val="20"/>
          <w:szCs w:val="20"/>
          <w:color w:val="auto"/>
        </w:rPr>
      </w:pPr>
      <w:r>
        <w:rPr>
          <w:rFonts w:ascii="Arial" w:cs="Arial" w:eastAsia="Arial" w:hAnsi="Arial"/>
          <w:sz w:val="18"/>
          <w:szCs w:val="18"/>
          <w:color w:val="auto"/>
        </w:rPr>
        <w:t>serves to protect shareholder interests. This leadership structure</w:t>
      </w:r>
    </w:p>
    <w:p>
      <w:pPr>
        <w:ind w:left="120"/>
        <w:spacing w:after="0" w:line="234" w:lineRule="auto"/>
        <w:rPr>
          <w:sz w:val="20"/>
          <w:szCs w:val="20"/>
          <w:color w:val="auto"/>
        </w:rPr>
      </w:pPr>
      <w:r>
        <w:rPr>
          <w:rFonts w:ascii="Arial" w:cs="Arial" w:eastAsia="Arial" w:hAnsi="Arial"/>
          <w:sz w:val="18"/>
          <w:szCs w:val="18"/>
          <w:color w:val="auto"/>
        </w:rPr>
        <w:t>allows the Firm to maintain the unified leadership of a combined</w:t>
      </w:r>
    </w:p>
    <w:p>
      <w:pPr>
        <w:ind w:left="120"/>
        <w:spacing w:after="0" w:line="235" w:lineRule="auto"/>
        <w:rPr>
          <w:sz w:val="20"/>
          <w:szCs w:val="20"/>
          <w:color w:val="auto"/>
        </w:rPr>
      </w:pPr>
      <w:r>
        <w:rPr>
          <w:rFonts w:ascii="Arial" w:cs="Arial" w:eastAsia="Arial" w:hAnsi="Arial"/>
          <w:sz w:val="18"/>
          <w:szCs w:val="18"/>
          <w:color w:val="auto"/>
        </w:rPr>
        <w:t>Chairman and CEO role while providing an independent</w:t>
      </w:r>
    </w:p>
    <w:p>
      <w:pPr>
        <w:ind w:left="120"/>
        <w:spacing w:after="0" w:line="235" w:lineRule="auto"/>
        <w:rPr>
          <w:sz w:val="20"/>
          <w:szCs w:val="20"/>
          <w:color w:val="auto"/>
        </w:rPr>
      </w:pPr>
      <w:r>
        <w:rPr>
          <w:rFonts w:ascii="Arial" w:cs="Arial" w:eastAsia="Arial" w:hAnsi="Arial"/>
          <w:sz w:val="18"/>
          <w:szCs w:val="18"/>
          <w:color w:val="auto"/>
        </w:rPr>
        <w:t>counterbalance to the Chairman. In addition to the factors</w:t>
      </w:r>
    </w:p>
    <w:p>
      <w:pPr>
        <w:ind w:left="120"/>
        <w:spacing w:after="0" w:line="235" w:lineRule="auto"/>
        <w:rPr>
          <w:sz w:val="20"/>
          <w:szCs w:val="20"/>
          <w:color w:val="auto"/>
        </w:rPr>
      </w:pPr>
      <w:r>
        <w:rPr>
          <w:rFonts w:ascii="Arial" w:cs="Arial" w:eastAsia="Arial" w:hAnsi="Arial"/>
          <w:sz w:val="18"/>
          <w:szCs w:val="18"/>
          <w:color w:val="auto"/>
        </w:rPr>
        <w:t>described on page 23, the Board considered the significant</w:t>
      </w:r>
    </w:p>
    <w:p>
      <w:pPr>
        <w:ind w:left="120"/>
        <w:spacing w:after="0" w:line="235" w:lineRule="auto"/>
        <w:rPr>
          <w:sz w:val="20"/>
          <w:szCs w:val="20"/>
          <w:color w:val="auto"/>
        </w:rPr>
      </w:pPr>
      <w:r>
        <w:rPr>
          <w:rFonts w:ascii="Arial" w:cs="Arial" w:eastAsia="Arial" w:hAnsi="Arial"/>
          <w:sz w:val="18"/>
          <w:szCs w:val="18"/>
          <w:color w:val="auto"/>
        </w:rPr>
        <w:t>authority and responsibilities of the Lead Independent Director</w:t>
      </w:r>
    </w:p>
    <w:p>
      <w:pPr>
        <w:ind w:left="120"/>
        <w:spacing w:after="0" w:line="234" w:lineRule="auto"/>
        <w:rPr>
          <w:sz w:val="20"/>
          <w:szCs w:val="20"/>
          <w:color w:val="auto"/>
        </w:rPr>
      </w:pPr>
      <w:r>
        <w:rPr>
          <w:rFonts w:ascii="Arial" w:cs="Arial" w:eastAsia="Arial" w:hAnsi="Arial"/>
          <w:sz w:val="18"/>
          <w:szCs w:val="18"/>
          <w:color w:val="auto"/>
        </w:rPr>
        <w:t>with respect to the operation and functioning of the Board as</w:t>
      </w:r>
    </w:p>
    <w:p>
      <w:pPr>
        <w:ind w:left="120"/>
        <w:spacing w:after="0" w:line="235" w:lineRule="auto"/>
        <w:rPr>
          <w:sz w:val="20"/>
          <w:szCs w:val="20"/>
          <w:color w:val="auto"/>
        </w:rPr>
      </w:pPr>
      <w:r>
        <w:rPr>
          <w:rFonts w:ascii="Arial" w:cs="Arial" w:eastAsia="Arial" w:hAnsi="Arial"/>
          <w:sz w:val="18"/>
          <w:szCs w:val="18"/>
          <w:color w:val="auto"/>
        </w:rPr>
        <w:t>detailed on page 23. The Board also considered the Firm’s</w:t>
      </w:r>
    </w:p>
    <w:p>
      <w:pPr>
        <w:ind w:left="120"/>
        <w:spacing w:after="0" w:line="235" w:lineRule="auto"/>
        <w:rPr>
          <w:sz w:val="20"/>
          <w:szCs w:val="20"/>
          <w:color w:val="auto"/>
        </w:rPr>
      </w:pPr>
      <w:r>
        <w:rPr>
          <w:rFonts w:ascii="Arial" w:cs="Arial" w:eastAsia="Arial" w:hAnsi="Arial"/>
          <w:sz w:val="18"/>
          <w:szCs w:val="18"/>
          <w:color w:val="auto"/>
        </w:rPr>
        <w:t>governance practices which include executive sessions of</w:t>
      </w:r>
    </w:p>
    <w:p>
      <w:pPr>
        <w:ind w:left="120"/>
        <w:spacing w:after="0" w:line="235" w:lineRule="auto"/>
        <w:rPr>
          <w:sz w:val="20"/>
          <w:szCs w:val="20"/>
          <w:color w:val="auto"/>
        </w:rPr>
      </w:pPr>
      <w:r>
        <w:rPr>
          <w:rFonts w:ascii="Arial" w:cs="Arial" w:eastAsia="Arial" w:hAnsi="Arial"/>
          <w:sz w:val="18"/>
          <w:szCs w:val="18"/>
          <w:color w:val="auto"/>
        </w:rPr>
        <w:t>independent directors as part of each regularly scheduled Board</w:t>
      </w:r>
    </w:p>
    <w:p>
      <w:pPr>
        <w:ind w:left="120"/>
        <w:spacing w:after="0" w:line="235" w:lineRule="auto"/>
        <w:rPr>
          <w:sz w:val="20"/>
          <w:szCs w:val="20"/>
          <w:color w:val="auto"/>
        </w:rPr>
      </w:pPr>
      <w:r>
        <w:rPr>
          <w:rFonts w:ascii="Arial" w:cs="Arial" w:eastAsia="Arial" w:hAnsi="Arial"/>
          <w:sz w:val="18"/>
          <w:szCs w:val="18"/>
          <w:color w:val="auto"/>
        </w:rPr>
        <w:t>meeting, all committees of the Board being comprised of</w:t>
      </w:r>
    </w:p>
    <w:p>
      <w:pPr>
        <w:ind w:left="120"/>
        <w:spacing w:after="0" w:line="234" w:lineRule="auto"/>
        <w:rPr>
          <w:sz w:val="20"/>
          <w:szCs w:val="20"/>
          <w:color w:val="auto"/>
        </w:rPr>
      </w:pPr>
      <w:r>
        <w:rPr>
          <w:rFonts w:ascii="Arial" w:cs="Arial" w:eastAsia="Arial" w:hAnsi="Arial"/>
          <w:sz w:val="18"/>
          <w:szCs w:val="18"/>
          <w:color w:val="auto"/>
        </w:rPr>
        <w:t>independent directors, regular formal and informal discussions</w:t>
      </w:r>
    </w:p>
    <w:p>
      <w:pPr>
        <w:ind w:left="120"/>
        <w:spacing w:after="0" w:line="235" w:lineRule="auto"/>
        <w:rPr>
          <w:sz w:val="20"/>
          <w:szCs w:val="20"/>
          <w:color w:val="auto"/>
        </w:rPr>
      </w:pPr>
      <w:r>
        <w:rPr>
          <w:rFonts w:ascii="Arial" w:cs="Arial" w:eastAsia="Arial" w:hAnsi="Arial"/>
          <w:sz w:val="18"/>
          <w:szCs w:val="18"/>
          <w:color w:val="auto"/>
        </w:rPr>
        <w:t>among the independent Board members and between the</w:t>
      </w:r>
    </w:p>
    <w:p>
      <w:pPr>
        <w:ind w:left="120"/>
        <w:spacing w:after="0" w:line="235" w:lineRule="auto"/>
        <w:rPr>
          <w:sz w:val="20"/>
          <w:szCs w:val="20"/>
          <w:color w:val="auto"/>
        </w:rPr>
      </w:pPr>
      <w:r>
        <w:rPr>
          <w:rFonts w:ascii="Arial" w:cs="Arial" w:eastAsia="Arial" w:hAnsi="Arial"/>
          <w:sz w:val="18"/>
          <w:szCs w:val="18"/>
          <w:color w:val="auto"/>
        </w:rPr>
        <w:t>independent Board members and senior management (other than</w:t>
      </w:r>
    </w:p>
    <w:p>
      <w:pPr>
        <w:ind w:left="120"/>
        <w:spacing w:after="0"/>
        <w:rPr>
          <w:sz w:val="20"/>
          <w:szCs w:val="20"/>
          <w:color w:val="auto"/>
        </w:rPr>
      </w:pPr>
      <w:r>
        <w:rPr>
          <w:rFonts w:ascii="Arial" w:cs="Arial" w:eastAsia="Arial" w:hAnsi="Arial"/>
          <w:sz w:val="18"/>
          <w:szCs w:val="18"/>
          <w:color w:val="auto"/>
        </w:rPr>
        <w:t>the CEO), and the Board and committee self-evaluation process.</w:t>
      </w:r>
    </w:p>
    <w:p>
      <w:pPr>
        <w:spacing w:after="0" w:line="9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Board’s belief in the importance of retaining the flexibility to</w:t>
      </w:r>
    </w:p>
    <w:p>
      <w:pPr>
        <w:ind w:left="120"/>
        <w:spacing w:after="0" w:line="234" w:lineRule="auto"/>
        <w:rPr>
          <w:sz w:val="20"/>
          <w:szCs w:val="20"/>
          <w:color w:val="auto"/>
        </w:rPr>
      </w:pPr>
      <w:r>
        <w:rPr>
          <w:rFonts w:ascii="Arial" w:cs="Arial" w:eastAsia="Arial" w:hAnsi="Arial"/>
          <w:sz w:val="18"/>
          <w:szCs w:val="18"/>
          <w:color w:val="auto"/>
        </w:rPr>
        <w:t>determine the best leadership structure is consistent with the</w:t>
      </w:r>
    </w:p>
    <w:p>
      <w:pPr>
        <w:ind w:left="120"/>
        <w:spacing w:after="0" w:line="235" w:lineRule="auto"/>
        <w:rPr>
          <w:sz w:val="20"/>
          <w:szCs w:val="20"/>
          <w:color w:val="auto"/>
        </w:rPr>
      </w:pPr>
      <w:r>
        <w:rPr>
          <w:rFonts w:ascii="Arial" w:cs="Arial" w:eastAsia="Arial" w:hAnsi="Arial"/>
          <w:sz w:val="18"/>
          <w:szCs w:val="18"/>
          <w:color w:val="auto"/>
        </w:rPr>
        <w:t>policies and practices at other large companies. According to</w:t>
      </w:r>
    </w:p>
    <w:p>
      <w:pPr>
        <w:ind w:left="120"/>
        <w:spacing w:after="0" w:line="235" w:lineRule="auto"/>
        <w:rPr>
          <w:sz w:val="20"/>
          <w:szCs w:val="20"/>
          <w:color w:val="auto"/>
        </w:rPr>
      </w:pPr>
      <w:r>
        <w:rPr>
          <w:rFonts w:ascii="Arial" w:cs="Arial" w:eastAsia="Arial" w:hAnsi="Arial"/>
          <w:sz w:val="18"/>
          <w:szCs w:val="18"/>
          <w:color w:val="auto"/>
        </w:rPr>
        <w:t xml:space="preserve">Shearman &amp; Sterling’s 2019 </w:t>
      </w:r>
      <w:r>
        <w:rPr>
          <w:rFonts w:ascii="Arial" w:cs="Arial" w:eastAsia="Arial" w:hAnsi="Arial"/>
          <w:sz w:val="18"/>
          <w:szCs w:val="18"/>
          <w:i w:val="1"/>
          <w:iCs w:val="1"/>
          <w:color w:val="auto"/>
        </w:rPr>
        <w:t>Corporate Governance &amp; Executive</w:t>
      </w:r>
    </w:p>
    <w:p>
      <w:pPr>
        <w:ind w:left="120"/>
        <w:spacing w:after="0" w:line="235" w:lineRule="auto"/>
        <w:rPr>
          <w:sz w:val="20"/>
          <w:szCs w:val="20"/>
          <w:color w:val="auto"/>
        </w:rPr>
      </w:pPr>
      <w:r>
        <w:rPr>
          <w:rFonts w:ascii="Arial" w:cs="Arial" w:eastAsia="Arial" w:hAnsi="Arial"/>
          <w:sz w:val="18"/>
          <w:szCs w:val="18"/>
          <w:i w:val="1"/>
          <w:iCs w:val="1"/>
          <w:color w:val="auto"/>
        </w:rPr>
        <w:t>Compensation Survey</w:t>
      </w:r>
      <w:r>
        <w:rPr>
          <w:rFonts w:ascii="Arial" w:cs="Arial" w:eastAsia="Arial" w:hAnsi="Arial"/>
          <w:sz w:val="18"/>
          <w:szCs w:val="18"/>
          <w:color w:val="auto"/>
        </w:rPr>
        <w:t>, of the top 100 U.S. public companies, 62</w:t>
      </w:r>
    </w:p>
    <w:p>
      <w:pPr>
        <w:ind w:left="120"/>
        <w:spacing w:after="0" w:line="235" w:lineRule="auto"/>
        <w:rPr>
          <w:sz w:val="20"/>
          <w:szCs w:val="20"/>
          <w:color w:val="auto"/>
        </w:rPr>
      </w:pPr>
      <w:r>
        <w:rPr>
          <w:rFonts w:ascii="Arial" w:cs="Arial" w:eastAsia="Arial" w:hAnsi="Arial"/>
          <w:sz w:val="18"/>
          <w:szCs w:val="18"/>
          <w:color w:val="auto"/>
        </w:rPr>
        <w:t>have a combined chair and CEO. At the 38 companies where the</w:t>
      </w:r>
    </w:p>
    <w:p>
      <w:pPr>
        <w:ind w:left="120"/>
        <w:spacing w:after="0" w:line="234" w:lineRule="auto"/>
        <w:rPr>
          <w:sz w:val="20"/>
          <w:szCs w:val="20"/>
          <w:color w:val="auto"/>
        </w:rPr>
      </w:pPr>
      <w:r>
        <w:rPr>
          <w:rFonts w:ascii="Arial" w:cs="Arial" w:eastAsia="Arial" w:hAnsi="Arial"/>
          <w:sz w:val="18"/>
          <w:szCs w:val="18"/>
          <w:color w:val="auto"/>
        </w:rPr>
        <w:t>chair and CEO positions are not combined, 11 chairs are not</w:t>
      </w:r>
    </w:p>
    <w:p>
      <w:pPr>
        <w:ind w:left="120"/>
        <w:spacing w:after="0" w:line="235" w:lineRule="auto"/>
        <w:rPr>
          <w:sz w:val="20"/>
          <w:szCs w:val="20"/>
          <w:color w:val="auto"/>
        </w:rPr>
      </w:pPr>
      <w:r>
        <w:rPr>
          <w:rFonts w:ascii="Arial" w:cs="Arial" w:eastAsia="Arial" w:hAnsi="Arial"/>
          <w:sz w:val="18"/>
          <w:szCs w:val="18"/>
          <w:color w:val="auto"/>
        </w:rPr>
        <w:t>independent. Further, at more than 80% of the companies where</w:t>
      </w:r>
    </w:p>
    <w:p>
      <w:pPr>
        <w:ind w:left="120"/>
        <w:spacing w:after="0" w:line="235" w:lineRule="auto"/>
        <w:rPr>
          <w:sz w:val="20"/>
          <w:szCs w:val="20"/>
          <w:color w:val="auto"/>
        </w:rPr>
      </w:pPr>
      <w:r>
        <w:rPr>
          <w:rFonts w:ascii="Arial" w:cs="Arial" w:eastAsia="Arial" w:hAnsi="Arial"/>
          <w:sz w:val="18"/>
          <w:szCs w:val="18"/>
          <w:color w:val="auto"/>
        </w:rPr>
        <w:t>the chair and CEO positions are not combined, the board retains</w:t>
      </w:r>
    </w:p>
    <w:p>
      <w:pPr>
        <w:ind w:left="120"/>
        <w:spacing w:after="0" w:line="235" w:lineRule="auto"/>
        <w:rPr>
          <w:sz w:val="20"/>
          <w:szCs w:val="20"/>
          <w:color w:val="auto"/>
        </w:rPr>
      </w:pPr>
      <w:r>
        <w:rPr>
          <w:rFonts w:ascii="Arial" w:cs="Arial" w:eastAsia="Arial" w:hAnsi="Arial"/>
          <w:sz w:val="18"/>
          <w:szCs w:val="18"/>
          <w:color w:val="auto"/>
        </w:rPr>
        <w:t>discretion to determine its leadership structure. These statistics</w:t>
      </w:r>
    </w:p>
    <w:p>
      <w:pPr>
        <w:ind w:left="120"/>
        <w:spacing w:after="0" w:line="235" w:lineRule="auto"/>
        <w:rPr>
          <w:sz w:val="20"/>
          <w:szCs w:val="20"/>
          <w:color w:val="auto"/>
        </w:rPr>
      </w:pPr>
      <w:r>
        <w:rPr>
          <w:rFonts w:ascii="Arial" w:cs="Arial" w:eastAsia="Arial" w:hAnsi="Arial"/>
          <w:sz w:val="18"/>
          <w:szCs w:val="18"/>
          <w:color w:val="auto"/>
        </w:rPr>
        <w:t>support the Board’s view that it should retain the flexibility to</w:t>
      </w:r>
    </w:p>
    <w:p>
      <w:pPr>
        <w:ind w:left="120"/>
        <w:spacing w:after="0" w:line="234" w:lineRule="auto"/>
        <w:rPr>
          <w:sz w:val="20"/>
          <w:szCs w:val="20"/>
          <w:color w:val="auto"/>
        </w:rPr>
      </w:pPr>
      <w:r>
        <w:rPr>
          <w:rFonts w:ascii="Arial" w:cs="Arial" w:eastAsia="Arial" w:hAnsi="Arial"/>
          <w:sz w:val="18"/>
          <w:szCs w:val="18"/>
          <w:color w:val="auto"/>
        </w:rPr>
        <w:t>determine the leadership structure that will best serve the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interests of the Firm and its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151765</wp:posOffset>
            </wp:positionV>
            <wp:extent cx="2991485" cy="33401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2991485" cy="334010"/>
                    </a:xfrm>
                    <a:prstGeom prst="rect">
                      <a:avLst/>
                    </a:prstGeom>
                    <a:noFill/>
                  </pic:spPr>
                </pic:pic>
              </a:graphicData>
            </a:graphic>
          </wp:anchor>
        </w:drawing>
      </w:r>
    </w:p>
    <w:p>
      <w:pPr>
        <w:spacing w:after="0" w:line="242" w:lineRule="exact"/>
        <w:rPr>
          <w:sz w:val="20"/>
          <w:szCs w:val="20"/>
          <w:color w:val="auto"/>
        </w:rPr>
      </w:pPr>
    </w:p>
    <w:p>
      <w:pPr>
        <w:ind w:left="820"/>
        <w:spacing w:after="0"/>
        <w:rPr>
          <w:sz w:val="20"/>
          <w:szCs w:val="20"/>
          <w:color w:val="auto"/>
        </w:rPr>
      </w:pPr>
      <w:r>
        <w:rPr>
          <w:rFonts w:ascii="Arial" w:cs="Arial" w:eastAsia="Arial" w:hAnsi="Arial"/>
          <w:sz w:val="20"/>
          <w:szCs w:val="20"/>
          <w:color w:val="FFFFFF"/>
        </w:rPr>
        <w:t>The Board of Directors recommends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-108585</wp:posOffset>
            </wp:positionV>
            <wp:extent cx="137160" cy="14605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137160" cy="146050"/>
                    </a:xfrm>
                    <a:prstGeom prst="rect">
                      <a:avLst/>
                    </a:prstGeom>
                    <a:noFill/>
                  </pic:spPr>
                </pic:pic>
              </a:graphicData>
            </a:graphic>
          </wp:anchor>
        </w:drawing>
      </w:r>
    </w:p>
    <w:p>
      <w:pPr>
        <w:ind w:left="820"/>
        <w:spacing w:after="0"/>
        <w:rPr>
          <w:sz w:val="20"/>
          <w:szCs w:val="20"/>
          <w:color w:val="auto"/>
        </w:rPr>
      </w:pPr>
      <w:r>
        <w:rPr>
          <w:rFonts w:ascii="Arial" w:cs="Arial" w:eastAsia="Arial" w:hAnsi="Arial"/>
          <w:sz w:val="20"/>
          <w:szCs w:val="20"/>
          <w:color w:val="FFFFFF"/>
        </w:rPr>
        <w:t xml:space="preserve">vote </w:t>
      </w:r>
      <w:r>
        <w:rPr>
          <w:rFonts w:ascii="Arial" w:cs="Arial" w:eastAsia="Arial" w:hAnsi="Arial"/>
          <w:sz w:val="20"/>
          <w:szCs w:val="20"/>
          <w:b w:val="1"/>
          <w:bCs w:val="1"/>
          <w:color w:val="FFFFFF"/>
        </w:rPr>
        <w:t>AGAINST</w:t>
      </w:r>
      <w:r>
        <w:rPr>
          <w:rFonts w:ascii="Arial" w:cs="Arial" w:eastAsia="Arial" w:hAnsi="Arial"/>
          <w:sz w:val="20"/>
          <w:szCs w:val="20"/>
          <w:color w:val="FFFFFF"/>
        </w:rPr>
        <w:t xml:space="preserve">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370840</wp:posOffset>
            </wp:positionV>
            <wp:extent cx="7029450" cy="19685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029450" cy="196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3"/>
          <w:szCs w:val="13"/>
          <w:b w:val="1"/>
          <w:bCs w:val="1"/>
          <w:color w:val="004876"/>
        </w:rPr>
        <w:t>94</w:t>
      </w:r>
    </w:p>
    <w:p>
      <w:pPr>
        <w:sectPr>
          <w:pgSz w:w="11900" w:h="16838" w:orient="portrait"/>
          <w:cols w:equalWidth="0" w:num="1">
            <w:col w:w="11140"/>
          </w:cols>
          <w:pgMar w:left="320" w:top="459" w:right="4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04876"/>
        </w:rPr>
        <w:t>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10" w:lineRule="exact"/>
        <w:rPr>
          <w:sz w:val="20"/>
          <w:szCs w:val="20"/>
          <w:color w:val="auto"/>
        </w:rPr>
      </w:pPr>
    </w:p>
    <w:p>
      <w:pPr>
        <w:ind w:left="120"/>
        <w:spacing w:after="0"/>
        <w:rPr>
          <w:sz w:val="20"/>
          <w:szCs w:val="20"/>
          <w:color w:val="auto"/>
        </w:rPr>
      </w:pPr>
      <w:r>
        <w:rPr>
          <w:rFonts w:ascii="Arial" w:cs="Arial" w:eastAsia="Arial" w:hAnsi="Arial"/>
          <w:sz w:val="19"/>
          <w:szCs w:val="19"/>
          <w:color w:val="004876"/>
        </w:rPr>
        <w:t>Proposal 5 — Oil and gas company and project financing related to the Arctic and the Canadian oil sands</w:t>
      </w:r>
    </w:p>
    <w:p>
      <w:pPr>
        <w:sectPr>
          <w:pgSz w:w="11900" w:h="16838" w:orient="portrait"/>
          <w:cols w:equalWidth="0" w:num="1">
            <w:col w:w="11080"/>
          </w:cols>
          <w:pgMar w:left="320" w:top="459" w:right="499" w:bottom="1440" w:gutter="0" w:footer="0" w:header="0"/>
        </w:sectPr>
      </w:pPr>
    </w:p>
    <w:p>
      <w:pPr>
        <w:spacing w:after="0" w:line="176" w:lineRule="exact"/>
        <w:rPr>
          <w:sz w:val="20"/>
          <w:szCs w:val="20"/>
          <w:color w:val="auto"/>
        </w:rPr>
      </w:pPr>
    </w:p>
    <w:p>
      <w:pPr>
        <w:ind w:left="120" w:right="280"/>
        <w:spacing w:after="0"/>
        <w:rPr>
          <w:sz w:val="20"/>
          <w:szCs w:val="20"/>
          <w:color w:val="auto"/>
        </w:rPr>
      </w:pPr>
      <w:r>
        <w:rPr>
          <w:rFonts w:ascii="Arial" w:cs="Arial" w:eastAsia="Arial" w:hAnsi="Arial"/>
          <w:sz w:val="18"/>
          <w:szCs w:val="18"/>
          <w:color w:val="auto"/>
        </w:rPr>
        <w:t>Trillium Asset Management LLC, as agent for Oneida Trust Minors, has advised us that it intends to introduce the following resolution:</w:t>
      </w:r>
    </w:p>
    <w:p>
      <w:pPr>
        <w:spacing w:after="0" w:line="9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Whereas:</w:t>
      </w:r>
    </w:p>
    <w:p>
      <w:pPr>
        <w:spacing w:after="0" w:line="104"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Climate change is a global challenge that continues to gain widespread attention for its numerous, significant environmental and social impacts. Particular subsectors of fossil fuels, including Arctic and Canadian tar sands (also referred to as oil sands), have become hot button political issues, because of their particular impacts on the climate, the local environment, and Indigenous rights. Protests surrounding the Keystone XL and Line 3 pipelines and opposition to drilling in the Arctic are among the high-profile concerns. JPMorgan is reportedly the largest global lender and underwriter to the top 30 companies operating in Arctic oil and gas, and the top U.S. lender and underwriter to the top 34 tar sands companies, which has led to JPMorgan being the target of significant protests - often led by Indigenous peoples.</w:t>
      </w:r>
    </w:p>
    <w:p>
      <w:pPr>
        <w:spacing w:after="0" w:line="95" w:lineRule="exact"/>
        <w:rPr>
          <w:sz w:val="20"/>
          <w:szCs w:val="20"/>
          <w:color w:val="auto"/>
        </w:rPr>
      </w:pPr>
    </w:p>
    <w:p>
      <w:pPr>
        <w:ind w:left="120" w:right="20"/>
        <w:spacing w:after="0" w:line="234" w:lineRule="auto"/>
        <w:rPr>
          <w:sz w:val="20"/>
          <w:szCs w:val="20"/>
          <w:color w:val="auto"/>
        </w:rPr>
      </w:pPr>
      <w:r>
        <w:rPr>
          <w:rFonts w:ascii="Arial" w:cs="Arial" w:eastAsia="Arial" w:hAnsi="Arial"/>
          <w:sz w:val="18"/>
          <w:szCs w:val="18"/>
          <w:color w:val="auto"/>
        </w:rPr>
        <w:t>According to a poll conducted in 2017 by Yale and George Mason University, 70% of American voters oppose drilling in the Arctic National Wildlife Refuge.[1] In September 2019, the U.S. House of Representatives voted 225-193 to reinstate a ban on drilling the refuge. August 2019 reporting revealed that in reality, ANWR may not contain very much oil amid accusations that boosters in Washington are exaggerating the extent of the resource, thus supporting this activity is likely far riskier than previously thought.</w:t>
      </w:r>
    </w:p>
    <w:p>
      <w:pPr>
        <w:spacing w:after="0" w:line="6" w:lineRule="exact"/>
        <w:rPr>
          <w:sz w:val="20"/>
          <w:szCs w:val="20"/>
          <w:color w:val="auto"/>
        </w:rPr>
      </w:pPr>
    </w:p>
    <w:p>
      <w:pPr>
        <w:ind w:left="120" w:right="580" w:hanging="4"/>
        <w:spacing w:after="0" w:line="274" w:lineRule="auto"/>
        <w:tabs>
          <w:tab w:leader="none" w:pos="370" w:val="left"/>
        </w:tabs>
        <w:numPr>
          <w:ilvl w:val="0"/>
          <w:numId w:val="215"/>
        </w:numPr>
        <w:rPr>
          <w:rFonts w:ascii="Arial" w:cs="Arial" w:eastAsia="Arial" w:hAnsi="Arial"/>
          <w:sz w:val="17"/>
          <w:szCs w:val="17"/>
          <w:color w:val="auto"/>
        </w:rPr>
      </w:pPr>
      <w:r>
        <w:rPr>
          <w:rFonts w:ascii="Arial" w:cs="Arial" w:eastAsia="Arial" w:hAnsi="Arial"/>
          <w:sz w:val="17"/>
          <w:szCs w:val="17"/>
          <w:color w:val="auto"/>
        </w:rPr>
        <w:t>Beyond ANWR, drilling anywhere in the Arctic threatens Indigenous rights and impacts a fragile ecosystem.</w:t>
      </w:r>
    </w:p>
    <w:p>
      <w:pPr>
        <w:spacing w:after="0" w:line="67" w:lineRule="exact"/>
        <w:rPr>
          <w:sz w:val="20"/>
          <w:szCs w:val="20"/>
          <w:color w:val="auto"/>
        </w:rPr>
      </w:pPr>
    </w:p>
    <w:p>
      <w:pPr>
        <w:ind w:left="120" w:right="160"/>
        <w:spacing w:after="0" w:line="237" w:lineRule="auto"/>
        <w:rPr>
          <w:sz w:val="20"/>
          <w:szCs w:val="20"/>
          <w:color w:val="auto"/>
        </w:rPr>
      </w:pPr>
      <w:r>
        <w:rPr>
          <w:rFonts w:ascii="Arial" w:cs="Arial" w:eastAsia="Arial" w:hAnsi="Arial"/>
          <w:sz w:val="18"/>
          <w:szCs w:val="18"/>
          <w:color w:val="auto"/>
        </w:rPr>
        <w:t>While JPMorgan has an enhanced due diligence process for transactions related to Arctic oil and gas, HSBC, BNP Paribas, and Société Générale have made commitments to restrict financing for oil and gas production in the Arctic.[3] For example, BNP Paribas prohibits all financing for all Arctic oil and gas projects, and commits to phase out some financing for and/or exclude some Arctic oil and gas companies.</w:t>
      </w:r>
    </w:p>
    <w:p>
      <w:pPr>
        <w:spacing w:after="0" w:line="95"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Similarly, tar sands production and transport is becoming increasingly controversial and economically unviable, as multinational oil firms are rapidly exiting the industry. Recently, Kinder Morgan, ConocoPhillips, Devon, and Equinor have sold out of their oil sands projects.[4]</w:t>
      </w:r>
    </w:p>
    <w:p>
      <w:pPr>
        <w:spacing w:after="0" w:line="94" w:lineRule="exact"/>
        <w:rPr>
          <w:sz w:val="20"/>
          <w:szCs w:val="20"/>
          <w:color w:val="auto"/>
        </w:rPr>
      </w:pPr>
    </w:p>
    <w:p>
      <w:pPr>
        <w:ind w:left="120" w:right="80"/>
        <w:spacing w:after="0" w:line="237" w:lineRule="auto"/>
        <w:rPr>
          <w:sz w:val="20"/>
          <w:szCs w:val="20"/>
          <w:color w:val="auto"/>
        </w:rPr>
      </w:pPr>
      <w:r>
        <w:rPr>
          <w:rFonts w:ascii="Arial" w:cs="Arial" w:eastAsia="Arial" w:hAnsi="Arial"/>
          <w:sz w:val="18"/>
          <w:szCs w:val="18"/>
          <w:color w:val="auto"/>
        </w:rPr>
        <w:t>In August 2019, JPMorgan’s CEO Jamie Dimon led 180 other members of the Business Roundtable in expressing his commitment to deliver value to all of the company’s stakeholders. Specifically, he committed to delivering value to customers, employees, suppliers, communities, embracing sustainable practices across its businesses, and generating long-term value for shareholders.</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ind w:left="6" w:right="40"/>
        <w:spacing w:after="0" w:line="237" w:lineRule="auto"/>
        <w:rPr>
          <w:sz w:val="20"/>
          <w:szCs w:val="20"/>
          <w:color w:val="auto"/>
        </w:rPr>
      </w:pPr>
      <w:r>
        <w:rPr>
          <w:rFonts w:ascii="Arial" w:cs="Arial" w:eastAsia="Arial" w:hAnsi="Arial"/>
          <w:sz w:val="18"/>
          <w:szCs w:val="18"/>
          <w:color w:val="auto"/>
        </w:rPr>
        <w:t>Resolved: shareholders request that the Board of Directors issue a report (at reasonable expense, within a reasonable time, and omitting confidential or propriety information) describing how JPMorgan Chase plans to respond to rising reputational risks for the Company and questions about its role in society related to involvement in Canadian oil sands production, oil sands pipeline companies, and Arctic oil and gas exploration and production.</w:t>
      </w:r>
    </w:p>
    <w:p>
      <w:pPr>
        <w:spacing w:after="0" w:line="97" w:lineRule="exact"/>
        <w:rPr>
          <w:sz w:val="20"/>
          <w:szCs w:val="20"/>
          <w:color w:val="auto"/>
        </w:rPr>
      </w:pPr>
    </w:p>
    <w:p>
      <w:pPr>
        <w:ind w:left="6" w:right="40" w:hanging="6"/>
        <w:spacing w:after="0" w:line="260" w:lineRule="auto"/>
        <w:tabs>
          <w:tab w:leader="none" w:pos="231" w:val="left"/>
        </w:tabs>
        <w:numPr>
          <w:ilvl w:val="0"/>
          <w:numId w:val="216"/>
        </w:numPr>
        <w:rPr>
          <w:rFonts w:ascii="Arial" w:cs="Arial" w:eastAsia="Arial" w:hAnsi="Arial"/>
          <w:sz w:val="16"/>
          <w:szCs w:val="16"/>
          <w:color w:val="auto"/>
        </w:rPr>
      </w:pPr>
      <w:r>
        <w:rPr>
          <w:rFonts w:ascii="Arial" w:cs="Arial" w:eastAsia="Arial" w:hAnsi="Arial"/>
          <w:sz w:val="16"/>
          <w:szCs w:val="16"/>
          <w:u w:val="single" w:color="auto"/>
          <w:color w:val="auto"/>
        </w:rPr>
        <w:t>https://climatecommunication.yale.edu/publications/americans-oppose-drilling-arctic-national-wildlife-refuge/</w:t>
      </w:r>
    </w:p>
    <w:p>
      <w:pPr>
        <w:spacing w:after="0" w:line="87" w:lineRule="exact"/>
        <w:rPr>
          <w:rFonts w:ascii="Arial" w:cs="Arial" w:eastAsia="Arial" w:hAnsi="Arial"/>
          <w:sz w:val="16"/>
          <w:szCs w:val="16"/>
          <w:color w:val="auto"/>
        </w:rPr>
      </w:pPr>
    </w:p>
    <w:p>
      <w:pPr>
        <w:ind w:left="6" w:right="660" w:hanging="6"/>
        <w:spacing w:after="0" w:line="260" w:lineRule="auto"/>
        <w:tabs>
          <w:tab w:leader="none" w:pos="231" w:val="left"/>
        </w:tabs>
        <w:numPr>
          <w:ilvl w:val="0"/>
          <w:numId w:val="216"/>
        </w:numPr>
        <w:rPr>
          <w:rFonts w:ascii="Arial" w:cs="Arial" w:eastAsia="Arial" w:hAnsi="Arial"/>
          <w:sz w:val="16"/>
          <w:szCs w:val="16"/>
          <w:color w:val="auto"/>
        </w:rPr>
      </w:pPr>
      <w:r>
        <w:rPr>
          <w:rFonts w:ascii="Arial" w:cs="Arial" w:eastAsia="Arial" w:hAnsi="Arial"/>
          <w:sz w:val="16"/>
          <w:szCs w:val="16"/>
          <w:u w:val="single" w:color="auto"/>
          <w:color w:val="auto"/>
        </w:rPr>
        <w:t>https://www.nytimes.com/2019/08/21/us/oil-drilling-arctic.html? action=click&amp;module=Top%20Stories&amp;pgtype =Homepage</w:t>
      </w:r>
    </w:p>
    <w:p>
      <w:pPr>
        <w:spacing w:after="0" w:line="87" w:lineRule="exact"/>
        <w:rPr>
          <w:rFonts w:ascii="Arial" w:cs="Arial" w:eastAsia="Arial" w:hAnsi="Arial"/>
          <w:sz w:val="16"/>
          <w:szCs w:val="16"/>
          <w:color w:val="auto"/>
        </w:rPr>
      </w:pPr>
    </w:p>
    <w:p>
      <w:pPr>
        <w:ind w:left="226" w:hanging="226"/>
        <w:spacing w:after="0"/>
        <w:tabs>
          <w:tab w:leader="none" w:pos="226" w:val="left"/>
        </w:tabs>
        <w:numPr>
          <w:ilvl w:val="0"/>
          <w:numId w:val="216"/>
        </w:numPr>
        <w:rPr>
          <w:rFonts w:ascii="Arial" w:cs="Arial" w:eastAsia="Arial" w:hAnsi="Arial"/>
          <w:sz w:val="16"/>
          <w:szCs w:val="16"/>
          <w:color w:val="auto"/>
        </w:rPr>
      </w:pPr>
      <w:r>
        <w:rPr>
          <w:rFonts w:ascii="Arial" w:cs="Arial" w:eastAsia="Arial" w:hAnsi="Arial"/>
          <w:sz w:val="16"/>
          <w:szCs w:val="16"/>
          <w:u w:val="single" w:color="auto"/>
          <w:color w:val="auto"/>
        </w:rPr>
        <w:t>https://www.banktrack.org/campaign/banks_that_ended_</w:t>
      </w:r>
    </w:p>
    <w:p>
      <w:pPr>
        <w:spacing w:after="0" w:line="5" w:lineRule="exact"/>
        <w:rPr>
          <w:sz w:val="20"/>
          <w:szCs w:val="20"/>
          <w:color w:val="auto"/>
        </w:rPr>
      </w:pPr>
    </w:p>
    <w:p>
      <w:pPr>
        <w:ind w:left="6" w:right="880"/>
        <w:spacing w:after="0" w:line="253" w:lineRule="auto"/>
        <w:rPr>
          <w:sz w:val="20"/>
          <w:szCs w:val="20"/>
          <w:color w:val="auto"/>
        </w:rPr>
      </w:pPr>
      <w:r>
        <w:rPr>
          <w:rFonts w:ascii="Arial" w:cs="Arial" w:eastAsia="Arial" w:hAnsi="Arial"/>
          <w:sz w:val="16"/>
          <w:szCs w:val="16"/>
          <w:u w:val="single" w:color="auto"/>
          <w:color w:val="auto"/>
        </w:rPr>
        <w:t>direct_finance_for_arctic_oil_andor_gas projects#</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https://www.ran.org/wp-content/uploads/2019/03/Banking_on_ Climate_Change_2019_vFINAL1.pdf</w:t>
      </w:r>
    </w:p>
    <w:p>
      <w:pPr>
        <w:spacing w:after="0" w:line="93" w:lineRule="exact"/>
        <w:rPr>
          <w:sz w:val="20"/>
          <w:szCs w:val="20"/>
          <w:color w:val="auto"/>
        </w:rPr>
      </w:pPr>
    </w:p>
    <w:p>
      <w:pPr>
        <w:ind w:left="226" w:hanging="226"/>
        <w:spacing w:after="0"/>
        <w:tabs>
          <w:tab w:leader="none" w:pos="226" w:val="left"/>
        </w:tabs>
        <w:numPr>
          <w:ilvl w:val="0"/>
          <w:numId w:val="217"/>
        </w:numPr>
        <w:rPr>
          <w:rFonts w:ascii="Arial" w:cs="Arial" w:eastAsia="Arial" w:hAnsi="Arial"/>
          <w:sz w:val="16"/>
          <w:szCs w:val="16"/>
          <w:color w:val="auto"/>
        </w:rPr>
      </w:pPr>
      <w:r>
        <w:rPr>
          <w:rFonts w:ascii="Arial" w:cs="Arial" w:eastAsia="Arial" w:hAnsi="Arial"/>
          <w:sz w:val="16"/>
          <w:szCs w:val="16"/>
          <w:u w:val="single" w:color="auto"/>
          <w:color w:val="auto"/>
        </w:rPr>
        <w:t>https://www.eenews.net/energywire/2019/08/23/stories/1061035363</w:t>
      </w:r>
    </w:p>
    <w:p>
      <w:pPr>
        <w:spacing w:after="0" w:line="216" w:lineRule="exact"/>
        <w:rPr>
          <w:sz w:val="20"/>
          <w:szCs w:val="20"/>
          <w:color w:val="auto"/>
        </w:rPr>
      </w:pPr>
    </w:p>
    <w:p>
      <w:pPr>
        <w:ind w:left="6"/>
        <w:spacing w:after="0"/>
        <w:rPr>
          <w:sz w:val="20"/>
          <w:szCs w:val="20"/>
          <w:color w:val="auto"/>
        </w:rPr>
      </w:pPr>
      <w:r>
        <w:rPr>
          <w:rFonts w:ascii="Arial" w:cs="Arial" w:eastAsia="Arial" w:hAnsi="Arial"/>
          <w:sz w:val="20"/>
          <w:szCs w:val="20"/>
          <w:color w:val="004876"/>
        </w:rPr>
        <w:t>Board Response to Proposal 5</w:t>
      </w:r>
    </w:p>
    <w:p>
      <w:pPr>
        <w:spacing w:after="0" w:line="92" w:lineRule="exact"/>
        <w:rPr>
          <w:sz w:val="20"/>
          <w:szCs w:val="20"/>
          <w:color w:val="auto"/>
        </w:rPr>
      </w:pPr>
    </w:p>
    <w:p>
      <w:pPr>
        <w:ind w:left="6"/>
        <w:spacing w:after="0"/>
        <w:rPr>
          <w:sz w:val="20"/>
          <w:szCs w:val="20"/>
          <w:color w:val="auto"/>
        </w:rPr>
      </w:pPr>
      <w:r>
        <w:rPr>
          <w:rFonts w:ascii="Arial" w:cs="Arial" w:eastAsia="Arial" w:hAnsi="Arial"/>
          <w:sz w:val="18"/>
          <w:szCs w:val="18"/>
          <w:color w:val="auto"/>
        </w:rPr>
        <w:t>The Board of Directors recommends that shareholders vote</w:t>
      </w:r>
    </w:p>
    <w:p>
      <w:pPr>
        <w:ind w:left="6"/>
        <w:spacing w:after="0"/>
        <w:rPr>
          <w:sz w:val="20"/>
          <w:szCs w:val="20"/>
          <w:color w:val="auto"/>
        </w:rPr>
      </w:pPr>
      <w:r>
        <w:rPr>
          <w:rFonts w:ascii="Arial" w:cs="Arial" w:eastAsia="Arial" w:hAnsi="Arial"/>
          <w:sz w:val="18"/>
          <w:szCs w:val="18"/>
          <w:b w:val="1"/>
          <w:bCs w:val="1"/>
          <w:u w:val="single" w:color="auto"/>
          <w:color w:val="920000"/>
        </w:rPr>
        <w:t>AGAINST</w:t>
      </w:r>
      <w:r>
        <w:rPr>
          <w:rFonts w:ascii="Arial" w:cs="Arial" w:eastAsia="Arial" w:hAnsi="Arial"/>
          <w:sz w:val="18"/>
          <w:szCs w:val="18"/>
          <w:b w:val="1"/>
          <w:bCs w:val="1"/>
          <w:color w:val="920000"/>
        </w:rPr>
        <w:t xml:space="preserve"> </w:t>
      </w:r>
      <w:r>
        <w:rPr>
          <w:rFonts w:ascii="Arial" w:cs="Arial" w:eastAsia="Arial" w:hAnsi="Arial"/>
          <w:sz w:val="18"/>
          <w:szCs w:val="18"/>
          <w:color w:val="000000"/>
        </w:rPr>
        <w:t>this proposal for the following reasons: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92075</wp:posOffset>
            </wp:positionV>
            <wp:extent cx="3429000" cy="319722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3429000" cy="3197225"/>
                    </a:xfrm>
                    <a:prstGeom prst="rect">
                      <a:avLst/>
                    </a:prstGeom>
                    <a:noFill/>
                  </pic:spPr>
                </pic:pic>
              </a:graphicData>
            </a:graphic>
          </wp:anchor>
        </w:drawing>
      </w:r>
    </w:p>
    <w:p>
      <w:pPr>
        <w:spacing w:after="0" w:line="143" w:lineRule="exact"/>
        <w:rPr>
          <w:sz w:val="20"/>
          <w:szCs w:val="20"/>
          <w:color w:val="auto"/>
        </w:rPr>
      </w:pPr>
    </w:p>
    <w:p>
      <w:pPr>
        <w:ind w:left="266" w:right="240" w:hanging="199"/>
        <w:spacing w:after="0" w:line="247" w:lineRule="auto"/>
        <w:tabs>
          <w:tab w:leader="none" w:pos="266" w:val="left"/>
        </w:tabs>
        <w:numPr>
          <w:ilvl w:val="0"/>
          <w:numId w:val="218"/>
        </w:numPr>
        <w:rPr>
          <w:rFonts w:ascii="Arial" w:cs="Arial" w:eastAsia="Arial" w:hAnsi="Arial"/>
          <w:sz w:val="18"/>
          <w:szCs w:val="18"/>
          <w:color w:val="004876"/>
        </w:rPr>
      </w:pPr>
      <w:r>
        <w:rPr>
          <w:rFonts w:ascii="Arial" w:cs="Arial" w:eastAsia="Arial" w:hAnsi="Arial"/>
          <w:sz w:val="18"/>
          <w:szCs w:val="18"/>
          <w:b w:val="1"/>
          <w:bCs w:val="1"/>
          <w:color w:val="auto"/>
        </w:rPr>
        <w:t>JPMorgan Chase is committed to supporting companies that are working to transition to a lower carbon economy and expanding our financing for companies focused on low-carbon technologies and solutions.</w:t>
      </w:r>
    </w:p>
    <w:p>
      <w:pPr>
        <w:spacing w:after="0" w:line="79" w:lineRule="exact"/>
        <w:rPr>
          <w:rFonts w:ascii="Arial" w:cs="Arial" w:eastAsia="Arial" w:hAnsi="Arial"/>
          <w:sz w:val="18"/>
          <w:szCs w:val="18"/>
          <w:color w:val="004876"/>
        </w:rPr>
      </w:pPr>
    </w:p>
    <w:p>
      <w:pPr>
        <w:ind w:left="266" w:right="160" w:hanging="199"/>
        <w:spacing w:after="0" w:line="244" w:lineRule="auto"/>
        <w:tabs>
          <w:tab w:leader="none" w:pos="266" w:val="left"/>
        </w:tabs>
        <w:numPr>
          <w:ilvl w:val="0"/>
          <w:numId w:val="218"/>
        </w:numPr>
        <w:rPr>
          <w:rFonts w:ascii="Arial" w:cs="Arial" w:eastAsia="Arial" w:hAnsi="Arial"/>
          <w:sz w:val="18"/>
          <w:szCs w:val="18"/>
          <w:color w:val="004876"/>
        </w:rPr>
      </w:pPr>
      <w:r>
        <w:rPr>
          <w:rFonts w:ascii="Arial" w:cs="Arial" w:eastAsia="Arial" w:hAnsi="Arial"/>
          <w:sz w:val="18"/>
          <w:szCs w:val="18"/>
          <w:b w:val="1"/>
          <w:bCs w:val="1"/>
          <w:color w:val="auto"/>
        </w:rPr>
        <w:t>In February 2020, we announced a prohibition on project financing where the proceeds will be used for new oil and gas development in the Arctic, and expanded our restrictions on financing for coal mining and coal-fired power.</w:t>
      </w:r>
    </w:p>
    <w:p>
      <w:pPr>
        <w:spacing w:after="0" w:line="81" w:lineRule="exact"/>
        <w:rPr>
          <w:rFonts w:ascii="Arial" w:cs="Arial" w:eastAsia="Arial" w:hAnsi="Arial"/>
          <w:sz w:val="18"/>
          <w:szCs w:val="18"/>
          <w:color w:val="004876"/>
        </w:rPr>
      </w:pPr>
    </w:p>
    <w:p>
      <w:pPr>
        <w:ind w:left="266" w:right="380" w:hanging="199"/>
        <w:spacing w:after="0" w:line="271" w:lineRule="auto"/>
        <w:tabs>
          <w:tab w:leader="none" w:pos="266" w:val="left"/>
        </w:tabs>
        <w:numPr>
          <w:ilvl w:val="0"/>
          <w:numId w:val="218"/>
        </w:numPr>
        <w:rPr>
          <w:rFonts w:ascii="Arial" w:cs="Arial" w:eastAsia="Arial" w:hAnsi="Arial"/>
          <w:sz w:val="18"/>
          <w:szCs w:val="18"/>
          <w:color w:val="004876"/>
        </w:rPr>
      </w:pPr>
      <w:r>
        <w:rPr>
          <w:rFonts w:ascii="Arial" w:cs="Arial" w:eastAsia="Arial" w:hAnsi="Arial"/>
          <w:sz w:val="18"/>
          <w:szCs w:val="18"/>
          <w:b w:val="1"/>
          <w:bCs w:val="1"/>
          <w:color w:val="auto"/>
        </w:rPr>
        <w:t>We also announced a new commitment to finance $200 billion in 2020 for sustainable development.</w:t>
      </w:r>
    </w:p>
    <w:p>
      <w:pPr>
        <w:spacing w:after="0" w:line="59" w:lineRule="exact"/>
        <w:rPr>
          <w:rFonts w:ascii="Arial" w:cs="Arial" w:eastAsia="Arial" w:hAnsi="Arial"/>
          <w:sz w:val="18"/>
          <w:szCs w:val="18"/>
          <w:color w:val="004876"/>
        </w:rPr>
      </w:pPr>
    </w:p>
    <w:p>
      <w:pPr>
        <w:ind w:left="266" w:hanging="199"/>
        <w:spacing w:after="0" w:line="242" w:lineRule="auto"/>
        <w:tabs>
          <w:tab w:leader="none" w:pos="266" w:val="left"/>
        </w:tabs>
        <w:numPr>
          <w:ilvl w:val="0"/>
          <w:numId w:val="218"/>
        </w:numPr>
        <w:rPr>
          <w:rFonts w:ascii="Arial" w:cs="Arial" w:eastAsia="Arial" w:hAnsi="Arial"/>
          <w:sz w:val="18"/>
          <w:szCs w:val="18"/>
          <w:color w:val="004876"/>
        </w:rPr>
      </w:pPr>
      <w:r>
        <w:rPr>
          <w:rFonts w:ascii="Arial" w:cs="Arial" w:eastAsia="Arial" w:hAnsi="Arial"/>
          <w:sz w:val="18"/>
          <w:szCs w:val="18"/>
          <w:b w:val="1"/>
          <w:bCs w:val="1"/>
          <w:color w:val="auto"/>
        </w:rPr>
        <w:t>JPMorgan Chase already considers environmental and human rights issues within our client selection process. The Canadian oil sands and the Arctic are identified as sensitive sectors, and any transaction in those sectors requires enhanced review by our Global Environmental and Social Risk Management team.</w:t>
      </w:r>
    </w:p>
    <w:p>
      <w:pPr>
        <w:spacing w:after="0" w:line="84" w:lineRule="exact"/>
        <w:rPr>
          <w:rFonts w:ascii="Arial" w:cs="Arial" w:eastAsia="Arial" w:hAnsi="Arial"/>
          <w:sz w:val="18"/>
          <w:szCs w:val="18"/>
          <w:color w:val="004876"/>
        </w:rPr>
      </w:pPr>
    </w:p>
    <w:p>
      <w:pPr>
        <w:ind w:left="266" w:right="40" w:hanging="199"/>
        <w:spacing w:after="0" w:line="244" w:lineRule="auto"/>
        <w:tabs>
          <w:tab w:leader="none" w:pos="266" w:val="left"/>
        </w:tabs>
        <w:numPr>
          <w:ilvl w:val="0"/>
          <w:numId w:val="218"/>
        </w:numPr>
        <w:rPr>
          <w:rFonts w:ascii="Arial" w:cs="Arial" w:eastAsia="Arial" w:hAnsi="Arial"/>
          <w:sz w:val="18"/>
          <w:szCs w:val="18"/>
          <w:color w:val="004876"/>
        </w:rPr>
      </w:pPr>
      <w:r>
        <w:rPr>
          <w:rFonts w:ascii="Arial" w:cs="Arial" w:eastAsia="Arial" w:hAnsi="Arial"/>
          <w:sz w:val="18"/>
          <w:szCs w:val="18"/>
          <w:b w:val="1"/>
          <w:bCs w:val="1"/>
          <w:color w:val="auto"/>
        </w:rPr>
        <w:t>We provide transparent disclosure of our approach to and performance on environmental, social and governance (ESG) topics through multiple channels, and we share information on our website and in direct engagements with stakeholders.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-3566795</wp:posOffset>
            </wp:positionH>
            <wp:positionV relativeFrom="paragraph">
              <wp:posOffset>546735</wp:posOffset>
            </wp:positionV>
            <wp:extent cx="7029450" cy="19685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029450" cy="196850"/>
                    </a:xfrm>
                    <a:prstGeom prst="rect">
                      <a:avLst/>
                    </a:prstGeom>
                    <a:noFill/>
                  </pic:spPr>
                </pic:pic>
              </a:graphicData>
            </a:graphic>
          </wp:anchor>
        </w:drawing>
      </w:r>
    </w:p>
    <w:p>
      <w:pPr>
        <w:spacing w:after="0" w:line="533" w:lineRule="exact"/>
        <w:rPr>
          <w:sz w:val="20"/>
          <w:szCs w:val="20"/>
          <w:color w:val="auto"/>
        </w:rPr>
      </w:pPr>
    </w:p>
    <w:p>
      <w:pPr>
        <w:sectPr>
          <w:pgSz w:w="11900" w:h="16838" w:orient="portrait"/>
          <w:cols w:equalWidth="0" w:num="2">
            <w:col w:w="5400" w:space="334"/>
            <w:col w:w="5346"/>
          </w:cols>
          <w:pgMar w:left="320" w:top="459" w:right="499" w:bottom="1440" w:gutter="0" w:footer="0" w:header="0"/>
          <w:type w:val="continuous"/>
        </w:sectPr>
      </w:pPr>
    </w:p>
    <w:p>
      <w:pPr>
        <w:spacing w:after="0" w:line="200" w:lineRule="exact"/>
        <w:rPr>
          <w:sz w:val="20"/>
          <w:szCs w:val="20"/>
          <w:color w:val="auto"/>
        </w:rPr>
      </w:pPr>
    </w:p>
    <w:p>
      <w:pPr>
        <w:spacing w:after="0" w:line="205" w:lineRule="exact"/>
        <w:rPr>
          <w:sz w:val="20"/>
          <w:szCs w:val="20"/>
          <w:color w:val="auto"/>
        </w:rPr>
      </w:pPr>
    </w:p>
    <w:p>
      <w:pPr>
        <w:jc w:val="center"/>
        <w:ind w:right="-159"/>
        <w:spacing w:after="0"/>
        <w:rPr>
          <w:sz w:val="20"/>
          <w:szCs w:val="20"/>
          <w:color w:val="auto"/>
        </w:rPr>
      </w:pPr>
      <w:r>
        <w:rPr>
          <w:rFonts w:ascii="Arial" w:cs="Arial" w:eastAsia="Arial" w:hAnsi="Arial"/>
          <w:sz w:val="13"/>
          <w:szCs w:val="13"/>
          <w:b w:val="1"/>
          <w:bCs w:val="1"/>
          <w:color w:val="004876"/>
        </w:rPr>
        <w:t>95</w:t>
      </w:r>
    </w:p>
    <w:p>
      <w:pPr>
        <w:sectPr>
          <w:pgSz w:w="11900" w:h="16838" w:orient="portrait"/>
          <w:cols w:equalWidth="0" w:num="1">
            <w:col w:w="11080"/>
          </w:cols>
          <w:pgMar w:left="320" w:top="459" w:right="499" w:bottom="1440" w:gutter="0" w:footer="0" w:header="0"/>
          <w:type w:val="continuous"/>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4876"/>
        </w:rPr>
        <w:t>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387"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Climate change presents global challenges and risks, and businesses must play a leadership role in creating solutions that protect the environment and drive inclusive economic growth. JPMorgan Chase’s objective is to support companies that are working strategically to transition to a lower carbon economy and that are managing environmental and social risks in a responsible manner. We are also focused on expanding our financing for those companies focused on low-carbon technologies and solutions.</w:t>
      </w:r>
    </w:p>
    <w:p>
      <w:pPr>
        <w:spacing w:after="0" w:line="99" w:lineRule="exact"/>
        <w:rPr>
          <w:sz w:val="20"/>
          <w:szCs w:val="20"/>
          <w:color w:val="auto"/>
        </w:rPr>
      </w:pPr>
    </w:p>
    <w:p>
      <w:pPr>
        <w:ind w:left="120" w:right="460"/>
        <w:spacing w:after="0" w:line="246" w:lineRule="auto"/>
        <w:rPr>
          <w:sz w:val="20"/>
          <w:szCs w:val="20"/>
          <w:color w:val="auto"/>
        </w:rPr>
      </w:pPr>
      <w:r>
        <w:rPr>
          <w:rFonts w:ascii="Arial" w:cs="Arial" w:eastAsia="Arial" w:hAnsi="Arial"/>
          <w:sz w:val="18"/>
          <w:szCs w:val="18"/>
          <w:color w:val="auto"/>
        </w:rPr>
        <w:t>We made several recent announcements in support of these objectives:</w:t>
      </w:r>
    </w:p>
    <w:p>
      <w:pPr>
        <w:spacing w:after="0" w:line="102" w:lineRule="exact"/>
        <w:rPr>
          <w:sz w:val="20"/>
          <w:szCs w:val="20"/>
          <w:color w:val="auto"/>
        </w:rPr>
      </w:pPr>
    </w:p>
    <w:p>
      <w:pPr>
        <w:ind w:left="300" w:right="160" w:hanging="184"/>
        <w:spacing w:after="0" w:line="257" w:lineRule="auto"/>
        <w:tabs>
          <w:tab w:leader="none" w:pos="300" w:val="left"/>
        </w:tabs>
        <w:numPr>
          <w:ilvl w:val="0"/>
          <w:numId w:val="219"/>
        </w:numPr>
        <w:rPr>
          <w:rFonts w:ascii="Arial" w:cs="Arial" w:eastAsia="Arial" w:hAnsi="Arial"/>
          <w:sz w:val="17"/>
          <w:szCs w:val="17"/>
          <w:color w:val="004876"/>
        </w:rPr>
      </w:pPr>
      <w:r>
        <w:rPr>
          <w:rFonts w:ascii="Arial" w:cs="Arial" w:eastAsia="Arial" w:hAnsi="Arial"/>
          <w:sz w:val="17"/>
          <w:szCs w:val="17"/>
          <w:color w:val="auto"/>
        </w:rPr>
        <w:t>A prohibition on project financing and other forms of asset-specific financing where the proceeds will be used for new upstream, midstream or downstream oil and gas development in the Arctic, including the Arctic National Wildlife Refuge.</w:t>
      </w:r>
    </w:p>
    <w:p>
      <w:pPr>
        <w:spacing w:after="0" w:line="94" w:lineRule="exact"/>
        <w:rPr>
          <w:rFonts w:ascii="Arial" w:cs="Arial" w:eastAsia="Arial" w:hAnsi="Arial"/>
          <w:sz w:val="17"/>
          <w:szCs w:val="17"/>
          <w:color w:val="004876"/>
        </w:rPr>
      </w:pPr>
    </w:p>
    <w:p>
      <w:pPr>
        <w:jc w:val="both"/>
        <w:ind w:left="300" w:right="320" w:hanging="184"/>
        <w:spacing w:after="0"/>
        <w:tabs>
          <w:tab w:leader="none" w:pos="300" w:val="left"/>
        </w:tabs>
        <w:numPr>
          <w:ilvl w:val="0"/>
          <w:numId w:val="219"/>
        </w:numPr>
        <w:rPr>
          <w:rFonts w:ascii="Arial" w:cs="Arial" w:eastAsia="Arial" w:hAnsi="Arial"/>
          <w:sz w:val="18"/>
          <w:szCs w:val="18"/>
          <w:color w:val="004876"/>
        </w:rPr>
      </w:pPr>
      <w:r>
        <w:rPr>
          <w:rFonts w:ascii="Arial" w:cs="Arial" w:eastAsia="Arial" w:hAnsi="Arial"/>
          <w:sz w:val="18"/>
          <w:szCs w:val="18"/>
          <w:color w:val="auto"/>
        </w:rPr>
        <w:t>An expansion of our restrictions on financing for coal mining and coal-fired power to support the market demand for, and transition to, cleaner sources of energy.</w:t>
      </w:r>
    </w:p>
    <w:p>
      <w:pPr>
        <w:spacing w:after="0" w:line="108" w:lineRule="exact"/>
        <w:rPr>
          <w:rFonts w:ascii="Arial" w:cs="Arial" w:eastAsia="Arial" w:hAnsi="Arial"/>
          <w:sz w:val="18"/>
          <w:szCs w:val="18"/>
          <w:color w:val="004876"/>
        </w:rPr>
      </w:pPr>
    </w:p>
    <w:p>
      <w:pPr>
        <w:ind w:left="300" w:right="20" w:hanging="184"/>
        <w:spacing w:after="0" w:line="253" w:lineRule="auto"/>
        <w:tabs>
          <w:tab w:leader="none" w:pos="300" w:val="left"/>
        </w:tabs>
        <w:numPr>
          <w:ilvl w:val="0"/>
          <w:numId w:val="219"/>
        </w:numPr>
        <w:rPr>
          <w:rFonts w:ascii="Arial" w:cs="Arial" w:eastAsia="Arial" w:hAnsi="Arial"/>
          <w:sz w:val="17"/>
          <w:szCs w:val="17"/>
          <w:color w:val="004876"/>
        </w:rPr>
      </w:pPr>
      <w:r>
        <w:rPr>
          <w:rFonts w:ascii="Arial" w:cs="Arial" w:eastAsia="Arial" w:hAnsi="Arial"/>
          <w:sz w:val="17"/>
          <w:szCs w:val="17"/>
          <w:color w:val="auto"/>
        </w:rPr>
        <w:t>A new commitment to finance $200 billion in 2020 for sustainable development, including climate action and other efforts that advance the United Nations Sustainable Development Goals. This expands on our previous efforts, including our target to source renewable energy for 100 percent of global power needs by the end of 2020. We also offset 100 percent of carbon emissions from employee air travel.</w:t>
      </w:r>
    </w:p>
    <w:p>
      <w:pPr>
        <w:spacing w:after="0" w:line="8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addition, JPMorgan Chase considers environmental and human rights issues in our client selection process. Any transaction involving the Canadian oil sands or the Arctic</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is subject to an enhanced review, which involves an assessment of a range of issues, including a company’s operational practices, regulatory compliance, and how issues such as water use and discharge, impacts to biodiversity and engagement with indigenous communities are managed. A dedicated team within our Risk Management organization - Global Environmental and Social Risk Management - conducts these enhanced reviews, which are integrated into our Firmwide risk management efforts.</w:t>
      </w:r>
    </w:p>
    <w:p>
      <w:pPr>
        <w:spacing w:after="0" w:line="100"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JPMorgan Chase strives to be transparent about our approach to and performance on ESG topics, and we share information on our website, in our 2020 Investor Day presentations, and in direct engagement with our stakeholders. For example, the financing restrictions and criteria for enhanced reviews described above are included in our Environmental and Social Policy Framework. The Firm’s Annual Report on Form 10-K discusses climate change as a risk factor and how it could impact the Firm’s business operations, clients and customers. In 2019, we published “Understanding Our Climate-Related Risk and Opportunities”, a report that aligns to the guidelines of the Task Force for Climate-Related Financial Disclosures. We also publish an Environmental, Social and Governance Report annually. These reports are publicly available at jpmorganchase.com/corporate/About-JPMC/esg. In light of the Firm’s robust and transparent existing disclosures, the proposed report would be redundant and would not enhance shareholder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153035</wp:posOffset>
            </wp:positionV>
            <wp:extent cx="3051810" cy="33464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3051810" cy="334645"/>
                    </a:xfrm>
                    <a:prstGeom prst="rect">
                      <a:avLst/>
                    </a:prstGeom>
                    <a:noFill/>
                  </pic:spPr>
                </pic:pic>
              </a:graphicData>
            </a:graphic>
          </wp:anchor>
        </w:drawing>
      </w:r>
    </w:p>
    <w:p>
      <w:pPr>
        <w:spacing w:after="0" w:line="258" w:lineRule="exact"/>
        <w:rPr>
          <w:sz w:val="20"/>
          <w:szCs w:val="20"/>
          <w:color w:val="auto"/>
        </w:rPr>
      </w:pPr>
    </w:p>
    <w:p>
      <w:pPr>
        <w:ind w:left="720" w:right="1320"/>
        <w:spacing w:after="0" w:line="236" w:lineRule="auto"/>
        <w:rPr>
          <w:sz w:val="20"/>
          <w:szCs w:val="20"/>
          <w:color w:val="auto"/>
        </w:rPr>
      </w:pPr>
      <w:r>
        <w:rPr>
          <w:rFonts w:ascii="Arial" w:cs="Arial" w:eastAsia="Arial" w:hAnsi="Arial"/>
          <w:sz w:val="20"/>
          <w:szCs w:val="20"/>
          <w:color w:val="FFFFFF"/>
        </w:rPr>
        <w:t xml:space="preserve">The Board of Directors recommends a vote </w:t>
      </w:r>
      <w:r>
        <w:rPr>
          <w:rFonts w:ascii="Arial" w:cs="Arial" w:eastAsia="Arial" w:hAnsi="Arial"/>
          <w:sz w:val="20"/>
          <w:szCs w:val="20"/>
          <w:b w:val="1"/>
          <w:bCs w:val="1"/>
          <w:color w:val="FFFFFF"/>
        </w:rPr>
        <w:t>AGAINST</w:t>
      </w:r>
      <w:r>
        <w:rPr>
          <w:rFonts w:ascii="Arial" w:cs="Arial" w:eastAsia="Arial" w:hAnsi="Arial"/>
          <w:sz w:val="20"/>
          <w:szCs w:val="20"/>
          <w:color w:val="FFFFFF"/>
        </w:rPr>
        <w:t xml:space="preserve">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563880</wp:posOffset>
            </wp:positionV>
            <wp:extent cx="7029450" cy="19685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029450" cy="1968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-258445</wp:posOffset>
            </wp:positionV>
            <wp:extent cx="137160" cy="14605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137160" cy="146050"/>
                    </a:xfrm>
                    <a:prstGeom prst="rect">
                      <a:avLst/>
                    </a:prstGeom>
                    <a:noFill/>
                  </pic:spPr>
                </pic:pic>
              </a:graphicData>
            </a:graphic>
          </wp:anchor>
        </w:drawing>
      </w:r>
    </w:p>
    <w:p>
      <w:pPr>
        <w:spacing w:after="0" w:line="560" w:lineRule="exact"/>
        <w:rPr>
          <w:sz w:val="20"/>
          <w:szCs w:val="20"/>
          <w:color w:val="auto"/>
        </w:rPr>
      </w:pPr>
    </w:p>
    <w:p>
      <w:pPr>
        <w:sectPr>
          <w:pgSz w:w="11900" w:h="16838" w:orient="portrait"/>
          <w:cols w:equalWidth="0" w:num="2">
            <w:col w:w="5380" w:space="360"/>
            <w:col w:w="5400"/>
          </w:cols>
          <w:pgMar w:left="320" w:top="459" w:right="439" w:bottom="1440" w:gutter="0" w:footer="0" w:header="0"/>
          <w:type w:val="continuous"/>
        </w:sectPr>
      </w:pPr>
    </w:p>
    <w:p>
      <w:pPr>
        <w:spacing w:after="0" w:line="200" w:lineRule="exact"/>
        <w:rPr>
          <w:sz w:val="20"/>
          <w:szCs w:val="20"/>
          <w:color w:val="auto"/>
        </w:rPr>
      </w:pPr>
    </w:p>
    <w:p>
      <w:pPr>
        <w:spacing w:after="0" w:line="205" w:lineRule="exact"/>
        <w:rPr>
          <w:sz w:val="20"/>
          <w:szCs w:val="20"/>
          <w:color w:val="auto"/>
        </w:rPr>
      </w:pPr>
    </w:p>
    <w:p>
      <w:pPr>
        <w:jc w:val="center"/>
        <w:ind w:right="-99"/>
        <w:spacing w:after="0"/>
        <w:rPr>
          <w:sz w:val="20"/>
          <w:szCs w:val="20"/>
          <w:color w:val="auto"/>
        </w:rPr>
      </w:pPr>
      <w:r>
        <w:rPr>
          <w:rFonts w:ascii="Arial" w:cs="Arial" w:eastAsia="Arial" w:hAnsi="Arial"/>
          <w:sz w:val="13"/>
          <w:szCs w:val="13"/>
          <w:b w:val="1"/>
          <w:bCs w:val="1"/>
          <w:color w:val="004876"/>
        </w:rPr>
        <w:t>96</w:t>
      </w:r>
    </w:p>
    <w:p>
      <w:pPr>
        <w:sectPr>
          <w:pgSz w:w="11900" w:h="16838" w:orient="portrait"/>
          <w:cols w:equalWidth="0" w:num="1">
            <w:col w:w="11140"/>
          </w:cols>
          <w:pgMar w:left="320" w:top="459" w:right="439" w:bottom="1440" w:gutter="0" w:footer="0" w:header="0"/>
          <w:type w:val="continuous"/>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04876"/>
        </w:rPr>
        <w:t>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80"/>
          </w:cols>
          <w:pgMar w:left="320" w:top="459" w:right="499" w:bottom="1440" w:gutter="0" w:footer="0" w:header="0"/>
        </w:sectPr>
      </w:pPr>
    </w:p>
    <w:p>
      <w:pPr>
        <w:spacing w:after="0" w:line="330" w:lineRule="exact"/>
        <w:rPr>
          <w:sz w:val="20"/>
          <w:szCs w:val="20"/>
          <w:color w:val="auto"/>
        </w:rPr>
      </w:pPr>
    </w:p>
    <w:p>
      <w:pPr>
        <w:ind w:left="120"/>
        <w:spacing w:after="0"/>
        <w:rPr>
          <w:sz w:val="20"/>
          <w:szCs w:val="20"/>
          <w:color w:val="auto"/>
        </w:rPr>
      </w:pPr>
      <w:r>
        <w:rPr>
          <w:rFonts w:ascii="Arial" w:cs="Arial" w:eastAsia="Arial" w:hAnsi="Arial"/>
          <w:sz w:val="20"/>
          <w:szCs w:val="20"/>
          <w:color w:val="004876"/>
        </w:rPr>
        <w:t>Proposal 6 – Climate change risk reporting</w:t>
      </w:r>
    </w:p>
    <w:p>
      <w:pPr>
        <w:spacing w:after="0" w:line="164" w:lineRule="exact"/>
        <w:rPr>
          <w:sz w:val="20"/>
          <w:szCs w:val="20"/>
          <w:color w:val="auto"/>
        </w:rPr>
      </w:pPr>
    </w:p>
    <w:p>
      <w:pPr>
        <w:ind w:left="120" w:right="40"/>
        <w:spacing w:after="0" w:line="274" w:lineRule="auto"/>
        <w:rPr>
          <w:sz w:val="20"/>
          <w:szCs w:val="20"/>
          <w:color w:val="auto"/>
        </w:rPr>
      </w:pPr>
      <w:r>
        <w:rPr>
          <w:rFonts w:ascii="Arial" w:cs="Arial" w:eastAsia="Arial" w:hAnsi="Arial"/>
          <w:sz w:val="17"/>
          <w:szCs w:val="17"/>
          <w:color w:val="auto"/>
        </w:rPr>
        <w:t>As You Sow, on behalf of Brian Patrick Kariger Revocable Trust, has advised us that it intends to introduce the following resolution:</w:t>
      </w:r>
    </w:p>
    <w:p>
      <w:pPr>
        <w:spacing w:after="0" w:line="4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Whereas:</w:t>
      </w:r>
    </w:p>
    <w:p>
      <w:pPr>
        <w:spacing w:after="0" w:line="126" w:lineRule="exact"/>
        <w:rPr>
          <w:sz w:val="20"/>
          <w:szCs w:val="20"/>
          <w:color w:val="auto"/>
        </w:rPr>
      </w:pPr>
    </w:p>
    <w:p>
      <w:pPr>
        <w:ind w:left="120" w:right="100"/>
        <w:spacing w:after="0" w:line="236" w:lineRule="auto"/>
        <w:rPr>
          <w:sz w:val="20"/>
          <w:szCs w:val="20"/>
          <w:color w:val="auto"/>
        </w:rPr>
      </w:pPr>
      <w:r>
        <w:rPr>
          <w:rFonts w:ascii="Arial" w:cs="Arial" w:eastAsia="Arial" w:hAnsi="Arial"/>
          <w:sz w:val="18"/>
          <w:szCs w:val="18"/>
          <w:color w:val="auto"/>
        </w:rPr>
        <w:t>Banks can play a critical role in meeting the Paris Agreement’s goal of limiting global temperature rise to well below 2 degrees Celsius. Limiting global warming below 1.5 degrees versus 2 degrees will save $ 20 trillion globally by 2100.</w:t>
      </w:r>
      <w:r>
        <w:rPr>
          <w:rFonts w:ascii="Arial" w:cs="Arial" w:eastAsia="Arial" w:hAnsi="Arial"/>
          <w:sz w:val="15"/>
          <w:szCs w:val="15"/>
          <w:color w:val="auto"/>
        </w:rPr>
        <w:t>1</w:t>
      </w:r>
      <w:r>
        <w:rPr>
          <w:rFonts w:ascii="Arial" w:cs="Arial" w:eastAsia="Arial" w:hAnsi="Arial"/>
          <w:sz w:val="18"/>
          <w:szCs w:val="18"/>
          <w:color w:val="auto"/>
        </w:rPr>
        <w:t xml:space="preserve"> Yet, the Bank of England notes that the global financial system is currently supporting carbon-producing projects that will cause global temperature rise of </w:t>
      </w:r>
      <w:r>
        <w:rPr>
          <w:rFonts w:ascii="Arial" w:cs="Arial" w:eastAsia="Arial" w:hAnsi="Arial"/>
          <w:sz w:val="18"/>
          <w:szCs w:val="18"/>
          <w:b w:val="1"/>
          <w:bCs w:val="1"/>
          <w:color w:val="auto"/>
        </w:rPr>
        <w:t>over 4 degrees Celsius</w:t>
      </w:r>
      <w:r>
        <w:rPr>
          <w:rFonts w:ascii="Arial" w:cs="Arial" w:eastAsia="Arial" w:hAnsi="Arial"/>
          <w:sz w:val="18"/>
          <w:szCs w:val="18"/>
          <w:color w:val="auto"/>
        </w:rPr>
        <w:t xml:space="preserve"> – more than double the limit necessary to avoid catastrophic warming.</w:t>
      </w:r>
      <w:r>
        <w:rPr>
          <w:rFonts w:ascii="Arial" w:cs="Arial" w:eastAsia="Arial" w:hAnsi="Arial"/>
          <w:sz w:val="15"/>
          <w:szCs w:val="15"/>
          <w:color w:val="auto"/>
        </w:rPr>
        <w:t>2</w:t>
      </w:r>
      <w:r>
        <w:rPr>
          <w:rFonts w:ascii="Arial" w:cs="Arial" w:eastAsia="Arial" w:hAnsi="Arial"/>
          <w:sz w:val="18"/>
          <w:szCs w:val="18"/>
          <w:color w:val="auto"/>
        </w:rPr>
        <w:t xml:space="preserve"> Recently, 215 global companies reported almost $1 trillion at risk from climate impacts, with many likely to occur within five years.</w:t>
      </w:r>
      <w:r>
        <w:rPr>
          <w:rFonts w:ascii="Arial" w:cs="Arial" w:eastAsia="Arial" w:hAnsi="Arial"/>
          <w:sz w:val="15"/>
          <w:szCs w:val="15"/>
          <w:color w:val="auto"/>
        </w:rPr>
        <w:t>3</w:t>
      </w:r>
    </w:p>
    <w:p>
      <w:pPr>
        <w:spacing w:after="0" w:line="98"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JPMorgan Chase’s funding contributes substantially to global climate change. The company is the largest source of financing to fossil fuel companies globally, averaging $65 billion annually since the Paris Agreement was signed.</w:t>
      </w:r>
      <w:r>
        <w:rPr>
          <w:rFonts w:ascii="Arial" w:cs="Arial" w:eastAsia="Arial" w:hAnsi="Arial"/>
          <w:sz w:val="15"/>
          <w:szCs w:val="15"/>
          <w:color w:val="auto"/>
        </w:rPr>
        <w:t>4</w:t>
      </w:r>
      <w:r>
        <w:rPr>
          <w:rFonts w:ascii="Arial" w:cs="Arial" w:eastAsia="Arial" w:hAnsi="Arial"/>
          <w:sz w:val="18"/>
          <w:szCs w:val="18"/>
          <w:color w:val="auto"/>
        </w:rPr>
        <w:t xml:space="preserve"> This funding creates systemic portfolio risks to the global economy, investors, and its own operations. Recognizing this, the European Investment Bank, the biggest multilateral lender in the world, will stop funding fossil fuel projects in 2021.</w:t>
      </w:r>
      <w:r>
        <w:rPr>
          <w:rFonts w:ascii="Arial" w:cs="Arial" w:eastAsia="Arial" w:hAnsi="Arial"/>
          <w:sz w:val="15"/>
          <w:szCs w:val="15"/>
          <w:color w:val="auto"/>
        </w:rPr>
        <w:t>5</w:t>
      </w:r>
    </w:p>
    <w:p>
      <w:pPr>
        <w:spacing w:after="0" w:line="100"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In contrast to JPMorgan, peer banks are beginning to responsibly address their greenhouse gas contributions by developing carbon measurement tools -- including the Paris Agreement Capital Transition Assessment and the Partnership for Carbon Accounting Financials</w:t>
      </w:r>
      <w:r>
        <w:rPr>
          <w:rFonts w:ascii="Arial" w:cs="Arial" w:eastAsia="Arial" w:hAnsi="Arial"/>
          <w:sz w:val="15"/>
          <w:szCs w:val="15"/>
          <w:color w:val="auto"/>
        </w:rPr>
        <w:t>6</w:t>
      </w:r>
      <w:r>
        <w:rPr>
          <w:rFonts w:ascii="Arial" w:cs="Arial" w:eastAsia="Arial" w:hAnsi="Arial"/>
          <w:sz w:val="18"/>
          <w:szCs w:val="18"/>
          <w:color w:val="auto"/>
        </w:rPr>
        <w:t xml:space="preserve"> -- and setting carbon limits on their financing. HSBC has committed to set a Science-Based Target.</w:t>
      </w:r>
      <w:r>
        <w:rPr>
          <w:rFonts w:ascii="Arial" w:cs="Arial" w:eastAsia="Arial" w:hAnsi="Arial"/>
          <w:sz w:val="15"/>
          <w:szCs w:val="15"/>
          <w:color w:val="auto"/>
        </w:rPr>
        <w:t>7</w:t>
      </w:r>
      <w:r>
        <w:rPr>
          <w:rFonts w:ascii="Arial" w:cs="Arial" w:eastAsia="Arial" w:hAnsi="Arial"/>
          <w:sz w:val="18"/>
          <w:szCs w:val="18"/>
          <w:color w:val="auto"/>
        </w:rPr>
        <w:t xml:space="preserve"> ING, BNP Paribas, Standard Chartered, and other banks have committed to measure the climate alignment of their lending portfolios against Paris goals.</w:t>
      </w:r>
      <w:r>
        <w:rPr>
          <w:rFonts w:ascii="Arial" w:cs="Arial" w:eastAsia="Arial" w:hAnsi="Arial"/>
          <w:sz w:val="15"/>
          <w:szCs w:val="15"/>
          <w:color w:val="auto"/>
        </w:rPr>
        <w:t>8</w:t>
      </w:r>
      <w:r>
        <w:rPr>
          <w:rFonts w:ascii="Arial" w:cs="Arial" w:eastAsia="Arial" w:hAnsi="Arial"/>
          <w:sz w:val="18"/>
          <w:szCs w:val="18"/>
          <w:color w:val="auto"/>
        </w:rPr>
        <w:t xml:space="preserve"> Some have abandoned high risk sectors including Arctic drilling and tar sands.</w:t>
      </w:r>
      <w:r>
        <w:rPr>
          <w:rFonts w:ascii="Arial" w:cs="Arial" w:eastAsia="Arial" w:hAnsi="Arial"/>
          <w:sz w:val="15"/>
          <w:szCs w:val="15"/>
          <w:color w:val="auto"/>
        </w:rPr>
        <w:t>9</w:t>
      </w:r>
      <w:r>
        <w:rPr>
          <w:rFonts w:ascii="Arial" w:cs="Arial" w:eastAsia="Arial" w:hAnsi="Arial"/>
          <w:sz w:val="18"/>
          <w:szCs w:val="18"/>
          <w:color w:val="auto"/>
        </w:rPr>
        <w:t xml:space="preserve"> Citibank joined the Principles for Responsible Banking, committing to align its business strategy with the Paris Agreement’s global climate goals.</w:t>
      </w:r>
    </w:p>
    <w:p>
      <w:pPr>
        <w:spacing w:after="0" w:line="96"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While JPMorgan has increased its ‘clean’ financing, recognises climate change, and is sourcing renewable energy for its operations,</w:t>
      </w:r>
      <w:r>
        <w:rPr>
          <w:rFonts w:ascii="Arial" w:cs="Arial" w:eastAsia="Arial" w:hAnsi="Arial"/>
          <w:sz w:val="15"/>
          <w:szCs w:val="15"/>
          <w:color w:val="auto"/>
        </w:rPr>
        <w:t>10</w:t>
      </w:r>
      <w:r>
        <w:rPr>
          <w:rFonts w:ascii="Arial" w:cs="Arial" w:eastAsia="Arial" w:hAnsi="Arial"/>
          <w:sz w:val="18"/>
          <w:szCs w:val="18"/>
          <w:color w:val="auto"/>
        </w:rPr>
        <w:t xml:space="preserve"> its annual $22 billion in clean financing over 9 years is substantially outweighed by its fossil fuel funding activities.</w:t>
      </w:r>
      <w:r>
        <w:rPr>
          <w:rFonts w:ascii="Arial" w:cs="Arial" w:eastAsia="Arial" w:hAnsi="Arial"/>
          <w:sz w:val="15"/>
          <w:szCs w:val="15"/>
          <w:color w:val="auto"/>
        </w:rPr>
        <w:t>11</w:t>
      </w:r>
      <w:r>
        <w:rPr>
          <w:rFonts w:ascii="Arial" w:cs="Arial" w:eastAsia="Arial" w:hAnsi="Arial"/>
          <w:sz w:val="18"/>
          <w:szCs w:val="18"/>
          <w:color w:val="auto"/>
        </w:rPr>
        <w:t xml:space="preserve"> JPMorgan does not yet measure or disclose its full carbon footprint, nor has it adopted targets to reduce its lending related greenhouse gas (GHG) emissions. Banks that finance carbon intensive, fossil fuel activities through their lending are putting themselves and society at risk of catastrophic climate impacts.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6" w:right="60"/>
        <w:spacing w:after="0" w:line="242" w:lineRule="auto"/>
        <w:rPr>
          <w:sz w:val="20"/>
          <w:szCs w:val="20"/>
          <w:color w:val="auto"/>
        </w:rPr>
      </w:pPr>
      <w:r>
        <w:rPr>
          <w:rFonts w:ascii="Arial" w:cs="Arial" w:eastAsia="Arial" w:hAnsi="Arial"/>
          <w:sz w:val="18"/>
          <w:szCs w:val="18"/>
          <w:b w:val="1"/>
          <w:bCs w:val="1"/>
          <w:color w:val="auto"/>
        </w:rPr>
        <w:t xml:space="preserve">Resolved: </w:t>
      </w:r>
      <w:r>
        <w:rPr>
          <w:rFonts w:ascii="Arial" w:cs="Arial" w:eastAsia="Arial" w:hAnsi="Arial"/>
          <w:sz w:val="18"/>
          <w:szCs w:val="18"/>
          <w:color w:val="auto"/>
        </w:rPr>
        <w:t>Shareholders request that JPMorgan Chase issue a</w:t>
      </w:r>
      <w:r>
        <w:rPr>
          <w:rFonts w:ascii="Arial" w:cs="Arial" w:eastAsia="Arial" w:hAnsi="Arial"/>
          <w:sz w:val="18"/>
          <w:szCs w:val="18"/>
          <w:b w:val="1"/>
          <w:bCs w:val="1"/>
          <w:color w:val="auto"/>
        </w:rPr>
        <w:t xml:space="preserve"> </w:t>
      </w:r>
      <w:r>
        <w:rPr>
          <w:rFonts w:ascii="Arial" w:cs="Arial" w:eastAsia="Arial" w:hAnsi="Arial"/>
          <w:sz w:val="18"/>
          <w:szCs w:val="18"/>
          <w:color w:val="auto"/>
        </w:rPr>
        <w:t>report, at reasonable cost and omitting proprietary information, outlining if and how it intends to reduce the GHG emissions associated with its lending activities in alignment with the Paris Agreement’s goal of maintaining global temperature rise below 1.5 degrees Celsius.</w:t>
      </w:r>
    </w:p>
    <w:p>
      <w:pPr>
        <w:spacing w:after="0" w:line="71" w:lineRule="exact"/>
        <w:rPr>
          <w:sz w:val="20"/>
          <w:szCs w:val="20"/>
          <w:color w:val="auto"/>
        </w:rPr>
      </w:pPr>
    </w:p>
    <w:p>
      <w:pPr>
        <w:ind w:left="6" w:right="460"/>
        <w:spacing w:after="0" w:line="253" w:lineRule="auto"/>
        <w:rPr>
          <w:sz w:val="20"/>
          <w:szCs w:val="20"/>
          <w:color w:val="auto"/>
        </w:rPr>
      </w:pPr>
      <w:r>
        <w:rPr>
          <w:rFonts w:ascii="Arial" w:cs="Arial" w:eastAsia="Arial" w:hAnsi="Arial"/>
          <w:sz w:val="18"/>
          <w:szCs w:val="18"/>
          <w:b w:val="1"/>
          <w:bCs w:val="1"/>
          <w:color w:val="auto"/>
        </w:rPr>
        <w:t xml:space="preserve">Supporting Statement: </w:t>
      </w:r>
      <w:r>
        <w:rPr>
          <w:rFonts w:ascii="Arial" w:cs="Arial" w:eastAsia="Arial" w:hAnsi="Arial"/>
          <w:sz w:val="18"/>
          <w:szCs w:val="18"/>
          <w:color w:val="auto"/>
        </w:rPr>
        <w:t>Shareholders recommend the report</w:t>
      </w:r>
      <w:r>
        <w:rPr>
          <w:rFonts w:ascii="Arial" w:cs="Arial" w:eastAsia="Arial" w:hAnsi="Arial"/>
          <w:sz w:val="18"/>
          <w:szCs w:val="18"/>
          <w:b w:val="1"/>
          <w:bCs w:val="1"/>
          <w:color w:val="auto"/>
        </w:rPr>
        <w:t xml:space="preserve"> </w:t>
      </w:r>
      <w:r>
        <w:rPr>
          <w:rFonts w:ascii="Arial" w:cs="Arial" w:eastAsia="Arial" w:hAnsi="Arial"/>
          <w:sz w:val="18"/>
          <w:szCs w:val="18"/>
          <w:color w:val="auto"/>
        </w:rPr>
        <w:t>disclose, among other issues, at board and management discretion:</w:t>
      </w:r>
    </w:p>
    <w:p>
      <w:pPr>
        <w:spacing w:after="0" w:line="96" w:lineRule="exact"/>
        <w:rPr>
          <w:sz w:val="20"/>
          <w:szCs w:val="20"/>
          <w:color w:val="auto"/>
        </w:rPr>
      </w:pPr>
    </w:p>
    <w:p>
      <w:pPr>
        <w:ind w:left="166" w:right="20" w:hanging="166"/>
        <w:spacing w:after="0"/>
        <w:tabs>
          <w:tab w:leader="none" w:pos="166" w:val="left"/>
        </w:tabs>
        <w:numPr>
          <w:ilvl w:val="0"/>
          <w:numId w:val="220"/>
        </w:numPr>
        <w:rPr>
          <w:rFonts w:ascii="Arial" w:cs="Arial" w:eastAsia="Arial" w:hAnsi="Arial"/>
          <w:sz w:val="18"/>
          <w:szCs w:val="18"/>
          <w:color w:val="004876"/>
        </w:rPr>
      </w:pPr>
      <w:r>
        <w:rPr>
          <w:rFonts w:ascii="Arial" w:cs="Arial" w:eastAsia="Arial" w:hAnsi="Arial"/>
          <w:sz w:val="18"/>
          <w:szCs w:val="18"/>
          <w:color w:val="auto"/>
        </w:rPr>
        <w:t>Any actions JPMorgan is taking to measure and disclose its full carbon footprint (Scope 1-3 emissions, including GHG emissions associated with its lending activities);</w:t>
      </w:r>
    </w:p>
    <w:p>
      <w:pPr>
        <w:spacing w:after="0" w:line="108" w:lineRule="exact"/>
        <w:rPr>
          <w:rFonts w:ascii="Arial" w:cs="Arial" w:eastAsia="Arial" w:hAnsi="Arial"/>
          <w:sz w:val="18"/>
          <w:szCs w:val="18"/>
          <w:color w:val="004876"/>
        </w:rPr>
      </w:pPr>
    </w:p>
    <w:p>
      <w:pPr>
        <w:ind w:left="166" w:right="240" w:hanging="166"/>
        <w:spacing w:after="0" w:line="246" w:lineRule="auto"/>
        <w:tabs>
          <w:tab w:leader="none" w:pos="166" w:val="left"/>
        </w:tabs>
        <w:numPr>
          <w:ilvl w:val="0"/>
          <w:numId w:val="220"/>
        </w:numPr>
        <w:rPr>
          <w:rFonts w:ascii="Arial" w:cs="Arial" w:eastAsia="Arial" w:hAnsi="Arial"/>
          <w:sz w:val="18"/>
          <w:szCs w:val="18"/>
          <w:color w:val="004876"/>
        </w:rPr>
      </w:pPr>
      <w:r>
        <w:rPr>
          <w:rFonts w:ascii="Arial" w:cs="Arial" w:eastAsia="Arial" w:hAnsi="Arial"/>
          <w:sz w:val="18"/>
          <w:szCs w:val="18"/>
          <w:color w:val="auto"/>
        </w:rPr>
        <w:t>Whether the bank is considering setting targets, and on what timeline, to reduce the carbon footprint of its lending activities.</w:t>
      </w:r>
    </w:p>
    <w:p>
      <w:pPr>
        <w:spacing w:after="0" w:line="199" w:lineRule="exact"/>
        <w:rPr>
          <w:sz w:val="20"/>
          <w:szCs w:val="20"/>
          <w:color w:val="auto"/>
        </w:rPr>
      </w:pPr>
    </w:p>
    <w:p>
      <w:pPr>
        <w:ind w:left="6" w:right="1060" w:hanging="6"/>
        <w:spacing w:after="0" w:line="230" w:lineRule="auto"/>
        <w:tabs>
          <w:tab w:leader="none" w:pos="128" w:val="left"/>
        </w:tabs>
        <w:numPr>
          <w:ilvl w:val="0"/>
          <w:numId w:val="221"/>
        </w:numPr>
        <w:rPr>
          <w:rFonts w:ascii="Arial" w:cs="Arial" w:eastAsia="Arial" w:hAnsi="Arial"/>
          <w:sz w:val="28"/>
          <w:szCs w:val="28"/>
          <w:color w:val="auto"/>
          <w:vertAlign w:val="superscript"/>
        </w:rPr>
      </w:pPr>
      <w:r>
        <w:rPr>
          <w:rFonts w:ascii="Arial" w:cs="Arial" w:eastAsia="Arial" w:hAnsi="Arial"/>
          <w:sz w:val="16"/>
          <w:szCs w:val="16"/>
          <w:u w:val="single" w:color="auto"/>
          <w:color w:val="auto"/>
        </w:rPr>
        <w:t>https://www.nature.com/articles/s41586-018-0071-9.epdf? referrer_access_token=eELbUpZu30ES9BZ5nW-IO9RgN0 jAjWel9jnR3ZoTv0OskypFEzLGji1pAcPpJpRUaGWQE4lx7 PFk7egARc69rHFdME6PJOQVMoys1HbEajGubYyh-cFm3MRhg2s_I4sq46QiSTTapLjDvV_ZfQ9KGWA8erEPxe WaOCy4qkvcpBhNc54Z8P42aBjGNCzAlbvv5yke0J5kD-S maMHFGX5BldaEIsLdP99o9n2q_t7mKL6bo-HzTh6kQ7M sxZ2fBRfoJOUWNOr9sPf0BIa_bvKByEeRaGlJGmvTt7OhA lFSl4IPK9yTGpptmAc2gdnMSzTNYhlU5LjqY5JMkXschCd YMQ%3D%3D&amp;tracking_referrer=www.theguardian.com</w:t>
      </w:r>
    </w:p>
    <w:p>
      <w:pPr>
        <w:spacing w:after="0" w:line="103" w:lineRule="exact"/>
        <w:rPr>
          <w:sz w:val="20"/>
          <w:szCs w:val="20"/>
          <w:color w:val="auto"/>
        </w:rPr>
      </w:pPr>
    </w:p>
    <w:p>
      <w:pPr>
        <w:ind w:left="6" w:right="300" w:hanging="6"/>
        <w:spacing w:after="0" w:line="199" w:lineRule="auto"/>
        <w:tabs>
          <w:tab w:leader="none" w:pos="128" w:val="left"/>
        </w:tabs>
        <w:numPr>
          <w:ilvl w:val="0"/>
          <w:numId w:val="222"/>
        </w:numPr>
        <w:rPr>
          <w:rFonts w:ascii="Arial" w:cs="Arial" w:eastAsia="Arial" w:hAnsi="Arial"/>
          <w:sz w:val="28"/>
          <w:szCs w:val="28"/>
          <w:color w:val="auto"/>
          <w:vertAlign w:val="superscript"/>
        </w:rPr>
      </w:pPr>
      <w:r>
        <w:rPr>
          <w:rFonts w:ascii="Arial" w:cs="Arial" w:eastAsia="Arial" w:hAnsi="Arial"/>
          <w:sz w:val="16"/>
          <w:szCs w:val="16"/>
          <w:u w:val="single" w:color="auto"/>
          <w:color w:val="auto"/>
        </w:rPr>
        <w:t>https://www.theguardian.com/business/2019/oct/15/bank-of-england-boss-warns-global-finance-it-is-funding-climate-crisis? CMP=Share_iOSApp_Other</w:t>
      </w:r>
    </w:p>
    <w:p>
      <w:pPr>
        <w:spacing w:after="0" w:line="103" w:lineRule="exact"/>
        <w:rPr>
          <w:sz w:val="20"/>
          <w:szCs w:val="20"/>
          <w:color w:val="auto"/>
        </w:rPr>
      </w:pPr>
    </w:p>
    <w:p>
      <w:pPr>
        <w:ind w:left="6" w:right="60" w:hanging="6"/>
        <w:spacing w:after="0" w:line="181" w:lineRule="auto"/>
        <w:tabs>
          <w:tab w:leader="none" w:pos="128" w:val="left"/>
        </w:tabs>
        <w:numPr>
          <w:ilvl w:val="0"/>
          <w:numId w:val="223"/>
        </w:numPr>
        <w:rPr>
          <w:rFonts w:ascii="Arial" w:cs="Arial" w:eastAsia="Arial" w:hAnsi="Arial"/>
          <w:sz w:val="28"/>
          <w:szCs w:val="28"/>
          <w:color w:val="auto"/>
          <w:vertAlign w:val="superscript"/>
        </w:rPr>
      </w:pPr>
      <w:r>
        <w:rPr>
          <w:rFonts w:ascii="Arial" w:cs="Arial" w:eastAsia="Arial" w:hAnsi="Arial"/>
          <w:sz w:val="16"/>
          <w:szCs w:val="16"/>
          <w:u w:val="single" w:color="auto"/>
          <w:color w:val="auto"/>
        </w:rPr>
        <w:t>https://www.cdp.net/en/articles/media/worlds-biggest-companies-face-1-trillion-in-climate-change-risks</w:t>
      </w:r>
    </w:p>
    <w:p>
      <w:pPr>
        <w:spacing w:after="0" w:line="104" w:lineRule="exact"/>
        <w:rPr>
          <w:sz w:val="20"/>
          <w:szCs w:val="20"/>
          <w:color w:val="auto"/>
        </w:rPr>
      </w:pPr>
    </w:p>
    <w:p>
      <w:pPr>
        <w:jc w:val="both"/>
        <w:ind w:left="6" w:right="1720" w:hanging="6"/>
        <w:spacing w:after="0" w:line="181" w:lineRule="auto"/>
        <w:tabs>
          <w:tab w:leader="none" w:pos="128" w:val="left"/>
        </w:tabs>
        <w:numPr>
          <w:ilvl w:val="0"/>
          <w:numId w:val="224"/>
        </w:numPr>
        <w:rPr>
          <w:rFonts w:ascii="Arial" w:cs="Arial" w:eastAsia="Arial" w:hAnsi="Arial"/>
          <w:sz w:val="28"/>
          <w:szCs w:val="28"/>
          <w:color w:val="auto"/>
          <w:vertAlign w:val="superscript"/>
        </w:rPr>
      </w:pPr>
      <w:r>
        <w:rPr>
          <w:rFonts w:ascii="Arial" w:cs="Arial" w:eastAsia="Arial" w:hAnsi="Arial"/>
          <w:sz w:val="16"/>
          <w:szCs w:val="16"/>
          <w:u w:val="single" w:color="auto"/>
          <w:color w:val="auto"/>
        </w:rPr>
        <w:t>https://www.ran.org/wp-content/uploads/2019/03/ Banking_on_Climate_Change_2019_vFINAL1.pdf</w:t>
      </w:r>
    </w:p>
    <w:p>
      <w:pPr>
        <w:spacing w:after="0" w:line="104" w:lineRule="exact"/>
        <w:rPr>
          <w:sz w:val="20"/>
          <w:szCs w:val="20"/>
          <w:color w:val="auto"/>
        </w:rPr>
      </w:pPr>
    </w:p>
    <w:p>
      <w:pPr>
        <w:ind w:left="6" w:hanging="6"/>
        <w:spacing w:after="0" w:line="181" w:lineRule="auto"/>
        <w:tabs>
          <w:tab w:leader="none" w:pos="128" w:val="left"/>
        </w:tabs>
        <w:numPr>
          <w:ilvl w:val="0"/>
          <w:numId w:val="225"/>
        </w:numPr>
        <w:rPr>
          <w:rFonts w:ascii="Arial" w:cs="Arial" w:eastAsia="Arial" w:hAnsi="Arial"/>
          <w:sz w:val="28"/>
          <w:szCs w:val="28"/>
          <w:color w:val="auto"/>
          <w:vertAlign w:val="superscript"/>
        </w:rPr>
      </w:pPr>
      <w:r>
        <w:rPr>
          <w:rFonts w:ascii="Arial" w:cs="Arial" w:eastAsia="Arial" w:hAnsi="Arial"/>
          <w:sz w:val="16"/>
          <w:szCs w:val="16"/>
          <w:u w:val="single" w:color="auto"/>
          <w:color w:val="auto"/>
        </w:rPr>
        <w:t>https://www.nytimes.com/reuters/2019/11/14/business/14reuters-climate-europe-eib.html</w:t>
      </w:r>
    </w:p>
    <w:p>
      <w:pPr>
        <w:spacing w:after="0" w:line="104" w:lineRule="exact"/>
        <w:rPr>
          <w:sz w:val="20"/>
          <w:szCs w:val="20"/>
          <w:color w:val="auto"/>
        </w:rPr>
      </w:pPr>
    </w:p>
    <w:p>
      <w:pPr>
        <w:ind w:left="6" w:right="180" w:hanging="6"/>
        <w:spacing w:after="0" w:line="181" w:lineRule="auto"/>
        <w:tabs>
          <w:tab w:leader="none" w:pos="128" w:val="left"/>
        </w:tabs>
        <w:numPr>
          <w:ilvl w:val="0"/>
          <w:numId w:val="226"/>
        </w:numPr>
        <w:rPr>
          <w:rFonts w:ascii="Arial" w:cs="Arial" w:eastAsia="Arial" w:hAnsi="Arial"/>
          <w:sz w:val="28"/>
          <w:szCs w:val="28"/>
          <w:color w:val="auto"/>
          <w:vertAlign w:val="superscript"/>
        </w:rPr>
      </w:pPr>
      <w:r>
        <w:rPr>
          <w:rFonts w:ascii="Arial" w:cs="Arial" w:eastAsia="Arial" w:hAnsi="Arial"/>
          <w:sz w:val="16"/>
          <w:szCs w:val="16"/>
          <w:u w:val="single" w:color="auto"/>
          <w:color w:val="auto"/>
        </w:rPr>
        <w:t>http://news.bostoncommonasset.com/wp-content/uploads/2019/11/Banking-on-a-Low-Carbon-Future-2019-11.pdf</w:t>
      </w:r>
    </w:p>
    <w:p>
      <w:pPr>
        <w:ind w:left="126" w:hanging="126"/>
        <w:spacing w:after="0" w:line="222" w:lineRule="auto"/>
        <w:tabs>
          <w:tab w:leader="none" w:pos="126" w:val="left"/>
        </w:tabs>
        <w:numPr>
          <w:ilvl w:val="0"/>
          <w:numId w:val="227"/>
        </w:numPr>
        <w:rPr>
          <w:rFonts w:ascii="Arial" w:cs="Arial" w:eastAsia="Arial" w:hAnsi="Arial"/>
          <w:sz w:val="28"/>
          <w:szCs w:val="28"/>
          <w:color w:val="auto"/>
          <w:vertAlign w:val="superscript"/>
        </w:rPr>
      </w:pPr>
      <w:r>
        <w:rPr>
          <w:rFonts w:ascii="Arial" w:cs="Arial" w:eastAsia="Arial" w:hAnsi="Arial"/>
          <w:sz w:val="16"/>
          <w:szCs w:val="16"/>
          <w:u w:val="single" w:color="auto"/>
          <w:color w:val="auto"/>
        </w:rPr>
        <w:t>https://sciencebasedtargets.org/companies-taking-action/</w:t>
      </w:r>
    </w:p>
    <w:p>
      <w:pPr>
        <w:spacing w:after="0" w:line="104" w:lineRule="exact"/>
        <w:rPr>
          <w:sz w:val="20"/>
          <w:szCs w:val="20"/>
          <w:color w:val="auto"/>
        </w:rPr>
      </w:pPr>
    </w:p>
    <w:p>
      <w:pPr>
        <w:ind w:left="6" w:right="260" w:hanging="6"/>
        <w:spacing w:after="0" w:line="181" w:lineRule="auto"/>
        <w:tabs>
          <w:tab w:leader="none" w:pos="128" w:val="left"/>
        </w:tabs>
        <w:numPr>
          <w:ilvl w:val="0"/>
          <w:numId w:val="228"/>
        </w:numPr>
        <w:rPr>
          <w:rFonts w:ascii="Arial" w:cs="Arial" w:eastAsia="Arial" w:hAnsi="Arial"/>
          <w:sz w:val="28"/>
          <w:szCs w:val="28"/>
          <w:color w:val="auto"/>
          <w:vertAlign w:val="superscript"/>
        </w:rPr>
      </w:pPr>
      <w:r>
        <w:rPr>
          <w:rFonts w:ascii="Arial" w:cs="Arial" w:eastAsia="Arial" w:hAnsi="Arial"/>
          <w:sz w:val="16"/>
          <w:szCs w:val="16"/>
          <w:u w:val="single" w:color="auto"/>
          <w:color w:val="auto"/>
        </w:rPr>
        <w:t>https://www.ingwb.com/insights/news/2018/banks-join-ing-in-aligning-loan-portfolios-to-fight-climate-change</w:t>
      </w:r>
    </w:p>
    <w:p>
      <w:pPr>
        <w:spacing w:after="0" w:line="104" w:lineRule="exact"/>
        <w:rPr>
          <w:sz w:val="20"/>
          <w:szCs w:val="20"/>
          <w:color w:val="auto"/>
        </w:rPr>
      </w:pPr>
    </w:p>
    <w:p>
      <w:pPr>
        <w:ind w:left="6" w:right="160" w:hanging="6"/>
        <w:spacing w:after="0" w:line="181" w:lineRule="auto"/>
        <w:tabs>
          <w:tab w:leader="none" w:pos="128" w:val="left"/>
        </w:tabs>
        <w:numPr>
          <w:ilvl w:val="0"/>
          <w:numId w:val="229"/>
        </w:numPr>
        <w:rPr>
          <w:rFonts w:ascii="Arial" w:cs="Arial" w:eastAsia="Arial" w:hAnsi="Arial"/>
          <w:sz w:val="28"/>
          <w:szCs w:val="28"/>
          <w:color w:val="auto"/>
          <w:vertAlign w:val="superscript"/>
        </w:rPr>
      </w:pPr>
      <w:r>
        <w:rPr>
          <w:rFonts w:ascii="Arial" w:cs="Arial" w:eastAsia="Arial" w:hAnsi="Arial"/>
          <w:sz w:val="16"/>
          <w:szCs w:val="16"/>
          <w:u w:val="single" w:color="auto"/>
          <w:color w:val="auto"/>
        </w:rPr>
        <w:t>https://www.environmental-finance.com/content/analysis/banking-on-a-changing-climate.html</w:t>
      </w:r>
    </w:p>
    <w:p>
      <w:pPr>
        <w:spacing w:after="0" w:line="104" w:lineRule="exact"/>
        <w:rPr>
          <w:sz w:val="20"/>
          <w:szCs w:val="20"/>
          <w:color w:val="auto"/>
        </w:rPr>
      </w:pPr>
    </w:p>
    <w:p>
      <w:pPr>
        <w:ind w:left="6" w:right="1260" w:hanging="6"/>
        <w:spacing w:after="0" w:line="190" w:lineRule="auto"/>
        <w:tabs>
          <w:tab w:leader="none" w:pos="204" w:val="left"/>
        </w:tabs>
        <w:numPr>
          <w:ilvl w:val="0"/>
          <w:numId w:val="230"/>
        </w:numPr>
        <w:rPr>
          <w:rFonts w:ascii="Arial" w:cs="Arial" w:eastAsia="Arial" w:hAnsi="Arial"/>
          <w:sz w:val="26"/>
          <w:szCs w:val="26"/>
          <w:color w:val="auto"/>
          <w:vertAlign w:val="superscript"/>
        </w:rPr>
      </w:pPr>
      <w:r>
        <w:rPr>
          <w:rFonts w:ascii="Arial" w:cs="Arial" w:eastAsia="Arial" w:hAnsi="Arial"/>
          <w:sz w:val="16"/>
          <w:szCs w:val="16"/>
          <w:u w:val="single" w:color="auto"/>
          <w:color w:val="auto"/>
        </w:rPr>
        <w:t>https://www.jpmorganchase.com/corporate/Corporate-Responsibility/environment.htm</w:t>
      </w:r>
    </w:p>
    <w:p>
      <w:pPr>
        <w:spacing w:after="0" w:line="1" w:lineRule="exact"/>
        <w:rPr>
          <w:rFonts w:ascii="Arial" w:cs="Arial" w:eastAsia="Arial" w:hAnsi="Arial"/>
          <w:sz w:val="26"/>
          <w:szCs w:val="26"/>
          <w:color w:val="auto"/>
          <w:vertAlign w:val="superscript"/>
        </w:rPr>
      </w:pPr>
    </w:p>
    <w:p>
      <w:pPr>
        <w:ind w:left="206" w:hanging="206"/>
        <w:spacing w:after="0" w:line="238" w:lineRule="auto"/>
        <w:tabs>
          <w:tab w:leader="none" w:pos="206" w:val="left"/>
        </w:tabs>
        <w:numPr>
          <w:ilvl w:val="0"/>
          <w:numId w:val="230"/>
        </w:numPr>
        <w:rPr>
          <w:rFonts w:ascii="Arial" w:cs="Arial" w:eastAsia="Arial" w:hAnsi="Arial"/>
          <w:sz w:val="26"/>
          <w:szCs w:val="26"/>
          <w:color w:val="auto"/>
          <w:vertAlign w:val="superscript"/>
        </w:rPr>
      </w:pPr>
      <w:r>
        <w:rPr>
          <w:rFonts w:ascii="Arial" w:cs="Arial" w:eastAsia="Arial" w:hAnsi="Arial"/>
          <w:sz w:val="16"/>
          <w:szCs w:val="16"/>
          <w:u w:val="single" w:color="auto"/>
          <w:color w:val="auto"/>
        </w:rPr>
        <w:t>https://www.wri.org/finance/banks-sustainable-finance-commitments/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-3566795</wp:posOffset>
            </wp:positionH>
            <wp:positionV relativeFrom="paragraph">
              <wp:posOffset>338455</wp:posOffset>
            </wp:positionV>
            <wp:extent cx="7029450" cy="19685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029450" cy="1968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00" w:space="334"/>
            <w:col w:w="5346"/>
          </w:cols>
          <w:pgMar w:left="320" w:top="459" w:right="499" w:bottom="1440" w:gutter="0" w:footer="0" w:header="0"/>
          <w:type w:val="continuous"/>
        </w:sectPr>
      </w:pPr>
    </w:p>
    <w:p>
      <w:pPr>
        <w:spacing w:after="0" w:line="200" w:lineRule="exact"/>
        <w:rPr>
          <w:sz w:val="20"/>
          <w:szCs w:val="20"/>
          <w:color w:val="auto"/>
        </w:rPr>
      </w:pPr>
    </w:p>
    <w:p>
      <w:pPr>
        <w:spacing w:after="0" w:line="211" w:lineRule="exact"/>
        <w:rPr>
          <w:sz w:val="20"/>
          <w:szCs w:val="20"/>
          <w:color w:val="auto"/>
        </w:rPr>
      </w:pPr>
    </w:p>
    <w:p>
      <w:pPr>
        <w:jc w:val="center"/>
        <w:ind w:right="-159"/>
        <w:spacing w:after="0"/>
        <w:rPr>
          <w:sz w:val="20"/>
          <w:szCs w:val="20"/>
          <w:color w:val="auto"/>
        </w:rPr>
      </w:pPr>
      <w:r>
        <w:rPr>
          <w:rFonts w:ascii="Arial" w:cs="Arial" w:eastAsia="Arial" w:hAnsi="Arial"/>
          <w:sz w:val="13"/>
          <w:szCs w:val="13"/>
          <w:b w:val="1"/>
          <w:bCs w:val="1"/>
          <w:color w:val="004876"/>
        </w:rPr>
        <w:t>97</w:t>
      </w:r>
    </w:p>
    <w:p>
      <w:pPr>
        <w:sectPr>
          <w:pgSz w:w="11900" w:h="16838" w:orient="portrait"/>
          <w:cols w:equalWidth="0" w:num="1">
            <w:col w:w="11080"/>
          </w:cols>
          <w:pgMar w:left="320" w:top="459" w:right="499" w:bottom="1440" w:gutter="0" w:footer="0" w:header="0"/>
          <w:type w:val="continuous"/>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4876"/>
        </w:rPr>
        <w:t>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384" w:lineRule="exact"/>
        <w:rPr>
          <w:sz w:val="20"/>
          <w:szCs w:val="20"/>
          <w:color w:val="auto"/>
        </w:rPr>
      </w:pPr>
    </w:p>
    <w:p>
      <w:pPr>
        <w:ind w:left="120"/>
        <w:spacing w:after="0"/>
        <w:rPr>
          <w:sz w:val="20"/>
          <w:szCs w:val="20"/>
          <w:color w:val="auto"/>
        </w:rPr>
      </w:pPr>
      <w:r>
        <w:rPr>
          <w:rFonts w:ascii="Arial" w:cs="Arial" w:eastAsia="Arial" w:hAnsi="Arial"/>
          <w:sz w:val="20"/>
          <w:szCs w:val="20"/>
          <w:color w:val="004876"/>
        </w:rPr>
        <w:t>Board Response to Proposal 6</w:t>
      </w:r>
    </w:p>
    <w:p>
      <w:pPr>
        <w:spacing w:after="0" w:line="9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Board of Directors recommends that shareholders vote</w:t>
      </w:r>
    </w:p>
    <w:p>
      <w:pPr>
        <w:ind w:left="120"/>
        <w:spacing w:after="0"/>
        <w:rPr>
          <w:sz w:val="20"/>
          <w:szCs w:val="20"/>
          <w:color w:val="auto"/>
        </w:rPr>
      </w:pPr>
      <w:r>
        <w:rPr>
          <w:rFonts w:ascii="Arial" w:cs="Arial" w:eastAsia="Arial" w:hAnsi="Arial"/>
          <w:sz w:val="18"/>
          <w:szCs w:val="18"/>
          <w:b w:val="1"/>
          <w:bCs w:val="1"/>
          <w:u w:val="single" w:color="auto"/>
          <w:color w:val="920000"/>
        </w:rPr>
        <w:t>AGAINST</w:t>
      </w:r>
      <w:r>
        <w:rPr>
          <w:rFonts w:ascii="Arial" w:cs="Arial" w:eastAsia="Arial" w:hAnsi="Arial"/>
          <w:sz w:val="18"/>
          <w:szCs w:val="18"/>
          <w:b w:val="1"/>
          <w:bCs w:val="1"/>
          <w:color w:val="920000"/>
        </w:rPr>
        <w:t xml:space="preserve"> </w:t>
      </w:r>
      <w:r>
        <w:rPr>
          <w:rFonts w:ascii="Arial" w:cs="Arial" w:eastAsia="Arial" w:hAnsi="Arial"/>
          <w:sz w:val="18"/>
          <w:szCs w:val="18"/>
          <w:color w:val="000000"/>
        </w:rPr>
        <w:t>this proposal for the following reasons: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3360420" cy="438023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3360420" cy="4380230"/>
                    </a:xfrm>
                    <a:prstGeom prst="rect">
                      <a:avLst/>
                    </a:prstGeom>
                    <a:noFill/>
                  </pic:spPr>
                </pic:pic>
              </a:graphicData>
            </a:graphic>
          </wp:anchor>
        </w:drawing>
      </w:r>
    </w:p>
    <w:p>
      <w:pPr>
        <w:spacing w:after="0" w:line="143" w:lineRule="exact"/>
        <w:rPr>
          <w:sz w:val="20"/>
          <w:szCs w:val="20"/>
          <w:color w:val="auto"/>
        </w:rPr>
      </w:pPr>
    </w:p>
    <w:p>
      <w:pPr>
        <w:ind w:left="380" w:right="20" w:hanging="197"/>
        <w:spacing w:after="0" w:line="244" w:lineRule="auto"/>
        <w:tabs>
          <w:tab w:leader="none" w:pos="380" w:val="left"/>
        </w:tabs>
        <w:numPr>
          <w:ilvl w:val="0"/>
          <w:numId w:val="231"/>
        </w:numPr>
        <w:rPr>
          <w:rFonts w:ascii="Arial" w:cs="Arial" w:eastAsia="Arial" w:hAnsi="Arial"/>
          <w:sz w:val="18"/>
          <w:szCs w:val="18"/>
          <w:color w:val="004876"/>
        </w:rPr>
      </w:pPr>
      <w:r>
        <w:rPr>
          <w:rFonts w:ascii="Arial" w:cs="Arial" w:eastAsia="Arial" w:hAnsi="Arial"/>
          <w:sz w:val="18"/>
          <w:szCs w:val="18"/>
          <w:b w:val="1"/>
          <w:bCs w:val="1"/>
          <w:color w:val="auto"/>
        </w:rPr>
        <w:t>JPMorgan Chase is prioritizing its commitment to finance sustainable development. Our objective is to support companies that are working to strategically transition to a lower carbon economy and that are managing environmental and social risks responsibly.</w:t>
      </w:r>
    </w:p>
    <w:p>
      <w:pPr>
        <w:spacing w:after="0" w:line="81" w:lineRule="exact"/>
        <w:rPr>
          <w:rFonts w:ascii="Arial" w:cs="Arial" w:eastAsia="Arial" w:hAnsi="Arial"/>
          <w:sz w:val="18"/>
          <w:szCs w:val="18"/>
          <w:color w:val="004876"/>
        </w:rPr>
      </w:pPr>
    </w:p>
    <w:p>
      <w:pPr>
        <w:ind w:left="380" w:right="40" w:hanging="197"/>
        <w:spacing w:after="0" w:line="253" w:lineRule="auto"/>
        <w:tabs>
          <w:tab w:leader="none" w:pos="380" w:val="left"/>
        </w:tabs>
        <w:numPr>
          <w:ilvl w:val="0"/>
          <w:numId w:val="231"/>
        </w:numPr>
        <w:rPr>
          <w:rFonts w:ascii="Arial" w:cs="Arial" w:eastAsia="Arial" w:hAnsi="Arial"/>
          <w:sz w:val="18"/>
          <w:szCs w:val="18"/>
          <w:color w:val="004876"/>
        </w:rPr>
      </w:pPr>
      <w:r>
        <w:rPr>
          <w:rFonts w:ascii="Arial" w:cs="Arial" w:eastAsia="Arial" w:hAnsi="Arial"/>
          <w:sz w:val="18"/>
          <w:szCs w:val="18"/>
          <w:b w:val="1"/>
          <w:bCs w:val="1"/>
          <w:color w:val="auto"/>
        </w:rPr>
        <w:t>In February 2020, the Firm announced a new commitment to finance $200 billion in 2020 for sustainable development.</w:t>
      </w:r>
    </w:p>
    <w:p>
      <w:pPr>
        <w:spacing w:after="0" w:line="74" w:lineRule="exact"/>
        <w:rPr>
          <w:rFonts w:ascii="Arial" w:cs="Arial" w:eastAsia="Arial" w:hAnsi="Arial"/>
          <w:sz w:val="18"/>
          <w:szCs w:val="18"/>
          <w:color w:val="004876"/>
        </w:rPr>
      </w:pPr>
    </w:p>
    <w:p>
      <w:pPr>
        <w:ind w:left="380" w:right="180" w:hanging="197"/>
        <w:spacing w:after="0" w:line="275" w:lineRule="auto"/>
        <w:tabs>
          <w:tab w:leader="none" w:pos="380" w:val="left"/>
        </w:tabs>
        <w:numPr>
          <w:ilvl w:val="0"/>
          <w:numId w:val="231"/>
        </w:numPr>
        <w:rPr>
          <w:rFonts w:ascii="Arial" w:cs="Arial" w:eastAsia="Arial" w:hAnsi="Arial"/>
          <w:sz w:val="17"/>
          <w:szCs w:val="17"/>
          <w:color w:val="004876"/>
        </w:rPr>
      </w:pPr>
      <w:r>
        <w:rPr>
          <w:rFonts w:ascii="Arial" w:cs="Arial" w:eastAsia="Arial" w:hAnsi="Arial"/>
          <w:sz w:val="17"/>
          <w:szCs w:val="17"/>
          <w:b w:val="1"/>
          <w:bCs w:val="1"/>
          <w:color w:val="auto"/>
        </w:rPr>
        <w:t>We are expanding the focus and capabilities of our services to meet client demand for advice and capital to address climate change and promote inclusive growth.</w:t>
      </w:r>
    </w:p>
    <w:p>
      <w:pPr>
        <w:spacing w:after="0" w:line="57" w:lineRule="exact"/>
        <w:rPr>
          <w:rFonts w:ascii="Arial" w:cs="Arial" w:eastAsia="Arial" w:hAnsi="Arial"/>
          <w:sz w:val="17"/>
          <w:szCs w:val="17"/>
          <w:color w:val="004876"/>
        </w:rPr>
      </w:pPr>
    </w:p>
    <w:p>
      <w:pPr>
        <w:ind w:left="380" w:right="40" w:hanging="197"/>
        <w:spacing w:after="0" w:line="247" w:lineRule="auto"/>
        <w:tabs>
          <w:tab w:leader="none" w:pos="380" w:val="left"/>
        </w:tabs>
        <w:numPr>
          <w:ilvl w:val="0"/>
          <w:numId w:val="231"/>
        </w:numPr>
        <w:rPr>
          <w:rFonts w:ascii="Arial" w:cs="Arial" w:eastAsia="Arial" w:hAnsi="Arial"/>
          <w:sz w:val="18"/>
          <w:szCs w:val="18"/>
          <w:color w:val="004876"/>
        </w:rPr>
      </w:pPr>
      <w:r>
        <w:rPr>
          <w:rFonts w:ascii="Arial" w:cs="Arial" w:eastAsia="Arial" w:hAnsi="Arial"/>
          <w:sz w:val="18"/>
          <w:szCs w:val="18"/>
          <w:b w:val="1"/>
          <w:bCs w:val="1"/>
          <w:color w:val="auto"/>
        </w:rPr>
        <w:t>We have expanded our restrictions on financing for coal mining and coal-fired power, and prohibited project financing where the proceeds will be used for new oil and gas development in the Arctic.</w:t>
      </w:r>
    </w:p>
    <w:p>
      <w:pPr>
        <w:spacing w:after="0" w:line="79" w:lineRule="exact"/>
        <w:rPr>
          <w:rFonts w:ascii="Arial" w:cs="Arial" w:eastAsia="Arial" w:hAnsi="Arial"/>
          <w:sz w:val="18"/>
          <w:szCs w:val="18"/>
          <w:color w:val="004876"/>
        </w:rPr>
      </w:pPr>
    </w:p>
    <w:p>
      <w:pPr>
        <w:ind w:left="380" w:right="160" w:hanging="197"/>
        <w:spacing w:after="0" w:line="253" w:lineRule="auto"/>
        <w:tabs>
          <w:tab w:leader="none" w:pos="380" w:val="left"/>
        </w:tabs>
        <w:numPr>
          <w:ilvl w:val="0"/>
          <w:numId w:val="231"/>
        </w:numPr>
        <w:rPr>
          <w:rFonts w:ascii="Arial" w:cs="Arial" w:eastAsia="Arial" w:hAnsi="Arial"/>
          <w:sz w:val="18"/>
          <w:szCs w:val="18"/>
          <w:color w:val="004876"/>
        </w:rPr>
      </w:pPr>
      <w:r>
        <w:rPr>
          <w:rFonts w:ascii="Arial" w:cs="Arial" w:eastAsia="Arial" w:hAnsi="Arial"/>
          <w:sz w:val="18"/>
          <w:szCs w:val="18"/>
          <w:b w:val="1"/>
          <w:bCs w:val="1"/>
          <w:color w:val="auto"/>
        </w:rPr>
        <w:t>We are on track to meet our goal to source renewable energy for 100 percent of our global power needs by the end of 2020.</w:t>
      </w:r>
    </w:p>
    <w:p>
      <w:pPr>
        <w:spacing w:after="0" w:line="74" w:lineRule="exact"/>
        <w:rPr>
          <w:rFonts w:ascii="Arial" w:cs="Arial" w:eastAsia="Arial" w:hAnsi="Arial"/>
          <w:sz w:val="18"/>
          <w:szCs w:val="18"/>
          <w:color w:val="004876"/>
        </w:rPr>
      </w:pPr>
    </w:p>
    <w:p>
      <w:pPr>
        <w:ind w:left="380" w:right="20" w:hanging="197"/>
        <w:spacing w:after="0"/>
        <w:tabs>
          <w:tab w:leader="none" w:pos="380" w:val="left"/>
        </w:tabs>
        <w:numPr>
          <w:ilvl w:val="0"/>
          <w:numId w:val="231"/>
        </w:numPr>
        <w:rPr>
          <w:rFonts w:ascii="Arial" w:cs="Arial" w:eastAsia="Arial" w:hAnsi="Arial"/>
          <w:sz w:val="18"/>
          <w:szCs w:val="18"/>
          <w:color w:val="004876"/>
        </w:rPr>
      </w:pPr>
      <w:r>
        <w:rPr>
          <w:rFonts w:ascii="Arial" w:cs="Arial" w:eastAsia="Arial" w:hAnsi="Arial"/>
          <w:sz w:val="18"/>
          <w:szCs w:val="18"/>
          <w:b w:val="1"/>
          <w:bCs w:val="1"/>
          <w:color w:val="auto"/>
        </w:rPr>
        <w:t>The Firm supports public sector leadership to drive carbon emissions reductions on a global scale, including through its public support of the Paris Agreement, participation in the Climate Leadership Council and Climate Action 100+, and reporting in alignment with the guidelines of the Task Force for Climate-Related Financial Disclosures.</w:t>
      </w:r>
    </w:p>
    <w:p>
      <w:pPr>
        <w:spacing w:after="0" w:line="90" w:lineRule="exact"/>
        <w:rPr>
          <w:rFonts w:ascii="Arial" w:cs="Arial" w:eastAsia="Arial" w:hAnsi="Arial"/>
          <w:sz w:val="18"/>
          <w:szCs w:val="18"/>
          <w:color w:val="004876"/>
        </w:rPr>
      </w:pPr>
    </w:p>
    <w:p>
      <w:pPr>
        <w:ind w:left="380" w:hanging="197"/>
        <w:spacing w:after="0" w:line="244" w:lineRule="auto"/>
        <w:tabs>
          <w:tab w:leader="none" w:pos="380" w:val="left"/>
        </w:tabs>
        <w:numPr>
          <w:ilvl w:val="0"/>
          <w:numId w:val="231"/>
        </w:numPr>
        <w:rPr>
          <w:rFonts w:ascii="Arial" w:cs="Arial" w:eastAsia="Arial" w:hAnsi="Arial"/>
          <w:sz w:val="18"/>
          <w:szCs w:val="18"/>
          <w:color w:val="004876"/>
        </w:rPr>
      </w:pPr>
      <w:r>
        <w:rPr>
          <w:rFonts w:ascii="Arial" w:cs="Arial" w:eastAsia="Arial" w:hAnsi="Arial"/>
          <w:sz w:val="18"/>
          <w:szCs w:val="18"/>
          <w:b w:val="1"/>
          <w:bCs w:val="1"/>
          <w:color w:val="auto"/>
        </w:rPr>
        <w:t>We provide transparent disclosure of our approach to and performance on environmental, social and governance (ESG) topics through multiple channels, and we share information on our website and in direct engagements with stakeholders.</w:t>
      </w:r>
    </w:p>
    <w:p>
      <w:pPr>
        <w:spacing w:after="0" w:line="144"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Climate change presents global challenges and risks, and businesses must play a leadership role in creating solutions that protect the environment and drive inclusive economic growth. JPMorgan Chase’s objective is to support companies that are working to strategically transition to a lower carbon economy and that are managing environmental and social risks in a responsible manner. We are also focused on expanding our financing for those companies focused on low-carbon technologies and solutions.</w:t>
      </w:r>
    </w:p>
    <w:p>
      <w:pPr>
        <w:spacing w:after="0" w:line="99"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This year, JPMorgan Chase announced a new commitment to finance $ 200 billion in 2020 for sustainable development, including climate action and other efforts that advance the United Nations Sustainable Development Goals. This expands on our previous efforts, including our target to source renewable energy for 100 percent of</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ind w:right="260"/>
        <w:spacing w:after="0"/>
        <w:rPr>
          <w:sz w:val="20"/>
          <w:szCs w:val="20"/>
          <w:color w:val="auto"/>
        </w:rPr>
      </w:pPr>
      <w:r>
        <w:rPr>
          <w:rFonts w:ascii="Arial" w:cs="Arial" w:eastAsia="Arial" w:hAnsi="Arial"/>
          <w:sz w:val="18"/>
          <w:szCs w:val="18"/>
          <w:color w:val="auto"/>
        </w:rPr>
        <w:t>global power needs by the end of 2020, which we are on track to meet. We also offset 100 percent of carbon emissions from employee air travel.</w:t>
      </w:r>
    </w:p>
    <w:p>
      <w:pPr>
        <w:spacing w:after="0" w:line="95"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In support of our new commitment, and to support growing demand from our clients, the Firm has expanded its efforts to provide advice and capital to address climate change and promote inclusive growth. For example, we launched the J.P. Morgan Development Finance Institution (DFI), which focuses on scaling up finance for developing countries. The DFI has also identified activities that it will not finance due to environmental and social considerations, such as coal mining and coal-fired power. In its Corporate and Investment Bank, the Firm has assembled a new Energy Transition team to provide strategic and financial advice to corporate clients on M&amp;A transactions that support their carbon optimization objectives. JPMorgan Chase has also established an Environmental, Social and Governance (ESG) Solutions group to advise clients on reducing their carbon emissions and respond to increased interest in ESG investing.</w:t>
      </w:r>
    </w:p>
    <w:p>
      <w:pPr>
        <w:spacing w:after="0" w:line="105"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To support the market demand for, and transition to, cleaner sources of energy, this year, we expanded our restrictions on financing for coal mining and coal-fired power, and prohibited project financing and other forms of asset-specific financing where the proceeds will be used for new upstream, midstream or downstream oil and gas development in the Arctic, including the Arctic National Wildlife Refuge. This follows restrictions announced previously on coal, including mountaintop mining.</w:t>
      </w:r>
    </w:p>
    <w:p>
      <w:pPr>
        <w:spacing w:after="0" w:line="100"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While businesses have a role to play in creating solutions that advance the transition to a lower-carbon economy and drive inclusive economic growth, public-sector leadership is needed to drive substantial carbon emission reductions on a global scale. This is why the Firm has publicly supported the Paris Agreement and recently joined Climate Action 100+ as well as the Climate Leadership Council, an organization that is promoting a bipartisan roadmap for a revenue neutral carbon tax-and-dividend framework for the United States.</w:t>
      </w:r>
    </w:p>
    <w:p>
      <w:pPr>
        <w:spacing w:after="0" w:line="99"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JPMorgan Chase strives to be transparent about our approach to and performance on ESG topics, including climate change, and we share information on our website and in direct engagement with our stakeholders. For example, the financing restrictions and criteria for enhanced reviews described above are articulated in our Environmental and Social Policy Framework. The Firm’s 2019 Annual Report on Form 10-K discusses climate change as a risk factor and how it could impact the Firm’s business operations, clients and customers. In 2019, we published “Understanding Our Climate-Related Risk and Opportunities”, a report following the guidelines of the Task Force for Climate-Related Financial Disclosures. We also publish an Environmental, Social and Governance Report annually, which includes information about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892175</wp:posOffset>
            </wp:positionV>
            <wp:extent cx="7029450" cy="19748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029450" cy="197485"/>
                    </a:xfrm>
                    <a:prstGeom prst="rect">
                      <a:avLst/>
                    </a:prstGeom>
                    <a:noFill/>
                  </pic:spPr>
                </pic:pic>
              </a:graphicData>
            </a:graphic>
          </wp:anchor>
        </w:drawing>
      </w:r>
    </w:p>
    <w:p>
      <w:pPr>
        <w:spacing w:after="0" w:line="1075" w:lineRule="exact"/>
        <w:rPr>
          <w:sz w:val="20"/>
          <w:szCs w:val="20"/>
          <w:color w:val="auto"/>
        </w:rPr>
      </w:pPr>
    </w:p>
    <w:p>
      <w:pPr>
        <w:sectPr>
          <w:pgSz w:w="11900" w:h="16838" w:orient="portrait"/>
          <w:cols w:equalWidth="0" w:num="2">
            <w:col w:w="5340" w:space="400"/>
            <w:col w:w="5400"/>
          </w:cols>
          <w:pgMar w:left="320" w:top="459" w:right="439" w:bottom="1440" w:gutter="0" w:footer="0" w:header="0"/>
          <w:type w:val="continuous"/>
        </w:sectPr>
      </w:pPr>
    </w:p>
    <w:p>
      <w:pPr>
        <w:spacing w:after="0" w:line="200" w:lineRule="exact"/>
        <w:rPr>
          <w:sz w:val="20"/>
          <w:szCs w:val="20"/>
          <w:color w:val="auto"/>
        </w:rPr>
      </w:pP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3"/>
          <w:szCs w:val="13"/>
          <w:b w:val="1"/>
          <w:bCs w:val="1"/>
          <w:color w:val="004876"/>
        </w:rPr>
        <w:t>98</w:t>
      </w:r>
    </w:p>
    <w:p>
      <w:pPr>
        <w:sectPr>
          <w:pgSz w:w="11900" w:h="16838" w:orient="portrait"/>
          <w:cols w:equalWidth="0" w:num="1">
            <w:col w:w="11140"/>
          </w:cols>
          <w:pgMar w:left="320" w:top="459" w:right="439" w:bottom="1440" w:gutter="0" w:footer="0" w:header="0"/>
          <w:type w:val="continuous"/>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04876"/>
        </w:rPr>
        <w:t>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6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greenhouse gas footprint from our direct operations, purchased</w:t>
      </w:r>
    </w:p>
    <w:p>
      <w:pPr>
        <w:ind w:left="120"/>
        <w:spacing w:after="0" w:line="234" w:lineRule="auto"/>
        <w:rPr>
          <w:sz w:val="20"/>
          <w:szCs w:val="20"/>
          <w:color w:val="auto"/>
        </w:rPr>
      </w:pPr>
      <w:r>
        <w:rPr>
          <w:rFonts w:ascii="Arial" w:cs="Arial" w:eastAsia="Arial" w:hAnsi="Arial"/>
          <w:sz w:val="18"/>
          <w:szCs w:val="18"/>
          <w:color w:val="auto"/>
        </w:rPr>
        <w:t>electricity, and employee air travel. These reports are publicly</w:t>
      </w:r>
    </w:p>
    <w:p>
      <w:pPr>
        <w:ind w:left="120"/>
        <w:spacing w:after="0" w:line="235" w:lineRule="auto"/>
        <w:rPr>
          <w:sz w:val="20"/>
          <w:szCs w:val="20"/>
          <w:color w:val="auto"/>
        </w:rPr>
      </w:pPr>
      <w:r>
        <w:rPr>
          <w:rFonts w:ascii="Arial" w:cs="Arial" w:eastAsia="Arial" w:hAnsi="Arial"/>
          <w:sz w:val="18"/>
          <w:szCs w:val="18"/>
          <w:color w:val="auto"/>
        </w:rPr>
        <w:t>available at jpmorganchase.com/corporate/About-JPMC/esg.</w:t>
      </w:r>
    </w:p>
    <w:p>
      <w:pPr>
        <w:ind w:left="120"/>
        <w:spacing w:after="0" w:line="235" w:lineRule="auto"/>
        <w:rPr>
          <w:sz w:val="20"/>
          <w:szCs w:val="20"/>
          <w:color w:val="auto"/>
        </w:rPr>
      </w:pPr>
      <w:r>
        <w:rPr>
          <w:rFonts w:ascii="Arial" w:cs="Arial" w:eastAsia="Arial" w:hAnsi="Arial"/>
          <w:sz w:val="18"/>
          <w:szCs w:val="18"/>
          <w:color w:val="auto"/>
        </w:rPr>
        <w:t>Given the reports and disclosures the Firm already makes, the</w:t>
      </w:r>
    </w:p>
    <w:p>
      <w:pPr>
        <w:ind w:left="120"/>
        <w:spacing w:after="0" w:line="235" w:lineRule="auto"/>
        <w:rPr>
          <w:sz w:val="20"/>
          <w:szCs w:val="20"/>
          <w:color w:val="auto"/>
        </w:rPr>
      </w:pPr>
      <w:r>
        <w:rPr>
          <w:rFonts w:ascii="Arial" w:cs="Arial" w:eastAsia="Arial" w:hAnsi="Arial"/>
          <w:sz w:val="18"/>
          <w:szCs w:val="18"/>
          <w:color w:val="auto"/>
        </w:rPr>
        <w:t>Board believes the requested report would not enhance</w:t>
      </w:r>
    </w:p>
    <w:p>
      <w:pPr>
        <w:ind w:left="120"/>
        <w:spacing w:after="0"/>
        <w:rPr>
          <w:sz w:val="20"/>
          <w:szCs w:val="20"/>
          <w:color w:val="auto"/>
        </w:rPr>
      </w:pPr>
      <w:r>
        <w:rPr>
          <w:rFonts w:ascii="Arial" w:cs="Arial" w:eastAsia="Arial" w:hAnsi="Arial"/>
          <w:sz w:val="18"/>
          <w:szCs w:val="18"/>
          <w:color w:val="auto"/>
        </w:rPr>
        <w:t>shareholder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151765</wp:posOffset>
            </wp:positionV>
            <wp:extent cx="2991485" cy="33401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2991485" cy="334010"/>
                    </a:xfrm>
                    <a:prstGeom prst="rect">
                      <a:avLst/>
                    </a:prstGeom>
                    <a:noFill/>
                  </pic:spPr>
                </pic:pic>
              </a:graphicData>
            </a:graphic>
          </wp:anchor>
        </w:drawing>
      </w:r>
    </w:p>
    <w:p>
      <w:pPr>
        <w:spacing w:after="0" w:line="242" w:lineRule="exact"/>
        <w:rPr>
          <w:sz w:val="20"/>
          <w:szCs w:val="20"/>
          <w:color w:val="auto"/>
        </w:rPr>
      </w:pPr>
    </w:p>
    <w:p>
      <w:pPr>
        <w:ind w:left="820"/>
        <w:spacing w:after="0"/>
        <w:rPr>
          <w:sz w:val="20"/>
          <w:szCs w:val="20"/>
          <w:color w:val="auto"/>
        </w:rPr>
      </w:pPr>
      <w:r>
        <w:rPr>
          <w:rFonts w:ascii="Arial" w:cs="Arial" w:eastAsia="Arial" w:hAnsi="Arial"/>
          <w:sz w:val="20"/>
          <w:szCs w:val="20"/>
          <w:color w:val="FFFFFF"/>
        </w:rPr>
        <w:t>The Board of Directors recommends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-108585</wp:posOffset>
            </wp:positionV>
            <wp:extent cx="137160" cy="14541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137160" cy="145415"/>
                    </a:xfrm>
                    <a:prstGeom prst="rect">
                      <a:avLst/>
                    </a:prstGeom>
                    <a:noFill/>
                  </pic:spPr>
                </pic:pic>
              </a:graphicData>
            </a:graphic>
          </wp:anchor>
        </w:drawing>
      </w:r>
    </w:p>
    <w:p>
      <w:pPr>
        <w:ind w:left="820"/>
        <w:spacing w:after="0"/>
        <w:rPr>
          <w:sz w:val="20"/>
          <w:szCs w:val="20"/>
          <w:color w:val="auto"/>
        </w:rPr>
      </w:pPr>
      <w:r>
        <w:rPr>
          <w:rFonts w:ascii="Arial" w:cs="Arial" w:eastAsia="Arial" w:hAnsi="Arial"/>
          <w:sz w:val="20"/>
          <w:szCs w:val="20"/>
          <w:color w:val="FFFFFF"/>
        </w:rPr>
        <w:t xml:space="preserve">vote </w:t>
      </w:r>
      <w:r>
        <w:rPr>
          <w:rFonts w:ascii="Arial" w:cs="Arial" w:eastAsia="Arial" w:hAnsi="Arial"/>
          <w:sz w:val="20"/>
          <w:szCs w:val="20"/>
          <w:b w:val="1"/>
          <w:bCs w:val="1"/>
          <w:color w:val="FFFFFF"/>
        </w:rPr>
        <w:t>AGAINST</w:t>
      </w:r>
      <w:r>
        <w:rPr>
          <w:rFonts w:ascii="Arial" w:cs="Arial" w:eastAsia="Arial" w:hAnsi="Arial"/>
          <w:sz w:val="20"/>
          <w:szCs w:val="20"/>
          <w:color w:val="FFFFFF"/>
        </w:rPr>
        <w:t xml:space="preserve">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370840</wp:posOffset>
            </wp:positionV>
            <wp:extent cx="7029450" cy="19748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029450" cy="197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ind w:right="4439"/>
        <w:spacing w:after="0"/>
        <w:rPr>
          <w:sz w:val="20"/>
          <w:szCs w:val="20"/>
          <w:color w:val="auto"/>
        </w:rPr>
      </w:pPr>
      <w:r>
        <w:rPr>
          <w:rFonts w:ascii="Arial" w:cs="Arial" w:eastAsia="Arial" w:hAnsi="Arial"/>
          <w:sz w:val="13"/>
          <w:szCs w:val="13"/>
          <w:b w:val="1"/>
          <w:bCs w:val="1"/>
          <w:color w:val="004876"/>
        </w:rPr>
        <w:t>99</w:t>
      </w:r>
    </w:p>
    <w:p>
      <w:pPr>
        <w:sectPr>
          <w:pgSz w:w="11900" w:h="16838" w:orient="portrait"/>
          <w:cols w:equalWidth="0" w:num="1">
            <w:col w:w="10139"/>
          </w:cols>
          <w:pgMar w:left="320" w:top="459" w:right="1440"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4876"/>
        </w:rPr>
        <w:t>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330" w:lineRule="exact"/>
        <w:rPr>
          <w:sz w:val="20"/>
          <w:szCs w:val="20"/>
          <w:color w:val="auto"/>
        </w:rPr>
      </w:pPr>
    </w:p>
    <w:p>
      <w:pPr>
        <w:ind w:left="120"/>
        <w:spacing w:after="0"/>
        <w:rPr>
          <w:sz w:val="20"/>
          <w:szCs w:val="20"/>
          <w:color w:val="auto"/>
        </w:rPr>
      </w:pPr>
      <w:r>
        <w:rPr>
          <w:rFonts w:ascii="Arial" w:cs="Arial" w:eastAsia="Arial" w:hAnsi="Arial"/>
          <w:sz w:val="19"/>
          <w:szCs w:val="19"/>
          <w:color w:val="004876"/>
        </w:rPr>
        <w:t>Proposal 7 – Amend shareholder written consent provisions</w:t>
      </w:r>
    </w:p>
    <w:p>
      <w:pPr>
        <w:spacing w:after="0" w:line="176" w:lineRule="exact"/>
        <w:rPr>
          <w:sz w:val="20"/>
          <w:szCs w:val="20"/>
          <w:color w:val="auto"/>
        </w:rPr>
      </w:pPr>
    </w:p>
    <w:p>
      <w:pPr>
        <w:ind w:left="120" w:right="160"/>
        <w:spacing w:after="0" w:line="246" w:lineRule="auto"/>
        <w:rPr>
          <w:sz w:val="20"/>
          <w:szCs w:val="20"/>
          <w:color w:val="auto"/>
        </w:rPr>
      </w:pPr>
      <w:r>
        <w:rPr>
          <w:rFonts w:ascii="Arial" w:cs="Arial" w:eastAsia="Arial" w:hAnsi="Arial"/>
          <w:sz w:val="18"/>
          <w:szCs w:val="18"/>
          <w:color w:val="auto"/>
        </w:rPr>
        <w:t>John Chevedden has advised us that he intends to introduce the following resolution:</w:t>
      </w:r>
    </w:p>
    <w:p>
      <w:pPr>
        <w:spacing w:after="0" w:line="89"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Shareholders request that our board of directors take the steps necessary to add these words to our bylaws: “Any stockholder of record, seeking to have the stockholders authorize or take corporate action by written consent without a meeting shall, by written notice delivered to the secretary of the corporation, request the board of directors to fix a record date.”</w:t>
      </w:r>
    </w:p>
    <w:p>
      <w:pPr>
        <w:spacing w:after="0" w:line="97" w:lineRule="exact"/>
        <w:rPr>
          <w:sz w:val="20"/>
          <w:szCs w:val="20"/>
          <w:color w:val="auto"/>
        </w:rPr>
      </w:pPr>
    </w:p>
    <w:p>
      <w:pPr>
        <w:ind w:left="120"/>
        <w:spacing w:after="0" w:line="261" w:lineRule="auto"/>
        <w:rPr>
          <w:sz w:val="20"/>
          <w:szCs w:val="20"/>
          <w:color w:val="auto"/>
        </w:rPr>
      </w:pPr>
      <w:r>
        <w:rPr>
          <w:rFonts w:ascii="Arial" w:cs="Arial" w:eastAsia="Arial" w:hAnsi="Arial"/>
          <w:sz w:val="17"/>
          <w:szCs w:val="17"/>
          <w:color w:val="auto"/>
        </w:rPr>
        <w:t>This proposal includes making each change in our governing documents necessary to be consistent with the above text. The above quoted words are from the bylaws of a $60 Billion company.</w:t>
      </w:r>
    </w:p>
    <w:p>
      <w:pPr>
        <w:spacing w:after="0" w:line="78"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When JPMorgan adopted a shareholder right to act by written consent in it put in a hurdle to make written consent not a meaningful right. Our directors made it necessary for 20% of JPM shares to request a record date. In other words shareholders need the backing of $80 Billion of JPM shares to simply ask for a record date.</w:t>
      </w:r>
    </w:p>
    <w:p>
      <w:pPr>
        <w:spacing w:after="0" w:line="97"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And once the owners of $80 Billion of JPM stock provide management with their direct contact information then JPM management can pressure the owners of $80 Billion of JPM stock to revoke their written consents using the unlimited deep pocket of JPM. It is like it would take the backing of $80 Billion of JPM stock to just get a ticket to the parking lot of the ballpark. JPM has a history of not hesitating to spend shareholder money to oppose shareholder proposals that ask JPM to be more accountable to its shareholders.</w:t>
      </w:r>
    </w:p>
    <w:p>
      <w:pPr>
        <w:spacing w:after="0" w:line="99" w:lineRule="exact"/>
        <w:rPr>
          <w:sz w:val="20"/>
          <w:szCs w:val="20"/>
          <w:color w:val="auto"/>
        </w:rPr>
      </w:pPr>
    </w:p>
    <w:p>
      <w:pPr>
        <w:ind w:left="120" w:right="300"/>
        <w:spacing w:after="0" w:line="246" w:lineRule="auto"/>
        <w:rPr>
          <w:sz w:val="20"/>
          <w:szCs w:val="20"/>
          <w:color w:val="auto"/>
        </w:rPr>
      </w:pPr>
      <w:r>
        <w:rPr>
          <w:rFonts w:ascii="Arial" w:cs="Arial" w:eastAsia="Arial" w:hAnsi="Arial"/>
          <w:sz w:val="18"/>
          <w:szCs w:val="18"/>
          <w:color w:val="auto"/>
        </w:rPr>
        <w:t>The above $60 Billion company did not ask that 20% of shares request a record date.</w:t>
      </w:r>
    </w:p>
    <w:p>
      <w:pPr>
        <w:spacing w:after="0" w:line="89" w:lineRule="exact"/>
        <w:rPr>
          <w:sz w:val="20"/>
          <w:szCs w:val="20"/>
          <w:color w:val="auto"/>
        </w:rPr>
      </w:pPr>
    </w:p>
    <w:p>
      <w:pPr>
        <w:ind w:left="120" w:right="260"/>
        <w:spacing w:after="0" w:line="238" w:lineRule="auto"/>
        <w:rPr>
          <w:sz w:val="20"/>
          <w:szCs w:val="20"/>
          <w:color w:val="auto"/>
        </w:rPr>
      </w:pPr>
      <w:r>
        <w:rPr>
          <w:rFonts w:ascii="Arial" w:cs="Arial" w:eastAsia="Arial" w:hAnsi="Arial"/>
          <w:sz w:val="18"/>
          <w:szCs w:val="18"/>
          <w:color w:val="auto"/>
        </w:rPr>
        <w:t>It makes no sense to require 20% of shares ($80 Billion of JPM shares) to just get started to act by written consent when 3% of JPM shares can put a proxy access candidate on our annual meeting ballot.</w:t>
      </w:r>
    </w:p>
    <w:p>
      <w:pPr>
        <w:spacing w:after="0" w:line="9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Please vote yes:</w:t>
      </w:r>
    </w:p>
    <w:p>
      <w:pPr>
        <w:spacing w:after="0" w:line="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Initiate Meaningful Shareholder Written Consent – Proposal 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20"/>
          <w:szCs w:val="20"/>
          <w:color w:val="004876"/>
        </w:rPr>
        <w:t>Board Response to Proposal 7</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recommends that shareholders vote</w:t>
      </w:r>
    </w:p>
    <w:p>
      <w:pPr>
        <w:spacing w:after="0"/>
        <w:rPr>
          <w:sz w:val="20"/>
          <w:szCs w:val="20"/>
          <w:color w:val="auto"/>
        </w:rPr>
      </w:pPr>
      <w:r>
        <w:rPr>
          <w:rFonts w:ascii="Arial" w:cs="Arial" w:eastAsia="Arial" w:hAnsi="Arial"/>
          <w:sz w:val="18"/>
          <w:szCs w:val="18"/>
          <w:b w:val="1"/>
          <w:bCs w:val="1"/>
          <w:u w:val="single" w:color="auto"/>
          <w:color w:val="920000"/>
        </w:rPr>
        <w:t>AGAINST</w:t>
      </w:r>
      <w:r>
        <w:rPr>
          <w:rFonts w:ascii="Arial" w:cs="Arial" w:eastAsia="Arial" w:hAnsi="Arial"/>
          <w:sz w:val="18"/>
          <w:szCs w:val="18"/>
          <w:b w:val="1"/>
          <w:bCs w:val="1"/>
          <w:color w:val="920000"/>
        </w:rPr>
        <w:t xml:space="preserve"> </w:t>
      </w:r>
      <w:r>
        <w:rPr>
          <w:rFonts w:ascii="Arial" w:cs="Arial" w:eastAsia="Arial" w:hAnsi="Arial"/>
          <w:sz w:val="18"/>
          <w:szCs w:val="18"/>
          <w:color w:val="000000"/>
        </w:rPr>
        <w:t>this proposal for the following reasons: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74930</wp:posOffset>
            </wp:positionV>
            <wp:extent cx="3429000" cy="260604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3429000" cy="2606040"/>
                    </a:xfrm>
                    <a:prstGeom prst="rect">
                      <a:avLst/>
                    </a:prstGeom>
                    <a:noFill/>
                  </pic:spPr>
                </pic:pic>
              </a:graphicData>
            </a:graphic>
          </wp:anchor>
        </w:drawing>
      </w:r>
    </w:p>
    <w:p>
      <w:pPr>
        <w:spacing w:after="0" w:line="116" w:lineRule="exact"/>
        <w:rPr>
          <w:sz w:val="20"/>
          <w:szCs w:val="20"/>
          <w:color w:val="auto"/>
        </w:rPr>
      </w:pPr>
    </w:p>
    <w:p>
      <w:pPr>
        <w:jc w:val="both"/>
        <w:ind w:left="260" w:right="140" w:hanging="199"/>
        <w:spacing w:after="0" w:line="275" w:lineRule="auto"/>
        <w:tabs>
          <w:tab w:leader="none" w:pos="260" w:val="left"/>
        </w:tabs>
        <w:numPr>
          <w:ilvl w:val="0"/>
          <w:numId w:val="232"/>
        </w:numPr>
        <w:rPr>
          <w:rFonts w:ascii="Arial" w:cs="Arial" w:eastAsia="Arial" w:hAnsi="Arial"/>
          <w:sz w:val="17"/>
          <w:szCs w:val="17"/>
          <w:color w:val="004876"/>
        </w:rPr>
      </w:pPr>
      <w:r>
        <w:rPr>
          <w:rFonts w:ascii="Arial" w:cs="Arial" w:eastAsia="Arial" w:hAnsi="Arial"/>
          <w:sz w:val="17"/>
          <w:szCs w:val="17"/>
          <w:b w:val="1"/>
          <w:bCs w:val="1"/>
          <w:color w:val="auto"/>
        </w:rPr>
        <w:t>JPMorgan Chase already provides shareholders the ability to take action by written consent while protecting the Firm and all of our shareholders against misuse of the right.</w:t>
      </w:r>
    </w:p>
    <w:p>
      <w:pPr>
        <w:spacing w:after="0" w:line="57" w:lineRule="exact"/>
        <w:rPr>
          <w:rFonts w:ascii="Arial" w:cs="Arial" w:eastAsia="Arial" w:hAnsi="Arial"/>
          <w:sz w:val="17"/>
          <w:szCs w:val="17"/>
          <w:color w:val="004876"/>
        </w:rPr>
      </w:pPr>
    </w:p>
    <w:p>
      <w:pPr>
        <w:ind w:left="260" w:right="60" w:hanging="199"/>
        <w:spacing w:after="0" w:line="266" w:lineRule="auto"/>
        <w:tabs>
          <w:tab w:leader="none" w:pos="260" w:val="left"/>
        </w:tabs>
        <w:numPr>
          <w:ilvl w:val="0"/>
          <w:numId w:val="232"/>
        </w:numPr>
        <w:rPr>
          <w:rFonts w:ascii="Arial" w:cs="Arial" w:eastAsia="Arial" w:hAnsi="Arial"/>
          <w:sz w:val="17"/>
          <w:szCs w:val="17"/>
          <w:color w:val="004876"/>
        </w:rPr>
      </w:pPr>
      <w:r>
        <w:rPr>
          <w:rFonts w:ascii="Arial" w:cs="Arial" w:eastAsia="Arial" w:hAnsi="Arial"/>
          <w:sz w:val="17"/>
          <w:szCs w:val="17"/>
          <w:b w:val="1"/>
          <w:bCs w:val="1"/>
          <w:color w:val="auto"/>
        </w:rPr>
        <w:t>Allowing any single shareholder to initiate action by written consent, as the Proposal requests, would subject the Firm and all of its shareholders to potential misuse and may cause confusion, disruption and unnecessary expense.</w:t>
      </w:r>
    </w:p>
    <w:p>
      <w:pPr>
        <w:spacing w:after="0" w:line="64" w:lineRule="exact"/>
        <w:rPr>
          <w:rFonts w:ascii="Arial" w:cs="Arial" w:eastAsia="Arial" w:hAnsi="Arial"/>
          <w:sz w:val="17"/>
          <w:szCs w:val="17"/>
          <w:color w:val="004876"/>
        </w:rPr>
      </w:pPr>
    </w:p>
    <w:p>
      <w:pPr>
        <w:ind w:left="260" w:right="80" w:hanging="199"/>
        <w:spacing w:after="0" w:line="256" w:lineRule="auto"/>
        <w:tabs>
          <w:tab w:leader="none" w:pos="260" w:val="left"/>
        </w:tabs>
        <w:numPr>
          <w:ilvl w:val="0"/>
          <w:numId w:val="232"/>
        </w:numPr>
        <w:rPr>
          <w:rFonts w:ascii="Arial" w:cs="Arial" w:eastAsia="Arial" w:hAnsi="Arial"/>
          <w:sz w:val="17"/>
          <w:szCs w:val="17"/>
          <w:color w:val="004876"/>
        </w:rPr>
      </w:pPr>
      <w:r>
        <w:rPr>
          <w:rFonts w:ascii="Arial" w:cs="Arial" w:eastAsia="Arial" w:hAnsi="Arial"/>
          <w:sz w:val="17"/>
          <w:szCs w:val="17"/>
          <w:b w:val="1"/>
          <w:bCs w:val="1"/>
          <w:color w:val="auto"/>
        </w:rPr>
        <w:t>Our existing written consent provisions promote transparency, limit opportunities for misuse, and were approved by 97% of votes cast. Our existing ownership threshold required to request action by written consent is consistent with market practice. The requested amendment to our written consent provisions would be inadvisable for a company of the Firm’s size and complexity, and with a shareholder base similar to that of the Firm.</w:t>
      </w:r>
    </w:p>
    <w:p>
      <w:pPr>
        <w:spacing w:after="0" w:line="73" w:lineRule="exact"/>
        <w:rPr>
          <w:rFonts w:ascii="Arial" w:cs="Arial" w:eastAsia="Arial" w:hAnsi="Arial"/>
          <w:sz w:val="17"/>
          <w:szCs w:val="17"/>
          <w:color w:val="004876"/>
        </w:rPr>
      </w:pPr>
    </w:p>
    <w:p>
      <w:pPr>
        <w:ind w:left="260" w:right="80" w:hanging="199"/>
        <w:spacing w:after="0" w:line="253" w:lineRule="auto"/>
        <w:tabs>
          <w:tab w:leader="none" w:pos="260" w:val="left"/>
        </w:tabs>
        <w:numPr>
          <w:ilvl w:val="0"/>
          <w:numId w:val="232"/>
        </w:numPr>
        <w:rPr>
          <w:rFonts w:ascii="Arial" w:cs="Arial" w:eastAsia="Arial" w:hAnsi="Arial"/>
          <w:sz w:val="18"/>
          <w:szCs w:val="18"/>
          <w:color w:val="004876"/>
        </w:rPr>
      </w:pPr>
      <w:r>
        <w:rPr>
          <w:rFonts w:ascii="Arial" w:cs="Arial" w:eastAsia="Arial" w:hAnsi="Arial"/>
          <w:sz w:val="18"/>
          <w:szCs w:val="18"/>
          <w:b w:val="1"/>
          <w:bCs w:val="1"/>
          <w:color w:val="auto"/>
        </w:rPr>
        <w:t>Our commitment to strong corporate governance and shareholder engagement ensures Board accountability and promotes long-term shareholder value.</w:t>
      </w:r>
    </w:p>
    <w:p>
      <w:pPr>
        <w:spacing w:after="0" w:line="137"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Board does not believe that a small minority of shareholders — much less, a single shareholder — should be able to use written consent, thereby causing disruption and incurring unnecessary expense, to pursue interests that may not be shared more broadly by the Firm’s shareholders. The Firm already provides shareholders who own at least 20% of our outstanding shares of common stock net of hedges and who satisfy the other requirements set forth in the Certificate of Incorporation with the ability to seek corporate action by written consent (the “Written Consent Provisions”). The Firm’s Written Consent Provisions strike the right balance between enabling our shareholders to initiate corporate action and protecting our shareholders from being subject to written consent solicitations that may only be relevant to particular constituencies, or indeed, a single individual.</w:t>
      </w:r>
    </w:p>
    <w:p>
      <w:pPr>
        <w:spacing w:after="0" w:line="106"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This proposal requests a bylaw amendment, and references changes to our governing documents, to allow any single shareholder to initiate action by written consent. Allowing a single shareholder to begin the written consent process would be inconsistent with the feedback we received at the time our Written Consent Provisions were adopted and overwhelmingly approved by our shareholders. Our Board evaluated a number of factors in adopting our Written Consent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338455</wp:posOffset>
            </wp:positionV>
            <wp:extent cx="7029450" cy="19685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029450" cy="1968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00" w:space="340"/>
            <w:col w:w="5400"/>
          </w:cols>
          <w:pgMar w:left="320" w:top="459" w:right="439" w:bottom="144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jc w:val="center"/>
        <w:ind w:right="-119"/>
        <w:spacing w:after="0"/>
        <w:rPr>
          <w:sz w:val="20"/>
          <w:szCs w:val="20"/>
          <w:color w:val="auto"/>
        </w:rPr>
      </w:pPr>
      <w:r>
        <w:rPr>
          <w:rFonts w:ascii="Arial" w:cs="Arial" w:eastAsia="Arial" w:hAnsi="Arial"/>
          <w:sz w:val="13"/>
          <w:szCs w:val="13"/>
          <w:b w:val="1"/>
          <w:bCs w:val="1"/>
          <w:color w:val="004876"/>
        </w:rPr>
        <w:t>100</w:t>
      </w:r>
    </w:p>
    <w:p>
      <w:pPr>
        <w:sectPr>
          <w:pgSz w:w="11900" w:h="16838" w:orient="portrait"/>
          <w:cols w:equalWidth="0" w:num="1">
            <w:col w:w="11140"/>
          </w:cols>
          <w:pgMar w:left="320" w:top="459" w:right="439" w:bottom="1440" w:gutter="0" w:footer="0" w:header="0"/>
          <w:type w:val="continuous"/>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04876"/>
        </w:rPr>
        <w:t>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20"/>
          </w:cols>
          <w:pgMar w:left="320" w:top="459" w:right="459" w:bottom="1440" w:gutter="0" w:footer="0" w:header="0"/>
        </w:sectPr>
      </w:pPr>
    </w:p>
    <w:p>
      <w:pPr>
        <w:spacing w:after="0" w:line="387"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including the interests of the Firm and those of our shareholders, the time and resources required to affect action by written consent, and the opportunities shareholders otherwise have to engage with the Board and senior management. Our Written Consent Provisions were approved by 97% of votes cast, and include features that promote transparency, permit due consideration and avoid shareholder disenfranchisement. These features reflect the feedback we received from shareholders about the need for appropriate procedural safeguards when adopting written consent.</w:t>
      </w:r>
    </w:p>
    <w:p>
      <w:pPr>
        <w:spacing w:after="0" w:line="98" w:lineRule="exact"/>
        <w:rPr>
          <w:sz w:val="20"/>
          <w:szCs w:val="20"/>
          <w:color w:val="auto"/>
        </w:rPr>
      </w:pPr>
    </w:p>
    <w:p>
      <w:pPr>
        <w:ind w:left="120" w:right="80"/>
        <w:spacing w:after="0" w:line="237" w:lineRule="auto"/>
        <w:rPr>
          <w:sz w:val="20"/>
          <w:szCs w:val="20"/>
          <w:color w:val="auto"/>
        </w:rPr>
      </w:pPr>
      <w:r>
        <w:rPr>
          <w:rFonts w:ascii="Arial" w:cs="Arial" w:eastAsia="Arial" w:hAnsi="Arial"/>
          <w:sz w:val="18"/>
          <w:szCs w:val="18"/>
          <w:color w:val="auto"/>
        </w:rPr>
        <w:t>Further, our Written Consent Provisions continue to compare favorably to the market. The 20% ownership threshold is a common threshold for written consent rights at public companies, among those companies that provide for this right. The requested amendment to our Written Consent Provisions would be inadvisable for a company of the Firm’s size and complexity, and with a shareholder base similar to that of the Firm.</w:t>
      </w:r>
    </w:p>
    <w:p>
      <w:pPr>
        <w:spacing w:after="0" w:line="95" w:lineRule="exact"/>
        <w:rPr>
          <w:sz w:val="20"/>
          <w:szCs w:val="20"/>
          <w:color w:val="auto"/>
        </w:rPr>
      </w:pPr>
    </w:p>
    <w:p>
      <w:pPr>
        <w:ind w:left="120" w:right="160"/>
        <w:spacing w:after="0" w:line="253" w:lineRule="auto"/>
        <w:rPr>
          <w:sz w:val="20"/>
          <w:szCs w:val="20"/>
          <w:color w:val="auto"/>
        </w:rPr>
      </w:pPr>
      <w:r>
        <w:rPr>
          <w:rFonts w:ascii="Arial" w:cs="Arial" w:eastAsia="Arial" w:hAnsi="Arial"/>
          <w:sz w:val="17"/>
          <w:szCs w:val="17"/>
          <w:color w:val="auto"/>
        </w:rPr>
        <w:t>The Board believes that the current Written Consent Provisions should also be considered in the context of the Firm’s overall corporate governance practices, including the shareholder rights available under its Certificate of Incorporation and By-Laws, and applicable law, and the Firm’s commitment to shareholder engagement. Our Firm’s corporate governance practices allow shareholders to engage directly with our Board, hold the Board</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accountable and, if necessary, take action to support their interests. In addition, the Firm holds formal shareholder outreach programs twice a year that cover a wide range of issues with a broad group of shareholders. The Firm also provides that any shareholder may contact our entire Board, any individual Board member, including the Lead Independent Director, any committee chair, or the independent directors as a group. For additional information about our shareholder engagement, see page 30. The Firm also provides shareholders with strong rights, including the right to proxy access, the ability to call a special meeting, and the annual majority election of directors. For more information about shareholder rights, see page 34.</w:t>
      </w:r>
    </w:p>
    <w:p>
      <w:pPr>
        <w:spacing w:after="0" w:line="96"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Shareholders are well served by the existing right to act by written consent which provides appropriate protection against the risk of subjecting shareholders to the disruption and expense of a written consent solicitation by a single individual. The Board believes that this proposal is both unnecessary and harmful to the structural balance that has been established given shareholders’ existing right to act by written consent and the Firm’s strong corporate governance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149860</wp:posOffset>
            </wp:positionV>
            <wp:extent cx="3051810" cy="33464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3051810" cy="334645"/>
                    </a:xfrm>
                    <a:prstGeom prst="rect">
                      <a:avLst/>
                    </a:prstGeom>
                    <a:noFill/>
                  </pic:spPr>
                </pic:pic>
              </a:graphicData>
            </a:graphic>
          </wp:anchor>
        </w:drawing>
      </w:r>
    </w:p>
    <w:p>
      <w:pPr>
        <w:spacing w:after="0" w:line="252" w:lineRule="exact"/>
        <w:rPr>
          <w:sz w:val="20"/>
          <w:szCs w:val="20"/>
          <w:color w:val="auto"/>
        </w:rPr>
      </w:pPr>
    </w:p>
    <w:p>
      <w:pPr>
        <w:ind w:left="720" w:right="1300"/>
        <w:spacing w:after="0" w:line="236" w:lineRule="auto"/>
        <w:rPr>
          <w:sz w:val="20"/>
          <w:szCs w:val="20"/>
          <w:color w:val="auto"/>
        </w:rPr>
      </w:pPr>
      <w:r>
        <w:rPr>
          <w:rFonts w:ascii="Arial" w:cs="Arial" w:eastAsia="Arial" w:hAnsi="Arial"/>
          <w:sz w:val="20"/>
          <w:szCs w:val="20"/>
          <w:color w:val="FFFFFF"/>
        </w:rPr>
        <w:t xml:space="preserve">The Board of Directors recommends a vote </w:t>
      </w:r>
      <w:r>
        <w:rPr>
          <w:rFonts w:ascii="Arial" w:cs="Arial" w:eastAsia="Arial" w:hAnsi="Arial"/>
          <w:sz w:val="20"/>
          <w:szCs w:val="20"/>
          <w:b w:val="1"/>
          <w:bCs w:val="1"/>
          <w:color w:val="FFFFFF"/>
        </w:rPr>
        <w:t>AGAINST</w:t>
      </w:r>
      <w:r>
        <w:rPr>
          <w:rFonts w:ascii="Arial" w:cs="Arial" w:eastAsia="Arial" w:hAnsi="Arial"/>
          <w:sz w:val="20"/>
          <w:szCs w:val="20"/>
          <w:color w:val="FFFFFF"/>
        </w:rPr>
        <w:t xml:space="preserve">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461010</wp:posOffset>
            </wp:positionV>
            <wp:extent cx="7029450" cy="19685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029450" cy="1968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-258445</wp:posOffset>
            </wp:positionV>
            <wp:extent cx="137160" cy="14541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137160" cy="145415"/>
                    </a:xfrm>
                    <a:prstGeom prst="rect">
                      <a:avLst/>
                    </a:prstGeom>
                    <a:noFill/>
                  </pic:spPr>
                </pic:pic>
              </a:graphicData>
            </a:graphic>
          </wp:anchor>
        </w:drawing>
      </w:r>
    </w:p>
    <w:p>
      <w:pPr>
        <w:spacing w:after="0" w:line="409" w:lineRule="exact"/>
        <w:rPr>
          <w:sz w:val="20"/>
          <w:szCs w:val="20"/>
          <w:color w:val="auto"/>
        </w:rPr>
      </w:pPr>
    </w:p>
    <w:p>
      <w:pPr>
        <w:sectPr>
          <w:pgSz w:w="11900" w:h="16838" w:orient="portrait"/>
          <w:cols w:equalWidth="0" w:num="2">
            <w:col w:w="5400" w:space="340"/>
            <w:col w:w="5380"/>
          </w:cols>
          <w:pgMar w:left="320" w:top="459" w:right="459" w:bottom="1440" w:gutter="0" w:footer="0" w:header="0"/>
          <w:type w:val="continuous"/>
        </w:sectPr>
      </w:pPr>
    </w:p>
    <w:p>
      <w:pPr>
        <w:spacing w:after="0" w:line="394" w:lineRule="exact"/>
        <w:rPr>
          <w:sz w:val="20"/>
          <w:szCs w:val="20"/>
          <w:color w:val="auto"/>
        </w:rPr>
      </w:pPr>
    </w:p>
    <w:p>
      <w:pPr>
        <w:jc w:val="center"/>
        <w:ind w:right="-139"/>
        <w:spacing w:after="0"/>
        <w:rPr>
          <w:sz w:val="20"/>
          <w:szCs w:val="20"/>
          <w:color w:val="auto"/>
        </w:rPr>
      </w:pPr>
      <w:r>
        <w:rPr>
          <w:rFonts w:ascii="Arial" w:cs="Arial" w:eastAsia="Arial" w:hAnsi="Arial"/>
          <w:sz w:val="13"/>
          <w:szCs w:val="13"/>
          <w:b w:val="1"/>
          <w:bCs w:val="1"/>
          <w:color w:val="004876"/>
        </w:rPr>
        <w:t>101</w:t>
      </w:r>
    </w:p>
    <w:p>
      <w:pPr>
        <w:sectPr>
          <w:pgSz w:w="11900" w:h="16838" w:orient="portrait"/>
          <w:cols w:equalWidth="0" w:num="1">
            <w:col w:w="11120"/>
          </w:cols>
          <w:pgMar w:left="320" w:top="459" w:right="459" w:bottom="1440" w:gutter="0" w:footer="0" w:header="0"/>
          <w:type w:val="continuous"/>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4876"/>
        </w:rPr>
        <w:t>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330" w:lineRule="exact"/>
        <w:rPr>
          <w:sz w:val="20"/>
          <w:szCs w:val="20"/>
          <w:color w:val="auto"/>
        </w:rPr>
      </w:pPr>
    </w:p>
    <w:p>
      <w:pPr>
        <w:ind w:left="120"/>
        <w:spacing w:after="0"/>
        <w:rPr>
          <w:sz w:val="20"/>
          <w:szCs w:val="20"/>
          <w:color w:val="auto"/>
        </w:rPr>
      </w:pPr>
      <w:r>
        <w:rPr>
          <w:rFonts w:ascii="Arial" w:cs="Arial" w:eastAsia="Arial" w:hAnsi="Arial"/>
          <w:sz w:val="20"/>
          <w:szCs w:val="20"/>
          <w:color w:val="004876"/>
        </w:rPr>
        <w:t>Proposal 8 – Charitable contributions disclosure</w:t>
      </w:r>
    </w:p>
    <w:p>
      <w:pPr>
        <w:spacing w:after="0" w:line="164" w:lineRule="exact"/>
        <w:rPr>
          <w:sz w:val="20"/>
          <w:szCs w:val="20"/>
          <w:color w:val="auto"/>
        </w:rPr>
      </w:pPr>
    </w:p>
    <w:p>
      <w:pPr>
        <w:ind w:left="120" w:right="120"/>
        <w:spacing w:after="0" w:line="246" w:lineRule="auto"/>
        <w:rPr>
          <w:sz w:val="20"/>
          <w:szCs w:val="20"/>
          <w:color w:val="auto"/>
        </w:rPr>
      </w:pPr>
      <w:r>
        <w:rPr>
          <w:rFonts w:ascii="Arial" w:cs="Arial" w:eastAsia="Arial" w:hAnsi="Arial"/>
          <w:sz w:val="18"/>
          <w:szCs w:val="18"/>
          <w:color w:val="auto"/>
        </w:rPr>
        <w:t>Thomas Strobhar has advised us that he intends to introduce the following resolution:</w:t>
      </w:r>
    </w:p>
    <w:p>
      <w:pPr>
        <w:spacing w:after="0" w:line="67" w:lineRule="exact"/>
        <w:rPr>
          <w:sz w:val="20"/>
          <w:szCs w:val="20"/>
          <w:color w:val="auto"/>
        </w:rPr>
      </w:pPr>
    </w:p>
    <w:p>
      <w:pPr>
        <w:ind w:left="120" w:right="260"/>
        <w:spacing w:after="0" w:line="301"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Company’s charitable contributions, properly</w:t>
      </w:r>
      <w:r>
        <w:rPr>
          <w:rFonts w:ascii="Arial" w:cs="Arial" w:eastAsia="Arial" w:hAnsi="Arial"/>
          <w:sz w:val="17"/>
          <w:szCs w:val="17"/>
          <w:b w:val="1"/>
          <w:bCs w:val="1"/>
          <w:color w:val="auto"/>
        </w:rPr>
        <w:t xml:space="preserve"> </w:t>
      </w:r>
      <w:r>
        <w:rPr>
          <w:rFonts w:ascii="Arial" w:cs="Arial" w:eastAsia="Arial" w:hAnsi="Arial"/>
          <w:sz w:val="17"/>
          <w:szCs w:val="17"/>
          <w:color w:val="auto"/>
        </w:rPr>
        <w:t>managed, are likely to enhance the reputation of the Company:</w:t>
      </w:r>
    </w:p>
    <w:p>
      <w:pPr>
        <w:spacing w:after="0" w:line="45" w:lineRule="exact"/>
        <w:rPr>
          <w:sz w:val="20"/>
          <w:szCs w:val="20"/>
          <w:color w:val="auto"/>
        </w:rPr>
      </w:pPr>
    </w:p>
    <w:p>
      <w:pPr>
        <w:ind w:left="120" w:right="220"/>
        <w:spacing w:after="0" w:line="274" w:lineRule="auto"/>
        <w:rPr>
          <w:sz w:val="20"/>
          <w:szCs w:val="20"/>
          <w:color w:val="auto"/>
        </w:rPr>
      </w:pPr>
      <w:r>
        <w:rPr>
          <w:rFonts w:ascii="Arial" w:cs="Arial" w:eastAsia="Arial" w:hAnsi="Arial"/>
          <w:sz w:val="17"/>
          <w:szCs w:val="17"/>
          <w:color w:val="auto"/>
        </w:rPr>
        <w:t>Whereas, increased disclosure regarding appropriate charitable contributions is expected to create goodwill for our company.</w:t>
      </w:r>
    </w:p>
    <w:p>
      <w:pPr>
        <w:spacing w:after="0" w:line="67" w:lineRule="exact"/>
        <w:rPr>
          <w:sz w:val="20"/>
          <w:szCs w:val="20"/>
          <w:color w:val="auto"/>
        </w:rPr>
      </w:pPr>
    </w:p>
    <w:p>
      <w:pPr>
        <w:ind w:left="120" w:right="380"/>
        <w:spacing w:after="0"/>
        <w:rPr>
          <w:sz w:val="20"/>
          <w:szCs w:val="20"/>
          <w:color w:val="auto"/>
        </w:rPr>
      </w:pPr>
      <w:r>
        <w:rPr>
          <w:rFonts w:ascii="Arial" w:cs="Arial" w:eastAsia="Arial" w:hAnsi="Arial"/>
          <w:sz w:val="18"/>
          <w:szCs w:val="18"/>
          <w:color w:val="auto"/>
        </w:rPr>
        <w:t>Whereas, making the benefits of our Company’s philanthropic programs broadly known is likely to promote the Company’s interests:</w:t>
      </w:r>
    </w:p>
    <w:p>
      <w:pPr>
        <w:spacing w:after="0" w:line="95" w:lineRule="exact"/>
        <w:rPr>
          <w:sz w:val="20"/>
          <w:szCs w:val="20"/>
          <w:color w:val="auto"/>
        </w:rPr>
      </w:pPr>
    </w:p>
    <w:p>
      <w:pPr>
        <w:ind w:left="120"/>
        <w:spacing w:after="0" w:line="261" w:lineRule="auto"/>
        <w:rPr>
          <w:sz w:val="20"/>
          <w:szCs w:val="20"/>
          <w:color w:val="auto"/>
        </w:rPr>
      </w:pPr>
      <w:r>
        <w:rPr>
          <w:rFonts w:ascii="Arial" w:cs="Arial" w:eastAsia="Arial" w:hAnsi="Arial"/>
          <w:sz w:val="17"/>
          <w:szCs w:val="17"/>
          <w:color w:val="auto"/>
        </w:rPr>
        <w:t>Whereas, transparency and corresponding feedback from shareholders, the philanthropic community and others, could be useful in guiding the Company’s future charitable decision making:</w:t>
      </w:r>
    </w:p>
    <w:p>
      <w:pPr>
        <w:spacing w:after="0" w:line="56" w:lineRule="exact"/>
        <w:rPr>
          <w:sz w:val="20"/>
          <w:szCs w:val="20"/>
          <w:color w:val="auto"/>
        </w:rPr>
      </w:pPr>
    </w:p>
    <w:p>
      <w:pPr>
        <w:ind w:left="120" w:right="300"/>
        <w:spacing w:after="0" w:line="247" w:lineRule="auto"/>
        <w:rPr>
          <w:sz w:val="20"/>
          <w:szCs w:val="20"/>
          <w:color w:val="auto"/>
        </w:rPr>
      </w:pPr>
      <w:r>
        <w:rPr>
          <w:rFonts w:ascii="Arial" w:cs="Arial" w:eastAsia="Arial" w:hAnsi="Arial"/>
          <w:sz w:val="18"/>
          <w:szCs w:val="18"/>
          <w:b w:val="1"/>
          <w:bCs w:val="1"/>
          <w:color w:val="auto"/>
        </w:rPr>
        <w:t xml:space="preserve">Resolved: </w:t>
      </w:r>
      <w:r>
        <w:rPr>
          <w:rFonts w:ascii="Arial" w:cs="Arial" w:eastAsia="Arial" w:hAnsi="Arial"/>
          <w:sz w:val="18"/>
          <w:szCs w:val="18"/>
          <w:color w:val="auto"/>
        </w:rPr>
        <w:t>The Proponent requests that the Board of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disclose on the Company website any recipient which receives $1,000 or more of direct contributions, excluding employee matching gifts.</w:t>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Supporting Statement</w:t>
      </w:r>
    </w:p>
    <w:p>
      <w:pPr>
        <w:spacing w:after="0" w:line="126" w:lineRule="exact"/>
        <w:rPr>
          <w:sz w:val="20"/>
          <w:szCs w:val="20"/>
          <w:color w:val="auto"/>
        </w:rPr>
      </w:pPr>
    </w:p>
    <w:p>
      <w:pPr>
        <w:ind w:left="120" w:right="40"/>
        <w:spacing w:after="0" w:line="235" w:lineRule="auto"/>
        <w:rPr>
          <w:sz w:val="20"/>
          <w:szCs w:val="20"/>
          <w:color w:val="auto"/>
        </w:rPr>
      </w:pPr>
      <w:r>
        <w:rPr>
          <w:rFonts w:ascii="Arial" w:cs="Arial" w:eastAsia="Arial" w:hAnsi="Arial"/>
          <w:sz w:val="18"/>
          <w:szCs w:val="18"/>
          <w:color w:val="auto"/>
        </w:rPr>
        <w:t>Absent a system of accountability and transparency, some charitable contributions may be handled unwisely, potentially harming the Company’s reputation and shareholder value. Corporate charitable contributions should be given as much exposure as possible, lest their intended impact on goodwill is diminished. For example, if we gave to the American Cancer Society potentially thousands of our stakeholders might approve of our interest in challenging this disease. Likewise, our support of Planned Parenthood could win the praise of millions of Americans who have had an abortion at one of their facilities. Educational organizations, like the Southern Poverty Law Center, have seen an increase in their funding since they included several conservative Christian organizations on their list of hate groups. Our stakeholders and customers might be similarly enthused if we supported them. Be it the Girl Scouts, American Heart Association, Boys and Girls Club of America, Red Cross or countless other possible recipients; our support should be publicly noted. Those who might disagree with our decisions can play a valuable role also.</w:t>
      </w:r>
    </w:p>
    <w:p>
      <w:pPr>
        <w:spacing w:after="0" w:line="105"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Fuller disclosure would provide enhanced feedback opportunities from which our Company could make more fruitful decisions. Decisions regarding corporate philanthropy should be transparent to serve the interests of shareholders better.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20"/>
          <w:szCs w:val="20"/>
          <w:color w:val="004876"/>
        </w:rPr>
        <w:t>Board Response to Proposal 8</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recommends that shareholders vote</w:t>
      </w:r>
    </w:p>
    <w:p>
      <w:pPr>
        <w:spacing w:after="0"/>
        <w:rPr>
          <w:sz w:val="20"/>
          <w:szCs w:val="20"/>
          <w:color w:val="auto"/>
        </w:rPr>
      </w:pPr>
      <w:r>
        <w:rPr>
          <w:rFonts w:ascii="Arial" w:cs="Arial" w:eastAsia="Arial" w:hAnsi="Arial"/>
          <w:sz w:val="18"/>
          <w:szCs w:val="18"/>
          <w:b w:val="1"/>
          <w:bCs w:val="1"/>
          <w:u w:val="single" w:color="auto"/>
          <w:color w:val="920000"/>
        </w:rPr>
        <w:t>AGAINST</w:t>
      </w:r>
      <w:r>
        <w:rPr>
          <w:rFonts w:ascii="Arial" w:cs="Arial" w:eastAsia="Arial" w:hAnsi="Arial"/>
          <w:sz w:val="18"/>
          <w:szCs w:val="18"/>
          <w:b w:val="1"/>
          <w:bCs w:val="1"/>
          <w:color w:val="920000"/>
        </w:rPr>
        <w:t xml:space="preserve"> </w:t>
      </w:r>
      <w:r>
        <w:rPr>
          <w:rFonts w:ascii="Arial" w:cs="Arial" w:eastAsia="Arial" w:hAnsi="Arial"/>
          <w:sz w:val="18"/>
          <w:szCs w:val="18"/>
          <w:color w:val="000000"/>
        </w:rPr>
        <w:t>this proposal for the following reasons: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92075</wp:posOffset>
            </wp:positionV>
            <wp:extent cx="3429000" cy="162877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3429000" cy="1628775"/>
                    </a:xfrm>
                    <a:prstGeom prst="rect">
                      <a:avLst/>
                    </a:prstGeom>
                    <a:noFill/>
                  </pic:spPr>
                </pic:pic>
              </a:graphicData>
            </a:graphic>
          </wp:anchor>
        </w:drawing>
      </w:r>
    </w:p>
    <w:p>
      <w:pPr>
        <w:spacing w:after="0" w:line="143" w:lineRule="exact"/>
        <w:rPr>
          <w:sz w:val="20"/>
          <w:szCs w:val="20"/>
          <w:color w:val="auto"/>
        </w:rPr>
      </w:pPr>
    </w:p>
    <w:p>
      <w:pPr>
        <w:ind w:left="260" w:right="140" w:hanging="199"/>
        <w:spacing w:after="0" w:line="271" w:lineRule="auto"/>
        <w:tabs>
          <w:tab w:leader="none" w:pos="260" w:val="left"/>
        </w:tabs>
        <w:numPr>
          <w:ilvl w:val="0"/>
          <w:numId w:val="233"/>
        </w:numPr>
        <w:rPr>
          <w:rFonts w:ascii="Arial" w:cs="Arial" w:eastAsia="Arial" w:hAnsi="Arial"/>
          <w:sz w:val="18"/>
          <w:szCs w:val="18"/>
          <w:color w:val="004876"/>
        </w:rPr>
      </w:pPr>
      <w:r>
        <w:rPr>
          <w:rFonts w:ascii="Arial" w:cs="Arial" w:eastAsia="Arial" w:hAnsi="Arial"/>
          <w:sz w:val="18"/>
          <w:szCs w:val="18"/>
          <w:b w:val="1"/>
          <w:bCs w:val="1"/>
          <w:color w:val="auto"/>
        </w:rPr>
        <w:t>JPMorgan Chase is committed to philanthropic efforts that focus on strategic drivers of inclusive growth.</w:t>
      </w:r>
    </w:p>
    <w:p>
      <w:pPr>
        <w:spacing w:after="0" w:line="59" w:lineRule="exact"/>
        <w:rPr>
          <w:rFonts w:ascii="Arial" w:cs="Arial" w:eastAsia="Arial" w:hAnsi="Arial"/>
          <w:sz w:val="18"/>
          <w:szCs w:val="18"/>
          <w:color w:val="004876"/>
        </w:rPr>
      </w:pPr>
    </w:p>
    <w:p>
      <w:pPr>
        <w:ind w:left="260" w:right="220" w:hanging="199"/>
        <w:spacing w:after="0" w:line="247" w:lineRule="auto"/>
        <w:tabs>
          <w:tab w:leader="none" w:pos="260" w:val="left"/>
        </w:tabs>
        <w:numPr>
          <w:ilvl w:val="0"/>
          <w:numId w:val="233"/>
        </w:numPr>
        <w:rPr>
          <w:rFonts w:ascii="Arial" w:cs="Arial" w:eastAsia="Arial" w:hAnsi="Arial"/>
          <w:sz w:val="18"/>
          <w:szCs w:val="18"/>
          <w:color w:val="004876"/>
        </w:rPr>
      </w:pPr>
      <w:r>
        <w:rPr>
          <w:rFonts w:ascii="Arial" w:cs="Arial" w:eastAsia="Arial" w:hAnsi="Arial"/>
          <w:sz w:val="18"/>
          <w:szCs w:val="18"/>
          <w:b w:val="1"/>
          <w:bCs w:val="1"/>
          <w:color w:val="auto"/>
        </w:rPr>
        <w:t>The Firm regularly reports its philanthropic efforts to shareholders and the public through its annual Corporate Responsibility Report, quarterly newsletters and other channels.</w:t>
      </w:r>
    </w:p>
    <w:p>
      <w:pPr>
        <w:spacing w:after="0" w:line="79" w:lineRule="exact"/>
        <w:rPr>
          <w:rFonts w:ascii="Arial" w:cs="Arial" w:eastAsia="Arial" w:hAnsi="Arial"/>
          <w:sz w:val="18"/>
          <w:szCs w:val="18"/>
          <w:color w:val="004876"/>
        </w:rPr>
      </w:pPr>
    </w:p>
    <w:p>
      <w:pPr>
        <w:ind w:left="260" w:right="20" w:hanging="199"/>
        <w:spacing w:after="0" w:line="244" w:lineRule="auto"/>
        <w:tabs>
          <w:tab w:leader="none" w:pos="260" w:val="left"/>
        </w:tabs>
        <w:numPr>
          <w:ilvl w:val="0"/>
          <w:numId w:val="233"/>
        </w:numPr>
        <w:rPr>
          <w:rFonts w:ascii="Arial" w:cs="Arial" w:eastAsia="Arial" w:hAnsi="Arial"/>
          <w:sz w:val="18"/>
          <w:szCs w:val="18"/>
          <w:color w:val="004876"/>
        </w:rPr>
      </w:pPr>
      <w:r>
        <w:rPr>
          <w:rFonts w:ascii="Arial" w:cs="Arial" w:eastAsia="Arial" w:hAnsi="Arial"/>
          <w:sz w:val="18"/>
          <w:szCs w:val="18"/>
          <w:b w:val="1"/>
          <w:bCs w:val="1"/>
          <w:color w:val="auto"/>
        </w:rPr>
        <w:t>The Firm’s charitable Foundation complies with IRS regulations to annually disclose grants it has made over the year along with information on governance and investment matters; this and other publicly available information renders the requested publication redundant.</w:t>
      </w:r>
    </w:p>
    <w:p>
      <w:pPr>
        <w:spacing w:after="0" w:line="144" w:lineRule="exact"/>
        <w:rPr>
          <w:sz w:val="20"/>
          <w:szCs w:val="20"/>
          <w:color w:val="auto"/>
        </w:rPr>
      </w:pPr>
    </w:p>
    <w:p>
      <w:pPr>
        <w:ind w:right="40"/>
        <w:spacing w:after="0" w:line="250" w:lineRule="auto"/>
        <w:rPr>
          <w:sz w:val="20"/>
          <w:szCs w:val="20"/>
          <w:color w:val="auto"/>
        </w:rPr>
      </w:pPr>
      <w:r>
        <w:rPr>
          <w:rFonts w:ascii="Arial" w:cs="Arial" w:eastAsia="Arial" w:hAnsi="Arial"/>
          <w:sz w:val="17"/>
          <w:szCs w:val="17"/>
          <w:color w:val="auto"/>
        </w:rPr>
        <w:t>JPMorgan Chase has combined its business and policy expertise, capital and data to advance four universal pillars of opportunity: jobs and skills, small business expansion, neighborhood revitalization and financial health. Our model for impact reflects what we believe are the essential ingredients for creating lasting impact for our communities, customers and employees. We put this model into action through significant, long-term and data-driven investments in communities around the world. In 2018, the Firm and its Foundation gave nearly $255 million to nonprofit organizations across the U.S. and in 38 countries around the world, and has committed to invest $1.75 billion by 2023. In addition, last year, 59,000 JPMorgan Chase employees provided 389,000 hours of volunteer service in the communities where they live and work.</w:t>
      </w:r>
    </w:p>
    <w:p>
      <w:pPr>
        <w:spacing w:after="0" w:line="93"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The Firm uses rigorous approval and oversight processes to make grants. These start with the identification of nonprofit institutions whose work is strongly aligned with the Firm’s philanthropic strategy and who have demonstrated excellence in achieving measurable and sustainable impact in the Firm’s defined focus areas. Once the Foundation has identified a potential grantee and project, it conducts a series of grant and due diligence reviews, tailored to the size and complexity of each proposal, that assess the quality of a grantee’s work and its alignment with the Firm’s strategy. A typical grant is reviewed for programmatic alignment, legal, compliance and organizational capacity. In addition, the Firm’s governance processes require its grantmaking to be nonpartisan.</w:t>
      </w:r>
    </w:p>
    <w:p>
      <w:pPr>
        <w:spacing w:after="0" w:line="95"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The Firm requires grantees to complete regular impact reports that provide both quantitative and qualitative measures of the grantee’s progress in meeting agreed-upon goals and deliverables; it also requires final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336550</wp:posOffset>
            </wp:positionV>
            <wp:extent cx="7029450" cy="19685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029450" cy="1968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00" w:space="340"/>
            <w:col w:w="5400"/>
          </w:cols>
          <w:pgMar w:left="320" w:top="459" w:right="439" w:bottom="1440" w:gutter="0" w:footer="0" w:header="0"/>
          <w:type w:val="continuous"/>
        </w:sectPr>
      </w:pPr>
    </w:p>
    <w:p>
      <w:pPr>
        <w:spacing w:after="0" w:line="200" w:lineRule="exact"/>
        <w:rPr>
          <w:sz w:val="20"/>
          <w:szCs w:val="20"/>
          <w:color w:val="auto"/>
        </w:rPr>
      </w:pPr>
    </w:p>
    <w:p>
      <w:pPr>
        <w:spacing w:after="0" w:line="208" w:lineRule="exact"/>
        <w:rPr>
          <w:sz w:val="20"/>
          <w:szCs w:val="20"/>
          <w:color w:val="auto"/>
        </w:rPr>
      </w:pPr>
    </w:p>
    <w:p>
      <w:pPr>
        <w:jc w:val="center"/>
        <w:ind w:right="-119"/>
        <w:spacing w:after="0"/>
        <w:rPr>
          <w:sz w:val="20"/>
          <w:szCs w:val="20"/>
          <w:color w:val="auto"/>
        </w:rPr>
      </w:pPr>
      <w:r>
        <w:rPr>
          <w:rFonts w:ascii="Arial" w:cs="Arial" w:eastAsia="Arial" w:hAnsi="Arial"/>
          <w:sz w:val="13"/>
          <w:szCs w:val="13"/>
          <w:b w:val="1"/>
          <w:bCs w:val="1"/>
          <w:color w:val="004876"/>
        </w:rPr>
        <w:t>102</w:t>
      </w:r>
    </w:p>
    <w:p>
      <w:pPr>
        <w:sectPr>
          <w:pgSz w:w="11900" w:h="16838" w:orient="portrait"/>
          <w:cols w:equalWidth="0" w:num="1">
            <w:col w:w="11140"/>
          </w:cols>
          <w:pgMar w:left="320" w:top="459" w:right="439" w:bottom="1440" w:gutter="0" w:footer="0" w:header="0"/>
          <w:type w:val="continuous"/>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04876"/>
        </w:rPr>
        <w:t>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00"/>
          </w:cols>
          <w:pgMar w:left="320" w:top="459" w:right="479" w:bottom="1440" w:gutter="0" w:footer="0" w:header="0"/>
        </w:sectPr>
      </w:pPr>
    </w:p>
    <w:p>
      <w:pPr>
        <w:spacing w:after="0" w:line="387"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to document a grantee’s performance over the term of the grant. These tools assist with the continued due diligence and allow the Firm to monitor the grantee’s use of funds and completion of deliverables. They also give the Firm the data it needs to evaluate impact and further develop its strategies to advance economic opportunity.</w:t>
      </w:r>
    </w:p>
    <w:p>
      <w:pPr>
        <w:spacing w:after="0" w:line="97" w:lineRule="exact"/>
        <w:rPr>
          <w:sz w:val="20"/>
          <w:szCs w:val="20"/>
          <w:color w:val="auto"/>
        </w:rPr>
      </w:pPr>
    </w:p>
    <w:p>
      <w:pPr>
        <w:ind w:left="120" w:right="100"/>
        <w:spacing w:after="0" w:line="236" w:lineRule="auto"/>
        <w:rPr>
          <w:sz w:val="20"/>
          <w:szCs w:val="20"/>
          <w:color w:val="auto"/>
        </w:rPr>
      </w:pPr>
      <w:r>
        <w:rPr>
          <w:rFonts w:ascii="Arial" w:cs="Arial" w:eastAsia="Arial" w:hAnsi="Arial"/>
          <w:sz w:val="18"/>
          <w:szCs w:val="18"/>
          <w:color w:val="auto"/>
        </w:rPr>
        <w:t>The Firm recognizes its obligation to provide shareholders, employees and customers with information about our strategies, grantmaking and monitoring, and impact evaluation efforts. The Firm reports regularly to shareholders and the general public about its philanthropic efforts on its website, in its annual Corporate Responsibility Report, in quarterly newsletters and frequently through press releases, social media and other channels. The JPMorgan Chase Foundation (“Foundation”), as a private foundation, files with the U.S.</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Internal Revenue Service annually, Form 990-PF. Form 990-PF is a public document that contains a full list of grants made in each fiscal year. In addition, detailed information about the Firm’s philanthropic giving is readily available online. For example, the JPMorgan Chase Foundation’s annual tax filing is available at www.guidestar.org; it includes information about each individual contribution made by the Foundation and lists the names of the Foundation’s officers, directors and trustees. As a result, the Board believes that the requested publication would be redundant and would not add shareholder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148590</wp:posOffset>
            </wp:positionV>
            <wp:extent cx="3051810" cy="33401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3051810" cy="334010"/>
                    </a:xfrm>
                    <a:prstGeom prst="rect">
                      <a:avLst/>
                    </a:prstGeom>
                    <a:noFill/>
                  </pic:spPr>
                </pic:pic>
              </a:graphicData>
            </a:graphic>
          </wp:anchor>
        </w:drawing>
      </w:r>
    </w:p>
    <w:p>
      <w:pPr>
        <w:spacing w:after="0" w:line="250" w:lineRule="exact"/>
        <w:rPr>
          <w:sz w:val="20"/>
          <w:szCs w:val="20"/>
          <w:color w:val="auto"/>
        </w:rPr>
      </w:pPr>
    </w:p>
    <w:p>
      <w:pPr>
        <w:ind w:left="720" w:right="1280"/>
        <w:spacing w:after="0" w:line="236" w:lineRule="auto"/>
        <w:rPr>
          <w:sz w:val="20"/>
          <w:szCs w:val="20"/>
          <w:color w:val="auto"/>
        </w:rPr>
      </w:pPr>
      <w:r>
        <w:rPr>
          <w:rFonts w:ascii="Arial" w:cs="Arial" w:eastAsia="Arial" w:hAnsi="Arial"/>
          <w:sz w:val="20"/>
          <w:szCs w:val="20"/>
          <w:color w:val="FFFFFF"/>
        </w:rPr>
        <w:t xml:space="preserve">The Board of Directors recommends a vote </w:t>
      </w:r>
      <w:r>
        <w:rPr>
          <w:rFonts w:ascii="Arial" w:cs="Arial" w:eastAsia="Arial" w:hAnsi="Arial"/>
          <w:sz w:val="20"/>
          <w:szCs w:val="20"/>
          <w:b w:val="1"/>
          <w:bCs w:val="1"/>
          <w:color w:val="FFFFFF"/>
        </w:rPr>
        <w:t>AGAINST</w:t>
      </w:r>
      <w:r>
        <w:rPr>
          <w:rFonts w:ascii="Arial" w:cs="Arial" w:eastAsia="Arial" w:hAnsi="Arial"/>
          <w:sz w:val="20"/>
          <w:szCs w:val="20"/>
          <w:color w:val="FFFFFF"/>
        </w:rPr>
        <w:t xml:space="preserve">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589280</wp:posOffset>
            </wp:positionV>
            <wp:extent cx="7029450" cy="19748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029450" cy="1974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-258445</wp:posOffset>
            </wp:positionV>
            <wp:extent cx="137160" cy="14541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137160" cy="145415"/>
                    </a:xfrm>
                    <a:prstGeom prst="rect">
                      <a:avLst/>
                    </a:prstGeom>
                    <a:noFill/>
                  </pic:spPr>
                </pic:pic>
              </a:graphicData>
            </a:graphic>
          </wp:anchor>
        </w:drawing>
      </w:r>
    </w:p>
    <w:p>
      <w:pPr>
        <w:spacing w:after="0" w:line="596" w:lineRule="exact"/>
        <w:rPr>
          <w:sz w:val="20"/>
          <w:szCs w:val="20"/>
          <w:color w:val="auto"/>
        </w:rPr>
      </w:pPr>
    </w:p>
    <w:p>
      <w:pPr>
        <w:sectPr>
          <w:pgSz w:w="11900" w:h="16838" w:orient="portrait"/>
          <w:cols w:equalWidth="0" w:num="2">
            <w:col w:w="5360" w:space="380"/>
            <w:col w:w="5360"/>
          </w:cols>
          <w:pgMar w:left="320" w:top="459" w:right="479" w:bottom="1440" w:gutter="0" w:footer="0" w:header="0"/>
          <w:type w:val="continuous"/>
        </w:sectPr>
      </w:pPr>
    </w:p>
    <w:p>
      <w:pPr>
        <w:spacing w:after="0" w:line="200" w:lineRule="exact"/>
        <w:rPr>
          <w:sz w:val="20"/>
          <w:szCs w:val="20"/>
          <w:color w:val="auto"/>
        </w:rPr>
      </w:pPr>
    </w:p>
    <w:p>
      <w:pPr>
        <w:spacing w:after="0" w:line="209" w:lineRule="exact"/>
        <w:rPr>
          <w:sz w:val="20"/>
          <w:szCs w:val="20"/>
          <w:color w:val="auto"/>
        </w:rPr>
      </w:pPr>
    </w:p>
    <w:p>
      <w:pPr>
        <w:jc w:val="center"/>
        <w:ind w:right="-159"/>
        <w:spacing w:after="0"/>
        <w:rPr>
          <w:sz w:val="20"/>
          <w:szCs w:val="20"/>
          <w:color w:val="auto"/>
        </w:rPr>
      </w:pPr>
      <w:r>
        <w:rPr>
          <w:rFonts w:ascii="Arial" w:cs="Arial" w:eastAsia="Arial" w:hAnsi="Arial"/>
          <w:sz w:val="13"/>
          <w:szCs w:val="13"/>
          <w:b w:val="1"/>
          <w:bCs w:val="1"/>
          <w:color w:val="004876"/>
        </w:rPr>
        <w:t>103</w:t>
      </w:r>
    </w:p>
    <w:p>
      <w:pPr>
        <w:sectPr>
          <w:pgSz w:w="11900" w:h="16838" w:orient="portrait"/>
          <w:cols w:equalWidth="0" w:num="1">
            <w:col w:w="11100"/>
          </w:cols>
          <w:pgMar w:left="320" w:top="459" w:right="479" w:bottom="1440" w:gutter="0" w:footer="0" w:header="0"/>
          <w:type w:val="continuous"/>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4876"/>
        </w:rPr>
        <w:t>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10" w:lineRule="exact"/>
        <w:rPr>
          <w:sz w:val="20"/>
          <w:szCs w:val="20"/>
          <w:color w:val="auto"/>
        </w:rPr>
      </w:pPr>
    </w:p>
    <w:p>
      <w:pPr>
        <w:ind w:left="120"/>
        <w:spacing w:after="0"/>
        <w:rPr>
          <w:sz w:val="20"/>
          <w:szCs w:val="20"/>
          <w:color w:val="auto"/>
        </w:rPr>
      </w:pPr>
      <w:r>
        <w:rPr>
          <w:rFonts w:ascii="Arial" w:cs="Arial" w:eastAsia="Arial" w:hAnsi="Arial"/>
          <w:sz w:val="20"/>
          <w:szCs w:val="20"/>
          <w:color w:val="004876"/>
        </w:rPr>
        <w:t>Proposal 9 – Gender/Racial pay equity</w:t>
      </w:r>
    </w:p>
    <w:p>
      <w:pPr>
        <w:sectPr>
          <w:pgSz w:w="11900" w:h="16838" w:orient="portrait"/>
          <w:cols w:equalWidth="0" w:num="1">
            <w:col w:w="11140"/>
          </w:cols>
          <w:pgMar w:left="320" w:top="459" w:right="439" w:bottom="1440" w:gutter="0" w:footer="0" w:header="0"/>
        </w:sectPr>
      </w:pPr>
    </w:p>
    <w:p>
      <w:pPr>
        <w:spacing w:after="0" w:line="164" w:lineRule="exact"/>
        <w:rPr>
          <w:sz w:val="20"/>
          <w:szCs w:val="20"/>
          <w:color w:val="auto"/>
        </w:rPr>
      </w:pPr>
    </w:p>
    <w:p>
      <w:pPr>
        <w:ind w:left="120" w:right="200"/>
        <w:spacing w:after="0"/>
        <w:rPr>
          <w:sz w:val="20"/>
          <w:szCs w:val="20"/>
          <w:color w:val="auto"/>
        </w:rPr>
      </w:pPr>
      <w:r>
        <w:rPr>
          <w:rFonts w:ascii="Arial" w:cs="Arial" w:eastAsia="Arial" w:hAnsi="Arial"/>
          <w:sz w:val="18"/>
          <w:szCs w:val="18"/>
          <w:color w:val="auto"/>
        </w:rPr>
        <w:t>Arjuna Capital, on behalf of Rainer Yingling Judd, Laura J. Ballance and Lucas Jozef Suer, has advised us that it intends to introduce the following resolution:</w:t>
      </w:r>
    </w:p>
    <w:p>
      <w:pPr>
        <w:spacing w:after="0" w:line="73" w:lineRule="exact"/>
        <w:rPr>
          <w:sz w:val="20"/>
          <w:szCs w:val="20"/>
          <w:color w:val="auto"/>
        </w:rPr>
      </w:pPr>
    </w:p>
    <w:p>
      <w:pPr>
        <w:ind w:left="120" w:right="120"/>
        <w:spacing w:after="0" w:line="257"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The World Economic Forum estimates the gender pay</w:t>
      </w:r>
      <w:r>
        <w:rPr>
          <w:rFonts w:ascii="Arial" w:cs="Arial" w:eastAsia="Arial" w:hAnsi="Arial"/>
          <w:sz w:val="17"/>
          <w:szCs w:val="17"/>
          <w:b w:val="1"/>
          <w:bCs w:val="1"/>
          <w:color w:val="auto"/>
        </w:rPr>
        <w:t xml:space="preserve"> </w:t>
      </w:r>
      <w:r>
        <w:rPr>
          <w:rFonts w:ascii="Arial" w:cs="Arial" w:eastAsia="Arial" w:hAnsi="Arial"/>
          <w:sz w:val="17"/>
          <w:szCs w:val="17"/>
          <w:color w:val="auto"/>
        </w:rPr>
        <w:t>gap costs the economy 1.2 trillion dollars annually. The median income for women working full time in the United States is</w:t>
      </w:r>
    </w:p>
    <w:p>
      <w:pPr>
        <w:spacing w:after="0" w:line="2" w:lineRule="exact"/>
        <w:rPr>
          <w:sz w:val="20"/>
          <w:szCs w:val="20"/>
          <w:color w:val="auto"/>
        </w:rPr>
      </w:pPr>
    </w:p>
    <w:p>
      <w:pPr>
        <w:ind w:left="120"/>
        <w:spacing w:after="0" w:line="255" w:lineRule="auto"/>
        <w:rPr>
          <w:sz w:val="20"/>
          <w:szCs w:val="20"/>
          <w:color w:val="auto"/>
        </w:rPr>
      </w:pPr>
      <w:r>
        <w:rPr>
          <w:rFonts w:ascii="Arial" w:cs="Arial" w:eastAsia="Arial" w:hAnsi="Arial"/>
          <w:sz w:val="17"/>
          <w:szCs w:val="17"/>
          <w:color w:val="auto"/>
        </w:rPr>
        <w:t>80 percent that of men. This disparity can equal half a million dollars over a career. Intersecting race, the gap for African American and Latina women is 60 percent and 55 percent. At the current rate, women overall will not reach pay equity until 2059, African American women until 2130, and Latina women until 2224.</w:t>
      </w:r>
    </w:p>
    <w:p>
      <w:pPr>
        <w:spacing w:after="0" w:line="82"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 xml:space="preserve">Research suggests diverse leadership leads to superior stock performance and return on equity. </w:t>
      </w:r>
      <w:r>
        <w:rPr>
          <w:rFonts w:ascii="Arial" w:cs="Arial" w:eastAsia="Arial" w:hAnsi="Arial"/>
          <w:sz w:val="18"/>
          <w:szCs w:val="18"/>
          <w:i w:val="1"/>
          <w:iCs w:val="1"/>
          <w:color w:val="auto"/>
        </w:rPr>
        <w:t>McKinsey</w:t>
      </w:r>
      <w:r>
        <w:rPr>
          <w:rFonts w:ascii="Arial" w:cs="Arial" w:eastAsia="Arial" w:hAnsi="Arial"/>
          <w:sz w:val="18"/>
          <w:szCs w:val="18"/>
          <w:color w:val="auto"/>
        </w:rPr>
        <w:t xml:space="preserve"> states, “the business case for the advancement and promotion of women is compelling.” Best practices include “tracking and eliminating gender pay gaps.”</w:t>
      </w:r>
    </w:p>
    <w:p>
      <w:pPr>
        <w:spacing w:after="0" w:line="94" w:lineRule="exact"/>
        <w:rPr>
          <w:sz w:val="20"/>
          <w:szCs w:val="20"/>
          <w:color w:val="auto"/>
        </w:rPr>
      </w:pPr>
    </w:p>
    <w:p>
      <w:pPr>
        <w:ind w:left="120" w:right="100"/>
        <w:spacing w:after="0" w:line="238" w:lineRule="auto"/>
        <w:rPr>
          <w:sz w:val="20"/>
          <w:szCs w:val="20"/>
          <w:color w:val="auto"/>
        </w:rPr>
      </w:pPr>
      <w:r>
        <w:rPr>
          <w:rFonts w:ascii="Arial" w:cs="Arial" w:eastAsia="Arial" w:hAnsi="Arial"/>
          <w:sz w:val="18"/>
          <w:szCs w:val="18"/>
          <w:color w:val="auto"/>
        </w:rPr>
        <w:t>Women account for 55 percent of our company’s United States workforce, but only 26.3 percent of leadership. Actively managing pay equity “is associated with higher current female representation at the professional through executive levels and a faster trajectory to improved representation.”</w:t>
      </w:r>
    </w:p>
    <w:p>
      <w:pPr>
        <w:spacing w:after="0" w:line="94" w:lineRule="exact"/>
        <w:rPr>
          <w:sz w:val="20"/>
          <w:szCs w:val="20"/>
          <w:color w:val="auto"/>
        </w:rPr>
      </w:pPr>
    </w:p>
    <w:p>
      <w:pPr>
        <w:ind w:left="120" w:right="100"/>
        <w:spacing w:after="0" w:line="236" w:lineRule="auto"/>
        <w:rPr>
          <w:sz w:val="20"/>
          <w:szCs w:val="20"/>
          <w:color w:val="auto"/>
        </w:rPr>
      </w:pPr>
      <w:r>
        <w:rPr>
          <w:rFonts w:ascii="Arial" w:cs="Arial" w:eastAsia="Arial" w:hAnsi="Arial"/>
          <w:sz w:val="18"/>
          <w:szCs w:val="18"/>
          <w:color w:val="auto"/>
        </w:rPr>
        <w:t xml:space="preserve">Assessing if a company has pay gaps requires analyzing both equal pay and equal opportunity by using adjusted and unadjusted (median) pay data. The objective of this proposal— </w:t>
      </w:r>
      <w:r>
        <w:rPr>
          <w:rFonts w:ascii="Arial" w:cs="Arial" w:eastAsia="Arial" w:hAnsi="Arial"/>
          <w:sz w:val="18"/>
          <w:szCs w:val="18"/>
          <w:i w:val="1"/>
          <w:iCs w:val="1"/>
          <w:color w:val="auto"/>
        </w:rPr>
        <w:t>median pay gap disclosure</w:t>
      </w:r>
      <w:r>
        <w:rPr>
          <w:rFonts w:ascii="Arial" w:cs="Arial" w:eastAsia="Arial" w:hAnsi="Arial"/>
          <w:sz w:val="18"/>
          <w:szCs w:val="18"/>
          <w:color w:val="auto"/>
        </w:rPr>
        <w:t>—addresses the structural bias</w:t>
      </w:r>
      <w:r>
        <w:rPr>
          <w:rFonts w:ascii="Arial" w:cs="Arial" w:eastAsia="Arial" w:hAnsi="Arial"/>
          <w:sz w:val="18"/>
          <w:szCs w:val="18"/>
          <w:i w:val="1"/>
          <w:iCs w:val="1"/>
          <w:color w:val="auto"/>
        </w:rPr>
        <w:t xml:space="preserve"> </w:t>
      </w:r>
      <w:r>
        <w:rPr>
          <w:rFonts w:ascii="Arial" w:cs="Arial" w:eastAsia="Arial" w:hAnsi="Arial"/>
          <w:sz w:val="18"/>
          <w:szCs w:val="18"/>
          <w:color w:val="auto"/>
        </w:rPr>
        <w:t>affecting the jobs women and minorities hold, when white men hold most higher paying jobs. It is the key metric used by the Organization for Economic Cooperation and Development, World Economic Forum, and United States Department of Labor.</w:t>
      </w:r>
    </w:p>
    <w:p>
      <w:pPr>
        <w:spacing w:after="0" w:line="100" w:lineRule="exact"/>
        <w:rPr>
          <w:sz w:val="20"/>
          <w:szCs w:val="20"/>
          <w:color w:val="auto"/>
        </w:rPr>
      </w:pPr>
    </w:p>
    <w:p>
      <w:pPr>
        <w:ind w:left="120" w:right="60"/>
        <w:spacing w:after="0" w:line="253" w:lineRule="auto"/>
        <w:rPr>
          <w:sz w:val="20"/>
          <w:szCs w:val="20"/>
          <w:color w:val="auto"/>
        </w:rPr>
      </w:pPr>
      <w:r>
        <w:rPr>
          <w:rFonts w:ascii="Arial" w:cs="Arial" w:eastAsia="Arial" w:hAnsi="Arial"/>
          <w:sz w:val="17"/>
          <w:szCs w:val="17"/>
          <w:color w:val="auto"/>
        </w:rPr>
        <w:t xml:space="preserve">Companies have begun reporting statistically adjusted equal pay numbers, assessing the pay of men and women, minorities and non-minorities, performing similar jobs, but ignore unadjusted </w:t>
      </w:r>
      <w:r>
        <w:rPr>
          <w:rFonts w:ascii="Arial" w:cs="Arial" w:eastAsia="Arial" w:hAnsi="Arial"/>
          <w:sz w:val="17"/>
          <w:szCs w:val="17"/>
          <w:i w:val="1"/>
          <w:iCs w:val="1"/>
          <w:color w:val="auto"/>
        </w:rPr>
        <w:t xml:space="preserve">median </w:t>
      </w:r>
      <w:r>
        <w:rPr>
          <w:rFonts w:ascii="Arial" w:cs="Arial" w:eastAsia="Arial" w:hAnsi="Arial"/>
          <w:sz w:val="17"/>
          <w:szCs w:val="17"/>
          <w:color w:val="auto"/>
        </w:rPr>
        <w:t>pay gaps. JPMorgan reports women and minorities earn</w:t>
      </w:r>
      <w:r>
        <w:rPr>
          <w:rFonts w:ascii="Arial" w:cs="Arial" w:eastAsia="Arial" w:hAnsi="Arial"/>
          <w:sz w:val="17"/>
          <w:szCs w:val="17"/>
          <w:i w:val="1"/>
          <w:iCs w:val="1"/>
          <w:color w:val="auto"/>
        </w:rPr>
        <w:t xml:space="preserve"> </w:t>
      </w:r>
      <w:r>
        <w:rPr>
          <w:rFonts w:ascii="Arial" w:cs="Arial" w:eastAsia="Arial" w:hAnsi="Arial"/>
          <w:sz w:val="17"/>
          <w:szCs w:val="17"/>
          <w:color w:val="auto"/>
        </w:rPr>
        <w:t>99 percent the compensation received by men and non-minorities on an equal pay basis. Yet, that adjusted number is only half the story, failing to consider how discrimination affects opportunity.</w:t>
      </w:r>
    </w:p>
    <w:p>
      <w:pPr>
        <w:spacing w:after="0" w:line="83"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auto"/>
        </w:rPr>
        <w:t>The United Kingdom mandates disclosure of median gender pay gaps. JPMorgan reported a 25.7 percent median base pay gap and a 41.2 percent bonus gap in the United Kingdom, but has not published its global median pay gap.</w:t>
      </w:r>
    </w:p>
    <w:p>
      <w:pPr>
        <w:spacing w:after="0" w:line="97"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Public policy risk is of concern. The Paycheck Fairness Act pends before the United States Congress. California, Massachusetts, New York, and Maryland have strengthened pay legislation. The Congressional Joint Economic Committee reports 40 percent of the wage gap may be attributed to discrimination.</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ind w:right="180"/>
        <w:spacing w:after="0" w:line="259" w:lineRule="auto"/>
        <w:rPr>
          <w:sz w:val="20"/>
          <w:szCs w:val="20"/>
          <w:color w:val="auto"/>
        </w:rPr>
      </w:pPr>
      <w:r>
        <w:rPr>
          <w:rFonts w:ascii="Arial" w:cs="Arial" w:eastAsia="Arial" w:hAnsi="Arial"/>
          <w:sz w:val="17"/>
          <w:szCs w:val="17"/>
          <w:b w:val="1"/>
          <w:bCs w:val="1"/>
          <w:color w:val="auto"/>
        </w:rPr>
        <w:t xml:space="preserve">Resolved: </w:t>
      </w:r>
      <w:r>
        <w:rPr>
          <w:rFonts w:ascii="Arial" w:cs="Arial" w:eastAsia="Arial" w:hAnsi="Arial"/>
          <w:sz w:val="17"/>
          <w:szCs w:val="17"/>
          <w:color w:val="auto"/>
        </w:rPr>
        <w:t>Shareholders request JPMorgan report on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company’s </w:t>
      </w:r>
      <w:r>
        <w:rPr>
          <w:rFonts w:ascii="Arial" w:cs="Arial" w:eastAsia="Arial" w:hAnsi="Arial"/>
          <w:sz w:val="17"/>
          <w:szCs w:val="17"/>
          <w:i w:val="1"/>
          <w:iCs w:val="1"/>
          <w:color w:val="auto"/>
        </w:rPr>
        <w:t>global median</w:t>
      </w:r>
      <w:r>
        <w:rPr>
          <w:rFonts w:ascii="Arial" w:cs="Arial" w:eastAsia="Arial" w:hAnsi="Arial"/>
          <w:sz w:val="17"/>
          <w:szCs w:val="17"/>
          <w:color w:val="auto"/>
        </w:rPr>
        <w:t xml:space="preserve"> gender/racial pay gap, including associated policy, reputational, competitive, and operational risks, and risks related to recruiting and retaining diverse talent. The report should be prepared at reasonable cost, omitting proprietary information, litigation strategy and legal compliance information.</w:t>
      </w:r>
    </w:p>
    <w:p>
      <w:pPr>
        <w:spacing w:after="0" w:line="79"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 xml:space="preserve">The gender pay gap is the difference between male and female </w:t>
      </w:r>
      <w:r>
        <w:rPr>
          <w:rFonts w:ascii="Arial" w:cs="Arial" w:eastAsia="Arial" w:hAnsi="Arial"/>
          <w:sz w:val="18"/>
          <w:szCs w:val="18"/>
          <w:i w:val="1"/>
          <w:iCs w:val="1"/>
          <w:color w:val="auto"/>
        </w:rPr>
        <w:t xml:space="preserve">median </w:t>
      </w:r>
      <w:r>
        <w:rPr>
          <w:rFonts w:ascii="Arial" w:cs="Arial" w:eastAsia="Arial" w:hAnsi="Arial"/>
          <w:sz w:val="18"/>
          <w:szCs w:val="18"/>
          <w:color w:val="auto"/>
        </w:rPr>
        <w:t>earnings as a percentage of male earnings (Organization</w:t>
      </w:r>
      <w:r>
        <w:rPr>
          <w:rFonts w:ascii="Arial" w:cs="Arial" w:eastAsia="Arial" w:hAnsi="Arial"/>
          <w:sz w:val="18"/>
          <w:szCs w:val="18"/>
          <w:i w:val="1"/>
          <w:iCs w:val="1"/>
          <w:color w:val="auto"/>
        </w:rPr>
        <w:t xml:space="preserve"> </w:t>
      </w:r>
      <w:r>
        <w:rPr>
          <w:rFonts w:ascii="Arial" w:cs="Arial" w:eastAsia="Arial" w:hAnsi="Arial"/>
          <w:sz w:val="18"/>
          <w:szCs w:val="18"/>
          <w:color w:val="auto"/>
        </w:rPr>
        <w:t>for Economic Cooperation and Development).</w:t>
      </w:r>
    </w:p>
    <w:p>
      <w:pPr>
        <w:spacing w:after="0" w:line="73" w:lineRule="exact"/>
        <w:rPr>
          <w:sz w:val="20"/>
          <w:szCs w:val="20"/>
          <w:color w:val="auto"/>
        </w:rPr>
      </w:pPr>
    </w:p>
    <w:p>
      <w:pPr>
        <w:ind w:right="140"/>
        <w:spacing w:after="0" w:line="244" w:lineRule="auto"/>
        <w:rPr>
          <w:sz w:val="20"/>
          <w:szCs w:val="20"/>
          <w:color w:val="auto"/>
        </w:rPr>
      </w:pPr>
      <w:r>
        <w:rPr>
          <w:rFonts w:ascii="Arial" w:cs="Arial" w:eastAsia="Arial" w:hAnsi="Arial"/>
          <w:sz w:val="18"/>
          <w:szCs w:val="18"/>
          <w:b w:val="1"/>
          <w:bCs w:val="1"/>
          <w:color w:val="auto"/>
        </w:rPr>
        <w:t xml:space="preserve">Supporting Statement: </w:t>
      </w:r>
      <w:r>
        <w:rPr>
          <w:rFonts w:ascii="Arial" w:cs="Arial" w:eastAsia="Arial" w:hAnsi="Arial"/>
          <w:sz w:val="18"/>
          <w:szCs w:val="18"/>
          <w:color w:val="auto"/>
        </w:rPr>
        <w:t>A report adequate for investors to assess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company strategy and performance would include the percentage </w:t>
      </w:r>
      <w:r>
        <w:rPr>
          <w:rFonts w:ascii="Arial" w:cs="Arial" w:eastAsia="Arial" w:hAnsi="Arial"/>
          <w:sz w:val="18"/>
          <w:szCs w:val="18"/>
          <w:i w:val="1"/>
          <w:iCs w:val="1"/>
          <w:color w:val="auto"/>
        </w:rPr>
        <w:t xml:space="preserve">global median </w:t>
      </w:r>
      <w:r>
        <w:rPr>
          <w:rFonts w:ascii="Arial" w:cs="Arial" w:eastAsia="Arial" w:hAnsi="Arial"/>
          <w:sz w:val="18"/>
          <w:szCs w:val="18"/>
          <w:color w:val="auto"/>
        </w:rPr>
        <w:t>pay gap between male and female employees</w:t>
      </w:r>
      <w:r>
        <w:rPr>
          <w:rFonts w:ascii="Arial" w:cs="Arial" w:eastAsia="Arial" w:hAnsi="Arial"/>
          <w:sz w:val="18"/>
          <w:szCs w:val="18"/>
          <w:i w:val="1"/>
          <w:iCs w:val="1"/>
          <w:color w:val="auto"/>
        </w:rPr>
        <w:t xml:space="preserve"> </w:t>
      </w:r>
      <w:r>
        <w:rPr>
          <w:rFonts w:ascii="Arial" w:cs="Arial" w:eastAsia="Arial" w:hAnsi="Arial"/>
          <w:sz w:val="18"/>
          <w:szCs w:val="18"/>
          <w:color w:val="auto"/>
        </w:rPr>
        <w:t>across race and ethnicity, including base, bonus and equity compensation.</w:t>
      </w:r>
    </w:p>
    <w:p>
      <w:pPr>
        <w:spacing w:after="0" w:line="88" w:lineRule="exact"/>
        <w:rPr>
          <w:sz w:val="20"/>
          <w:szCs w:val="20"/>
          <w:color w:val="auto"/>
        </w:rPr>
      </w:pPr>
    </w:p>
    <w:p>
      <w:pPr>
        <w:spacing w:after="0"/>
        <w:rPr>
          <w:sz w:val="20"/>
          <w:szCs w:val="20"/>
          <w:color w:val="auto"/>
        </w:rPr>
      </w:pPr>
      <w:r>
        <w:rPr>
          <w:rFonts w:ascii="Arial" w:cs="Arial" w:eastAsia="Arial" w:hAnsi="Arial"/>
          <w:sz w:val="20"/>
          <w:szCs w:val="20"/>
          <w:color w:val="004876"/>
        </w:rPr>
        <w:t>Board Response to Proposal 9</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recommends that shareholders vote</w:t>
      </w:r>
    </w:p>
    <w:p>
      <w:pPr>
        <w:spacing w:after="0"/>
        <w:rPr>
          <w:sz w:val="20"/>
          <w:szCs w:val="20"/>
          <w:color w:val="auto"/>
        </w:rPr>
      </w:pPr>
      <w:r>
        <w:rPr>
          <w:rFonts w:ascii="Arial" w:cs="Arial" w:eastAsia="Arial" w:hAnsi="Arial"/>
          <w:sz w:val="18"/>
          <w:szCs w:val="18"/>
          <w:b w:val="1"/>
          <w:bCs w:val="1"/>
          <w:u w:val="single" w:color="auto"/>
          <w:color w:val="920000"/>
        </w:rPr>
        <w:t>AGAINST</w:t>
      </w:r>
      <w:r>
        <w:rPr>
          <w:rFonts w:ascii="Arial" w:cs="Arial" w:eastAsia="Arial" w:hAnsi="Arial"/>
          <w:sz w:val="18"/>
          <w:szCs w:val="18"/>
          <w:b w:val="1"/>
          <w:bCs w:val="1"/>
          <w:color w:val="920000"/>
        </w:rPr>
        <w:t xml:space="preserve"> </w:t>
      </w:r>
      <w:r>
        <w:rPr>
          <w:rFonts w:ascii="Arial" w:cs="Arial" w:eastAsia="Arial" w:hAnsi="Arial"/>
          <w:sz w:val="18"/>
          <w:szCs w:val="18"/>
          <w:color w:val="000000"/>
        </w:rPr>
        <w:t>this proposal for the following reasons: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92075</wp:posOffset>
            </wp:positionV>
            <wp:extent cx="3429000" cy="196278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3429000" cy="1962785"/>
                    </a:xfrm>
                    <a:prstGeom prst="rect">
                      <a:avLst/>
                    </a:prstGeom>
                    <a:noFill/>
                  </pic:spPr>
                </pic:pic>
              </a:graphicData>
            </a:graphic>
          </wp:anchor>
        </w:drawing>
      </w:r>
    </w:p>
    <w:p>
      <w:pPr>
        <w:spacing w:after="0" w:line="143" w:lineRule="exact"/>
        <w:rPr>
          <w:sz w:val="20"/>
          <w:szCs w:val="20"/>
          <w:color w:val="auto"/>
        </w:rPr>
      </w:pPr>
    </w:p>
    <w:p>
      <w:pPr>
        <w:ind w:left="260" w:right="40" w:hanging="199"/>
        <w:spacing w:after="0" w:line="271" w:lineRule="auto"/>
        <w:tabs>
          <w:tab w:leader="none" w:pos="260" w:val="left"/>
        </w:tabs>
        <w:numPr>
          <w:ilvl w:val="0"/>
          <w:numId w:val="234"/>
        </w:numPr>
        <w:rPr>
          <w:rFonts w:ascii="Arial" w:cs="Arial" w:eastAsia="Arial" w:hAnsi="Arial"/>
          <w:sz w:val="18"/>
          <w:szCs w:val="18"/>
          <w:color w:val="004876"/>
        </w:rPr>
      </w:pPr>
      <w:r>
        <w:rPr>
          <w:rFonts w:ascii="Arial" w:cs="Arial" w:eastAsia="Arial" w:hAnsi="Arial"/>
          <w:sz w:val="18"/>
          <w:szCs w:val="18"/>
          <w:b w:val="1"/>
          <w:bCs w:val="1"/>
          <w:color w:val="auto"/>
        </w:rPr>
        <w:t>We are committed to fairness in compensation practices for all employees.</w:t>
      </w:r>
    </w:p>
    <w:p>
      <w:pPr>
        <w:spacing w:after="0" w:line="59" w:lineRule="exact"/>
        <w:rPr>
          <w:rFonts w:ascii="Arial" w:cs="Arial" w:eastAsia="Arial" w:hAnsi="Arial"/>
          <w:sz w:val="18"/>
          <w:szCs w:val="18"/>
          <w:color w:val="004876"/>
        </w:rPr>
      </w:pPr>
    </w:p>
    <w:p>
      <w:pPr>
        <w:ind w:left="260" w:right="140" w:hanging="199"/>
        <w:spacing w:after="0" w:line="244" w:lineRule="auto"/>
        <w:tabs>
          <w:tab w:leader="none" w:pos="260" w:val="left"/>
        </w:tabs>
        <w:numPr>
          <w:ilvl w:val="0"/>
          <w:numId w:val="234"/>
        </w:numPr>
        <w:rPr>
          <w:rFonts w:ascii="Arial" w:cs="Arial" w:eastAsia="Arial" w:hAnsi="Arial"/>
          <w:sz w:val="18"/>
          <w:szCs w:val="18"/>
          <w:color w:val="004876"/>
        </w:rPr>
      </w:pPr>
      <w:r>
        <w:rPr>
          <w:rFonts w:ascii="Arial" w:cs="Arial" w:eastAsia="Arial" w:hAnsi="Arial"/>
          <w:sz w:val="18"/>
          <w:szCs w:val="18"/>
          <w:b w:val="1"/>
          <w:bCs w:val="1"/>
          <w:color w:val="auto"/>
        </w:rPr>
        <w:t>Our most recent internal review concluded that (i) globally, women are paid 99% of what men are paid, and (ii) in the United States, minority employees are paid more than 99% of what non-minority employees are paid, taking into account several factors that potentially impact pay.</w:t>
      </w:r>
    </w:p>
    <w:p>
      <w:pPr>
        <w:spacing w:after="0" w:line="81" w:lineRule="exact"/>
        <w:rPr>
          <w:rFonts w:ascii="Arial" w:cs="Arial" w:eastAsia="Arial" w:hAnsi="Arial"/>
          <w:sz w:val="18"/>
          <w:szCs w:val="18"/>
          <w:color w:val="004876"/>
        </w:rPr>
      </w:pPr>
    </w:p>
    <w:p>
      <w:pPr>
        <w:ind w:left="260" w:right="240" w:hanging="199"/>
        <w:spacing w:after="0" w:line="271" w:lineRule="auto"/>
        <w:tabs>
          <w:tab w:leader="none" w:pos="260" w:val="left"/>
        </w:tabs>
        <w:numPr>
          <w:ilvl w:val="0"/>
          <w:numId w:val="234"/>
        </w:numPr>
        <w:rPr>
          <w:rFonts w:ascii="Arial" w:cs="Arial" w:eastAsia="Arial" w:hAnsi="Arial"/>
          <w:sz w:val="18"/>
          <w:szCs w:val="18"/>
          <w:color w:val="004876"/>
        </w:rPr>
      </w:pPr>
      <w:r>
        <w:rPr>
          <w:rFonts w:ascii="Arial" w:cs="Arial" w:eastAsia="Arial" w:hAnsi="Arial"/>
          <w:sz w:val="18"/>
          <w:szCs w:val="18"/>
          <w:b w:val="1"/>
          <w:bCs w:val="1"/>
          <w:color w:val="auto"/>
        </w:rPr>
        <w:t>The requested median pay gap is not a meaningful metric to present to shareholders.</w:t>
      </w:r>
    </w:p>
    <w:p>
      <w:pPr>
        <w:spacing w:after="0" w:line="59" w:lineRule="exact"/>
        <w:rPr>
          <w:rFonts w:ascii="Arial" w:cs="Arial" w:eastAsia="Arial" w:hAnsi="Arial"/>
          <w:sz w:val="18"/>
          <w:szCs w:val="18"/>
          <w:color w:val="004876"/>
        </w:rPr>
      </w:pPr>
    </w:p>
    <w:p>
      <w:pPr>
        <w:ind w:left="260" w:right="100" w:hanging="199"/>
        <w:spacing w:after="0" w:line="247" w:lineRule="auto"/>
        <w:tabs>
          <w:tab w:leader="none" w:pos="260" w:val="left"/>
        </w:tabs>
        <w:numPr>
          <w:ilvl w:val="0"/>
          <w:numId w:val="234"/>
        </w:numPr>
        <w:rPr>
          <w:rFonts w:ascii="Arial" w:cs="Arial" w:eastAsia="Arial" w:hAnsi="Arial"/>
          <w:sz w:val="18"/>
          <w:szCs w:val="18"/>
          <w:color w:val="004876"/>
        </w:rPr>
      </w:pPr>
      <w:r>
        <w:rPr>
          <w:rFonts w:ascii="Arial" w:cs="Arial" w:eastAsia="Arial" w:hAnsi="Arial"/>
          <w:sz w:val="18"/>
          <w:szCs w:val="18"/>
          <w:b w:val="1"/>
          <w:bCs w:val="1"/>
          <w:color w:val="auto"/>
        </w:rPr>
        <w:t>We are committed to diversity and inclusion best practices and devote significant resources to programs, policies and analyses that we believe have greater impact than the proposed pay gap report.</w:t>
      </w:r>
    </w:p>
    <w:p>
      <w:pPr>
        <w:spacing w:after="0" w:line="142"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JPMorgan Chase strongly believes that a diverse and inclusive work environment is critical to the Firm’s success. We have well-established processes that allow us to effectively recruit, hire, retain, develop and promote the best talent to drive continued growth and sustained value for our clients, customers, employees and shareholders.</w:t>
      </w:r>
    </w:p>
    <w:p>
      <w:pPr>
        <w:spacing w:after="0" w:line="97" w:lineRule="exact"/>
        <w:rPr>
          <w:sz w:val="20"/>
          <w:szCs w:val="20"/>
          <w:color w:val="auto"/>
        </w:rPr>
      </w:pPr>
    </w:p>
    <w:p>
      <w:pPr>
        <w:ind w:right="200"/>
        <w:spacing w:after="0" w:line="236" w:lineRule="auto"/>
        <w:rPr>
          <w:sz w:val="20"/>
          <w:szCs w:val="20"/>
          <w:color w:val="auto"/>
        </w:rPr>
      </w:pPr>
      <w:r>
        <w:rPr>
          <w:rFonts w:ascii="Arial" w:cs="Arial" w:eastAsia="Arial" w:hAnsi="Arial"/>
          <w:sz w:val="18"/>
          <w:szCs w:val="18"/>
          <w:color w:val="auto"/>
        </w:rPr>
        <w:t>We are focused on being the best company for people from all backgrounds and experiences. We are proud of the industry recognition that JPMC receives for our Diversity &amp; Inclusion (D&amp;I) efforts. We routinely receive numerous awards, and, while we are proud of our accomplishments and the recognition we receive, there are times when we take a more deliberate approach and emphasize the investment, as we’ve done with women, the Black community, those with disabilities and our veterans. For more information about our D&amp;I efforts,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337820</wp:posOffset>
            </wp:positionV>
            <wp:extent cx="7029450" cy="19685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029450" cy="1968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00" w:space="340"/>
            <w:col w:w="5400"/>
          </w:cols>
          <w:pgMar w:left="320" w:top="459" w:right="439" w:bottom="1440" w:gutter="0" w:footer="0" w:header="0"/>
          <w:type w:val="continuous"/>
        </w:sectPr>
      </w:pPr>
    </w:p>
    <w:p>
      <w:pPr>
        <w:spacing w:after="0" w:line="200" w:lineRule="exact"/>
        <w:rPr>
          <w:sz w:val="20"/>
          <w:szCs w:val="20"/>
          <w:color w:val="auto"/>
        </w:rPr>
      </w:pPr>
    </w:p>
    <w:p>
      <w:pPr>
        <w:spacing w:after="0" w:line="209" w:lineRule="exact"/>
        <w:rPr>
          <w:sz w:val="20"/>
          <w:szCs w:val="20"/>
          <w:color w:val="auto"/>
        </w:rPr>
      </w:pPr>
    </w:p>
    <w:p>
      <w:pPr>
        <w:jc w:val="center"/>
        <w:ind w:right="-119"/>
        <w:spacing w:after="0"/>
        <w:rPr>
          <w:sz w:val="20"/>
          <w:szCs w:val="20"/>
          <w:color w:val="auto"/>
        </w:rPr>
      </w:pPr>
      <w:r>
        <w:rPr>
          <w:rFonts w:ascii="Arial" w:cs="Arial" w:eastAsia="Arial" w:hAnsi="Arial"/>
          <w:sz w:val="13"/>
          <w:szCs w:val="13"/>
          <w:b w:val="1"/>
          <w:bCs w:val="1"/>
          <w:color w:val="004876"/>
        </w:rPr>
        <w:t>104</w:t>
      </w:r>
    </w:p>
    <w:p>
      <w:pPr>
        <w:sectPr>
          <w:pgSz w:w="11900" w:h="16838" w:orient="portrait"/>
          <w:cols w:equalWidth="0" w:num="1">
            <w:col w:w="11140"/>
          </w:cols>
          <w:pgMar w:left="320" w:top="459" w:right="439" w:bottom="1440" w:gutter="0" w:footer="0" w:header="0"/>
          <w:type w:val="continuous"/>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04876"/>
        </w:rPr>
        <w:t>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82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387" w:lineRule="exact"/>
        <w:rPr>
          <w:sz w:val="20"/>
          <w:szCs w:val="20"/>
          <w:color w:val="auto"/>
        </w:rPr>
      </w:pPr>
    </w:p>
    <w:p>
      <w:pPr>
        <w:ind w:left="120" w:right="280"/>
        <w:spacing w:after="0" w:line="274" w:lineRule="auto"/>
        <w:rPr>
          <w:sz w:val="20"/>
          <w:szCs w:val="20"/>
          <w:color w:val="auto"/>
        </w:rPr>
      </w:pPr>
      <w:r>
        <w:rPr>
          <w:rFonts w:ascii="Arial" w:cs="Arial" w:eastAsia="Arial" w:hAnsi="Arial"/>
          <w:sz w:val="17"/>
          <w:szCs w:val="17"/>
          <w:color w:val="auto"/>
        </w:rPr>
        <w:t>visit our People and Culture page at jpmorganchase.com/corporate/About-JPMC/ab-people-culture.</w:t>
      </w:r>
    </w:p>
    <w:p>
      <w:pPr>
        <w:spacing w:after="0" w:line="67"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Our commitment to diversity and inclusion at all levels of the Firm extends to our governance mechanisms, systems and controls which are designed to ensure our employees are paid fairly for the work they do, regardless of who they are. Our most recent internal review concluded that (i) globally, women are paid 99% of what men are paid, and (ii) in the United States, minority employees are paid more than 99% of what non-minority employees are paid, taking into account several factors that potentially impact pay. The Firm has made a commitment to annually disclose this measure.</w:t>
      </w:r>
    </w:p>
    <w:p>
      <w:pPr>
        <w:spacing w:after="0" w:line="99" w:lineRule="exact"/>
        <w:rPr>
          <w:sz w:val="20"/>
          <w:szCs w:val="20"/>
          <w:color w:val="auto"/>
        </w:rPr>
      </w:pPr>
    </w:p>
    <w:p>
      <w:pPr>
        <w:ind w:left="120" w:right="20"/>
        <w:spacing w:after="0" w:line="235" w:lineRule="auto"/>
        <w:rPr>
          <w:sz w:val="20"/>
          <w:szCs w:val="20"/>
          <w:color w:val="auto"/>
        </w:rPr>
      </w:pPr>
      <w:r>
        <w:rPr>
          <w:rFonts w:ascii="Arial" w:cs="Arial" w:eastAsia="Arial" w:hAnsi="Arial"/>
          <w:sz w:val="18"/>
          <w:szCs w:val="18"/>
          <w:color w:val="auto"/>
        </w:rPr>
        <w:t>These measures are designed to provide insight into the Firm’s efforts to provide fair compensation and opportunity. These measures reflect that pay decisions are based on many non-discriminatory factors, such as an employee’s role, tenure, seniority and geography. The median pay metric, as requested in the proposal, does not account for many factors which impact pay, including those listed above. While the proposed metric can indicate representation imbalances, we already know the Firm has more women than men in entry level positions and not enough women in senior ranks — and there are more direct and reliable ways to measure representation. For these reasons, the metric requested is neither informative nor is it a reliable measure of our commitment to fair compensation. Nor do we believe that disclosing it will meaningfully further our goals in this area.</w:t>
      </w:r>
    </w:p>
    <w:p>
      <w:pPr>
        <w:spacing w:after="0" w:line="106" w:lineRule="exact"/>
        <w:rPr>
          <w:sz w:val="20"/>
          <w:szCs w:val="20"/>
          <w:color w:val="auto"/>
        </w:rPr>
      </w:pPr>
    </w:p>
    <w:p>
      <w:pPr>
        <w:ind w:left="120" w:right="40"/>
        <w:spacing w:after="0" w:line="253" w:lineRule="auto"/>
        <w:rPr>
          <w:sz w:val="20"/>
          <w:szCs w:val="20"/>
          <w:color w:val="auto"/>
        </w:rPr>
      </w:pPr>
      <w:r>
        <w:rPr>
          <w:rFonts w:ascii="Arial" w:cs="Arial" w:eastAsia="Arial" w:hAnsi="Arial"/>
          <w:sz w:val="17"/>
          <w:szCs w:val="17"/>
          <w:color w:val="auto"/>
        </w:rPr>
        <w:t>We recognize that analyses such as pay equity reviews are only a starting point. We believe that a more impactful way to further our commitment to fair compensation and opportunity is to continue to focus, at more senior levels across the Firm, on expanding advancement opportunities for diverse employees, building diversity into performance development, and cultivating a diverse and inclusive environment at all stages of the employee life cycle.</w:t>
      </w:r>
    </w:p>
    <w:p>
      <w:pPr>
        <w:spacing w:after="0" w:line="83" w:lineRule="exact"/>
        <w:rPr>
          <w:sz w:val="20"/>
          <w:szCs w:val="20"/>
          <w:color w:val="auto"/>
        </w:rPr>
      </w:pPr>
    </w:p>
    <w:p>
      <w:pPr>
        <w:ind w:left="120" w:right="40"/>
        <w:spacing w:after="0" w:line="248" w:lineRule="auto"/>
        <w:rPr>
          <w:sz w:val="20"/>
          <w:szCs w:val="20"/>
          <w:color w:val="auto"/>
        </w:rPr>
      </w:pPr>
      <w:r>
        <w:rPr>
          <w:rFonts w:ascii="Arial" w:cs="Arial" w:eastAsia="Arial" w:hAnsi="Arial"/>
          <w:sz w:val="17"/>
          <w:szCs w:val="17"/>
          <w:color w:val="auto"/>
        </w:rPr>
        <w:t>Our focus is reflected in the senior-most ranks of the Firm’s leadership. Half of our Firm’s Operating Committee are women. Women executives manage our core businesses and functions including Asset &amp; Wealth Management, Global Finance, Global Technology, Legal, Human Resources, Consumer Lending, Consumer Banking, Business Banking, Credit Card, U.S. Mergers</w:t>
      </w:r>
    </w:p>
    <w:p>
      <w:pPr>
        <w:spacing w:after="0" w:line="3" w:lineRule="exact"/>
        <w:rPr>
          <w:sz w:val="20"/>
          <w:szCs w:val="20"/>
          <w:color w:val="auto"/>
        </w:rPr>
      </w:pPr>
    </w:p>
    <w:p>
      <w:pPr>
        <w:ind w:left="120" w:right="140" w:hanging="4"/>
        <w:spacing w:after="0" w:line="238" w:lineRule="auto"/>
        <w:tabs>
          <w:tab w:leader="none" w:pos="29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Acquisitions, and Global Equity Capital Markets. More broadly, at JPMorgan Chase today, women represent almost 49% of our global workforce, and more than 51% of the U.S. workforce are racially or ethnically diverse.</w:t>
      </w:r>
    </w:p>
    <w:p>
      <w:pPr>
        <w:spacing w:after="0" w:line="97" w:lineRule="exact"/>
        <w:rPr>
          <w:sz w:val="20"/>
          <w:szCs w:val="20"/>
          <w:color w:val="auto"/>
        </w:rPr>
      </w:pPr>
    </w:p>
    <w:p>
      <w:pPr>
        <w:ind w:left="120" w:right="100"/>
        <w:spacing w:after="0" w:line="237" w:lineRule="auto"/>
        <w:rPr>
          <w:sz w:val="20"/>
          <w:szCs w:val="20"/>
          <w:color w:val="auto"/>
        </w:rPr>
      </w:pPr>
      <w:r>
        <w:rPr>
          <w:rFonts w:ascii="Arial" w:cs="Arial" w:eastAsia="Arial" w:hAnsi="Arial"/>
          <w:sz w:val="18"/>
          <w:szCs w:val="18"/>
          <w:color w:val="auto"/>
        </w:rPr>
        <w:t>We are focused on hiring, retaining and promoting diverse talent. We currently have goals in place for the overall population of women, U.S. Black, U.S. Hispanic and U.S. Asian employees. Additionally, we have additional population-specific goals such as for the number of women and Hispanic Vice Presidents and to increase the</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ind w:left="6"/>
        <w:spacing w:after="0" w:line="236" w:lineRule="auto"/>
        <w:rPr>
          <w:sz w:val="20"/>
          <w:szCs w:val="20"/>
          <w:color w:val="auto"/>
        </w:rPr>
      </w:pPr>
      <w:r>
        <w:rPr>
          <w:rFonts w:ascii="Arial" w:cs="Arial" w:eastAsia="Arial" w:hAnsi="Arial"/>
          <w:sz w:val="18"/>
          <w:szCs w:val="18"/>
          <w:color w:val="auto"/>
        </w:rPr>
        <w:t>number of our Black Managing Directors, our most senior level. As part of our continual learning process, we will review our progress and reassess our goals at the end of 2020. We also track diverse slates so that we consider diverse candidates for open roles. As a result of this focus, in 2019, we proportionally increased our diverse hiring of women, Black and Hispanic talent overall. Specifically, at our most senior level, Managing Director, we saw a 7% proportional increase in diverse hires. We conduct robust talent reviews of which diversity is a key priority component.</w:t>
      </w:r>
    </w:p>
    <w:p>
      <w:pPr>
        <w:spacing w:after="0" w:line="99" w:lineRule="exact"/>
        <w:rPr>
          <w:sz w:val="20"/>
          <w:szCs w:val="20"/>
          <w:color w:val="auto"/>
        </w:rPr>
      </w:pPr>
    </w:p>
    <w:p>
      <w:pPr>
        <w:ind w:left="6" w:right="40"/>
        <w:spacing w:after="0" w:line="236" w:lineRule="auto"/>
        <w:rPr>
          <w:sz w:val="20"/>
          <w:szCs w:val="20"/>
          <w:color w:val="auto"/>
        </w:rPr>
      </w:pPr>
      <w:r>
        <w:rPr>
          <w:rFonts w:ascii="Arial" w:cs="Arial" w:eastAsia="Arial" w:hAnsi="Arial"/>
          <w:sz w:val="18"/>
          <w:szCs w:val="18"/>
          <w:color w:val="auto"/>
        </w:rPr>
        <w:t>In addition to these efforts to increase diverse representation at senior levels, the Firm continues to invest in D&amp;I initiatives in support of our commitment to making our workforce, workplace and marketplace diverse, inclusive and accessible for all our employees. Information about some of our key initiatives is available in the People and Culture section of our website and in our 2018 ESG Report which is available on our website at jpmorganchase.com/corporate/About-JPMC/esg. These initiatives include:</w:t>
      </w:r>
    </w:p>
    <w:p>
      <w:pPr>
        <w:spacing w:after="0" w:line="112" w:lineRule="exact"/>
        <w:rPr>
          <w:sz w:val="20"/>
          <w:szCs w:val="20"/>
          <w:color w:val="auto"/>
        </w:rPr>
      </w:pPr>
    </w:p>
    <w:p>
      <w:pPr>
        <w:ind w:left="166" w:right="80" w:hanging="166"/>
        <w:spacing w:after="0" w:line="261" w:lineRule="auto"/>
        <w:tabs>
          <w:tab w:leader="none" w:pos="166" w:val="left"/>
        </w:tabs>
        <w:numPr>
          <w:ilvl w:val="0"/>
          <w:numId w:val="236"/>
        </w:numPr>
        <w:rPr>
          <w:rFonts w:ascii="Arial" w:cs="Arial" w:eastAsia="Arial" w:hAnsi="Arial"/>
          <w:sz w:val="17"/>
          <w:szCs w:val="17"/>
          <w:color w:val="004876"/>
        </w:rPr>
      </w:pPr>
      <w:r>
        <w:rPr>
          <w:rFonts w:ascii="Arial" w:cs="Arial" w:eastAsia="Arial" w:hAnsi="Arial"/>
          <w:sz w:val="17"/>
          <w:szCs w:val="17"/>
          <w:color w:val="auto"/>
        </w:rPr>
        <w:t>Women on the Move (“WOTM”), which focuses on increasing women’s representation at all levels and advancing more women into management and leadership positions across the Firm</w:t>
      </w:r>
    </w:p>
    <w:p>
      <w:pPr>
        <w:spacing w:after="0" w:line="91" w:lineRule="exact"/>
        <w:rPr>
          <w:rFonts w:ascii="Arial" w:cs="Arial" w:eastAsia="Arial" w:hAnsi="Arial"/>
          <w:sz w:val="17"/>
          <w:szCs w:val="17"/>
          <w:color w:val="004876"/>
        </w:rPr>
      </w:pPr>
    </w:p>
    <w:p>
      <w:pPr>
        <w:ind w:left="166" w:right="720" w:hanging="166"/>
        <w:spacing w:after="0"/>
        <w:tabs>
          <w:tab w:leader="none" w:pos="166" w:val="left"/>
        </w:tabs>
        <w:numPr>
          <w:ilvl w:val="0"/>
          <w:numId w:val="236"/>
        </w:numPr>
        <w:rPr>
          <w:rFonts w:ascii="Arial" w:cs="Arial" w:eastAsia="Arial" w:hAnsi="Arial"/>
          <w:sz w:val="18"/>
          <w:szCs w:val="18"/>
          <w:color w:val="004876"/>
        </w:rPr>
      </w:pPr>
      <w:r>
        <w:rPr>
          <w:rFonts w:ascii="Arial" w:cs="Arial" w:eastAsia="Arial" w:hAnsi="Arial"/>
          <w:sz w:val="18"/>
          <w:szCs w:val="18"/>
          <w:color w:val="auto"/>
        </w:rPr>
        <w:t>Advancing Black Leaders (“ABL”), an expanded diversity strategy, that focuses on increased hiring, retention and development of talent from within the Black community</w:t>
      </w:r>
    </w:p>
    <w:p>
      <w:pPr>
        <w:spacing w:after="0" w:line="108" w:lineRule="exact"/>
        <w:rPr>
          <w:rFonts w:ascii="Arial" w:cs="Arial" w:eastAsia="Arial" w:hAnsi="Arial"/>
          <w:sz w:val="18"/>
          <w:szCs w:val="18"/>
          <w:color w:val="004876"/>
        </w:rPr>
      </w:pPr>
    </w:p>
    <w:p>
      <w:pPr>
        <w:ind w:left="166" w:right="100" w:hanging="166"/>
        <w:spacing w:after="0" w:line="238" w:lineRule="auto"/>
        <w:tabs>
          <w:tab w:leader="none" w:pos="166" w:val="left"/>
        </w:tabs>
        <w:numPr>
          <w:ilvl w:val="0"/>
          <w:numId w:val="236"/>
        </w:numPr>
        <w:rPr>
          <w:rFonts w:ascii="Arial" w:cs="Arial" w:eastAsia="Arial" w:hAnsi="Arial"/>
          <w:sz w:val="18"/>
          <w:szCs w:val="18"/>
          <w:color w:val="004876"/>
        </w:rPr>
      </w:pPr>
      <w:r>
        <w:rPr>
          <w:rFonts w:ascii="Arial" w:cs="Arial" w:eastAsia="Arial" w:hAnsi="Arial"/>
          <w:sz w:val="18"/>
          <w:szCs w:val="18"/>
          <w:color w:val="auto"/>
        </w:rPr>
        <w:t>Strategies to attract and select diverse candidates for our summer intern programs and full-time analyst programs, including our Advancing Black Pathways program through which we are hiring 4,000 Black students across the Firm by 2024</w:t>
      </w:r>
    </w:p>
    <w:p>
      <w:pPr>
        <w:spacing w:after="0" w:line="110" w:lineRule="exact"/>
        <w:rPr>
          <w:rFonts w:ascii="Arial" w:cs="Arial" w:eastAsia="Arial" w:hAnsi="Arial"/>
          <w:sz w:val="18"/>
          <w:szCs w:val="18"/>
          <w:color w:val="004876"/>
        </w:rPr>
      </w:pPr>
    </w:p>
    <w:p>
      <w:pPr>
        <w:ind w:left="166" w:right="20" w:hanging="166"/>
        <w:spacing w:after="0" w:line="237" w:lineRule="auto"/>
        <w:tabs>
          <w:tab w:leader="none" w:pos="166" w:val="left"/>
        </w:tabs>
        <w:numPr>
          <w:ilvl w:val="0"/>
          <w:numId w:val="236"/>
        </w:numPr>
        <w:rPr>
          <w:rFonts w:ascii="Arial" w:cs="Arial" w:eastAsia="Arial" w:hAnsi="Arial"/>
          <w:sz w:val="18"/>
          <w:szCs w:val="18"/>
          <w:color w:val="004876"/>
        </w:rPr>
      </w:pPr>
      <w:r>
        <w:rPr>
          <w:rFonts w:ascii="Arial" w:cs="Arial" w:eastAsia="Arial" w:hAnsi="Arial"/>
          <w:sz w:val="18"/>
          <w:szCs w:val="18"/>
          <w:color w:val="auto"/>
        </w:rPr>
        <w:t>Emerging Talent Programs that bring together a number of initiatives across the company that focus on apprenticeships and other non-traditional, entry-level talent programs and experiences that are designed predominantly for cognitively, experientially and traditionally diverse individuals who are often underrepresented in typical talent pipelines</w:t>
      </w:r>
    </w:p>
    <w:p>
      <w:pPr>
        <w:spacing w:after="0" w:line="110" w:lineRule="exact"/>
        <w:rPr>
          <w:rFonts w:ascii="Arial" w:cs="Arial" w:eastAsia="Arial" w:hAnsi="Arial"/>
          <w:sz w:val="18"/>
          <w:szCs w:val="18"/>
          <w:color w:val="004876"/>
        </w:rPr>
      </w:pPr>
    </w:p>
    <w:p>
      <w:pPr>
        <w:ind w:left="166" w:right="160" w:hanging="166"/>
        <w:spacing w:after="0" w:line="238" w:lineRule="auto"/>
        <w:tabs>
          <w:tab w:leader="none" w:pos="166" w:val="left"/>
        </w:tabs>
        <w:numPr>
          <w:ilvl w:val="0"/>
          <w:numId w:val="236"/>
        </w:numPr>
        <w:rPr>
          <w:rFonts w:ascii="Arial" w:cs="Arial" w:eastAsia="Arial" w:hAnsi="Arial"/>
          <w:sz w:val="18"/>
          <w:szCs w:val="18"/>
          <w:color w:val="004876"/>
        </w:rPr>
      </w:pPr>
      <w:r>
        <w:rPr>
          <w:rFonts w:ascii="Arial" w:cs="Arial" w:eastAsia="Arial" w:hAnsi="Arial"/>
          <w:sz w:val="18"/>
          <w:szCs w:val="18"/>
          <w:color w:val="auto"/>
        </w:rPr>
        <w:t>Robust programs and policies that support families, such as backup child care and expanded parental leave, as well as programs such as our ReEntry Program that address barriers to returning to work</w:t>
      </w:r>
    </w:p>
    <w:p>
      <w:pPr>
        <w:spacing w:after="0" w:line="110" w:lineRule="exact"/>
        <w:rPr>
          <w:rFonts w:ascii="Arial" w:cs="Arial" w:eastAsia="Arial" w:hAnsi="Arial"/>
          <w:sz w:val="18"/>
          <w:szCs w:val="18"/>
          <w:color w:val="004876"/>
        </w:rPr>
      </w:pPr>
    </w:p>
    <w:p>
      <w:pPr>
        <w:ind w:left="166" w:right="260" w:hanging="166"/>
        <w:spacing w:after="0" w:line="236" w:lineRule="auto"/>
        <w:tabs>
          <w:tab w:leader="none" w:pos="166" w:val="left"/>
        </w:tabs>
        <w:numPr>
          <w:ilvl w:val="0"/>
          <w:numId w:val="236"/>
        </w:numPr>
        <w:rPr>
          <w:rFonts w:ascii="Arial" w:cs="Arial" w:eastAsia="Arial" w:hAnsi="Arial"/>
          <w:sz w:val="18"/>
          <w:szCs w:val="18"/>
          <w:color w:val="004876"/>
        </w:rPr>
      </w:pPr>
      <w:r>
        <w:rPr>
          <w:rFonts w:ascii="Arial" w:cs="Arial" w:eastAsia="Arial" w:hAnsi="Arial"/>
          <w:sz w:val="18"/>
          <w:szCs w:val="18"/>
          <w:color w:val="auto"/>
        </w:rPr>
        <w:t>The Office of Disability Inclusion which is focused on being the employer of choice for people with disabilities, and which has helped to launch an Autism at Work program, created the Employee Accessibility team to drive the implementation of assistive technology tools, and instituted the Firm’s first global Disability Inclusion Standards to provide managers and team leaders with resources they need to recruit, hire and advance people with disabilities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-3566795</wp:posOffset>
            </wp:positionH>
            <wp:positionV relativeFrom="paragraph">
              <wp:posOffset>407035</wp:posOffset>
            </wp:positionV>
            <wp:extent cx="7029450" cy="19685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029450" cy="196850"/>
                    </a:xfrm>
                    <a:prstGeom prst="rect">
                      <a:avLst/>
                    </a:prstGeom>
                    <a:noFill/>
                  </pic:spPr>
                </pic:pic>
              </a:graphicData>
            </a:graphic>
          </wp:anchor>
        </w:drawing>
      </w:r>
    </w:p>
    <w:p>
      <w:pPr>
        <w:spacing w:after="0" w:line="311" w:lineRule="exact"/>
        <w:rPr>
          <w:sz w:val="20"/>
          <w:szCs w:val="20"/>
          <w:color w:val="auto"/>
        </w:rPr>
      </w:pPr>
    </w:p>
    <w:p>
      <w:pPr>
        <w:sectPr>
          <w:pgSz w:w="11900" w:h="16838" w:orient="portrait"/>
          <w:cols w:equalWidth="0" w:num="2">
            <w:col w:w="5400" w:space="334"/>
            <w:col w:w="5406"/>
          </w:cols>
          <w:pgMar w:left="320" w:top="459" w:right="439" w:bottom="1440" w:gutter="0" w:footer="0" w:header="0"/>
          <w:type w:val="continuous"/>
        </w:sectPr>
      </w:pPr>
    </w:p>
    <w:p>
      <w:pPr>
        <w:spacing w:after="0" w:line="200" w:lineRule="exact"/>
        <w:rPr>
          <w:sz w:val="20"/>
          <w:szCs w:val="20"/>
          <w:color w:val="auto"/>
        </w:rPr>
      </w:pP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3"/>
          <w:szCs w:val="13"/>
          <w:b w:val="1"/>
          <w:bCs w:val="1"/>
          <w:color w:val="004876"/>
        </w:rPr>
        <w:t>105</w:t>
      </w:r>
    </w:p>
    <w:p>
      <w:pPr>
        <w:sectPr>
          <w:pgSz w:w="11900" w:h="16838" w:orient="portrait"/>
          <w:cols w:equalWidth="0" w:num="1">
            <w:col w:w="11140"/>
          </w:cols>
          <w:pgMar w:left="320" w:top="459" w:right="439" w:bottom="1440" w:gutter="0" w:footer="0" w:header="0"/>
          <w:type w:val="continuous"/>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4876"/>
        </w:rPr>
        <w:t>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387" w:lineRule="exact"/>
        <w:rPr>
          <w:sz w:val="20"/>
          <w:szCs w:val="20"/>
          <w:color w:val="auto"/>
        </w:rPr>
      </w:pPr>
    </w:p>
    <w:p>
      <w:pPr>
        <w:ind w:left="300" w:right="160" w:hanging="184"/>
        <w:spacing w:after="0" w:line="237" w:lineRule="auto"/>
        <w:tabs>
          <w:tab w:leader="none" w:pos="300" w:val="left"/>
        </w:tabs>
        <w:numPr>
          <w:ilvl w:val="0"/>
          <w:numId w:val="237"/>
        </w:numPr>
        <w:rPr>
          <w:rFonts w:ascii="Arial" w:cs="Arial" w:eastAsia="Arial" w:hAnsi="Arial"/>
          <w:sz w:val="18"/>
          <w:szCs w:val="18"/>
          <w:color w:val="004876"/>
        </w:rPr>
      </w:pPr>
      <w:r>
        <w:rPr>
          <w:rFonts w:ascii="Arial" w:cs="Arial" w:eastAsia="Arial" w:hAnsi="Arial"/>
          <w:sz w:val="18"/>
          <w:szCs w:val="18"/>
          <w:color w:val="auto"/>
        </w:rPr>
        <w:t>The Office of Military and Veterans Affairs drives Firmwide, veteran focused efforts around three strategic pillars: Employment, Small Business and Strategic Initiatives and Acclimation and Development, resulting in the hiring of more than 15,000 U.S. veterans since 2011 and more than 1,200 in 2019, with 65% coming from self-identified diverse backgrounds.</w:t>
      </w:r>
    </w:p>
    <w:p>
      <w:pPr>
        <w:spacing w:after="0" w:line="95"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The Firm continues to sponsor various programs, practices and forums - collectively referred to as Business Resource Groups (BRGs) - that promote leadership and professional development and provide volunteer opportunities for members, while advancing the Firm’s diversity strategies by leveraging the unique perspectives of their members. Our Firm has ten BRGs globally. Approximately 43% of our people are members of at least one BRG.</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The Firm’s median pay gap is not a meaningful metric to present to shareholders. As discussed above, we already provide more representative measures of comparable pay for similar work and we are committed to continuing to report these. Further, the proposed report would not allow shareholders to have a complete view of the Firm’s approach to diversity, compensation, or gender and racial pay equity and is not a prudent use of resources given the Firm’s commitment to measuring, tracking and analyzing data, information and programs focused on increasing representation, development, mobility and promotion in thoughtful and sustainable 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147320</wp:posOffset>
            </wp:positionV>
            <wp:extent cx="3051810" cy="33401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3051810" cy="334010"/>
                    </a:xfrm>
                    <a:prstGeom prst="rect">
                      <a:avLst/>
                    </a:prstGeom>
                    <a:noFill/>
                  </pic:spPr>
                </pic:pic>
              </a:graphicData>
            </a:graphic>
          </wp:anchor>
        </w:drawing>
      </w:r>
    </w:p>
    <w:p>
      <w:pPr>
        <w:spacing w:after="0" w:line="249" w:lineRule="exact"/>
        <w:rPr>
          <w:sz w:val="20"/>
          <w:szCs w:val="20"/>
          <w:color w:val="auto"/>
        </w:rPr>
      </w:pPr>
    </w:p>
    <w:p>
      <w:pPr>
        <w:ind w:left="720" w:right="1320"/>
        <w:spacing w:after="0" w:line="236" w:lineRule="auto"/>
        <w:rPr>
          <w:sz w:val="20"/>
          <w:szCs w:val="20"/>
          <w:color w:val="auto"/>
        </w:rPr>
      </w:pPr>
      <w:r>
        <w:rPr>
          <w:rFonts w:ascii="Arial" w:cs="Arial" w:eastAsia="Arial" w:hAnsi="Arial"/>
          <w:sz w:val="20"/>
          <w:szCs w:val="20"/>
          <w:color w:val="FFFFFF"/>
        </w:rPr>
        <w:t xml:space="preserve">The Board of Directors recommends a vote </w:t>
      </w:r>
      <w:r>
        <w:rPr>
          <w:rFonts w:ascii="Arial" w:cs="Arial" w:eastAsia="Arial" w:hAnsi="Arial"/>
          <w:sz w:val="20"/>
          <w:szCs w:val="20"/>
          <w:b w:val="1"/>
          <w:bCs w:val="1"/>
          <w:color w:val="FFFFFF"/>
        </w:rPr>
        <w:t>AGAINST</w:t>
      </w:r>
      <w:r>
        <w:rPr>
          <w:rFonts w:ascii="Arial" w:cs="Arial" w:eastAsia="Arial" w:hAnsi="Arial"/>
          <w:sz w:val="20"/>
          <w:szCs w:val="20"/>
          <w:color w:val="FFFFFF"/>
        </w:rPr>
        <w:t xml:space="preserve">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537845</wp:posOffset>
            </wp:positionV>
            <wp:extent cx="7029450" cy="19748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029450" cy="1974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-258445</wp:posOffset>
            </wp:positionV>
            <wp:extent cx="137160" cy="14541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137160" cy="145415"/>
                    </a:xfrm>
                    <a:prstGeom prst="rect">
                      <a:avLst/>
                    </a:prstGeom>
                    <a:noFill/>
                  </pic:spPr>
                </pic:pic>
              </a:graphicData>
            </a:graphic>
          </wp:anchor>
        </w:drawing>
      </w:r>
    </w:p>
    <w:p>
      <w:pPr>
        <w:spacing w:after="0" w:line="393" w:lineRule="exact"/>
        <w:rPr>
          <w:sz w:val="20"/>
          <w:szCs w:val="20"/>
          <w:color w:val="auto"/>
        </w:rPr>
      </w:pPr>
    </w:p>
    <w:p>
      <w:pPr>
        <w:sectPr>
          <w:pgSz w:w="11900" w:h="16838" w:orient="portrait"/>
          <w:cols w:equalWidth="0" w:num="2">
            <w:col w:w="5360" w:space="380"/>
            <w:col w:w="5400"/>
          </w:cols>
          <w:pgMar w:left="320" w:top="459" w:right="439" w:bottom="1440" w:gutter="0" w:footer="0" w:header="0"/>
          <w:type w:val="continuous"/>
        </w:sectPr>
      </w:pPr>
    </w:p>
    <w:p>
      <w:pPr>
        <w:spacing w:after="0" w:line="200" w:lineRule="exact"/>
        <w:rPr>
          <w:sz w:val="20"/>
          <w:szCs w:val="20"/>
          <w:color w:val="auto"/>
        </w:rPr>
      </w:pPr>
    </w:p>
    <w:p>
      <w:pPr>
        <w:spacing w:after="0" w:line="332" w:lineRule="exact"/>
        <w:rPr>
          <w:sz w:val="20"/>
          <w:szCs w:val="20"/>
          <w:color w:val="auto"/>
        </w:rPr>
      </w:pPr>
    </w:p>
    <w:p>
      <w:pPr>
        <w:jc w:val="center"/>
        <w:ind w:right="-119"/>
        <w:spacing w:after="0"/>
        <w:rPr>
          <w:sz w:val="20"/>
          <w:szCs w:val="20"/>
          <w:color w:val="auto"/>
        </w:rPr>
      </w:pPr>
      <w:r>
        <w:rPr>
          <w:rFonts w:ascii="Arial" w:cs="Arial" w:eastAsia="Arial" w:hAnsi="Arial"/>
          <w:sz w:val="13"/>
          <w:szCs w:val="13"/>
          <w:b w:val="1"/>
          <w:bCs w:val="1"/>
          <w:color w:val="004876"/>
        </w:rPr>
        <w:t>106</w:t>
      </w:r>
    </w:p>
    <w:p>
      <w:pPr>
        <w:sectPr>
          <w:pgSz w:w="11900" w:h="16838" w:orient="portrait"/>
          <w:cols w:equalWidth="0" w:num="1">
            <w:col w:w="11140"/>
          </w:cols>
          <w:pgMar w:left="320" w:top="459" w:right="439" w:bottom="1440" w:gutter="0" w:footer="0" w:header="0"/>
          <w:type w:val="continuous"/>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04876"/>
        </w:rPr>
        <w:t>INFORMATION ABOUT THE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825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12" w:lineRule="exact"/>
        <w:rPr>
          <w:sz w:val="20"/>
          <w:szCs w:val="20"/>
          <w:color w:val="auto"/>
        </w:rPr>
      </w:pPr>
    </w:p>
    <w:p>
      <w:pPr>
        <w:ind w:left="120"/>
        <w:spacing w:after="0"/>
        <w:rPr>
          <w:sz w:val="20"/>
          <w:szCs w:val="20"/>
          <w:color w:val="auto"/>
        </w:rPr>
      </w:pPr>
      <w:r>
        <w:rPr>
          <w:rFonts w:ascii="Arial" w:cs="Arial" w:eastAsia="Arial" w:hAnsi="Arial"/>
          <w:sz w:val="43"/>
          <w:szCs w:val="43"/>
          <w:color w:val="004876"/>
        </w:rPr>
        <w:t>Information about the annual shareholder meeting</w:t>
      </w:r>
    </w:p>
    <w:p>
      <w:pPr>
        <w:sectPr>
          <w:pgSz w:w="11900" w:h="16838" w:orient="portrait"/>
          <w:cols w:equalWidth="0" w:num="1">
            <w:col w:w="11080"/>
          </w:cols>
          <w:pgMar w:left="320" w:top="459" w:right="499" w:bottom="1440" w:gutter="0" w:footer="0" w:header="0"/>
        </w:sectPr>
      </w:pPr>
    </w:p>
    <w:p>
      <w:pPr>
        <w:spacing w:after="0" w:line="218" w:lineRule="exact"/>
        <w:rPr>
          <w:sz w:val="20"/>
          <w:szCs w:val="20"/>
          <w:color w:val="auto"/>
        </w:rPr>
      </w:pPr>
    </w:p>
    <w:p>
      <w:pPr>
        <w:ind w:left="120"/>
        <w:spacing w:after="0"/>
        <w:rPr>
          <w:sz w:val="20"/>
          <w:szCs w:val="20"/>
          <w:color w:val="auto"/>
        </w:rPr>
      </w:pPr>
      <w:r>
        <w:rPr>
          <w:rFonts w:ascii="Arial" w:cs="Arial" w:eastAsia="Arial" w:hAnsi="Arial"/>
          <w:sz w:val="29"/>
          <w:szCs w:val="29"/>
          <w:color w:val="004876"/>
        </w:rPr>
        <w:t>General</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20"/>
          <w:szCs w:val="20"/>
          <w:color w:val="004876"/>
        </w:rPr>
        <w:t>Why am I receiving these materials?</w:t>
      </w:r>
    </w:p>
    <w:p>
      <w:pPr>
        <w:spacing w:after="0" w:line="83"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You are invited to attend JPMorgan Chase’s Annual Meeting of Shareholders and vote on the proposals described in this proxy statement because you were a JPMorgan Chase shareholder on March 20, 2020 (the “Record Date”). JPMorgan Chase is soliciting proxies for use at the annual meeting, including any postponements or adjournments.</w:t>
      </w:r>
    </w:p>
    <w:p>
      <w:pPr>
        <w:spacing w:after="0" w:line="75"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b w:val="1"/>
          <w:bCs w:val="1"/>
          <w:i w:val="1"/>
          <w:iCs w:val="1"/>
          <w:color w:val="auto"/>
        </w:rPr>
        <w:t>Even if you plan on attending the annual meeting through our virtual meeting site, we encourage you to vote your shares in advance using one of the methods described in this proxy statement to ensure that your vote will be represented at the annual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If you have any questions about accessing the virtual meeting website for the annual meeting, please contact the Office of the Secretary by sending an email to corporate.secretary@jpmchase.com or calling (212) 270-6000 by May 15, 2020.</w:t>
      </w:r>
    </w:p>
    <w:p>
      <w:pPr>
        <w:spacing w:after="0" w:line="94" w:lineRule="exact"/>
        <w:rPr>
          <w:sz w:val="20"/>
          <w:szCs w:val="20"/>
          <w:color w:val="auto"/>
        </w:rPr>
      </w:pPr>
    </w:p>
    <w:p>
      <w:pPr>
        <w:ind w:right="120"/>
        <w:spacing w:after="0" w:line="261" w:lineRule="auto"/>
        <w:rPr>
          <w:sz w:val="20"/>
          <w:szCs w:val="20"/>
          <w:color w:val="auto"/>
        </w:rPr>
      </w:pPr>
      <w:r>
        <w:rPr>
          <w:rFonts w:ascii="Arial" w:cs="Arial" w:eastAsia="Arial" w:hAnsi="Arial"/>
          <w:sz w:val="17"/>
          <w:szCs w:val="17"/>
          <w:color w:val="auto"/>
        </w:rPr>
        <w:t>If you encounter any technical difficulties with the virtual meeting during the log in or meeting time, please call the technical support number that will be posted on the virtual meeting log in page.</w:t>
      </w:r>
    </w:p>
    <w:p>
      <w:pPr>
        <w:spacing w:after="0" w:line="78" w:lineRule="exact"/>
        <w:rPr>
          <w:sz w:val="20"/>
          <w:szCs w:val="20"/>
          <w:color w:val="auto"/>
        </w:rPr>
      </w:pPr>
    </w:p>
    <w:p>
      <w:pPr>
        <w:ind w:right="480"/>
        <w:spacing w:after="0" w:line="246" w:lineRule="auto"/>
        <w:rPr>
          <w:sz w:val="20"/>
          <w:szCs w:val="20"/>
          <w:color w:val="auto"/>
        </w:rPr>
      </w:pPr>
      <w:r>
        <w:rPr>
          <w:rFonts w:ascii="Arial" w:cs="Arial" w:eastAsia="Arial" w:hAnsi="Arial"/>
          <w:sz w:val="18"/>
          <w:szCs w:val="18"/>
          <w:color w:val="auto"/>
        </w:rPr>
        <w:t>As always, we encourage you to vote your shares prior to the annual meeting.</w:t>
      </w:r>
    </w:p>
    <w:p>
      <w:pPr>
        <w:spacing w:after="0" w:line="193" w:lineRule="exact"/>
        <w:rPr>
          <w:sz w:val="20"/>
          <w:szCs w:val="20"/>
          <w:color w:val="auto"/>
        </w:rPr>
      </w:pPr>
    </w:p>
    <w:p>
      <w:pPr>
        <w:sectPr>
          <w:pgSz w:w="11900" w:h="16838" w:orient="portrait"/>
          <w:cols w:equalWidth="0" w:num="2">
            <w:col w:w="5380" w:space="360"/>
            <w:col w:w="5340"/>
          </w:cols>
          <w:pgMar w:left="320" w:top="459" w:right="499" w:bottom="1440" w:gutter="0" w:footer="0" w:header="0"/>
          <w:type w:val="continuous"/>
        </w:sectPr>
      </w:pPr>
    </w:p>
    <w:p>
      <w:pPr>
        <w:spacing w:after="0" w:line="95" w:lineRule="exact"/>
        <w:rPr>
          <w:sz w:val="20"/>
          <w:szCs w:val="20"/>
          <w:color w:val="auto"/>
        </w:rPr>
      </w:pPr>
    </w:p>
    <w:p>
      <w:pPr>
        <w:ind w:left="120"/>
        <w:spacing w:after="0"/>
        <w:rPr>
          <w:sz w:val="20"/>
          <w:szCs w:val="20"/>
          <w:color w:val="auto"/>
        </w:rPr>
      </w:pPr>
      <w:r>
        <w:rPr>
          <w:rFonts w:ascii="Arial" w:cs="Arial" w:eastAsia="Arial" w:hAnsi="Arial"/>
          <w:sz w:val="20"/>
          <w:szCs w:val="20"/>
          <w:color w:val="004876"/>
        </w:rPr>
        <w:t>When and where is our annual meeting?</w:t>
      </w:r>
    </w:p>
    <w:p>
      <w:pPr>
        <w:spacing w:after="0" w:line="29" w:lineRule="exact"/>
        <w:rPr>
          <w:sz w:val="20"/>
          <w:szCs w:val="20"/>
          <w:color w:val="auto"/>
        </w:rPr>
      </w:pPr>
    </w:p>
    <w:p>
      <w:pPr>
        <w:ind w:left="120" w:right="320"/>
        <w:spacing w:after="0" w:line="246" w:lineRule="auto"/>
        <w:rPr>
          <w:sz w:val="20"/>
          <w:szCs w:val="20"/>
          <w:color w:val="auto"/>
        </w:rPr>
      </w:pPr>
      <w:r>
        <w:rPr>
          <w:rFonts w:ascii="Arial" w:cs="Arial" w:eastAsia="Arial" w:hAnsi="Arial"/>
          <w:sz w:val="18"/>
          <w:szCs w:val="18"/>
          <w:color w:val="auto"/>
        </w:rPr>
        <w:t>We will hold our annual meeting on Tuesday, May 19, 2020, at 10 a.m., Eastern Time.</w:t>
      </w:r>
    </w:p>
    <w:p>
      <w:pPr>
        <w:spacing w:after="0" w:line="89"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In light of public health concerns regarding the coronavirus (COVID-19) outbreak, the annual meeting will be held in a virtual meeting format only. There will be no physical location for shareholders to attend as we are sensitive to the public health and travel concerns our shareholders may have and the protocols that federal, state, and local governments may impose.</w:t>
      </w:r>
    </w:p>
    <w:p>
      <w:pPr>
        <w:spacing w:after="0" w:line="97" w:lineRule="exact"/>
        <w:rPr>
          <w:sz w:val="20"/>
          <w:szCs w:val="20"/>
          <w:color w:val="auto"/>
        </w:rPr>
      </w:pPr>
    </w:p>
    <w:p>
      <w:pPr>
        <w:ind w:left="120" w:right="160"/>
        <w:spacing w:after="0" w:line="238" w:lineRule="auto"/>
        <w:rPr>
          <w:sz w:val="20"/>
          <w:szCs w:val="20"/>
          <w:color w:val="auto"/>
        </w:rPr>
      </w:pPr>
      <w:r>
        <w:rPr>
          <w:rFonts w:ascii="Arial" w:cs="Arial" w:eastAsia="Arial" w:hAnsi="Arial"/>
          <w:sz w:val="18"/>
          <w:szCs w:val="18"/>
          <w:color w:val="auto"/>
        </w:rPr>
        <w:t>To participate in the virtual meeting, visit www.virtualshareholdermeeting.com/JPM2020 and enter the 16-digit control number included on your proxy card, voting instruction form or Notice you previously received.</w:t>
      </w:r>
    </w:p>
    <w:p>
      <w:pPr>
        <w:spacing w:after="0" w:line="20" w:lineRule="exact"/>
        <w:rPr>
          <w:sz w:val="20"/>
          <w:szCs w:val="20"/>
          <w:color w:val="auto"/>
        </w:rPr>
      </w:pPr>
      <w:r>
        <w:rPr>
          <w:sz w:val="20"/>
          <w:szCs w:val="20"/>
          <w:color w:val="auto"/>
        </w:rPr>
        <w:br w:type="column"/>
      </w:r>
    </w:p>
    <w:p>
      <w:pPr>
        <w:ind w:left="6"/>
        <w:spacing w:after="0"/>
        <w:rPr>
          <w:sz w:val="20"/>
          <w:szCs w:val="20"/>
          <w:color w:val="auto"/>
        </w:rPr>
      </w:pPr>
      <w:r>
        <w:rPr>
          <w:rFonts w:ascii="Arial" w:cs="Arial" w:eastAsia="Arial" w:hAnsi="Arial"/>
          <w:sz w:val="20"/>
          <w:szCs w:val="20"/>
          <w:color w:val="004876"/>
        </w:rPr>
        <w:t>What is included in our proxy materials?</w:t>
      </w:r>
    </w:p>
    <w:p>
      <w:pPr>
        <w:spacing w:after="0" w:line="29" w:lineRule="exact"/>
        <w:rPr>
          <w:sz w:val="20"/>
          <w:szCs w:val="20"/>
          <w:color w:val="auto"/>
        </w:rPr>
      </w:pPr>
    </w:p>
    <w:p>
      <w:pPr>
        <w:ind w:left="6" w:right="320"/>
        <w:spacing w:after="0"/>
        <w:rPr>
          <w:sz w:val="20"/>
          <w:szCs w:val="20"/>
          <w:color w:val="auto"/>
        </w:rPr>
      </w:pPr>
      <w:r>
        <w:rPr>
          <w:rFonts w:ascii="Arial" w:cs="Arial" w:eastAsia="Arial" w:hAnsi="Arial"/>
          <w:sz w:val="18"/>
          <w:szCs w:val="18"/>
          <w:color w:val="auto"/>
        </w:rPr>
        <w:t>Our proxy materials, which are available on our website at jpmorganchase.com/corporate/investor-relations/annual-report-proxy, include:</w:t>
      </w:r>
    </w:p>
    <w:p>
      <w:pPr>
        <w:spacing w:after="0" w:line="108" w:lineRule="exact"/>
        <w:rPr>
          <w:sz w:val="20"/>
          <w:szCs w:val="20"/>
          <w:color w:val="auto"/>
        </w:rPr>
      </w:pPr>
    </w:p>
    <w:p>
      <w:pPr>
        <w:ind w:left="166" w:hanging="166"/>
        <w:spacing w:after="0"/>
        <w:tabs>
          <w:tab w:leader="none" w:pos="166" w:val="left"/>
        </w:tabs>
        <w:numPr>
          <w:ilvl w:val="0"/>
          <w:numId w:val="238"/>
        </w:numPr>
        <w:rPr>
          <w:rFonts w:ascii="Arial" w:cs="Arial" w:eastAsia="Arial" w:hAnsi="Arial"/>
          <w:sz w:val="18"/>
          <w:szCs w:val="18"/>
          <w:color w:val="004876"/>
        </w:rPr>
      </w:pPr>
      <w:r>
        <w:rPr>
          <w:rFonts w:ascii="Arial" w:cs="Arial" w:eastAsia="Arial" w:hAnsi="Arial"/>
          <w:sz w:val="18"/>
          <w:szCs w:val="18"/>
          <w:color w:val="auto"/>
        </w:rPr>
        <w:t>Our Notice of 2020 Annual Meeting of Shareholders;</w:t>
      </w:r>
    </w:p>
    <w:p>
      <w:pPr>
        <w:spacing w:after="0" w:line="117" w:lineRule="exact"/>
        <w:rPr>
          <w:rFonts w:ascii="Arial" w:cs="Arial" w:eastAsia="Arial" w:hAnsi="Arial"/>
          <w:sz w:val="18"/>
          <w:szCs w:val="18"/>
          <w:color w:val="004876"/>
        </w:rPr>
      </w:pPr>
    </w:p>
    <w:p>
      <w:pPr>
        <w:ind w:left="166" w:hanging="166"/>
        <w:spacing w:after="0"/>
        <w:tabs>
          <w:tab w:leader="none" w:pos="166" w:val="left"/>
        </w:tabs>
        <w:numPr>
          <w:ilvl w:val="0"/>
          <w:numId w:val="238"/>
        </w:numPr>
        <w:rPr>
          <w:rFonts w:ascii="Arial" w:cs="Arial" w:eastAsia="Arial" w:hAnsi="Arial"/>
          <w:sz w:val="18"/>
          <w:szCs w:val="18"/>
          <w:color w:val="004876"/>
        </w:rPr>
      </w:pPr>
      <w:r>
        <w:rPr>
          <w:rFonts w:ascii="Arial" w:cs="Arial" w:eastAsia="Arial" w:hAnsi="Arial"/>
          <w:sz w:val="18"/>
          <w:szCs w:val="18"/>
          <w:color w:val="auto"/>
        </w:rPr>
        <w:t>Our Proxy Statement; and</w:t>
      </w:r>
    </w:p>
    <w:p>
      <w:pPr>
        <w:spacing w:after="0" w:line="117" w:lineRule="exact"/>
        <w:rPr>
          <w:rFonts w:ascii="Arial" w:cs="Arial" w:eastAsia="Arial" w:hAnsi="Arial"/>
          <w:sz w:val="18"/>
          <w:szCs w:val="18"/>
          <w:color w:val="004876"/>
        </w:rPr>
      </w:pPr>
    </w:p>
    <w:p>
      <w:pPr>
        <w:ind w:left="166" w:hanging="166"/>
        <w:spacing w:after="0"/>
        <w:tabs>
          <w:tab w:leader="none" w:pos="166" w:val="left"/>
        </w:tabs>
        <w:numPr>
          <w:ilvl w:val="0"/>
          <w:numId w:val="238"/>
        </w:numPr>
        <w:rPr>
          <w:rFonts w:ascii="Arial" w:cs="Arial" w:eastAsia="Arial" w:hAnsi="Arial"/>
          <w:sz w:val="18"/>
          <w:szCs w:val="18"/>
          <w:color w:val="004876"/>
        </w:rPr>
      </w:pPr>
      <w:r>
        <w:rPr>
          <w:rFonts w:ascii="Arial" w:cs="Arial" w:eastAsia="Arial" w:hAnsi="Arial"/>
          <w:sz w:val="18"/>
          <w:szCs w:val="18"/>
          <w:color w:val="auto"/>
        </w:rPr>
        <w:t>Our 2019 Annual Report to Shareholders</w:t>
      </w:r>
    </w:p>
    <w:p>
      <w:pPr>
        <w:spacing w:after="0" w:line="104" w:lineRule="exact"/>
        <w:rPr>
          <w:sz w:val="20"/>
          <w:szCs w:val="20"/>
          <w:color w:val="auto"/>
        </w:rPr>
      </w:pPr>
    </w:p>
    <w:p>
      <w:pPr>
        <w:ind w:left="6"/>
        <w:spacing w:after="0" w:line="238" w:lineRule="auto"/>
        <w:rPr>
          <w:sz w:val="20"/>
          <w:szCs w:val="20"/>
          <w:color w:val="auto"/>
        </w:rPr>
      </w:pPr>
      <w:r>
        <w:rPr>
          <w:rFonts w:ascii="Arial" w:cs="Arial" w:eastAsia="Arial" w:hAnsi="Arial"/>
          <w:sz w:val="18"/>
          <w:szCs w:val="18"/>
          <w:color w:val="auto"/>
        </w:rPr>
        <w:t>If you received printed versions of these materials by mail (rather than through electronic delivery), the materials also included a proxy card or voting instruction form. For further information, see “Information about paper and electronic delivery of proxy materials” on page 111.</w:t>
      </w:r>
    </w:p>
    <w:p>
      <w:pPr>
        <w:spacing w:after="0" w:line="237" w:lineRule="exact"/>
        <w:rPr>
          <w:sz w:val="20"/>
          <w:szCs w:val="20"/>
          <w:color w:val="auto"/>
        </w:rPr>
      </w:pPr>
    </w:p>
    <w:p>
      <w:pPr>
        <w:sectPr>
          <w:pgSz w:w="11900" w:h="16838" w:orient="portrait"/>
          <w:cols w:equalWidth="0" w:num="2">
            <w:col w:w="5400" w:space="334"/>
            <w:col w:w="5346"/>
          </w:cols>
          <w:pgMar w:left="320" w:top="459" w:right="499" w:bottom="1440" w:gutter="0" w:footer="0" w:header="0"/>
          <w:type w:val="continuous"/>
        </w:sectPr>
      </w:pPr>
    </w:p>
    <w:p>
      <w:pPr>
        <w:spacing w:after="0" w:line="177" w:lineRule="exact"/>
        <w:rPr>
          <w:sz w:val="20"/>
          <w:szCs w:val="20"/>
          <w:color w:val="auto"/>
        </w:rPr>
      </w:pPr>
    </w:p>
    <w:p>
      <w:pPr>
        <w:ind w:left="120"/>
        <w:spacing w:after="0"/>
        <w:rPr>
          <w:sz w:val="20"/>
          <w:szCs w:val="20"/>
          <w:color w:val="auto"/>
        </w:rPr>
      </w:pPr>
      <w:r>
        <w:rPr>
          <w:rFonts w:ascii="Arial" w:cs="Arial" w:eastAsia="Arial" w:hAnsi="Arial"/>
          <w:sz w:val="28"/>
          <w:szCs w:val="28"/>
          <w:color w:val="004876"/>
        </w:rPr>
        <w:t>Attending and voting at the annual meeting</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20"/>
          <w:szCs w:val="20"/>
          <w:color w:val="004876"/>
        </w:rPr>
        <w:t>Can I attend our annual meeting?</w:t>
      </w:r>
    </w:p>
    <w:p>
      <w:pPr>
        <w:spacing w:after="0" w:line="16" w:lineRule="exact"/>
        <w:rPr>
          <w:sz w:val="20"/>
          <w:szCs w:val="20"/>
          <w:color w:val="auto"/>
        </w:rPr>
      </w:pPr>
    </w:p>
    <w:p>
      <w:pPr>
        <w:ind w:left="120" w:right="240"/>
        <w:spacing w:after="0" w:line="238" w:lineRule="auto"/>
        <w:rPr>
          <w:sz w:val="20"/>
          <w:szCs w:val="20"/>
          <w:color w:val="auto"/>
        </w:rPr>
      </w:pPr>
      <w:r>
        <w:rPr>
          <w:rFonts w:ascii="Arial" w:cs="Arial" w:eastAsia="Arial" w:hAnsi="Arial"/>
          <w:sz w:val="18"/>
          <w:szCs w:val="18"/>
          <w:color w:val="auto"/>
        </w:rPr>
        <w:t>Shareholders as of the close of business on the Record Date and/or their authorized representatives are permitted to attend our annual meeting virtually by following the procedures in this proxy statement.</w:t>
      </w:r>
    </w:p>
    <w:p>
      <w:pPr>
        <w:spacing w:after="0" w:line="202" w:lineRule="exact"/>
        <w:rPr>
          <w:sz w:val="20"/>
          <w:szCs w:val="20"/>
          <w:color w:val="auto"/>
        </w:rPr>
      </w:pPr>
    </w:p>
    <w:p>
      <w:pPr>
        <w:ind w:left="120"/>
        <w:spacing w:after="0"/>
        <w:rPr>
          <w:sz w:val="20"/>
          <w:szCs w:val="20"/>
          <w:color w:val="auto"/>
        </w:rPr>
      </w:pPr>
      <w:r>
        <w:rPr>
          <w:rFonts w:ascii="Arial" w:cs="Arial" w:eastAsia="Arial" w:hAnsi="Arial"/>
          <w:sz w:val="20"/>
          <w:szCs w:val="20"/>
          <w:color w:val="004876"/>
        </w:rPr>
        <w:t>How can I ask questions pertinent to meeting matters?</w:t>
      </w:r>
    </w:p>
    <w:p>
      <w:pPr>
        <w:spacing w:after="0" w:line="29" w:lineRule="exact"/>
        <w:rPr>
          <w:sz w:val="20"/>
          <w:szCs w:val="20"/>
          <w:color w:val="auto"/>
        </w:rPr>
      </w:pPr>
    </w:p>
    <w:p>
      <w:pPr>
        <w:ind w:left="120" w:right="300"/>
        <w:spacing w:after="0"/>
        <w:rPr>
          <w:sz w:val="20"/>
          <w:szCs w:val="20"/>
          <w:color w:val="auto"/>
        </w:rPr>
      </w:pPr>
      <w:r>
        <w:rPr>
          <w:rFonts w:ascii="Arial" w:cs="Arial" w:eastAsia="Arial" w:hAnsi="Arial"/>
          <w:sz w:val="18"/>
          <w:szCs w:val="18"/>
          <w:color w:val="auto"/>
        </w:rPr>
        <w:t>Shareholders may submit questions either before the meeting, from May 7 to May 17, 2020, or during a portion of the meeting. If you wish to submit a question before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334645</wp:posOffset>
            </wp:positionV>
            <wp:extent cx="7029450" cy="19685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029450" cy="1968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meeting, you may log into www.proxyvote.com using your 16-digit control number and follow the instructions to submit a question. Alternatively, if you wish to submit a question during the meeting, log into the virtual meeting platform at www.virtualshareholdermeeting.com/JPM2020 using the 16-digit control number and follow the instructions to submit a question.</w:t>
      </w:r>
    </w:p>
    <w:p>
      <w:pPr>
        <w:spacing w:after="0" w:line="97"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Questions pertinent to meeting matters will be answered during the meeting, subject to time limitations.</w:t>
      </w:r>
    </w:p>
    <w:p>
      <w:pPr>
        <w:spacing w:after="0" w:line="599" w:lineRule="exact"/>
        <w:rPr>
          <w:sz w:val="20"/>
          <w:szCs w:val="20"/>
          <w:color w:val="auto"/>
        </w:rPr>
      </w:pPr>
    </w:p>
    <w:p>
      <w:pPr>
        <w:sectPr>
          <w:pgSz w:w="11900" w:h="16838" w:orient="portrait"/>
          <w:cols w:equalWidth="0" w:num="2">
            <w:col w:w="5600" w:space="140"/>
            <w:col w:w="5340"/>
          </w:cols>
          <w:pgMar w:left="320" w:top="459" w:right="499" w:bottom="1440" w:gutter="0" w:footer="0" w:header="0"/>
          <w:type w:val="continuous"/>
        </w:sectPr>
      </w:pPr>
    </w:p>
    <w:p>
      <w:pPr>
        <w:spacing w:after="0" w:line="200" w:lineRule="exact"/>
        <w:rPr>
          <w:sz w:val="20"/>
          <w:szCs w:val="20"/>
          <w:color w:val="auto"/>
        </w:rPr>
      </w:pPr>
    </w:p>
    <w:p>
      <w:pPr>
        <w:spacing w:after="0" w:line="205" w:lineRule="exact"/>
        <w:rPr>
          <w:sz w:val="20"/>
          <w:szCs w:val="20"/>
          <w:color w:val="auto"/>
        </w:rPr>
      </w:pPr>
    </w:p>
    <w:p>
      <w:pPr>
        <w:jc w:val="center"/>
        <w:ind w:right="-179"/>
        <w:spacing w:after="0"/>
        <w:rPr>
          <w:sz w:val="20"/>
          <w:szCs w:val="20"/>
          <w:color w:val="auto"/>
        </w:rPr>
      </w:pPr>
      <w:r>
        <w:rPr>
          <w:rFonts w:ascii="Arial" w:cs="Arial" w:eastAsia="Arial" w:hAnsi="Arial"/>
          <w:sz w:val="13"/>
          <w:szCs w:val="13"/>
          <w:b w:val="1"/>
          <w:bCs w:val="1"/>
          <w:color w:val="004876"/>
        </w:rPr>
        <w:t>107</w:t>
      </w:r>
    </w:p>
    <w:p>
      <w:pPr>
        <w:sectPr>
          <w:pgSz w:w="11900" w:h="16838" w:orient="portrait"/>
          <w:cols w:equalWidth="0" w:num="1">
            <w:col w:w="11080"/>
          </w:cols>
          <w:pgMar w:left="320" w:top="459" w:right="499" w:bottom="1440" w:gutter="0" w:footer="0" w:header="0"/>
          <w:type w:val="continuous"/>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6200"/>
        <w:spacing w:after="0"/>
        <w:rPr>
          <w:sz w:val="20"/>
          <w:szCs w:val="20"/>
          <w:color w:val="auto"/>
        </w:rPr>
      </w:pPr>
      <w:r>
        <w:rPr>
          <w:rFonts w:ascii="Arial" w:cs="Arial" w:eastAsia="Arial" w:hAnsi="Arial"/>
          <w:sz w:val="16"/>
          <w:szCs w:val="16"/>
          <w:b w:val="1"/>
          <w:bCs w:val="1"/>
          <w:color w:val="004876"/>
        </w:rPr>
        <w:t>INFORMATION ABOUT THE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825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10" w:lineRule="exact"/>
        <w:rPr>
          <w:sz w:val="20"/>
          <w:szCs w:val="20"/>
          <w:color w:val="auto"/>
        </w:rPr>
      </w:pPr>
    </w:p>
    <w:p>
      <w:pPr>
        <w:ind w:left="120"/>
        <w:spacing w:after="0"/>
        <w:rPr>
          <w:sz w:val="20"/>
          <w:szCs w:val="20"/>
          <w:color w:val="auto"/>
        </w:rPr>
      </w:pPr>
      <w:r>
        <w:rPr>
          <w:rFonts w:ascii="Arial" w:cs="Arial" w:eastAsia="Arial" w:hAnsi="Arial"/>
          <w:sz w:val="20"/>
          <w:szCs w:val="20"/>
          <w:color w:val="004876"/>
        </w:rPr>
        <w:t>Who can vote at our annual meeting?</w:t>
      </w:r>
    </w:p>
    <w:p>
      <w:pPr>
        <w:spacing w:after="0" w:line="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You can vote your shares of common stock at our annual meeting if you were a shareholder at the close of business on the Record Date.</w:t>
      </w:r>
    </w:p>
    <w:p>
      <w:pPr>
        <w:spacing w:after="0" w:line="104" w:lineRule="exact"/>
        <w:rPr>
          <w:sz w:val="20"/>
          <w:szCs w:val="20"/>
          <w:color w:val="auto"/>
        </w:rPr>
      </w:pPr>
    </w:p>
    <w:p>
      <w:pPr>
        <w:ind w:left="120" w:right="260"/>
        <w:spacing w:after="0" w:line="246" w:lineRule="auto"/>
        <w:rPr>
          <w:sz w:val="20"/>
          <w:szCs w:val="20"/>
          <w:color w:val="auto"/>
        </w:rPr>
      </w:pPr>
      <w:r>
        <w:rPr>
          <w:rFonts w:ascii="Arial" w:cs="Arial" w:eastAsia="Arial" w:hAnsi="Arial"/>
          <w:sz w:val="18"/>
          <w:szCs w:val="18"/>
          <w:color w:val="auto"/>
        </w:rPr>
        <w:t>At the close of business on the Record Date, there were 3,046,537,075 shares of common stock outstanding, each of which entitles the holder to one vote for each matter to be voted on at our annual meeting.</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20"/>
          <w:szCs w:val="20"/>
          <w:color w:val="004876"/>
        </w:rPr>
        <w:t>How do I vote?</w:t>
      </w:r>
    </w:p>
    <w:p>
      <w:pPr>
        <w:spacing w:after="0" w:line="29" w:lineRule="exact"/>
        <w:rPr>
          <w:sz w:val="20"/>
          <w:szCs w:val="20"/>
          <w:color w:val="auto"/>
        </w:rPr>
      </w:pPr>
    </w:p>
    <w:p>
      <w:pPr>
        <w:ind w:left="120" w:right="440"/>
        <w:spacing w:after="0" w:line="246" w:lineRule="auto"/>
        <w:rPr>
          <w:sz w:val="20"/>
          <w:szCs w:val="20"/>
          <w:color w:val="auto"/>
        </w:rPr>
      </w:pPr>
      <w:r>
        <w:rPr>
          <w:rFonts w:ascii="Arial" w:cs="Arial" w:eastAsia="Arial" w:hAnsi="Arial"/>
          <w:sz w:val="18"/>
          <w:szCs w:val="18"/>
          <w:color w:val="auto"/>
        </w:rPr>
        <w:t>To be valid, your vote by Internet, telephone or mail must be received by the deadline specified on the proxy card or voting instruction form, as applicable.</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3760" w:type="dxa"/>
            <w:vAlign w:val="bottom"/>
          </w:tcPr>
          <w:p>
            <w:pPr>
              <w:spacing w:after="0"/>
              <w:rPr>
                <w:sz w:val="16"/>
                <w:szCs w:val="16"/>
                <w:color w:val="auto"/>
              </w:rPr>
            </w:pPr>
          </w:p>
        </w:tc>
        <w:tc>
          <w:tcPr>
            <w:tcW w:w="3640" w:type="dxa"/>
            <w:vAlign w:val="bottom"/>
          </w:tcPr>
          <w:p>
            <w:pPr>
              <w:ind w:left="1480"/>
              <w:spacing w:after="0"/>
              <w:rPr>
                <w:sz w:val="20"/>
                <w:szCs w:val="20"/>
                <w:color w:val="auto"/>
              </w:rPr>
            </w:pPr>
            <w:r>
              <w:rPr>
                <w:rFonts w:ascii="Arial" w:cs="Arial" w:eastAsia="Arial" w:hAnsi="Arial"/>
                <w:sz w:val="16"/>
                <w:szCs w:val="16"/>
                <w:color w:val="004876"/>
              </w:rPr>
              <w:t>If you are a</w:t>
            </w:r>
          </w:p>
        </w:tc>
        <w:tc>
          <w:tcPr>
            <w:tcW w:w="3620" w:type="dxa"/>
            <w:vAlign w:val="bottom"/>
          </w:tcPr>
          <w:p>
            <w:pPr>
              <w:ind w:left="780"/>
              <w:spacing w:after="0"/>
              <w:rPr>
                <w:sz w:val="20"/>
                <w:szCs w:val="20"/>
                <w:color w:val="auto"/>
              </w:rPr>
            </w:pPr>
            <w:r>
              <w:rPr>
                <w:rFonts w:ascii="Arial" w:cs="Arial" w:eastAsia="Arial" w:hAnsi="Arial"/>
                <w:sz w:val="16"/>
                <w:szCs w:val="16"/>
                <w:color w:val="004876"/>
              </w:rPr>
              <w:t>If you are a beneficial owner of</w:t>
            </w:r>
          </w:p>
        </w:tc>
      </w:tr>
      <w:tr>
        <w:trPr>
          <w:trHeight w:val="201"/>
        </w:trPr>
        <w:tc>
          <w:tcPr>
            <w:tcW w:w="3760" w:type="dxa"/>
            <w:vAlign w:val="bottom"/>
            <w:tcBorders>
              <w:bottom w:val="single" w:sz="8" w:color="333333"/>
            </w:tcBorders>
          </w:tcPr>
          <w:p>
            <w:pPr>
              <w:spacing w:after="0"/>
              <w:rPr>
                <w:sz w:val="17"/>
                <w:szCs w:val="17"/>
                <w:color w:val="auto"/>
              </w:rPr>
            </w:pPr>
          </w:p>
        </w:tc>
        <w:tc>
          <w:tcPr>
            <w:tcW w:w="3640" w:type="dxa"/>
            <w:vAlign w:val="bottom"/>
            <w:tcBorders>
              <w:bottom w:val="single" w:sz="8" w:color="333333"/>
            </w:tcBorders>
          </w:tcPr>
          <w:p>
            <w:pPr>
              <w:ind w:left="1120"/>
              <w:spacing w:after="0"/>
              <w:rPr>
                <w:sz w:val="20"/>
                <w:szCs w:val="20"/>
                <w:color w:val="auto"/>
              </w:rPr>
            </w:pPr>
            <w:r>
              <w:rPr>
                <w:rFonts w:ascii="Arial" w:cs="Arial" w:eastAsia="Arial" w:hAnsi="Arial"/>
                <w:sz w:val="16"/>
                <w:szCs w:val="16"/>
                <w:color w:val="004876"/>
              </w:rPr>
              <w:t>shareholder of record</w:t>
            </w:r>
          </w:p>
        </w:tc>
        <w:tc>
          <w:tcPr>
            <w:tcW w:w="3620" w:type="dxa"/>
            <w:vAlign w:val="bottom"/>
            <w:tcBorders>
              <w:bottom w:val="single" w:sz="8" w:color="333333"/>
            </w:tcBorders>
          </w:tcPr>
          <w:p>
            <w:pPr>
              <w:ind w:left="900"/>
              <w:spacing w:after="0"/>
              <w:rPr>
                <w:sz w:val="20"/>
                <w:szCs w:val="20"/>
                <w:color w:val="auto"/>
              </w:rPr>
            </w:pPr>
            <w:r>
              <w:rPr>
                <w:rFonts w:ascii="Arial" w:cs="Arial" w:eastAsia="Arial" w:hAnsi="Arial"/>
                <w:sz w:val="16"/>
                <w:szCs w:val="16"/>
                <w:color w:val="004876"/>
              </w:rPr>
              <w:t>shares held in street name</w:t>
            </w:r>
          </w:p>
        </w:tc>
      </w:tr>
      <w:tr>
        <w:trPr>
          <w:trHeight w:val="225"/>
        </w:trPr>
        <w:tc>
          <w:tcPr>
            <w:tcW w:w="3760" w:type="dxa"/>
            <w:vAlign w:val="bottom"/>
            <w:tcBorders>
              <w:right w:val="single" w:sz="8" w:color="333333"/>
            </w:tcBorders>
          </w:tcPr>
          <w:p>
            <w:pPr>
              <w:ind w:left="60"/>
              <w:spacing w:after="0"/>
              <w:rPr>
                <w:sz w:val="20"/>
                <w:szCs w:val="20"/>
                <w:color w:val="auto"/>
              </w:rPr>
            </w:pPr>
            <w:r>
              <w:rPr>
                <w:rFonts w:ascii="Arial" w:cs="Arial" w:eastAsia="Arial" w:hAnsi="Arial"/>
                <w:sz w:val="16"/>
                <w:szCs w:val="16"/>
                <w:color w:val="auto"/>
              </w:rPr>
              <w:t>Through the virtual meeting site during the meeting</w:t>
            </w:r>
          </w:p>
        </w:tc>
        <w:tc>
          <w:tcPr>
            <w:tcW w:w="3640" w:type="dxa"/>
            <w:vAlign w:val="bottom"/>
            <w:tcBorders>
              <w:right w:val="single" w:sz="8" w:color="333333"/>
            </w:tcBorders>
          </w:tcPr>
          <w:p>
            <w:pPr>
              <w:ind w:left="100"/>
              <w:spacing w:after="0"/>
              <w:rPr>
                <w:sz w:val="20"/>
                <w:szCs w:val="20"/>
                <w:color w:val="auto"/>
              </w:rPr>
            </w:pPr>
            <w:r>
              <w:rPr>
                <w:rFonts w:ascii="Arial" w:cs="Arial" w:eastAsia="Arial" w:hAnsi="Arial"/>
                <w:sz w:val="16"/>
                <w:szCs w:val="16"/>
                <w:color w:val="auto"/>
              </w:rPr>
              <w:t>Complete and submit a ballot online during the</w:t>
            </w:r>
          </w:p>
        </w:tc>
        <w:tc>
          <w:tcPr>
            <w:tcW w:w="3620" w:type="dxa"/>
            <w:vAlign w:val="bottom"/>
          </w:tcPr>
          <w:p>
            <w:pPr>
              <w:ind w:left="80"/>
              <w:spacing w:after="0"/>
              <w:rPr>
                <w:sz w:val="20"/>
                <w:szCs w:val="20"/>
                <w:color w:val="auto"/>
              </w:rPr>
            </w:pPr>
            <w:r>
              <w:rPr>
                <w:rFonts w:ascii="Arial" w:cs="Arial" w:eastAsia="Arial" w:hAnsi="Arial"/>
                <w:sz w:val="16"/>
                <w:szCs w:val="16"/>
                <w:color w:val="auto"/>
              </w:rPr>
              <w:t>Complete and submit a ballot online during the</w:t>
            </w:r>
          </w:p>
        </w:tc>
      </w:tr>
      <w:tr>
        <w:trPr>
          <w:trHeight w:val="189"/>
        </w:trPr>
        <w:tc>
          <w:tcPr>
            <w:tcW w:w="3760" w:type="dxa"/>
            <w:vAlign w:val="bottom"/>
            <w:tcBorders>
              <w:right w:val="single" w:sz="8" w:color="333333"/>
            </w:tcBorders>
          </w:tcPr>
          <w:p>
            <w:pPr>
              <w:spacing w:after="0"/>
              <w:rPr>
                <w:sz w:val="16"/>
                <w:szCs w:val="16"/>
                <w:color w:val="auto"/>
              </w:rPr>
            </w:pPr>
          </w:p>
        </w:tc>
        <w:tc>
          <w:tcPr>
            <w:tcW w:w="3640" w:type="dxa"/>
            <w:vAlign w:val="bottom"/>
            <w:tcBorders>
              <w:right w:val="single" w:sz="8" w:color="333333"/>
            </w:tcBorders>
          </w:tcPr>
          <w:p>
            <w:pPr>
              <w:ind w:left="100"/>
              <w:spacing w:after="0"/>
              <w:rPr>
                <w:sz w:val="20"/>
                <w:szCs w:val="20"/>
                <w:color w:val="auto"/>
              </w:rPr>
            </w:pPr>
            <w:r>
              <w:rPr>
                <w:rFonts w:ascii="Arial" w:cs="Arial" w:eastAsia="Arial" w:hAnsi="Arial"/>
                <w:sz w:val="16"/>
                <w:szCs w:val="16"/>
                <w:color w:val="auto"/>
              </w:rPr>
              <w:t>meeting at</w:t>
            </w:r>
          </w:p>
        </w:tc>
        <w:tc>
          <w:tcPr>
            <w:tcW w:w="3620" w:type="dxa"/>
            <w:vAlign w:val="bottom"/>
          </w:tcPr>
          <w:p>
            <w:pPr>
              <w:ind w:left="80"/>
              <w:spacing w:after="0"/>
              <w:rPr>
                <w:sz w:val="20"/>
                <w:szCs w:val="20"/>
                <w:color w:val="auto"/>
              </w:rPr>
            </w:pPr>
            <w:r>
              <w:rPr>
                <w:rFonts w:ascii="Arial" w:cs="Arial" w:eastAsia="Arial" w:hAnsi="Arial"/>
                <w:sz w:val="16"/>
                <w:szCs w:val="16"/>
                <w:color w:val="auto"/>
              </w:rPr>
              <w:t>meeting at</w:t>
            </w:r>
          </w:p>
        </w:tc>
      </w:tr>
      <w:tr>
        <w:trPr>
          <w:trHeight w:val="198"/>
        </w:trPr>
        <w:tc>
          <w:tcPr>
            <w:tcW w:w="3760" w:type="dxa"/>
            <w:vAlign w:val="bottom"/>
            <w:tcBorders>
              <w:bottom w:val="single" w:sz="8" w:color="333333"/>
              <w:right w:val="single" w:sz="8" w:color="333333"/>
            </w:tcBorders>
          </w:tcPr>
          <w:p>
            <w:pPr>
              <w:spacing w:after="0"/>
              <w:rPr>
                <w:sz w:val="17"/>
                <w:szCs w:val="17"/>
                <w:color w:val="auto"/>
              </w:rPr>
            </w:pPr>
          </w:p>
        </w:tc>
        <w:tc>
          <w:tcPr>
            <w:tcW w:w="3640" w:type="dxa"/>
            <w:vAlign w:val="bottom"/>
            <w:tcBorders>
              <w:bottom w:val="single" w:sz="8" w:color="333333"/>
              <w:right w:val="single" w:sz="8" w:color="333333"/>
            </w:tcBorders>
          </w:tcPr>
          <w:p>
            <w:pPr>
              <w:ind w:left="100"/>
              <w:spacing w:after="0"/>
              <w:rPr>
                <w:sz w:val="20"/>
                <w:szCs w:val="20"/>
                <w:color w:val="auto"/>
              </w:rPr>
            </w:pPr>
            <w:r>
              <w:rPr>
                <w:rFonts w:ascii="Arial" w:cs="Arial" w:eastAsia="Arial" w:hAnsi="Arial"/>
                <w:sz w:val="16"/>
                <w:szCs w:val="16"/>
                <w:color w:val="auto"/>
              </w:rPr>
              <w:t>www.virtualshareholdermeeting.com/JPM2020.</w:t>
            </w:r>
          </w:p>
        </w:tc>
        <w:tc>
          <w:tcPr>
            <w:tcW w:w="3620" w:type="dxa"/>
            <w:vAlign w:val="bottom"/>
            <w:tcBorders>
              <w:bottom w:val="single" w:sz="8" w:color="333333"/>
            </w:tcBorders>
          </w:tcPr>
          <w:p>
            <w:pPr>
              <w:ind w:left="80"/>
              <w:spacing w:after="0"/>
              <w:rPr>
                <w:sz w:val="20"/>
                <w:szCs w:val="20"/>
                <w:color w:val="auto"/>
              </w:rPr>
            </w:pPr>
            <w:r>
              <w:rPr>
                <w:rFonts w:ascii="Arial" w:cs="Arial" w:eastAsia="Arial" w:hAnsi="Arial"/>
                <w:sz w:val="16"/>
                <w:szCs w:val="16"/>
                <w:color w:val="auto"/>
              </w:rPr>
              <w:t>www.virtualshareholdermeeting.com/JPM2020.</w:t>
            </w:r>
          </w:p>
        </w:tc>
      </w:tr>
      <w:tr>
        <w:trPr>
          <w:trHeight w:val="228"/>
        </w:trPr>
        <w:tc>
          <w:tcPr>
            <w:tcW w:w="3760" w:type="dxa"/>
            <w:vAlign w:val="bottom"/>
            <w:tcBorders>
              <w:right w:val="single" w:sz="8" w:color="333333"/>
            </w:tcBorders>
          </w:tcPr>
          <w:p>
            <w:pPr>
              <w:ind w:left="60"/>
              <w:spacing w:after="0"/>
              <w:rPr>
                <w:sz w:val="20"/>
                <w:szCs w:val="20"/>
                <w:color w:val="auto"/>
              </w:rPr>
            </w:pPr>
            <w:r>
              <w:rPr>
                <w:rFonts w:ascii="Arial" w:cs="Arial" w:eastAsia="Arial" w:hAnsi="Arial"/>
                <w:sz w:val="16"/>
                <w:szCs w:val="16"/>
                <w:color w:val="auto"/>
              </w:rPr>
              <w:t>Online (24 hours a day) — Use the Internet to</w:t>
            </w:r>
          </w:p>
        </w:tc>
        <w:tc>
          <w:tcPr>
            <w:tcW w:w="3640" w:type="dxa"/>
            <w:vAlign w:val="bottom"/>
            <w:tcBorders>
              <w:right w:val="single" w:sz="8" w:color="333333"/>
            </w:tcBorders>
          </w:tcPr>
          <w:p>
            <w:pPr>
              <w:ind w:left="100"/>
              <w:spacing w:after="0"/>
              <w:rPr>
                <w:sz w:val="20"/>
                <w:szCs w:val="20"/>
                <w:color w:val="auto"/>
              </w:rPr>
            </w:pPr>
            <w:r>
              <w:rPr>
                <w:rFonts w:ascii="Arial" w:cs="Arial" w:eastAsia="Arial" w:hAnsi="Arial"/>
                <w:sz w:val="16"/>
                <w:szCs w:val="16"/>
                <w:color w:val="auto"/>
              </w:rPr>
              <w:t>Go to www.proxyvote.com and follow the</w:t>
            </w:r>
          </w:p>
        </w:tc>
        <w:tc>
          <w:tcPr>
            <w:tcW w:w="3620" w:type="dxa"/>
            <w:vAlign w:val="bottom"/>
          </w:tcPr>
          <w:p>
            <w:pPr>
              <w:ind w:left="80"/>
              <w:spacing w:after="0"/>
              <w:rPr>
                <w:sz w:val="20"/>
                <w:szCs w:val="20"/>
                <w:color w:val="auto"/>
              </w:rPr>
            </w:pPr>
            <w:r>
              <w:rPr>
                <w:rFonts w:ascii="Arial" w:cs="Arial" w:eastAsia="Arial" w:hAnsi="Arial"/>
                <w:sz w:val="16"/>
                <w:szCs w:val="16"/>
                <w:color w:val="auto"/>
              </w:rPr>
              <w:t>Go to www.proxyvote.com and follow the</w:t>
            </w:r>
          </w:p>
        </w:tc>
      </w:tr>
      <w:tr>
        <w:trPr>
          <w:trHeight w:val="189"/>
        </w:trPr>
        <w:tc>
          <w:tcPr>
            <w:tcW w:w="3760" w:type="dxa"/>
            <w:vAlign w:val="bottom"/>
            <w:tcBorders>
              <w:right w:val="single" w:sz="8" w:color="333333"/>
            </w:tcBorders>
          </w:tcPr>
          <w:p>
            <w:pPr>
              <w:ind w:left="60"/>
              <w:spacing w:after="0"/>
              <w:rPr>
                <w:sz w:val="20"/>
                <w:szCs w:val="20"/>
                <w:color w:val="auto"/>
              </w:rPr>
            </w:pPr>
            <w:r>
              <w:rPr>
                <w:rFonts w:ascii="Arial" w:cs="Arial" w:eastAsia="Arial" w:hAnsi="Arial"/>
                <w:sz w:val="16"/>
                <w:szCs w:val="16"/>
                <w:color w:val="auto"/>
              </w:rPr>
              <w:t>transmit your voting instructions up until 11:59 P.M.</w:t>
            </w:r>
          </w:p>
        </w:tc>
        <w:tc>
          <w:tcPr>
            <w:tcW w:w="3640" w:type="dxa"/>
            <w:vAlign w:val="bottom"/>
            <w:tcBorders>
              <w:right w:val="single" w:sz="8" w:color="333333"/>
            </w:tcBorders>
          </w:tcPr>
          <w:p>
            <w:pPr>
              <w:ind w:left="100"/>
              <w:spacing w:after="0"/>
              <w:rPr>
                <w:sz w:val="20"/>
                <w:szCs w:val="20"/>
                <w:color w:val="auto"/>
              </w:rPr>
            </w:pPr>
            <w:r>
              <w:rPr>
                <w:rFonts w:ascii="Arial" w:cs="Arial" w:eastAsia="Arial" w:hAnsi="Arial"/>
                <w:sz w:val="16"/>
                <w:szCs w:val="16"/>
                <w:color w:val="auto"/>
              </w:rPr>
              <w:t>instructions.</w:t>
            </w:r>
          </w:p>
        </w:tc>
        <w:tc>
          <w:tcPr>
            <w:tcW w:w="3620" w:type="dxa"/>
            <w:vAlign w:val="bottom"/>
          </w:tcPr>
          <w:p>
            <w:pPr>
              <w:ind w:left="80"/>
              <w:spacing w:after="0"/>
              <w:rPr>
                <w:sz w:val="20"/>
                <w:szCs w:val="20"/>
                <w:color w:val="auto"/>
              </w:rPr>
            </w:pPr>
            <w:r>
              <w:rPr>
                <w:rFonts w:ascii="Arial" w:cs="Arial" w:eastAsia="Arial" w:hAnsi="Arial"/>
                <w:sz w:val="16"/>
                <w:szCs w:val="16"/>
                <w:color w:val="auto"/>
              </w:rPr>
              <w:t>instructions.</w:t>
            </w:r>
          </w:p>
        </w:tc>
      </w:tr>
      <w:tr>
        <w:trPr>
          <w:trHeight w:val="198"/>
        </w:trPr>
        <w:tc>
          <w:tcPr>
            <w:tcW w:w="3760" w:type="dxa"/>
            <w:vAlign w:val="bottom"/>
            <w:tcBorders>
              <w:bottom w:val="single" w:sz="8" w:color="333333"/>
              <w:right w:val="single" w:sz="8" w:color="333333"/>
            </w:tcBorders>
          </w:tcPr>
          <w:p>
            <w:pPr>
              <w:ind w:left="60"/>
              <w:spacing w:after="0"/>
              <w:rPr>
                <w:sz w:val="20"/>
                <w:szCs w:val="20"/>
                <w:color w:val="auto"/>
              </w:rPr>
            </w:pPr>
            <w:r>
              <w:rPr>
                <w:rFonts w:ascii="Arial" w:cs="Arial" w:eastAsia="Arial" w:hAnsi="Arial"/>
                <w:sz w:val="16"/>
                <w:szCs w:val="16"/>
                <w:color w:val="auto"/>
              </w:rPr>
              <w:t>Eastern Time the day before the meeting date.</w:t>
            </w:r>
          </w:p>
        </w:tc>
        <w:tc>
          <w:tcPr>
            <w:tcW w:w="3640" w:type="dxa"/>
            <w:vAlign w:val="bottom"/>
            <w:tcBorders>
              <w:bottom w:val="single" w:sz="8" w:color="333333"/>
              <w:right w:val="single" w:sz="8" w:color="333333"/>
            </w:tcBorders>
          </w:tcPr>
          <w:p>
            <w:pPr>
              <w:spacing w:after="0"/>
              <w:rPr>
                <w:sz w:val="17"/>
                <w:szCs w:val="17"/>
                <w:color w:val="auto"/>
              </w:rPr>
            </w:pPr>
          </w:p>
        </w:tc>
        <w:tc>
          <w:tcPr>
            <w:tcW w:w="3620" w:type="dxa"/>
            <w:vAlign w:val="bottom"/>
            <w:tcBorders>
              <w:bottom w:val="single" w:sz="8" w:color="333333"/>
            </w:tcBorders>
          </w:tcPr>
          <w:p>
            <w:pPr>
              <w:spacing w:after="0"/>
              <w:rPr>
                <w:sz w:val="17"/>
                <w:szCs w:val="17"/>
                <w:color w:val="auto"/>
              </w:rPr>
            </w:pPr>
          </w:p>
        </w:tc>
      </w:tr>
      <w:tr>
        <w:trPr>
          <w:trHeight w:val="228"/>
        </w:trPr>
        <w:tc>
          <w:tcPr>
            <w:tcW w:w="3760" w:type="dxa"/>
            <w:vAlign w:val="bottom"/>
            <w:tcBorders>
              <w:right w:val="single" w:sz="8" w:color="333333"/>
            </w:tcBorders>
          </w:tcPr>
          <w:p>
            <w:pPr>
              <w:ind w:left="60"/>
              <w:spacing w:after="0"/>
              <w:rPr>
                <w:sz w:val="20"/>
                <w:szCs w:val="20"/>
                <w:color w:val="auto"/>
              </w:rPr>
            </w:pPr>
            <w:r>
              <w:rPr>
                <w:rFonts w:ascii="Arial" w:cs="Arial" w:eastAsia="Arial" w:hAnsi="Arial"/>
                <w:sz w:val="16"/>
                <w:szCs w:val="16"/>
                <w:color w:val="auto"/>
              </w:rPr>
              <w:t>By Telephone (24 hours a day) — Use any touch-</w:t>
            </w:r>
          </w:p>
        </w:tc>
        <w:tc>
          <w:tcPr>
            <w:tcW w:w="3640" w:type="dxa"/>
            <w:vAlign w:val="bottom"/>
            <w:tcBorders>
              <w:right w:val="single" w:sz="8" w:color="333333"/>
            </w:tcBorders>
          </w:tcPr>
          <w:p>
            <w:pPr>
              <w:ind w:left="100"/>
              <w:spacing w:after="0"/>
              <w:rPr>
                <w:sz w:val="20"/>
                <w:szCs w:val="20"/>
                <w:color w:val="auto"/>
              </w:rPr>
            </w:pPr>
            <w:r>
              <w:rPr>
                <w:rFonts w:ascii="Arial" w:cs="Arial" w:eastAsia="Arial" w:hAnsi="Arial"/>
                <w:sz w:val="16"/>
                <w:szCs w:val="16"/>
                <w:color w:val="auto"/>
              </w:rPr>
              <w:t>1-800-690-6903</w:t>
            </w:r>
          </w:p>
        </w:tc>
        <w:tc>
          <w:tcPr>
            <w:tcW w:w="3620" w:type="dxa"/>
            <w:vAlign w:val="bottom"/>
          </w:tcPr>
          <w:p>
            <w:pPr>
              <w:ind w:left="80"/>
              <w:spacing w:after="0"/>
              <w:rPr>
                <w:sz w:val="20"/>
                <w:szCs w:val="20"/>
                <w:color w:val="auto"/>
              </w:rPr>
            </w:pPr>
            <w:r>
              <w:rPr>
                <w:rFonts w:ascii="Arial" w:cs="Arial" w:eastAsia="Arial" w:hAnsi="Arial"/>
                <w:sz w:val="16"/>
                <w:szCs w:val="16"/>
                <w:color w:val="auto"/>
              </w:rPr>
              <w:t>1-800-454-8683</w:t>
            </w:r>
          </w:p>
        </w:tc>
      </w:tr>
      <w:tr>
        <w:trPr>
          <w:trHeight w:val="189"/>
        </w:trPr>
        <w:tc>
          <w:tcPr>
            <w:tcW w:w="3760" w:type="dxa"/>
            <w:vAlign w:val="bottom"/>
            <w:tcBorders>
              <w:right w:val="single" w:sz="8" w:color="333333"/>
            </w:tcBorders>
          </w:tcPr>
          <w:p>
            <w:pPr>
              <w:ind w:left="60"/>
              <w:spacing w:after="0"/>
              <w:rPr>
                <w:sz w:val="20"/>
                <w:szCs w:val="20"/>
                <w:color w:val="auto"/>
              </w:rPr>
            </w:pPr>
            <w:r>
              <w:rPr>
                <w:rFonts w:ascii="Arial" w:cs="Arial" w:eastAsia="Arial" w:hAnsi="Arial"/>
                <w:sz w:val="16"/>
                <w:szCs w:val="16"/>
                <w:color w:val="auto"/>
              </w:rPr>
              <w:t>tone telephone to transmit your voting instructions</w:t>
            </w:r>
          </w:p>
        </w:tc>
        <w:tc>
          <w:tcPr>
            <w:tcW w:w="3640" w:type="dxa"/>
            <w:vAlign w:val="bottom"/>
            <w:tcBorders>
              <w:right w:val="single" w:sz="8" w:color="333333"/>
            </w:tcBorders>
          </w:tcPr>
          <w:p>
            <w:pPr>
              <w:spacing w:after="0"/>
              <w:rPr>
                <w:sz w:val="16"/>
                <w:szCs w:val="16"/>
                <w:color w:val="auto"/>
              </w:rPr>
            </w:pPr>
          </w:p>
        </w:tc>
        <w:tc>
          <w:tcPr>
            <w:tcW w:w="3620" w:type="dxa"/>
            <w:vAlign w:val="bottom"/>
          </w:tcPr>
          <w:p>
            <w:pPr>
              <w:ind w:left="80"/>
              <w:spacing w:after="0"/>
              <w:rPr>
                <w:sz w:val="20"/>
                <w:szCs w:val="20"/>
                <w:color w:val="auto"/>
              </w:rPr>
            </w:pPr>
            <w:r>
              <w:rPr>
                <w:rFonts w:ascii="Arial" w:cs="Arial" w:eastAsia="Arial" w:hAnsi="Arial"/>
                <w:sz w:val="16"/>
                <w:szCs w:val="16"/>
                <w:color w:val="auto"/>
              </w:rPr>
              <w:t>The availability of voting by telephone may</w:t>
            </w:r>
          </w:p>
        </w:tc>
      </w:tr>
      <w:tr>
        <w:trPr>
          <w:trHeight w:val="189"/>
        </w:trPr>
        <w:tc>
          <w:tcPr>
            <w:tcW w:w="3760" w:type="dxa"/>
            <w:vAlign w:val="bottom"/>
            <w:tcBorders>
              <w:right w:val="single" w:sz="8" w:color="333333"/>
            </w:tcBorders>
          </w:tcPr>
          <w:p>
            <w:pPr>
              <w:ind w:left="60"/>
              <w:spacing w:after="0"/>
              <w:rPr>
                <w:sz w:val="20"/>
                <w:szCs w:val="20"/>
                <w:color w:val="auto"/>
              </w:rPr>
            </w:pPr>
            <w:r>
              <w:rPr>
                <w:rFonts w:ascii="Arial" w:cs="Arial" w:eastAsia="Arial" w:hAnsi="Arial"/>
                <w:sz w:val="16"/>
                <w:szCs w:val="16"/>
                <w:color w:val="auto"/>
              </w:rPr>
              <w:t>up until 11:59 P.M. Eastern Time the day before</w:t>
            </w:r>
          </w:p>
        </w:tc>
        <w:tc>
          <w:tcPr>
            <w:tcW w:w="3640" w:type="dxa"/>
            <w:vAlign w:val="bottom"/>
            <w:tcBorders>
              <w:right w:val="single" w:sz="8" w:color="333333"/>
            </w:tcBorders>
          </w:tcPr>
          <w:p>
            <w:pPr>
              <w:spacing w:after="0"/>
              <w:rPr>
                <w:sz w:val="16"/>
                <w:szCs w:val="16"/>
                <w:color w:val="auto"/>
              </w:rPr>
            </w:pPr>
          </w:p>
        </w:tc>
        <w:tc>
          <w:tcPr>
            <w:tcW w:w="3620" w:type="dxa"/>
            <w:vAlign w:val="bottom"/>
          </w:tcPr>
          <w:p>
            <w:pPr>
              <w:ind w:left="80"/>
              <w:spacing w:after="0"/>
              <w:rPr>
                <w:sz w:val="20"/>
                <w:szCs w:val="20"/>
                <w:color w:val="auto"/>
              </w:rPr>
            </w:pPr>
            <w:r>
              <w:rPr>
                <w:rFonts w:ascii="Arial" w:cs="Arial" w:eastAsia="Arial" w:hAnsi="Arial"/>
                <w:sz w:val="16"/>
                <w:szCs w:val="16"/>
                <w:color w:val="auto"/>
              </w:rPr>
              <w:t>depend on the voting process of the</w:t>
            </w:r>
          </w:p>
        </w:tc>
      </w:tr>
      <w:tr>
        <w:trPr>
          <w:trHeight w:val="198"/>
        </w:trPr>
        <w:tc>
          <w:tcPr>
            <w:tcW w:w="3760" w:type="dxa"/>
            <w:vAlign w:val="bottom"/>
            <w:tcBorders>
              <w:bottom w:val="single" w:sz="8" w:color="333333"/>
              <w:right w:val="single" w:sz="8" w:color="333333"/>
            </w:tcBorders>
          </w:tcPr>
          <w:p>
            <w:pPr>
              <w:ind w:left="60"/>
              <w:spacing w:after="0"/>
              <w:rPr>
                <w:sz w:val="20"/>
                <w:szCs w:val="20"/>
                <w:color w:val="auto"/>
              </w:rPr>
            </w:pPr>
            <w:r>
              <w:rPr>
                <w:rFonts w:ascii="Arial" w:cs="Arial" w:eastAsia="Arial" w:hAnsi="Arial"/>
                <w:sz w:val="16"/>
                <w:szCs w:val="16"/>
                <w:color w:val="auto"/>
              </w:rPr>
              <w:t>the meeting date.</w:t>
            </w:r>
          </w:p>
        </w:tc>
        <w:tc>
          <w:tcPr>
            <w:tcW w:w="3640" w:type="dxa"/>
            <w:vAlign w:val="bottom"/>
            <w:tcBorders>
              <w:bottom w:val="single" w:sz="8" w:color="333333"/>
              <w:right w:val="single" w:sz="8" w:color="333333"/>
            </w:tcBorders>
          </w:tcPr>
          <w:p>
            <w:pPr>
              <w:spacing w:after="0"/>
              <w:rPr>
                <w:sz w:val="17"/>
                <w:szCs w:val="17"/>
                <w:color w:val="auto"/>
              </w:rPr>
            </w:pPr>
          </w:p>
        </w:tc>
        <w:tc>
          <w:tcPr>
            <w:tcW w:w="3620" w:type="dxa"/>
            <w:vAlign w:val="bottom"/>
            <w:tcBorders>
              <w:bottom w:val="single" w:sz="8" w:color="333333"/>
            </w:tcBorders>
          </w:tcPr>
          <w:p>
            <w:pPr>
              <w:ind w:left="80"/>
              <w:spacing w:after="0"/>
              <w:rPr>
                <w:sz w:val="20"/>
                <w:szCs w:val="20"/>
                <w:color w:val="auto"/>
              </w:rPr>
            </w:pPr>
            <w:r>
              <w:rPr>
                <w:rFonts w:ascii="Arial" w:cs="Arial" w:eastAsia="Arial" w:hAnsi="Arial"/>
                <w:sz w:val="16"/>
                <w:szCs w:val="16"/>
                <w:color w:val="auto"/>
              </w:rPr>
              <w:t>organization that holds your shares.</w:t>
            </w:r>
          </w:p>
        </w:tc>
      </w:tr>
      <w:tr>
        <w:trPr>
          <w:trHeight w:val="228"/>
        </w:trPr>
        <w:tc>
          <w:tcPr>
            <w:tcW w:w="3760" w:type="dxa"/>
            <w:vAlign w:val="bottom"/>
            <w:tcBorders>
              <w:right w:val="single" w:sz="8" w:color="333333"/>
            </w:tcBorders>
          </w:tcPr>
          <w:p>
            <w:pPr>
              <w:ind w:left="60"/>
              <w:spacing w:after="0"/>
              <w:rPr>
                <w:sz w:val="20"/>
                <w:szCs w:val="20"/>
                <w:color w:val="auto"/>
              </w:rPr>
            </w:pPr>
            <w:r>
              <w:rPr>
                <w:rFonts w:ascii="Arial" w:cs="Arial" w:eastAsia="Arial" w:hAnsi="Arial"/>
                <w:sz w:val="16"/>
                <w:szCs w:val="16"/>
                <w:color w:val="auto"/>
              </w:rPr>
              <w:t>By Mail</w:t>
            </w:r>
          </w:p>
        </w:tc>
        <w:tc>
          <w:tcPr>
            <w:tcW w:w="3640" w:type="dxa"/>
            <w:vAlign w:val="bottom"/>
            <w:tcBorders>
              <w:right w:val="single" w:sz="8" w:color="333333"/>
            </w:tcBorders>
          </w:tcPr>
          <w:p>
            <w:pPr>
              <w:ind w:left="100"/>
              <w:spacing w:after="0"/>
              <w:rPr>
                <w:sz w:val="20"/>
                <w:szCs w:val="20"/>
                <w:color w:val="auto"/>
              </w:rPr>
            </w:pPr>
            <w:r>
              <w:rPr>
                <w:rFonts w:ascii="Arial" w:cs="Arial" w:eastAsia="Arial" w:hAnsi="Arial"/>
                <w:sz w:val="16"/>
                <w:szCs w:val="16"/>
                <w:color w:val="auto"/>
              </w:rPr>
              <w:t>Return a properly executed and dated proxy card</w:t>
            </w:r>
          </w:p>
        </w:tc>
        <w:tc>
          <w:tcPr>
            <w:tcW w:w="3620" w:type="dxa"/>
            <w:vAlign w:val="bottom"/>
          </w:tcPr>
          <w:p>
            <w:pPr>
              <w:ind w:left="80"/>
              <w:spacing w:after="0"/>
              <w:rPr>
                <w:sz w:val="20"/>
                <w:szCs w:val="20"/>
                <w:color w:val="auto"/>
              </w:rPr>
            </w:pPr>
            <w:r>
              <w:rPr>
                <w:rFonts w:ascii="Arial" w:cs="Arial" w:eastAsia="Arial" w:hAnsi="Arial"/>
                <w:sz w:val="16"/>
                <w:szCs w:val="16"/>
                <w:color w:val="auto"/>
              </w:rPr>
              <w:t>Return a properly executed and dated voting</w:t>
            </w:r>
          </w:p>
        </w:tc>
      </w:tr>
      <w:tr>
        <w:trPr>
          <w:trHeight w:val="189"/>
        </w:trPr>
        <w:tc>
          <w:tcPr>
            <w:tcW w:w="3760" w:type="dxa"/>
            <w:vAlign w:val="bottom"/>
            <w:tcBorders>
              <w:right w:val="single" w:sz="8" w:color="333333"/>
            </w:tcBorders>
          </w:tcPr>
          <w:p>
            <w:pPr>
              <w:spacing w:after="0"/>
              <w:rPr>
                <w:sz w:val="16"/>
                <w:szCs w:val="16"/>
                <w:color w:val="auto"/>
              </w:rPr>
            </w:pPr>
          </w:p>
        </w:tc>
        <w:tc>
          <w:tcPr>
            <w:tcW w:w="3640" w:type="dxa"/>
            <w:vAlign w:val="bottom"/>
            <w:tcBorders>
              <w:right w:val="single" w:sz="8" w:color="333333"/>
            </w:tcBorders>
          </w:tcPr>
          <w:p>
            <w:pPr>
              <w:ind w:left="100"/>
              <w:spacing w:after="0"/>
              <w:rPr>
                <w:sz w:val="20"/>
                <w:szCs w:val="20"/>
                <w:color w:val="auto"/>
              </w:rPr>
            </w:pPr>
            <w:r>
              <w:rPr>
                <w:rFonts w:ascii="Arial" w:cs="Arial" w:eastAsia="Arial" w:hAnsi="Arial"/>
                <w:sz w:val="16"/>
                <w:szCs w:val="16"/>
                <w:color w:val="auto"/>
              </w:rPr>
              <w:t>in the pre-paid envelope we have provided or</w:t>
            </w:r>
          </w:p>
        </w:tc>
        <w:tc>
          <w:tcPr>
            <w:tcW w:w="3620" w:type="dxa"/>
            <w:vAlign w:val="bottom"/>
          </w:tcPr>
          <w:p>
            <w:pPr>
              <w:ind w:left="80"/>
              <w:spacing w:after="0"/>
              <w:rPr>
                <w:sz w:val="20"/>
                <w:szCs w:val="20"/>
                <w:color w:val="auto"/>
              </w:rPr>
            </w:pPr>
            <w:r>
              <w:rPr>
                <w:rFonts w:ascii="Arial" w:cs="Arial" w:eastAsia="Arial" w:hAnsi="Arial"/>
                <w:sz w:val="16"/>
                <w:szCs w:val="16"/>
                <w:color w:val="auto"/>
              </w:rPr>
              <w:t>instruction form using the method(s) your bank,</w:t>
            </w:r>
          </w:p>
        </w:tc>
      </w:tr>
      <w:tr>
        <w:trPr>
          <w:trHeight w:val="189"/>
        </w:trPr>
        <w:tc>
          <w:tcPr>
            <w:tcW w:w="3760" w:type="dxa"/>
            <w:vAlign w:val="bottom"/>
            <w:tcBorders>
              <w:right w:val="single" w:sz="8" w:color="333333"/>
            </w:tcBorders>
          </w:tcPr>
          <w:p>
            <w:pPr>
              <w:spacing w:after="0"/>
              <w:rPr>
                <w:sz w:val="16"/>
                <w:szCs w:val="16"/>
                <w:color w:val="auto"/>
              </w:rPr>
            </w:pPr>
          </w:p>
        </w:tc>
        <w:tc>
          <w:tcPr>
            <w:tcW w:w="3640" w:type="dxa"/>
            <w:vAlign w:val="bottom"/>
            <w:tcBorders>
              <w:right w:val="single" w:sz="8" w:color="333333"/>
            </w:tcBorders>
          </w:tcPr>
          <w:p>
            <w:pPr>
              <w:ind w:left="100"/>
              <w:spacing w:after="0"/>
              <w:rPr>
                <w:sz w:val="20"/>
                <w:szCs w:val="20"/>
                <w:color w:val="auto"/>
              </w:rPr>
            </w:pPr>
            <w:r>
              <w:rPr>
                <w:rFonts w:ascii="Arial" w:cs="Arial" w:eastAsia="Arial" w:hAnsi="Arial"/>
                <w:sz w:val="16"/>
                <w:szCs w:val="16"/>
                <w:color w:val="auto"/>
              </w:rPr>
              <w:t>return it to JPMorgan Chase &amp; Co.,</w:t>
            </w:r>
          </w:p>
        </w:tc>
        <w:tc>
          <w:tcPr>
            <w:tcW w:w="3620" w:type="dxa"/>
            <w:vAlign w:val="bottom"/>
          </w:tcPr>
          <w:p>
            <w:pPr>
              <w:ind w:left="80"/>
              <w:spacing w:after="0"/>
              <w:rPr>
                <w:sz w:val="20"/>
                <w:szCs w:val="20"/>
                <w:color w:val="auto"/>
              </w:rPr>
            </w:pPr>
            <w:r>
              <w:rPr>
                <w:rFonts w:ascii="Arial" w:cs="Arial" w:eastAsia="Arial" w:hAnsi="Arial"/>
                <w:sz w:val="16"/>
                <w:szCs w:val="16"/>
                <w:color w:val="auto"/>
              </w:rPr>
              <w:t>brokerage firm, broker-dealer or other similar</w:t>
            </w:r>
          </w:p>
        </w:tc>
      </w:tr>
      <w:tr>
        <w:trPr>
          <w:trHeight w:val="189"/>
        </w:trPr>
        <w:tc>
          <w:tcPr>
            <w:tcW w:w="3760" w:type="dxa"/>
            <w:vAlign w:val="bottom"/>
            <w:tcBorders>
              <w:right w:val="single" w:sz="8" w:color="333333"/>
            </w:tcBorders>
          </w:tcPr>
          <w:p>
            <w:pPr>
              <w:spacing w:after="0"/>
              <w:rPr>
                <w:sz w:val="16"/>
                <w:szCs w:val="16"/>
                <w:color w:val="auto"/>
              </w:rPr>
            </w:pPr>
          </w:p>
        </w:tc>
        <w:tc>
          <w:tcPr>
            <w:tcW w:w="3640" w:type="dxa"/>
            <w:vAlign w:val="bottom"/>
            <w:tcBorders>
              <w:right w:val="single" w:sz="8" w:color="333333"/>
            </w:tcBorders>
          </w:tcPr>
          <w:p>
            <w:pPr>
              <w:ind w:left="100"/>
              <w:spacing w:after="0"/>
              <w:rPr>
                <w:sz w:val="20"/>
                <w:szCs w:val="20"/>
                <w:color w:val="auto"/>
              </w:rPr>
            </w:pPr>
            <w:r>
              <w:rPr>
                <w:rFonts w:ascii="Arial" w:cs="Arial" w:eastAsia="Arial" w:hAnsi="Arial"/>
                <w:sz w:val="16"/>
                <w:szCs w:val="16"/>
                <w:color w:val="auto"/>
              </w:rPr>
              <w:t>c/o Broadridge, 51 Mercedes Way, Edgewood,</w:t>
            </w:r>
          </w:p>
        </w:tc>
        <w:tc>
          <w:tcPr>
            <w:tcW w:w="3620" w:type="dxa"/>
            <w:vAlign w:val="bottom"/>
          </w:tcPr>
          <w:p>
            <w:pPr>
              <w:ind w:left="80"/>
              <w:spacing w:after="0"/>
              <w:rPr>
                <w:sz w:val="20"/>
                <w:szCs w:val="20"/>
                <w:color w:val="auto"/>
              </w:rPr>
            </w:pPr>
            <w:r>
              <w:rPr>
                <w:rFonts w:ascii="Arial" w:cs="Arial" w:eastAsia="Arial" w:hAnsi="Arial"/>
                <w:sz w:val="16"/>
                <w:szCs w:val="16"/>
                <w:color w:val="auto"/>
              </w:rPr>
              <w:t>organizations make available.</w:t>
            </w:r>
          </w:p>
        </w:tc>
      </w:tr>
      <w:tr>
        <w:trPr>
          <w:trHeight w:val="198"/>
        </w:trPr>
        <w:tc>
          <w:tcPr>
            <w:tcW w:w="3760" w:type="dxa"/>
            <w:vAlign w:val="bottom"/>
            <w:tcBorders>
              <w:bottom w:val="single" w:sz="8" w:color="333333"/>
              <w:right w:val="single" w:sz="8" w:color="333333"/>
            </w:tcBorders>
          </w:tcPr>
          <w:p>
            <w:pPr>
              <w:spacing w:after="0"/>
              <w:rPr>
                <w:sz w:val="17"/>
                <w:szCs w:val="17"/>
                <w:color w:val="auto"/>
              </w:rPr>
            </w:pPr>
          </w:p>
        </w:tc>
        <w:tc>
          <w:tcPr>
            <w:tcW w:w="3640" w:type="dxa"/>
            <w:vAlign w:val="bottom"/>
            <w:tcBorders>
              <w:bottom w:val="single" w:sz="8" w:color="333333"/>
              <w:right w:val="single" w:sz="8" w:color="333333"/>
            </w:tcBorders>
          </w:tcPr>
          <w:p>
            <w:pPr>
              <w:ind w:left="100"/>
              <w:spacing w:after="0"/>
              <w:rPr>
                <w:sz w:val="20"/>
                <w:szCs w:val="20"/>
                <w:color w:val="auto"/>
              </w:rPr>
            </w:pPr>
            <w:r>
              <w:rPr>
                <w:rFonts w:ascii="Arial" w:cs="Arial" w:eastAsia="Arial" w:hAnsi="Arial"/>
                <w:sz w:val="16"/>
                <w:szCs w:val="16"/>
                <w:color w:val="auto"/>
              </w:rPr>
              <w:t>NY 11717</w:t>
            </w:r>
          </w:p>
        </w:tc>
        <w:tc>
          <w:tcPr>
            <w:tcW w:w="3620" w:type="dxa"/>
            <w:vAlign w:val="bottom"/>
            <w:tcBorders>
              <w:bottom w:val="single" w:sz="8" w:color="333333"/>
            </w:tcBorders>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140"/>
          </w:cols>
          <w:pgMar w:left="320" w:top="459" w:right="439" w:bottom="1440" w:gutter="0" w:footer="0" w:header="0"/>
        </w:sectPr>
      </w:pPr>
    </w:p>
    <w:p>
      <w:pPr>
        <w:spacing w:after="0" w:line="93" w:lineRule="exact"/>
        <w:rPr>
          <w:sz w:val="20"/>
          <w:szCs w:val="20"/>
          <w:color w:val="auto"/>
        </w:rPr>
      </w:pPr>
    </w:p>
    <w:p>
      <w:pPr>
        <w:ind w:left="120"/>
        <w:spacing w:after="0"/>
        <w:rPr>
          <w:sz w:val="20"/>
          <w:szCs w:val="20"/>
          <w:color w:val="auto"/>
        </w:rPr>
      </w:pPr>
      <w:r>
        <w:rPr>
          <w:rFonts w:ascii="Arial" w:cs="Arial" w:eastAsia="Arial" w:hAnsi="Arial"/>
          <w:sz w:val="20"/>
          <w:szCs w:val="20"/>
          <w:color w:val="004876"/>
        </w:rPr>
        <w:t>Can I change my vote after I have voted?</w:t>
      </w:r>
    </w:p>
    <w:p>
      <w:pPr>
        <w:spacing w:after="0" w:line="16"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You can revoke your proxy and change your vote at any time before the closing of the polls at our annual meeting, subject to the voting deadlines that are described on the proxy card or voting instruction form, as applicable.</w:t>
      </w:r>
    </w:p>
    <w:p>
      <w:pPr>
        <w:spacing w:after="0" w:line="9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You can revoke your vote:</w:t>
      </w:r>
    </w:p>
    <w:p>
      <w:pPr>
        <w:spacing w:after="0" w:line="117" w:lineRule="exact"/>
        <w:rPr>
          <w:sz w:val="20"/>
          <w:szCs w:val="20"/>
          <w:color w:val="auto"/>
        </w:rPr>
      </w:pPr>
    </w:p>
    <w:p>
      <w:pPr>
        <w:ind w:left="300" w:right="20" w:hanging="184"/>
        <w:spacing w:after="0" w:line="237" w:lineRule="auto"/>
        <w:tabs>
          <w:tab w:leader="none" w:pos="300" w:val="left"/>
        </w:tabs>
        <w:numPr>
          <w:ilvl w:val="0"/>
          <w:numId w:val="239"/>
        </w:numPr>
        <w:rPr>
          <w:rFonts w:ascii="Arial" w:cs="Arial" w:eastAsia="Arial" w:hAnsi="Arial"/>
          <w:sz w:val="18"/>
          <w:szCs w:val="18"/>
          <w:color w:val="004876"/>
        </w:rPr>
      </w:pPr>
      <w:r>
        <w:rPr>
          <w:rFonts w:ascii="Arial" w:cs="Arial" w:eastAsia="Arial" w:hAnsi="Arial"/>
          <w:sz w:val="18"/>
          <w:szCs w:val="18"/>
          <w:color w:val="auto"/>
        </w:rPr>
        <w:t>During the virtual meeting. If you attend the annual meeting at www.virtualshareholdermeeting.com/JPM2020, you may revoke your proxy and change your vote by voting online during the meeting. Your attendance at the annual meeting will not automatically revoke your proxy unless you properly vote at the annual meeting.</w:t>
      </w:r>
    </w:p>
    <w:p>
      <w:pPr>
        <w:spacing w:after="0" w:line="110" w:lineRule="exact"/>
        <w:rPr>
          <w:rFonts w:ascii="Arial" w:cs="Arial" w:eastAsia="Arial" w:hAnsi="Arial"/>
          <w:sz w:val="18"/>
          <w:szCs w:val="18"/>
          <w:color w:val="004876"/>
        </w:rPr>
      </w:pPr>
    </w:p>
    <w:p>
      <w:pPr>
        <w:ind w:left="300" w:right="60" w:hanging="184"/>
        <w:spacing w:after="0" w:line="238" w:lineRule="auto"/>
        <w:tabs>
          <w:tab w:leader="none" w:pos="300" w:val="left"/>
        </w:tabs>
        <w:numPr>
          <w:ilvl w:val="0"/>
          <w:numId w:val="239"/>
        </w:numPr>
        <w:rPr>
          <w:rFonts w:ascii="Arial" w:cs="Arial" w:eastAsia="Arial" w:hAnsi="Arial"/>
          <w:sz w:val="18"/>
          <w:szCs w:val="18"/>
          <w:color w:val="004876"/>
        </w:rPr>
      </w:pPr>
      <w:r>
        <w:rPr>
          <w:rFonts w:ascii="Arial" w:cs="Arial" w:eastAsia="Arial" w:hAnsi="Arial"/>
          <w:sz w:val="18"/>
          <w:szCs w:val="18"/>
          <w:color w:val="auto"/>
        </w:rPr>
        <w:t>In Writing. You may request that your prior proxy be revoked by delivering a written notice of revocation prior to the annual meeting to the Office of the Secretary at: JPMorgan Chase &amp; Co., 4 New York Plaza, New York, NY 10004-2413.</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ind w:left="166" w:right="40" w:hanging="166"/>
        <w:spacing w:after="0" w:line="238" w:lineRule="auto"/>
        <w:tabs>
          <w:tab w:leader="none" w:pos="166" w:val="left"/>
        </w:tabs>
        <w:numPr>
          <w:ilvl w:val="0"/>
          <w:numId w:val="240"/>
        </w:numPr>
        <w:rPr>
          <w:rFonts w:ascii="Arial" w:cs="Arial" w:eastAsia="Arial" w:hAnsi="Arial"/>
          <w:sz w:val="18"/>
          <w:szCs w:val="18"/>
          <w:color w:val="004876"/>
        </w:rPr>
      </w:pPr>
      <w:r>
        <w:rPr>
          <w:rFonts w:ascii="Arial" w:cs="Arial" w:eastAsia="Arial" w:hAnsi="Arial"/>
          <w:sz w:val="18"/>
          <w:szCs w:val="18"/>
          <w:color w:val="auto"/>
        </w:rPr>
        <w:t>Online at www.proxyvote.com. You may change your vote at www.proxyvote.com until 11:59 P.M. Eastern Time the day before the meeting date, in which case only your latest Internet proxy submitted prior to the annual meeting will be counted.</w:t>
      </w:r>
    </w:p>
    <w:p>
      <w:pPr>
        <w:spacing w:after="0" w:line="110" w:lineRule="exact"/>
        <w:rPr>
          <w:rFonts w:ascii="Arial" w:cs="Arial" w:eastAsia="Arial" w:hAnsi="Arial"/>
          <w:sz w:val="18"/>
          <w:szCs w:val="18"/>
          <w:color w:val="004876"/>
        </w:rPr>
      </w:pPr>
    </w:p>
    <w:p>
      <w:pPr>
        <w:ind w:left="166" w:right="320" w:hanging="166"/>
        <w:spacing w:after="0" w:line="238" w:lineRule="auto"/>
        <w:tabs>
          <w:tab w:leader="none" w:pos="166" w:val="left"/>
        </w:tabs>
        <w:numPr>
          <w:ilvl w:val="0"/>
          <w:numId w:val="240"/>
        </w:numPr>
        <w:rPr>
          <w:rFonts w:ascii="Arial" w:cs="Arial" w:eastAsia="Arial" w:hAnsi="Arial"/>
          <w:sz w:val="18"/>
          <w:szCs w:val="18"/>
          <w:color w:val="004876"/>
        </w:rPr>
      </w:pPr>
      <w:r>
        <w:rPr>
          <w:rFonts w:ascii="Arial" w:cs="Arial" w:eastAsia="Arial" w:hAnsi="Arial"/>
          <w:sz w:val="18"/>
          <w:szCs w:val="18"/>
          <w:color w:val="auto"/>
        </w:rPr>
        <w:t>Telephone. You may change your vote using the phone voting method described above, in which case only your latest telephone proxy submitted prior to the annual meeting will be counted.</w:t>
      </w:r>
    </w:p>
    <w:p>
      <w:pPr>
        <w:spacing w:after="0" w:line="110" w:lineRule="exact"/>
        <w:rPr>
          <w:rFonts w:ascii="Arial" w:cs="Arial" w:eastAsia="Arial" w:hAnsi="Arial"/>
          <w:sz w:val="18"/>
          <w:szCs w:val="18"/>
          <w:color w:val="004876"/>
        </w:rPr>
      </w:pPr>
    </w:p>
    <w:p>
      <w:pPr>
        <w:ind w:left="166" w:right="40" w:hanging="166"/>
        <w:spacing w:after="0" w:line="238" w:lineRule="auto"/>
        <w:tabs>
          <w:tab w:leader="none" w:pos="166" w:val="left"/>
        </w:tabs>
        <w:numPr>
          <w:ilvl w:val="0"/>
          <w:numId w:val="240"/>
        </w:numPr>
        <w:rPr>
          <w:rFonts w:ascii="Arial" w:cs="Arial" w:eastAsia="Arial" w:hAnsi="Arial"/>
          <w:sz w:val="18"/>
          <w:szCs w:val="18"/>
          <w:color w:val="004876"/>
        </w:rPr>
      </w:pPr>
      <w:r>
        <w:rPr>
          <w:rFonts w:ascii="Arial" w:cs="Arial" w:eastAsia="Arial" w:hAnsi="Arial"/>
          <w:sz w:val="18"/>
          <w:szCs w:val="18"/>
          <w:color w:val="auto"/>
        </w:rPr>
        <w:t>Mail. You may revoke your proxy and change your vote by signing and returning a new proxy card or voting instruction form dated as of a later date, in which case only your latest proxy card or voting instruction form received prior to the annual meeting will be counted.</w:t>
      </w:r>
    </w:p>
    <w:p>
      <w:pPr>
        <w:spacing w:after="0" w:line="199" w:lineRule="exact"/>
        <w:rPr>
          <w:sz w:val="20"/>
          <w:szCs w:val="20"/>
          <w:color w:val="auto"/>
        </w:rPr>
      </w:pPr>
    </w:p>
    <w:p>
      <w:pPr>
        <w:ind w:left="6"/>
        <w:spacing w:after="0"/>
        <w:rPr>
          <w:sz w:val="20"/>
          <w:szCs w:val="20"/>
          <w:color w:val="auto"/>
        </w:rPr>
      </w:pPr>
      <w:r>
        <w:rPr>
          <w:rFonts w:ascii="Arial" w:cs="Arial" w:eastAsia="Arial" w:hAnsi="Arial"/>
          <w:sz w:val="20"/>
          <w:szCs w:val="20"/>
          <w:color w:val="004876"/>
        </w:rPr>
        <w:t>How are shares voted?</w:t>
      </w:r>
    </w:p>
    <w:p>
      <w:pPr>
        <w:spacing w:after="0" w:line="16" w:lineRule="exact"/>
        <w:rPr>
          <w:sz w:val="20"/>
          <w:szCs w:val="20"/>
          <w:color w:val="auto"/>
        </w:rPr>
      </w:pPr>
    </w:p>
    <w:p>
      <w:pPr>
        <w:ind w:left="6" w:right="100"/>
        <w:spacing w:after="0" w:line="238" w:lineRule="auto"/>
        <w:rPr>
          <w:sz w:val="20"/>
          <w:szCs w:val="20"/>
          <w:color w:val="auto"/>
        </w:rPr>
      </w:pPr>
      <w:r>
        <w:rPr>
          <w:rFonts w:ascii="Arial" w:cs="Arial" w:eastAsia="Arial" w:hAnsi="Arial"/>
          <w:sz w:val="18"/>
          <w:szCs w:val="18"/>
          <w:color w:val="auto"/>
        </w:rPr>
        <w:t>All shares represented by valid ballots or valid proxies received prior to the taking of the vote at the annual meeting will be voted. If you do not vote at the annual meeting, the persons named as proxies on the proxy card, will vote your shares as you have instructed.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-3566795</wp:posOffset>
            </wp:positionH>
            <wp:positionV relativeFrom="paragraph">
              <wp:posOffset>334645</wp:posOffset>
            </wp:positionV>
            <wp:extent cx="7029450" cy="19685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029450" cy="1968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80" w:space="354"/>
            <w:col w:w="5406"/>
          </w:cols>
          <w:pgMar w:left="320" w:top="459" w:right="439" w:bottom="1440" w:gutter="0" w:footer="0" w:header="0"/>
          <w:type w:val="continuous"/>
        </w:sectPr>
      </w:pPr>
    </w:p>
    <w:p>
      <w:pPr>
        <w:spacing w:after="0" w:line="200" w:lineRule="exact"/>
        <w:rPr>
          <w:sz w:val="20"/>
          <w:szCs w:val="20"/>
          <w:color w:val="auto"/>
        </w:rPr>
      </w:pPr>
    </w:p>
    <w:p>
      <w:pPr>
        <w:spacing w:after="0" w:line="205" w:lineRule="exact"/>
        <w:rPr>
          <w:sz w:val="20"/>
          <w:szCs w:val="20"/>
          <w:color w:val="auto"/>
        </w:rPr>
      </w:pPr>
    </w:p>
    <w:p>
      <w:pPr>
        <w:jc w:val="center"/>
        <w:ind w:right="-119"/>
        <w:spacing w:after="0"/>
        <w:rPr>
          <w:sz w:val="20"/>
          <w:szCs w:val="20"/>
          <w:color w:val="auto"/>
        </w:rPr>
      </w:pPr>
      <w:r>
        <w:rPr>
          <w:rFonts w:ascii="Arial" w:cs="Arial" w:eastAsia="Arial" w:hAnsi="Arial"/>
          <w:sz w:val="13"/>
          <w:szCs w:val="13"/>
          <w:b w:val="1"/>
          <w:bCs w:val="1"/>
          <w:color w:val="004876"/>
        </w:rPr>
        <w:t>108</w:t>
      </w:r>
    </w:p>
    <w:p>
      <w:pPr>
        <w:sectPr>
          <w:pgSz w:w="11900" w:h="16838" w:orient="portrait"/>
          <w:cols w:equalWidth="0" w:num="1">
            <w:col w:w="11140"/>
          </w:cols>
          <w:pgMar w:left="320" w:top="459" w:right="439" w:bottom="1440" w:gutter="0" w:footer="0" w:header="0"/>
          <w:type w:val="continuous"/>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04876"/>
        </w:rPr>
        <w:t>INFORMATION ABOUT THE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825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20"/>
          </w:cols>
          <w:pgMar w:left="320" w:top="459" w:right="459" w:bottom="1440" w:gutter="0" w:footer="0" w:header="0"/>
        </w:sectPr>
      </w:pPr>
    </w:p>
    <w:p>
      <w:pPr>
        <w:spacing w:after="0" w:line="384" w:lineRule="exact"/>
        <w:rPr>
          <w:sz w:val="20"/>
          <w:szCs w:val="20"/>
          <w:color w:val="auto"/>
        </w:rPr>
      </w:pPr>
    </w:p>
    <w:p>
      <w:pPr>
        <w:ind w:left="120" w:right="200"/>
        <w:spacing w:after="0" w:line="236" w:lineRule="auto"/>
        <w:rPr>
          <w:sz w:val="20"/>
          <w:szCs w:val="20"/>
          <w:color w:val="auto"/>
        </w:rPr>
      </w:pPr>
      <w:r>
        <w:rPr>
          <w:rFonts w:ascii="Arial" w:cs="Arial" w:eastAsia="Arial" w:hAnsi="Arial"/>
          <w:sz w:val="20"/>
          <w:szCs w:val="20"/>
          <w:color w:val="004876"/>
        </w:rPr>
        <w:t>How will my shares be voted if I do not give specific voting instructions?</w:t>
      </w:r>
    </w:p>
    <w:p>
      <w:pPr>
        <w:spacing w:after="0" w:line="5" w:lineRule="exact"/>
        <w:rPr>
          <w:sz w:val="20"/>
          <w:szCs w:val="20"/>
          <w:color w:val="auto"/>
        </w:rPr>
      </w:pPr>
    </w:p>
    <w:p>
      <w:pPr>
        <w:ind w:left="120" w:right="120"/>
        <w:spacing w:after="0" w:line="255" w:lineRule="auto"/>
        <w:rPr>
          <w:sz w:val="20"/>
          <w:szCs w:val="20"/>
          <w:color w:val="auto"/>
        </w:rPr>
      </w:pPr>
      <w:r>
        <w:rPr>
          <w:rFonts w:ascii="Arial" w:cs="Arial" w:eastAsia="Arial" w:hAnsi="Arial"/>
          <w:sz w:val="17"/>
          <w:szCs w:val="17"/>
          <w:i w:val="1"/>
          <w:iCs w:val="1"/>
          <w:color w:val="auto"/>
        </w:rPr>
        <w:t xml:space="preserve">Shareholder of Record: </w:t>
      </w:r>
      <w:r>
        <w:rPr>
          <w:rFonts w:ascii="Arial" w:cs="Arial" w:eastAsia="Arial" w:hAnsi="Arial"/>
          <w:sz w:val="17"/>
          <w:szCs w:val="17"/>
          <w:color w:val="auto"/>
        </w:rPr>
        <w:t>If you are a shareholder of record and do</w:t>
      </w:r>
      <w:r>
        <w:rPr>
          <w:rFonts w:ascii="Arial" w:cs="Arial" w:eastAsia="Arial" w:hAnsi="Arial"/>
          <w:sz w:val="17"/>
          <w:szCs w:val="17"/>
          <w:i w:val="1"/>
          <w:iCs w:val="1"/>
          <w:color w:val="auto"/>
        </w:rPr>
        <w:t xml:space="preserve"> </w:t>
      </w:r>
      <w:r>
        <w:rPr>
          <w:rFonts w:ascii="Arial" w:cs="Arial" w:eastAsia="Arial" w:hAnsi="Arial"/>
          <w:sz w:val="17"/>
          <w:szCs w:val="17"/>
          <w:color w:val="auto"/>
        </w:rPr>
        <w:t>not return a proxy card, or if you sign, date and return a proxy card but do not give specific voting instructions, then the persons named as proxies on the proxy card will vote your shares in the manner recommended by our Board on all matters presented in this proxy statement. In addition, the proxies may determine in their discretion how to vote your shares regarding any other matters properly presented for a vote at our annual meeting.</w:t>
      </w:r>
    </w:p>
    <w:p>
      <w:pPr>
        <w:spacing w:after="0" w:line="84"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Although our Board does not anticipate that any of the director nominees will be unable to stand for election as a director nominee at our annual meeting, if this occurs, the persons named as proxies on the proxy card will vote your shares in favor of such other person or persons as may be recommended by our Governance Committee and designated by the Board.</w:t>
      </w:r>
    </w:p>
    <w:p>
      <w:pPr>
        <w:spacing w:after="0" w:line="79" w:lineRule="exact"/>
        <w:rPr>
          <w:sz w:val="20"/>
          <w:szCs w:val="20"/>
          <w:color w:val="auto"/>
        </w:rPr>
      </w:pPr>
    </w:p>
    <w:p>
      <w:pPr>
        <w:ind w:left="120" w:right="120"/>
        <w:spacing w:after="0" w:line="241" w:lineRule="auto"/>
        <w:rPr>
          <w:sz w:val="20"/>
          <w:szCs w:val="20"/>
          <w:color w:val="auto"/>
        </w:rPr>
      </w:pPr>
      <w:r>
        <w:rPr>
          <w:rFonts w:ascii="Arial" w:cs="Arial" w:eastAsia="Arial" w:hAnsi="Arial"/>
          <w:sz w:val="18"/>
          <w:szCs w:val="18"/>
          <w:i w:val="1"/>
          <w:iCs w:val="1"/>
          <w:color w:val="auto"/>
        </w:rPr>
        <w:t xml:space="preserve">Beneficial Owner of Shares Held in Street Name: </w:t>
      </w:r>
      <w:r>
        <w:rPr>
          <w:rFonts w:ascii="Arial" w:cs="Arial" w:eastAsia="Arial" w:hAnsi="Arial"/>
          <w:sz w:val="18"/>
          <w:szCs w:val="18"/>
          <w:color w:val="auto"/>
        </w:rPr>
        <w:t>If you are a</w:t>
      </w:r>
      <w:r>
        <w:rPr>
          <w:rFonts w:ascii="Arial" w:cs="Arial" w:eastAsia="Arial" w:hAnsi="Arial"/>
          <w:sz w:val="18"/>
          <w:szCs w:val="18"/>
          <w:i w:val="1"/>
          <w:iCs w:val="1"/>
          <w:color w:val="auto"/>
        </w:rPr>
        <w:t xml:space="preserve"> </w:t>
      </w:r>
      <w:r>
        <w:rPr>
          <w:rFonts w:ascii="Arial" w:cs="Arial" w:eastAsia="Arial" w:hAnsi="Arial"/>
          <w:sz w:val="18"/>
          <w:szCs w:val="18"/>
          <w:color w:val="auto"/>
        </w:rPr>
        <w:t>beneficial owner of shares held in street name and the organization holding your shares does not receive specific voting instructions from you, how your shares may be voted will depend on whether the proposal is considered “routine” or “non-routine”, as described below.</w:t>
      </w:r>
    </w:p>
    <w:p>
      <w:pPr>
        <w:spacing w:after="0" w:line="7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 xml:space="preserve">Participants in the 401(k) Savings Plan: </w:t>
      </w:r>
      <w:r>
        <w:rPr>
          <w:rFonts w:ascii="Arial" w:cs="Arial" w:eastAsia="Arial" w:hAnsi="Arial"/>
          <w:sz w:val="18"/>
          <w:szCs w:val="18"/>
          <w:color w:val="auto"/>
        </w:rPr>
        <w:t>The trustee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JPMorgan Chase 401(k) Savings Plan (“Plan”) will vote the shares held in the Common Stock Fund as of the Record Date. If you have an interest in the JPMorgan Chase Common Stock Fund through the Plan, your vote will provide voting instructions to the trustee. If no voting instructions are given, the trustee will vote uninstructed shares in the same proportion as voted shares.</w:t>
      </w:r>
    </w:p>
    <w:p>
      <w:pPr>
        <w:spacing w:after="0" w:line="20" w:lineRule="exact"/>
        <w:rPr>
          <w:sz w:val="20"/>
          <w:szCs w:val="20"/>
          <w:color w:val="auto"/>
        </w:rPr>
      </w:pPr>
      <w:r>
        <w:rPr>
          <w:sz w:val="20"/>
          <w:szCs w:val="20"/>
          <w:color w:val="auto"/>
        </w:rPr>
        <w:br w:type="column"/>
      </w:r>
    </w:p>
    <w:p>
      <w:pPr>
        <w:spacing w:after="0" w:line="364" w:lineRule="exact"/>
        <w:rPr>
          <w:sz w:val="20"/>
          <w:szCs w:val="20"/>
          <w:color w:val="auto"/>
        </w:rPr>
      </w:pPr>
    </w:p>
    <w:p>
      <w:pPr>
        <w:spacing w:after="0"/>
        <w:rPr>
          <w:sz w:val="20"/>
          <w:szCs w:val="20"/>
          <w:color w:val="auto"/>
        </w:rPr>
      </w:pPr>
      <w:r>
        <w:rPr>
          <w:rFonts w:ascii="Arial" w:cs="Arial" w:eastAsia="Arial" w:hAnsi="Arial"/>
          <w:sz w:val="20"/>
          <w:szCs w:val="20"/>
          <w:color w:val="004876"/>
        </w:rPr>
        <w:t>Which proposals are considered “routine” or “non-routine”?</w:t>
      </w:r>
    </w:p>
    <w:p>
      <w:pPr>
        <w:spacing w:after="0" w:line="29"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The ratification of the appointment of the independent registered public accounting firm is considered to be a “routine” matter under NYSE rules. A bank, brokerage firm, broker-dealer or other similar organization may generally vote in their discretion on routine matters, if specific voting instructions are not received from a beneficial owner.</w:t>
      </w:r>
    </w:p>
    <w:p>
      <w:pPr>
        <w:spacing w:after="0" w:line="97"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All other proposals are considered “non-routine” under NYSE rules and are therefore “non-discretionary” matters. This means your bank, brokerage firm, broker-dealer or other similar organization may not vote your shares without instructions from you. If the organization that holds your shares does not receive instructions from you on how to vote on one of these non-routine matters, it will so inform the inspector of election. This is generally referred to as a “broker non-vote”.</w:t>
      </w:r>
    </w:p>
    <w:p>
      <w:pPr>
        <w:spacing w:after="0" w:line="205" w:lineRule="exact"/>
        <w:rPr>
          <w:sz w:val="20"/>
          <w:szCs w:val="20"/>
          <w:color w:val="auto"/>
        </w:rPr>
      </w:pPr>
    </w:p>
    <w:p>
      <w:pPr>
        <w:ind w:right="340"/>
        <w:spacing w:after="0" w:line="232" w:lineRule="auto"/>
        <w:rPr>
          <w:sz w:val="20"/>
          <w:szCs w:val="20"/>
          <w:color w:val="auto"/>
        </w:rPr>
      </w:pPr>
      <w:r>
        <w:rPr>
          <w:rFonts w:ascii="Arial" w:cs="Arial" w:eastAsia="Arial" w:hAnsi="Arial"/>
          <w:sz w:val="20"/>
          <w:szCs w:val="20"/>
          <w:color w:val="004876"/>
        </w:rPr>
        <w:t>What is the difference between holding shares as a shareholder of record and as a beneficial owner of shares held in street name?</w:t>
      </w:r>
    </w:p>
    <w:p>
      <w:pPr>
        <w:spacing w:after="0" w:line="6" w:lineRule="exact"/>
        <w:rPr>
          <w:sz w:val="20"/>
          <w:szCs w:val="20"/>
          <w:color w:val="auto"/>
        </w:rPr>
      </w:pPr>
    </w:p>
    <w:p>
      <w:pPr>
        <w:spacing w:after="0" w:line="245" w:lineRule="auto"/>
        <w:rPr>
          <w:sz w:val="20"/>
          <w:szCs w:val="20"/>
          <w:color w:val="auto"/>
        </w:rPr>
      </w:pPr>
      <w:r>
        <w:rPr>
          <w:rFonts w:ascii="Arial" w:cs="Arial" w:eastAsia="Arial" w:hAnsi="Arial"/>
          <w:sz w:val="18"/>
          <w:szCs w:val="18"/>
          <w:i w:val="1"/>
          <w:iCs w:val="1"/>
          <w:color w:val="auto"/>
        </w:rPr>
        <w:t xml:space="preserve">Shareholder of Record: </w:t>
      </w:r>
      <w:r>
        <w:rPr>
          <w:rFonts w:ascii="Arial" w:cs="Arial" w:eastAsia="Arial" w:hAnsi="Arial"/>
          <w:sz w:val="18"/>
          <w:szCs w:val="18"/>
          <w:color w:val="auto"/>
        </w:rPr>
        <w:t>If your shares of JPMorgan Chase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are registered directly in your name with our transfer agent, Computershare, you are considered a “shareholder of record” of those shares.</w:t>
      </w:r>
    </w:p>
    <w:p>
      <w:pPr>
        <w:spacing w:after="0" w:line="73"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i w:val="1"/>
          <w:iCs w:val="1"/>
          <w:color w:val="auto"/>
        </w:rPr>
        <w:t xml:space="preserve">Beneficial Owner of Shares Held in Street Name: </w:t>
      </w:r>
      <w:r>
        <w:rPr>
          <w:rFonts w:ascii="Arial" w:cs="Arial" w:eastAsia="Arial" w:hAnsi="Arial"/>
          <w:sz w:val="17"/>
          <w:szCs w:val="17"/>
          <w:color w:val="auto"/>
        </w:rPr>
        <w:t>If your shares are</w:t>
      </w:r>
      <w:r>
        <w:rPr>
          <w:rFonts w:ascii="Arial" w:cs="Arial" w:eastAsia="Arial" w:hAnsi="Arial"/>
          <w:sz w:val="17"/>
          <w:szCs w:val="17"/>
          <w:i w:val="1"/>
          <w:iCs w:val="1"/>
          <w:color w:val="auto"/>
        </w:rPr>
        <w:t xml:space="preserve"> </w:t>
      </w:r>
      <w:r>
        <w:rPr>
          <w:rFonts w:ascii="Arial" w:cs="Arial" w:eastAsia="Arial" w:hAnsi="Arial"/>
          <w:sz w:val="17"/>
          <w:szCs w:val="17"/>
          <w:color w:val="auto"/>
        </w:rPr>
        <w:t>held in an account at a bank, brokerage firm, broker-dealer or other similar organization, you are a beneficial owner of shares held in street name. In that case, you will have received these proxy materials, as well as a voting instruction form, from the organization holding your shares and, as a beneficial owner, you have the right to direct the organization as to how to vote them. Most individual shareholders are beneficial owners of shares held in street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320040</wp:posOffset>
            </wp:positionV>
            <wp:extent cx="7029450" cy="19685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029450" cy="1968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00" w:space="340"/>
            <w:col w:w="5380"/>
          </w:cols>
          <w:pgMar w:left="320" w:top="459" w:right="459" w:bottom="1440" w:gutter="0" w:footer="0" w:header="0"/>
          <w:type w:val="continuous"/>
        </w:sectPr>
      </w:pPr>
    </w:p>
    <w:p>
      <w:pPr>
        <w:spacing w:after="0" w:line="382" w:lineRule="exact"/>
        <w:rPr>
          <w:sz w:val="20"/>
          <w:szCs w:val="20"/>
          <w:color w:val="auto"/>
        </w:rPr>
      </w:pPr>
    </w:p>
    <w:p>
      <w:pPr>
        <w:jc w:val="center"/>
        <w:ind w:right="-139"/>
        <w:spacing w:after="0"/>
        <w:rPr>
          <w:sz w:val="20"/>
          <w:szCs w:val="20"/>
          <w:color w:val="auto"/>
        </w:rPr>
      </w:pPr>
      <w:r>
        <w:rPr>
          <w:rFonts w:ascii="Arial" w:cs="Arial" w:eastAsia="Arial" w:hAnsi="Arial"/>
          <w:sz w:val="13"/>
          <w:szCs w:val="13"/>
          <w:b w:val="1"/>
          <w:bCs w:val="1"/>
          <w:color w:val="004876"/>
        </w:rPr>
        <w:t>109</w:t>
      </w:r>
    </w:p>
    <w:p>
      <w:pPr>
        <w:sectPr>
          <w:pgSz w:w="11900" w:h="16838" w:orient="portrait"/>
          <w:cols w:equalWidth="0" w:num="1">
            <w:col w:w="11120"/>
          </w:cols>
          <w:pgMar w:left="320" w:top="459" w:right="459" w:bottom="1440" w:gutter="0" w:footer="0" w:header="0"/>
          <w:type w:val="continuous"/>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4876"/>
        </w:rPr>
        <w:t>INFORMATION ABOUT THE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825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10" w:lineRule="exact"/>
        <w:rPr>
          <w:sz w:val="20"/>
          <w:szCs w:val="20"/>
          <w:color w:val="auto"/>
        </w:rPr>
      </w:pPr>
    </w:p>
    <w:p>
      <w:pPr>
        <w:ind w:left="120"/>
        <w:spacing w:after="0"/>
        <w:rPr>
          <w:sz w:val="20"/>
          <w:szCs w:val="20"/>
          <w:color w:val="auto"/>
        </w:rPr>
      </w:pPr>
      <w:r>
        <w:rPr>
          <w:rFonts w:ascii="Arial" w:cs="Arial" w:eastAsia="Arial" w:hAnsi="Arial"/>
          <w:sz w:val="20"/>
          <w:szCs w:val="20"/>
          <w:color w:val="004876"/>
        </w:rPr>
        <w:t>What is the voting requirement to approve each of the proposals?</w:t>
      </w:r>
    </w:p>
    <w:p>
      <w:pPr>
        <w:spacing w:after="0" w:line="7"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b w:val="1"/>
          <w:bCs w:val="1"/>
          <w:i w:val="1"/>
          <w:iCs w:val="1"/>
          <w:color w:val="auto"/>
        </w:rPr>
        <w:t xml:space="preserve">Quorum Requirement: </w:t>
      </w:r>
      <w:r>
        <w:rPr>
          <w:rFonts w:ascii="Arial" w:cs="Arial" w:eastAsia="Arial" w:hAnsi="Arial"/>
          <w:sz w:val="18"/>
          <w:szCs w:val="18"/>
          <w:color w:val="auto"/>
        </w:rPr>
        <w:t>Before any business can be transacted at our annual meeting, a quorum must be present. Holders of a majority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shares entitled to vote at the annual meeting, present at the meeting or represented by proxy, will constitute a quorum. Abstentions and broker non-votes are treated as present for quorum purposes.</w:t>
      </w:r>
    </w:p>
    <w:p>
      <w:pPr>
        <w:spacing w:after="0" w:line="6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 xml:space="preserve">Requirements for each proposal: </w:t>
      </w:r>
      <w:r>
        <w:rPr>
          <w:rFonts w:ascii="Arial" w:cs="Arial" w:eastAsia="Arial" w:hAnsi="Arial"/>
          <w:sz w:val="18"/>
          <w:szCs w:val="18"/>
          <w:color w:val="auto"/>
        </w:rPr>
        <w:t>What is the voting requirement for each proposal?</w:t>
      </w:r>
    </w:p>
    <w:p>
      <w:pPr>
        <w:spacing w:after="0" w:line="263"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21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2180" w:type="dxa"/>
            <w:vAlign w:val="bottom"/>
          </w:tcPr>
          <w:p>
            <w:pPr>
              <w:jc w:val="center"/>
              <w:spacing w:after="0"/>
              <w:rPr>
                <w:sz w:val="20"/>
                <w:szCs w:val="20"/>
                <w:color w:val="auto"/>
              </w:rPr>
            </w:pPr>
            <w:r>
              <w:rPr>
                <w:rFonts w:ascii="Arial" w:cs="Arial" w:eastAsia="Arial" w:hAnsi="Arial"/>
                <w:sz w:val="16"/>
                <w:szCs w:val="16"/>
                <w:color w:val="004876"/>
                <w:w w:val="98"/>
              </w:rPr>
              <w:t>Effect of</w:t>
            </w:r>
          </w:p>
        </w:tc>
        <w:tc>
          <w:tcPr>
            <w:tcW w:w="2180" w:type="dxa"/>
            <w:vAlign w:val="bottom"/>
          </w:tcPr>
          <w:p>
            <w:pPr>
              <w:jc w:val="center"/>
              <w:ind w:left="59"/>
              <w:spacing w:after="0"/>
              <w:rPr>
                <w:sz w:val="20"/>
                <w:szCs w:val="20"/>
                <w:color w:val="auto"/>
              </w:rPr>
            </w:pPr>
            <w:r>
              <w:rPr>
                <w:rFonts w:ascii="Arial" w:cs="Arial" w:eastAsia="Arial" w:hAnsi="Arial"/>
                <w:sz w:val="16"/>
                <w:szCs w:val="16"/>
                <w:color w:val="004876"/>
                <w:w w:val="99"/>
              </w:rPr>
              <w:t>Effect of broker</w:t>
            </w:r>
          </w:p>
        </w:tc>
      </w:tr>
      <w:tr>
        <w:trPr>
          <w:trHeight w:val="246"/>
        </w:trPr>
        <w:tc>
          <w:tcPr>
            <w:tcW w:w="2140" w:type="dxa"/>
            <w:vAlign w:val="bottom"/>
          </w:tcPr>
          <w:p>
            <w:pPr>
              <w:ind w:left="60"/>
              <w:spacing w:after="0"/>
              <w:rPr>
                <w:sz w:val="20"/>
                <w:szCs w:val="20"/>
                <w:color w:val="auto"/>
              </w:rPr>
            </w:pPr>
            <w:r>
              <w:rPr>
                <w:rFonts w:ascii="Arial" w:cs="Arial" w:eastAsia="Arial" w:hAnsi="Arial"/>
                <w:sz w:val="16"/>
                <w:szCs w:val="16"/>
                <w:color w:val="004876"/>
              </w:rPr>
              <w:t>Proposal</w:t>
            </w:r>
          </w:p>
        </w:tc>
        <w:tc>
          <w:tcPr>
            <w:tcW w:w="2100" w:type="dxa"/>
            <w:vAlign w:val="bottom"/>
          </w:tcPr>
          <w:p>
            <w:pPr>
              <w:ind w:left="480"/>
              <w:spacing w:after="0"/>
              <w:rPr>
                <w:sz w:val="20"/>
                <w:szCs w:val="20"/>
                <w:color w:val="auto"/>
              </w:rPr>
            </w:pPr>
            <w:r>
              <w:rPr>
                <w:rFonts w:ascii="Arial" w:cs="Arial" w:eastAsia="Arial" w:hAnsi="Arial"/>
                <w:sz w:val="16"/>
                <w:szCs w:val="16"/>
                <w:color w:val="004876"/>
              </w:rPr>
              <w:t>Voting options</w:t>
            </w:r>
          </w:p>
        </w:tc>
        <w:tc>
          <w:tcPr>
            <w:tcW w:w="2420" w:type="dxa"/>
            <w:vAlign w:val="bottom"/>
          </w:tcPr>
          <w:p>
            <w:pPr>
              <w:ind w:left="580"/>
              <w:spacing w:after="0"/>
              <w:rPr>
                <w:sz w:val="20"/>
                <w:szCs w:val="20"/>
                <w:color w:val="auto"/>
              </w:rPr>
            </w:pPr>
            <w:r>
              <w:rPr>
                <w:rFonts w:ascii="Arial" w:cs="Arial" w:eastAsia="Arial" w:hAnsi="Arial"/>
                <w:sz w:val="16"/>
                <w:szCs w:val="16"/>
                <w:color w:val="004876"/>
              </w:rPr>
              <w:t>Vote requirement</w:t>
            </w:r>
          </w:p>
        </w:tc>
        <w:tc>
          <w:tcPr>
            <w:tcW w:w="2180" w:type="dxa"/>
            <w:vAlign w:val="bottom"/>
          </w:tcPr>
          <w:p>
            <w:pPr>
              <w:jc w:val="center"/>
              <w:spacing w:after="0" w:line="246" w:lineRule="exact"/>
              <w:rPr>
                <w:sz w:val="20"/>
                <w:szCs w:val="20"/>
                <w:color w:val="auto"/>
              </w:rPr>
            </w:pPr>
            <w:r>
              <w:rPr>
                <w:rFonts w:ascii="Arial" w:cs="Arial" w:eastAsia="Arial" w:hAnsi="Arial"/>
                <w:sz w:val="16"/>
                <w:szCs w:val="16"/>
                <w:color w:val="004876"/>
                <w:w w:val="97"/>
              </w:rPr>
              <w:t xml:space="preserve">abstentions </w:t>
            </w:r>
            <w:r>
              <w:rPr>
                <w:rFonts w:ascii="Arial" w:cs="Arial" w:eastAsia="Arial" w:hAnsi="Arial"/>
                <w:sz w:val="27"/>
                <w:szCs w:val="27"/>
                <w:color w:val="004876"/>
                <w:w w:val="97"/>
                <w:vertAlign w:val="superscript"/>
              </w:rPr>
              <w:t>1</w:t>
            </w:r>
          </w:p>
        </w:tc>
        <w:tc>
          <w:tcPr>
            <w:tcW w:w="2180" w:type="dxa"/>
            <w:vAlign w:val="bottom"/>
          </w:tcPr>
          <w:p>
            <w:pPr>
              <w:jc w:val="center"/>
              <w:ind w:left="59"/>
              <w:spacing w:after="0" w:line="246" w:lineRule="exact"/>
              <w:rPr>
                <w:sz w:val="20"/>
                <w:szCs w:val="20"/>
                <w:color w:val="auto"/>
              </w:rPr>
            </w:pPr>
            <w:r>
              <w:rPr>
                <w:rFonts w:ascii="Arial" w:cs="Arial" w:eastAsia="Arial" w:hAnsi="Arial"/>
                <w:sz w:val="16"/>
                <w:szCs w:val="16"/>
                <w:color w:val="004876"/>
                <w:w w:val="99"/>
              </w:rPr>
              <w:t xml:space="preserve">non-votes </w:t>
            </w:r>
            <w:r>
              <w:rPr>
                <w:rFonts w:ascii="Arial" w:cs="Arial" w:eastAsia="Arial" w:hAnsi="Arial"/>
                <w:sz w:val="27"/>
                <w:szCs w:val="27"/>
                <w:color w:val="004876"/>
                <w:w w:val="99"/>
                <w:vertAlign w:val="superscript"/>
              </w:rPr>
              <w:t>2</w:t>
            </w:r>
          </w:p>
        </w:tc>
      </w:tr>
      <w:tr>
        <w:trPr>
          <w:trHeight w:val="217"/>
        </w:trPr>
        <w:tc>
          <w:tcPr>
            <w:tcW w:w="2140" w:type="dxa"/>
            <w:vAlign w:val="bottom"/>
            <w:shd w:val="clear" w:color="auto" w:fill="004876"/>
          </w:tcPr>
          <w:p>
            <w:pPr>
              <w:ind w:left="60"/>
              <w:spacing w:after="0"/>
              <w:rPr>
                <w:sz w:val="20"/>
                <w:szCs w:val="20"/>
                <w:color w:val="auto"/>
              </w:rPr>
            </w:pPr>
            <w:r>
              <w:rPr>
                <w:rFonts w:ascii="Arial" w:cs="Arial" w:eastAsia="Arial" w:hAnsi="Arial"/>
                <w:sz w:val="14"/>
                <w:szCs w:val="14"/>
                <w:b w:val="1"/>
                <w:bCs w:val="1"/>
                <w:color w:val="FFFFFF"/>
              </w:rPr>
              <w:t>Corporate Governance:</w:t>
            </w:r>
          </w:p>
        </w:tc>
        <w:tc>
          <w:tcPr>
            <w:tcW w:w="2100" w:type="dxa"/>
            <w:vAlign w:val="bottom"/>
            <w:shd w:val="clear" w:color="auto" w:fill="004876"/>
          </w:tcPr>
          <w:p>
            <w:pPr>
              <w:spacing w:after="0"/>
              <w:rPr>
                <w:sz w:val="18"/>
                <w:szCs w:val="18"/>
                <w:color w:val="auto"/>
              </w:rPr>
            </w:pPr>
          </w:p>
        </w:tc>
        <w:tc>
          <w:tcPr>
            <w:tcW w:w="2420" w:type="dxa"/>
            <w:vAlign w:val="bottom"/>
            <w:shd w:val="clear" w:color="auto" w:fill="004876"/>
          </w:tcPr>
          <w:p>
            <w:pPr>
              <w:spacing w:after="0"/>
              <w:rPr>
                <w:sz w:val="18"/>
                <w:szCs w:val="18"/>
                <w:color w:val="auto"/>
              </w:rPr>
            </w:pPr>
          </w:p>
        </w:tc>
        <w:tc>
          <w:tcPr>
            <w:tcW w:w="2180" w:type="dxa"/>
            <w:vAlign w:val="bottom"/>
            <w:shd w:val="clear" w:color="auto" w:fill="004876"/>
          </w:tcPr>
          <w:p>
            <w:pPr>
              <w:spacing w:after="0"/>
              <w:rPr>
                <w:sz w:val="18"/>
                <w:szCs w:val="18"/>
                <w:color w:val="auto"/>
              </w:rPr>
            </w:pPr>
          </w:p>
        </w:tc>
        <w:tc>
          <w:tcPr>
            <w:tcW w:w="2180" w:type="dxa"/>
            <w:vAlign w:val="bottom"/>
            <w:shd w:val="clear" w:color="auto" w:fill="004876"/>
          </w:tcPr>
          <w:p>
            <w:pPr>
              <w:spacing w:after="0"/>
              <w:rPr>
                <w:sz w:val="18"/>
                <w:szCs w:val="18"/>
                <w:color w:val="auto"/>
              </w:rPr>
            </w:pPr>
          </w:p>
        </w:tc>
      </w:tr>
      <w:tr>
        <w:trPr>
          <w:trHeight w:val="39"/>
        </w:trPr>
        <w:tc>
          <w:tcPr>
            <w:tcW w:w="2140" w:type="dxa"/>
            <w:vAlign w:val="bottom"/>
            <w:shd w:val="clear" w:color="auto" w:fill="004876"/>
          </w:tcPr>
          <w:p>
            <w:pPr>
              <w:spacing w:after="0"/>
              <w:rPr>
                <w:sz w:val="3"/>
                <w:szCs w:val="3"/>
                <w:color w:val="auto"/>
              </w:rPr>
            </w:pPr>
          </w:p>
        </w:tc>
        <w:tc>
          <w:tcPr>
            <w:tcW w:w="2100" w:type="dxa"/>
            <w:vAlign w:val="bottom"/>
            <w:shd w:val="clear" w:color="auto" w:fill="004876"/>
          </w:tcPr>
          <w:p>
            <w:pPr>
              <w:spacing w:after="0"/>
              <w:rPr>
                <w:sz w:val="3"/>
                <w:szCs w:val="3"/>
                <w:color w:val="auto"/>
              </w:rPr>
            </w:pPr>
          </w:p>
        </w:tc>
        <w:tc>
          <w:tcPr>
            <w:tcW w:w="2420" w:type="dxa"/>
            <w:vAlign w:val="bottom"/>
            <w:shd w:val="clear" w:color="auto" w:fill="004876"/>
          </w:tcPr>
          <w:p>
            <w:pPr>
              <w:spacing w:after="0"/>
              <w:rPr>
                <w:sz w:val="3"/>
                <w:szCs w:val="3"/>
                <w:color w:val="auto"/>
              </w:rPr>
            </w:pPr>
          </w:p>
        </w:tc>
        <w:tc>
          <w:tcPr>
            <w:tcW w:w="2180" w:type="dxa"/>
            <w:vAlign w:val="bottom"/>
            <w:shd w:val="clear" w:color="auto" w:fill="004876"/>
          </w:tcPr>
          <w:p>
            <w:pPr>
              <w:spacing w:after="0"/>
              <w:rPr>
                <w:sz w:val="3"/>
                <w:szCs w:val="3"/>
                <w:color w:val="auto"/>
              </w:rPr>
            </w:pPr>
          </w:p>
        </w:tc>
        <w:tc>
          <w:tcPr>
            <w:tcW w:w="2180" w:type="dxa"/>
            <w:vAlign w:val="bottom"/>
            <w:shd w:val="clear" w:color="auto" w:fill="004876"/>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0</wp:posOffset>
            </wp:positionV>
            <wp:extent cx="8890" cy="36830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8890" cy="368300"/>
                    </a:xfrm>
                    <a:prstGeom prst="rect">
                      <a:avLst/>
                    </a:prstGeom>
                    <a:noFill/>
                  </pic:spPr>
                </pic:pic>
              </a:graphicData>
            </a:graphic>
          </wp:anchor>
        </w:drawing>
        <w:drawing>
          <wp:anchor simplePos="0" relativeHeight="251657728" behindDoc="1" locked="0" layoutInCell="0" allowOverlap="1">
            <wp:simplePos x="0" y="0"/>
            <wp:positionH relativeFrom="column">
              <wp:posOffset>1264920</wp:posOffset>
            </wp:positionH>
            <wp:positionV relativeFrom="paragraph">
              <wp:posOffset>0</wp:posOffset>
            </wp:positionV>
            <wp:extent cx="8890" cy="36830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8890" cy="36830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38" w:lineRule="exact"/>
        <w:rPr>
          <w:sz w:val="20"/>
          <w:szCs w:val="20"/>
          <w:color w:val="auto"/>
        </w:rPr>
      </w:pPr>
    </w:p>
    <w:p>
      <w:pPr>
        <w:ind w:left="180"/>
        <w:spacing w:after="0"/>
        <w:rPr>
          <w:sz w:val="20"/>
          <w:szCs w:val="20"/>
          <w:color w:val="auto"/>
        </w:rPr>
      </w:pPr>
      <w:r>
        <w:rPr>
          <w:rFonts w:ascii="Arial" w:cs="Arial" w:eastAsia="Arial" w:hAnsi="Arial"/>
          <w:sz w:val="14"/>
          <w:szCs w:val="14"/>
          <w:color w:val="auto"/>
        </w:rPr>
        <w:t xml:space="preserve">- Election of Directors </w:t>
      </w:r>
      <w:r>
        <w:rPr>
          <w:rFonts w:ascii="Arial" w:cs="Arial" w:eastAsia="Arial" w:hAnsi="Arial"/>
          <w:sz w:val="24"/>
          <w:szCs w:val="24"/>
          <w:color w:val="auto"/>
          <w:vertAlign w:val="superscript"/>
        </w:rPr>
        <w:t>3</w:t>
      </w:r>
    </w:p>
    <w:p>
      <w:pPr>
        <w:spacing w:after="0" w:line="294" w:lineRule="exact"/>
        <w:rPr>
          <w:sz w:val="20"/>
          <w:szCs w:val="20"/>
          <w:color w:val="auto"/>
        </w:rPr>
      </w:pPr>
    </w:p>
    <w:p>
      <w:pPr>
        <w:jc w:val="center"/>
        <w:ind w:left="180"/>
        <w:spacing w:after="0"/>
        <w:rPr>
          <w:sz w:val="20"/>
          <w:szCs w:val="20"/>
          <w:color w:val="auto"/>
        </w:rPr>
      </w:pPr>
      <w:r>
        <w:rPr>
          <w:rFonts w:ascii="Arial" w:cs="Arial" w:eastAsia="Arial" w:hAnsi="Arial"/>
          <w:sz w:val="14"/>
          <w:szCs w:val="14"/>
          <w:b w:val="1"/>
          <w:bCs w:val="1"/>
          <w:color w:val="FFFFFF"/>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1264920</wp:posOffset>
            </wp:positionH>
            <wp:positionV relativeFrom="paragraph">
              <wp:posOffset>43180</wp:posOffset>
            </wp:positionV>
            <wp:extent cx="8890" cy="26543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8890" cy="265430"/>
                    </a:xfrm>
                    <a:prstGeom prst="rect">
                      <a:avLst/>
                    </a:prstGeom>
                    <a:noFill/>
                  </pic:spPr>
                </pic:pic>
              </a:graphicData>
            </a:graphic>
          </wp:anchor>
        </w:drawing>
      </w:r>
    </w:p>
    <w:p>
      <w:pPr>
        <w:spacing w:after="0" w:line="94" w:lineRule="exact"/>
        <w:rPr>
          <w:sz w:val="20"/>
          <w:szCs w:val="20"/>
          <w:color w:val="auto"/>
        </w:rPr>
      </w:pPr>
    </w:p>
    <w:p>
      <w:pPr>
        <w:ind w:left="260" w:right="580" w:hanging="72"/>
        <w:spacing w:after="0" w:line="229" w:lineRule="auto"/>
        <w:tabs>
          <w:tab w:leader="none" w:pos="268" w:val="left"/>
        </w:tabs>
        <w:numPr>
          <w:ilvl w:val="0"/>
          <w:numId w:val="241"/>
        </w:numPr>
        <w:rPr>
          <w:rFonts w:ascii="Arial" w:cs="Arial" w:eastAsia="Arial" w:hAnsi="Arial"/>
          <w:sz w:val="14"/>
          <w:szCs w:val="14"/>
          <w:color w:val="auto"/>
        </w:rPr>
      </w:pPr>
      <w:r>
        <w:rPr>
          <w:rFonts w:ascii="Arial" w:cs="Arial" w:eastAsia="Arial" w:hAnsi="Arial"/>
          <w:sz w:val="14"/>
          <w:szCs w:val="14"/>
          <w:color w:val="auto"/>
        </w:rPr>
        <w:t>Advisory Vote on Compensation</w:t>
      </w:r>
      <w:r>
        <w:rPr>
          <w:rFonts w:ascii="Arial" w:cs="Arial" w:eastAsia="Arial" w:hAnsi="Arial"/>
          <w:sz w:val="24"/>
          <w:szCs w:val="24"/>
          <w:color w:val="auto"/>
          <w:vertAlign w:val="superscript"/>
        </w:rPr>
        <w:t>4</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FFFFFF"/>
        </w:rPr>
        <w:t>Audit Matters:</w:t>
      </w:r>
    </w:p>
    <w:p>
      <w:pPr>
        <w:spacing w:after="0" w:line="96" w:lineRule="exact"/>
        <w:rPr>
          <w:sz w:val="20"/>
          <w:szCs w:val="20"/>
          <w:color w:val="auto"/>
        </w:rPr>
      </w:pPr>
    </w:p>
    <w:p>
      <w:pPr>
        <w:ind w:left="180" w:right="40"/>
        <w:spacing w:after="0" w:line="258" w:lineRule="auto"/>
        <w:rPr>
          <w:sz w:val="20"/>
          <w:szCs w:val="20"/>
          <w:color w:val="auto"/>
        </w:rPr>
      </w:pPr>
      <w:r>
        <w:rPr>
          <w:rFonts w:ascii="Arial" w:cs="Arial" w:eastAsia="Arial" w:hAnsi="Arial"/>
          <w:sz w:val="14"/>
          <w:szCs w:val="14"/>
          <w:color w:val="auto"/>
        </w:rPr>
        <w:t>Ratification of Independent Auditor</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FOR, AGAINST or ABSTAIN (for each director nominee)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4"/>
          <w:szCs w:val="14"/>
          <w:color w:val="auto"/>
        </w:rPr>
        <w:t>FOR, AGAINST or ABSTAIN</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4"/>
          <w:szCs w:val="14"/>
          <w:color w:val="auto"/>
        </w:rPr>
        <w:t>FOR, AGAINST or ABSTAIN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7"/>
        </w:trPr>
        <w:tc>
          <w:tcPr>
            <w:tcW w:w="2200" w:type="dxa"/>
            <w:vAlign w:val="bottom"/>
          </w:tcPr>
          <w:p>
            <w:pPr>
              <w:spacing w:after="0"/>
              <w:rPr>
                <w:sz w:val="20"/>
                <w:szCs w:val="20"/>
                <w:color w:val="auto"/>
              </w:rPr>
            </w:pPr>
            <w:r>
              <w:rPr>
                <w:rFonts w:ascii="Arial" w:cs="Arial" w:eastAsia="Arial" w:hAnsi="Arial"/>
                <w:sz w:val="14"/>
                <w:szCs w:val="14"/>
                <w:color w:val="auto"/>
              </w:rPr>
              <w:t>Majority of the votes cast FOR or</w:t>
            </w:r>
          </w:p>
        </w:tc>
        <w:tc>
          <w:tcPr>
            <w:tcW w:w="20" w:type="dxa"/>
            <w:vAlign w:val="bottom"/>
            <w:shd w:val="clear" w:color="auto" w:fill="333333"/>
          </w:tcPr>
          <w:p>
            <w:pPr>
              <w:spacing w:after="0"/>
              <w:rPr>
                <w:sz w:val="16"/>
                <w:szCs w:val="16"/>
                <w:color w:val="auto"/>
              </w:rPr>
            </w:pPr>
          </w:p>
        </w:tc>
        <w:tc>
          <w:tcPr>
            <w:tcW w:w="2300" w:type="dxa"/>
            <w:vAlign w:val="bottom"/>
          </w:tcPr>
          <w:p>
            <w:pPr>
              <w:ind w:left="100"/>
              <w:spacing w:after="0"/>
              <w:rPr>
                <w:sz w:val="20"/>
                <w:szCs w:val="20"/>
                <w:color w:val="auto"/>
              </w:rPr>
            </w:pPr>
            <w:r>
              <w:rPr>
                <w:rFonts w:ascii="Arial" w:cs="Arial" w:eastAsia="Arial" w:hAnsi="Arial"/>
                <w:sz w:val="14"/>
                <w:szCs w:val="14"/>
                <w:color w:val="auto"/>
              </w:rPr>
              <w:t>No effect — not counted as a vote</w:t>
            </w:r>
          </w:p>
        </w:tc>
        <w:tc>
          <w:tcPr>
            <w:tcW w:w="20" w:type="dxa"/>
            <w:vAlign w:val="bottom"/>
            <w:shd w:val="clear" w:color="auto" w:fill="333333"/>
          </w:tcPr>
          <w:p>
            <w:pPr>
              <w:spacing w:after="0"/>
              <w:rPr>
                <w:sz w:val="16"/>
                <w:szCs w:val="16"/>
                <w:color w:val="auto"/>
              </w:rPr>
            </w:pPr>
          </w:p>
        </w:tc>
        <w:tc>
          <w:tcPr>
            <w:tcW w:w="1960" w:type="dxa"/>
            <w:vAlign w:val="bottom"/>
          </w:tcPr>
          <w:p>
            <w:pPr>
              <w:ind w:left="80"/>
              <w:spacing w:after="0"/>
              <w:rPr>
                <w:sz w:val="20"/>
                <w:szCs w:val="20"/>
                <w:color w:val="auto"/>
              </w:rPr>
            </w:pPr>
            <w:r>
              <w:rPr>
                <w:rFonts w:ascii="Arial" w:cs="Arial" w:eastAsia="Arial" w:hAnsi="Arial"/>
                <w:sz w:val="14"/>
                <w:szCs w:val="14"/>
                <w:color w:val="auto"/>
              </w:rPr>
              <w:t>No effect — broker non-votes</w:t>
            </w:r>
          </w:p>
        </w:tc>
        <w:tc>
          <w:tcPr>
            <w:tcW w:w="0" w:type="dxa"/>
            <w:vAlign w:val="bottom"/>
          </w:tcPr>
          <w:p>
            <w:pPr>
              <w:spacing w:after="0"/>
              <w:rPr>
                <w:sz w:val="1"/>
                <w:szCs w:val="1"/>
                <w:color w:val="auto"/>
              </w:rPr>
            </w:pPr>
          </w:p>
        </w:tc>
      </w:tr>
      <w:tr>
        <w:trPr>
          <w:trHeight w:val="162"/>
        </w:trPr>
        <w:tc>
          <w:tcPr>
            <w:tcW w:w="2200" w:type="dxa"/>
            <w:vAlign w:val="bottom"/>
          </w:tcPr>
          <w:p>
            <w:pPr>
              <w:spacing w:after="0"/>
              <w:rPr>
                <w:sz w:val="20"/>
                <w:szCs w:val="20"/>
                <w:color w:val="auto"/>
              </w:rPr>
            </w:pPr>
            <w:r>
              <w:rPr>
                <w:rFonts w:ascii="Arial" w:cs="Arial" w:eastAsia="Arial" w:hAnsi="Arial"/>
                <w:sz w:val="14"/>
                <w:szCs w:val="14"/>
                <w:color w:val="auto"/>
              </w:rPr>
              <w:t>AGAINST (for each director</w:t>
            </w:r>
          </w:p>
        </w:tc>
        <w:tc>
          <w:tcPr>
            <w:tcW w:w="20" w:type="dxa"/>
            <w:vAlign w:val="bottom"/>
            <w:shd w:val="clear" w:color="auto" w:fill="333333"/>
          </w:tcPr>
          <w:p>
            <w:pPr>
              <w:spacing w:after="0"/>
              <w:rPr>
                <w:sz w:val="14"/>
                <w:szCs w:val="14"/>
                <w:color w:val="auto"/>
              </w:rPr>
            </w:pPr>
          </w:p>
        </w:tc>
        <w:tc>
          <w:tcPr>
            <w:tcW w:w="2300" w:type="dxa"/>
            <w:vAlign w:val="bottom"/>
          </w:tcPr>
          <w:p>
            <w:pPr>
              <w:ind w:left="100"/>
              <w:spacing w:after="0"/>
              <w:rPr>
                <w:sz w:val="20"/>
                <w:szCs w:val="20"/>
                <w:color w:val="auto"/>
              </w:rPr>
            </w:pPr>
            <w:r>
              <w:rPr>
                <w:rFonts w:ascii="Arial" w:cs="Arial" w:eastAsia="Arial" w:hAnsi="Arial"/>
                <w:sz w:val="14"/>
                <w:szCs w:val="14"/>
                <w:color w:val="auto"/>
              </w:rPr>
              <w:t>cast</w:t>
            </w:r>
          </w:p>
        </w:tc>
        <w:tc>
          <w:tcPr>
            <w:tcW w:w="20" w:type="dxa"/>
            <w:vAlign w:val="bottom"/>
            <w:shd w:val="clear" w:color="auto" w:fill="333333"/>
          </w:tcPr>
          <w:p>
            <w:pPr>
              <w:spacing w:after="0"/>
              <w:rPr>
                <w:sz w:val="14"/>
                <w:szCs w:val="14"/>
                <w:color w:val="auto"/>
              </w:rPr>
            </w:pPr>
          </w:p>
        </w:tc>
        <w:tc>
          <w:tcPr>
            <w:tcW w:w="1960" w:type="dxa"/>
            <w:vAlign w:val="bottom"/>
          </w:tcPr>
          <w:p>
            <w:pPr>
              <w:ind w:left="80"/>
              <w:spacing w:after="0"/>
              <w:rPr>
                <w:sz w:val="20"/>
                <w:szCs w:val="20"/>
                <w:color w:val="auto"/>
              </w:rPr>
            </w:pPr>
            <w:r>
              <w:rPr>
                <w:rFonts w:ascii="Arial" w:cs="Arial" w:eastAsia="Arial" w:hAnsi="Arial"/>
                <w:sz w:val="14"/>
                <w:szCs w:val="14"/>
                <w:color w:val="auto"/>
              </w:rPr>
              <w:t>are not permitted</w:t>
            </w:r>
          </w:p>
        </w:tc>
        <w:tc>
          <w:tcPr>
            <w:tcW w:w="0" w:type="dxa"/>
            <w:vAlign w:val="bottom"/>
          </w:tcPr>
          <w:p>
            <w:pPr>
              <w:spacing w:after="0"/>
              <w:rPr>
                <w:sz w:val="1"/>
                <w:szCs w:val="1"/>
                <w:color w:val="auto"/>
              </w:rPr>
            </w:pPr>
          </w:p>
        </w:tc>
      </w:tr>
      <w:tr>
        <w:trPr>
          <w:trHeight w:val="191"/>
        </w:trPr>
        <w:tc>
          <w:tcPr>
            <w:tcW w:w="2200" w:type="dxa"/>
            <w:vAlign w:val="bottom"/>
          </w:tcPr>
          <w:p>
            <w:pPr>
              <w:spacing w:after="0"/>
              <w:rPr>
                <w:sz w:val="20"/>
                <w:szCs w:val="20"/>
                <w:color w:val="auto"/>
              </w:rPr>
            </w:pPr>
            <w:r>
              <w:rPr>
                <w:rFonts w:ascii="Arial" w:cs="Arial" w:eastAsia="Arial" w:hAnsi="Arial"/>
                <w:sz w:val="14"/>
                <w:szCs w:val="14"/>
                <w:color w:val="auto"/>
              </w:rPr>
              <w:t>nominee)</w:t>
            </w:r>
          </w:p>
        </w:tc>
        <w:tc>
          <w:tcPr>
            <w:tcW w:w="20" w:type="dxa"/>
            <w:vAlign w:val="bottom"/>
            <w:tcBorders>
              <w:bottom w:val="single" w:sz="8" w:color="333333"/>
            </w:tcBorders>
            <w:shd w:val="clear" w:color="auto" w:fill="333333"/>
          </w:tcPr>
          <w:p>
            <w:pPr>
              <w:spacing w:after="0"/>
              <w:rPr>
                <w:sz w:val="16"/>
                <w:szCs w:val="16"/>
                <w:color w:val="auto"/>
              </w:rPr>
            </w:pPr>
          </w:p>
        </w:tc>
        <w:tc>
          <w:tcPr>
            <w:tcW w:w="2300" w:type="dxa"/>
            <w:vAlign w:val="bottom"/>
          </w:tcPr>
          <w:p>
            <w:pPr>
              <w:spacing w:after="0"/>
              <w:rPr>
                <w:sz w:val="16"/>
                <w:szCs w:val="16"/>
                <w:color w:val="auto"/>
              </w:rPr>
            </w:pPr>
          </w:p>
        </w:tc>
        <w:tc>
          <w:tcPr>
            <w:tcW w:w="20" w:type="dxa"/>
            <w:vAlign w:val="bottom"/>
            <w:tcBorders>
              <w:bottom w:val="single" w:sz="8" w:color="333333"/>
            </w:tcBorders>
            <w:shd w:val="clear" w:color="auto" w:fill="333333"/>
          </w:tcPr>
          <w:p>
            <w:pPr>
              <w:spacing w:after="0"/>
              <w:rPr>
                <w:sz w:val="16"/>
                <w:szCs w:val="16"/>
                <w:color w:val="auto"/>
              </w:rPr>
            </w:pPr>
          </w:p>
        </w:tc>
        <w:tc>
          <w:tcPr>
            <w:tcW w:w="1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2200" w:type="dxa"/>
            <w:vAlign w:val="bottom"/>
            <w:vMerge w:val="restart"/>
          </w:tcPr>
          <w:p>
            <w:pPr>
              <w:spacing w:after="0"/>
              <w:rPr>
                <w:sz w:val="20"/>
                <w:szCs w:val="20"/>
                <w:color w:val="auto"/>
              </w:rPr>
            </w:pPr>
            <w:r>
              <w:rPr>
                <w:rFonts w:ascii="Arial" w:cs="Arial" w:eastAsia="Arial" w:hAnsi="Arial"/>
                <w:sz w:val="14"/>
                <w:szCs w:val="14"/>
                <w:color w:val="auto"/>
              </w:rPr>
              <w:t>Majority of the shares present or</w:t>
            </w:r>
          </w:p>
        </w:tc>
        <w:tc>
          <w:tcPr>
            <w:tcW w:w="20" w:type="dxa"/>
            <w:vAlign w:val="bottom"/>
          </w:tcPr>
          <w:p>
            <w:pPr>
              <w:spacing w:after="0"/>
              <w:rPr>
                <w:sz w:val="22"/>
                <w:szCs w:val="22"/>
                <w:color w:val="auto"/>
              </w:rPr>
            </w:pPr>
          </w:p>
        </w:tc>
        <w:tc>
          <w:tcPr>
            <w:tcW w:w="2300" w:type="dxa"/>
            <w:vAlign w:val="bottom"/>
            <w:vMerge w:val="restart"/>
          </w:tcPr>
          <w:p>
            <w:pPr>
              <w:ind w:left="100"/>
              <w:spacing w:after="0"/>
              <w:rPr>
                <w:sz w:val="20"/>
                <w:szCs w:val="20"/>
                <w:color w:val="auto"/>
              </w:rPr>
            </w:pPr>
            <w:r>
              <w:rPr>
                <w:rFonts w:ascii="Arial" w:cs="Arial" w:eastAsia="Arial" w:hAnsi="Arial"/>
                <w:sz w:val="14"/>
                <w:szCs w:val="14"/>
                <w:color w:val="auto"/>
              </w:rPr>
              <w:t>Counts as a vote AGAINST</w:t>
            </w:r>
          </w:p>
        </w:tc>
        <w:tc>
          <w:tcPr>
            <w:tcW w:w="20" w:type="dxa"/>
            <w:vAlign w:val="bottom"/>
          </w:tcPr>
          <w:p>
            <w:pPr>
              <w:spacing w:after="0"/>
              <w:rPr>
                <w:sz w:val="22"/>
                <w:szCs w:val="22"/>
                <w:color w:val="auto"/>
              </w:rPr>
            </w:pPr>
          </w:p>
        </w:tc>
        <w:tc>
          <w:tcPr>
            <w:tcW w:w="1960" w:type="dxa"/>
            <w:vAlign w:val="bottom"/>
            <w:vMerge w:val="restart"/>
          </w:tcPr>
          <w:p>
            <w:pPr>
              <w:ind w:left="80"/>
              <w:spacing w:after="0"/>
              <w:rPr>
                <w:sz w:val="20"/>
                <w:szCs w:val="20"/>
                <w:color w:val="auto"/>
              </w:rPr>
            </w:pPr>
            <w:r>
              <w:rPr>
                <w:rFonts w:ascii="Arial" w:cs="Arial" w:eastAsia="Arial" w:hAnsi="Arial"/>
                <w:sz w:val="14"/>
                <w:szCs w:val="14"/>
                <w:color w:val="auto"/>
              </w:rPr>
              <w:t>No effect — broker non-votes</w:t>
            </w:r>
          </w:p>
        </w:tc>
        <w:tc>
          <w:tcPr>
            <w:tcW w:w="0" w:type="dxa"/>
            <w:vAlign w:val="bottom"/>
          </w:tcPr>
          <w:p>
            <w:pPr>
              <w:spacing w:after="0"/>
              <w:rPr>
                <w:sz w:val="1"/>
                <w:szCs w:val="1"/>
                <w:color w:val="auto"/>
              </w:rPr>
            </w:pPr>
          </w:p>
        </w:tc>
      </w:tr>
      <w:tr>
        <w:trPr>
          <w:trHeight w:val="207"/>
        </w:trPr>
        <w:tc>
          <w:tcPr>
            <w:tcW w:w="2200" w:type="dxa"/>
            <w:vAlign w:val="bottom"/>
            <w:vMerge w:val="continue"/>
          </w:tcPr>
          <w:p>
            <w:pPr>
              <w:spacing w:after="0"/>
              <w:rPr>
                <w:sz w:val="18"/>
                <w:szCs w:val="18"/>
                <w:color w:val="auto"/>
              </w:rPr>
            </w:pPr>
          </w:p>
        </w:tc>
        <w:tc>
          <w:tcPr>
            <w:tcW w:w="20" w:type="dxa"/>
            <w:vAlign w:val="bottom"/>
            <w:shd w:val="clear" w:color="auto" w:fill="333333"/>
          </w:tcPr>
          <w:p>
            <w:pPr>
              <w:spacing w:after="0"/>
              <w:rPr>
                <w:sz w:val="18"/>
                <w:szCs w:val="18"/>
                <w:color w:val="auto"/>
              </w:rPr>
            </w:pPr>
          </w:p>
        </w:tc>
        <w:tc>
          <w:tcPr>
            <w:tcW w:w="2300" w:type="dxa"/>
            <w:vAlign w:val="bottom"/>
            <w:vMerge w:val="continue"/>
          </w:tcPr>
          <w:p>
            <w:pPr>
              <w:spacing w:after="0"/>
              <w:rPr>
                <w:sz w:val="18"/>
                <w:szCs w:val="18"/>
                <w:color w:val="auto"/>
              </w:rPr>
            </w:pPr>
          </w:p>
        </w:tc>
        <w:tc>
          <w:tcPr>
            <w:tcW w:w="20" w:type="dxa"/>
            <w:vAlign w:val="bottom"/>
            <w:shd w:val="clear" w:color="auto" w:fill="333333"/>
          </w:tcPr>
          <w:p>
            <w:pPr>
              <w:spacing w:after="0"/>
              <w:rPr>
                <w:sz w:val="18"/>
                <w:szCs w:val="18"/>
                <w:color w:val="auto"/>
              </w:rPr>
            </w:pPr>
          </w:p>
        </w:tc>
        <w:tc>
          <w:tcPr>
            <w:tcW w:w="1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200" w:type="dxa"/>
            <w:vAlign w:val="bottom"/>
          </w:tcPr>
          <w:p>
            <w:pPr>
              <w:spacing w:after="0"/>
              <w:rPr>
                <w:sz w:val="20"/>
                <w:szCs w:val="20"/>
                <w:color w:val="auto"/>
              </w:rPr>
            </w:pPr>
            <w:r>
              <w:rPr>
                <w:rFonts w:ascii="Arial" w:cs="Arial" w:eastAsia="Arial" w:hAnsi="Arial"/>
                <w:sz w:val="14"/>
                <w:szCs w:val="14"/>
                <w:color w:val="auto"/>
              </w:rPr>
              <w:t>represented by proxy</w:t>
            </w:r>
          </w:p>
        </w:tc>
        <w:tc>
          <w:tcPr>
            <w:tcW w:w="20" w:type="dxa"/>
            <w:vAlign w:val="bottom"/>
            <w:tcBorders>
              <w:bottom w:val="single" w:sz="8" w:color="333333"/>
            </w:tcBorders>
            <w:shd w:val="clear" w:color="auto" w:fill="333333"/>
          </w:tcPr>
          <w:p>
            <w:pPr>
              <w:spacing w:after="0"/>
              <w:rPr>
                <w:sz w:val="16"/>
                <w:szCs w:val="16"/>
                <w:color w:val="auto"/>
              </w:rPr>
            </w:pPr>
          </w:p>
        </w:tc>
        <w:tc>
          <w:tcPr>
            <w:tcW w:w="2300" w:type="dxa"/>
            <w:vAlign w:val="bottom"/>
          </w:tcPr>
          <w:p>
            <w:pPr>
              <w:spacing w:after="0"/>
              <w:rPr>
                <w:sz w:val="16"/>
                <w:szCs w:val="16"/>
                <w:color w:val="auto"/>
              </w:rPr>
            </w:pPr>
          </w:p>
        </w:tc>
        <w:tc>
          <w:tcPr>
            <w:tcW w:w="20" w:type="dxa"/>
            <w:vAlign w:val="bottom"/>
            <w:tcBorders>
              <w:bottom w:val="single" w:sz="8" w:color="333333"/>
            </w:tcBorders>
            <w:shd w:val="clear" w:color="auto" w:fill="333333"/>
          </w:tcPr>
          <w:p>
            <w:pPr>
              <w:spacing w:after="0"/>
              <w:rPr>
                <w:sz w:val="16"/>
                <w:szCs w:val="16"/>
                <w:color w:val="auto"/>
              </w:rPr>
            </w:pPr>
          </w:p>
        </w:tc>
        <w:tc>
          <w:tcPr>
            <w:tcW w:w="1960" w:type="dxa"/>
            <w:vAlign w:val="bottom"/>
          </w:tcPr>
          <w:p>
            <w:pPr>
              <w:ind w:left="80"/>
              <w:spacing w:after="0"/>
              <w:rPr>
                <w:sz w:val="20"/>
                <w:szCs w:val="20"/>
                <w:color w:val="auto"/>
              </w:rPr>
            </w:pPr>
            <w:r>
              <w:rPr>
                <w:rFonts w:ascii="Arial" w:cs="Arial" w:eastAsia="Arial" w:hAnsi="Arial"/>
                <w:sz w:val="14"/>
                <w:szCs w:val="14"/>
                <w:color w:val="auto"/>
              </w:rPr>
              <w:t>are not permitted</w:t>
            </w:r>
          </w:p>
        </w:tc>
        <w:tc>
          <w:tcPr>
            <w:tcW w:w="0" w:type="dxa"/>
            <w:vAlign w:val="bottom"/>
          </w:tcPr>
          <w:p>
            <w:pPr>
              <w:spacing w:after="0"/>
              <w:rPr>
                <w:sz w:val="1"/>
                <w:szCs w:val="1"/>
                <w:color w:val="auto"/>
              </w:rPr>
            </w:pPr>
          </w:p>
        </w:tc>
      </w:tr>
      <w:tr>
        <w:trPr>
          <w:trHeight w:val="257"/>
        </w:trPr>
        <w:tc>
          <w:tcPr>
            <w:tcW w:w="2200" w:type="dxa"/>
            <w:vAlign w:val="bottom"/>
            <w:vMerge w:val="restart"/>
          </w:tcPr>
          <w:p>
            <w:pPr>
              <w:spacing w:after="0"/>
              <w:rPr>
                <w:sz w:val="20"/>
                <w:szCs w:val="20"/>
                <w:color w:val="auto"/>
              </w:rPr>
            </w:pPr>
            <w:r>
              <w:rPr>
                <w:rFonts w:ascii="Arial" w:cs="Arial" w:eastAsia="Arial" w:hAnsi="Arial"/>
                <w:sz w:val="14"/>
                <w:szCs w:val="14"/>
                <w:color w:val="auto"/>
              </w:rPr>
              <w:t>Majority of the shares present or</w:t>
            </w:r>
          </w:p>
        </w:tc>
        <w:tc>
          <w:tcPr>
            <w:tcW w:w="20" w:type="dxa"/>
            <w:vAlign w:val="bottom"/>
          </w:tcPr>
          <w:p>
            <w:pPr>
              <w:spacing w:after="0"/>
              <w:rPr>
                <w:sz w:val="22"/>
                <w:szCs w:val="22"/>
                <w:color w:val="auto"/>
              </w:rPr>
            </w:pPr>
          </w:p>
        </w:tc>
        <w:tc>
          <w:tcPr>
            <w:tcW w:w="2300" w:type="dxa"/>
            <w:vAlign w:val="bottom"/>
            <w:vMerge w:val="restart"/>
          </w:tcPr>
          <w:p>
            <w:pPr>
              <w:ind w:left="100"/>
              <w:spacing w:after="0"/>
              <w:rPr>
                <w:sz w:val="20"/>
                <w:szCs w:val="20"/>
                <w:color w:val="auto"/>
              </w:rPr>
            </w:pPr>
            <w:r>
              <w:rPr>
                <w:rFonts w:ascii="Arial" w:cs="Arial" w:eastAsia="Arial" w:hAnsi="Arial"/>
                <w:sz w:val="14"/>
                <w:szCs w:val="14"/>
                <w:color w:val="auto"/>
              </w:rPr>
              <w:t>Counts as a vote AGAINST</w:t>
            </w:r>
          </w:p>
        </w:tc>
        <w:tc>
          <w:tcPr>
            <w:tcW w:w="20" w:type="dxa"/>
            <w:vAlign w:val="bottom"/>
          </w:tcPr>
          <w:p>
            <w:pPr>
              <w:spacing w:after="0"/>
              <w:rPr>
                <w:sz w:val="22"/>
                <w:szCs w:val="22"/>
                <w:color w:val="auto"/>
              </w:rPr>
            </w:pPr>
          </w:p>
        </w:tc>
        <w:tc>
          <w:tcPr>
            <w:tcW w:w="1960" w:type="dxa"/>
            <w:vAlign w:val="bottom"/>
            <w:vMerge w:val="restart"/>
          </w:tcPr>
          <w:p>
            <w:pPr>
              <w:ind w:left="80"/>
              <w:spacing w:after="0"/>
              <w:rPr>
                <w:sz w:val="20"/>
                <w:szCs w:val="20"/>
                <w:color w:val="auto"/>
              </w:rPr>
            </w:pPr>
            <w:r>
              <w:rPr>
                <w:rFonts w:ascii="Arial" w:cs="Arial" w:eastAsia="Arial" w:hAnsi="Arial"/>
                <w:sz w:val="14"/>
                <w:szCs w:val="14"/>
                <w:color w:val="auto"/>
              </w:rPr>
              <w:t>N/A — the organization that</w:t>
            </w:r>
          </w:p>
        </w:tc>
        <w:tc>
          <w:tcPr>
            <w:tcW w:w="0" w:type="dxa"/>
            <w:vAlign w:val="bottom"/>
          </w:tcPr>
          <w:p>
            <w:pPr>
              <w:spacing w:after="0"/>
              <w:rPr>
                <w:sz w:val="1"/>
                <w:szCs w:val="1"/>
                <w:color w:val="auto"/>
              </w:rPr>
            </w:pPr>
          </w:p>
        </w:tc>
      </w:tr>
      <w:tr>
        <w:trPr>
          <w:trHeight w:val="207"/>
        </w:trPr>
        <w:tc>
          <w:tcPr>
            <w:tcW w:w="2200" w:type="dxa"/>
            <w:vAlign w:val="bottom"/>
            <w:vMerge w:val="continue"/>
          </w:tcPr>
          <w:p>
            <w:pPr>
              <w:spacing w:after="0"/>
              <w:rPr>
                <w:sz w:val="18"/>
                <w:szCs w:val="18"/>
                <w:color w:val="auto"/>
              </w:rPr>
            </w:pPr>
          </w:p>
        </w:tc>
        <w:tc>
          <w:tcPr>
            <w:tcW w:w="20" w:type="dxa"/>
            <w:vAlign w:val="bottom"/>
            <w:shd w:val="clear" w:color="auto" w:fill="333333"/>
          </w:tcPr>
          <w:p>
            <w:pPr>
              <w:spacing w:after="0"/>
              <w:rPr>
                <w:sz w:val="18"/>
                <w:szCs w:val="18"/>
                <w:color w:val="auto"/>
              </w:rPr>
            </w:pPr>
          </w:p>
        </w:tc>
        <w:tc>
          <w:tcPr>
            <w:tcW w:w="2300" w:type="dxa"/>
            <w:vAlign w:val="bottom"/>
            <w:vMerge w:val="continue"/>
          </w:tcPr>
          <w:p>
            <w:pPr>
              <w:spacing w:after="0"/>
              <w:rPr>
                <w:sz w:val="18"/>
                <w:szCs w:val="18"/>
                <w:color w:val="auto"/>
              </w:rPr>
            </w:pPr>
          </w:p>
        </w:tc>
        <w:tc>
          <w:tcPr>
            <w:tcW w:w="20" w:type="dxa"/>
            <w:vAlign w:val="bottom"/>
            <w:shd w:val="clear" w:color="auto" w:fill="333333"/>
          </w:tcPr>
          <w:p>
            <w:pPr>
              <w:spacing w:after="0"/>
              <w:rPr>
                <w:sz w:val="18"/>
                <w:szCs w:val="18"/>
                <w:color w:val="auto"/>
              </w:rPr>
            </w:pPr>
          </w:p>
        </w:tc>
        <w:tc>
          <w:tcPr>
            <w:tcW w:w="1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200" w:type="dxa"/>
            <w:vAlign w:val="bottom"/>
          </w:tcPr>
          <w:p>
            <w:pPr>
              <w:spacing w:after="0"/>
              <w:rPr>
                <w:sz w:val="20"/>
                <w:szCs w:val="20"/>
                <w:color w:val="auto"/>
              </w:rPr>
            </w:pPr>
            <w:r>
              <w:rPr>
                <w:rFonts w:ascii="Arial" w:cs="Arial" w:eastAsia="Arial" w:hAnsi="Arial"/>
                <w:sz w:val="14"/>
                <w:szCs w:val="14"/>
                <w:color w:val="auto"/>
              </w:rPr>
              <w:t>represented by proxy</w:t>
            </w:r>
          </w:p>
        </w:tc>
        <w:tc>
          <w:tcPr>
            <w:tcW w:w="20" w:type="dxa"/>
            <w:vAlign w:val="bottom"/>
            <w:shd w:val="clear" w:color="auto" w:fill="333333"/>
          </w:tcPr>
          <w:p>
            <w:pPr>
              <w:spacing w:after="0"/>
              <w:rPr>
                <w:sz w:val="14"/>
                <w:szCs w:val="14"/>
                <w:color w:val="auto"/>
              </w:rPr>
            </w:pPr>
          </w:p>
        </w:tc>
        <w:tc>
          <w:tcPr>
            <w:tcW w:w="2300" w:type="dxa"/>
            <w:vAlign w:val="bottom"/>
          </w:tcPr>
          <w:p>
            <w:pPr>
              <w:spacing w:after="0"/>
              <w:rPr>
                <w:sz w:val="14"/>
                <w:szCs w:val="14"/>
                <w:color w:val="auto"/>
              </w:rPr>
            </w:pPr>
          </w:p>
        </w:tc>
        <w:tc>
          <w:tcPr>
            <w:tcW w:w="20" w:type="dxa"/>
            <w:vAlign w:val="bottom"/>
            <w:shd w:val="clear" w:color="auto" w:fill="333333"/>
          </w:tcPr>
          <w:p>
            <w:pPr>
              <w:spacing w:after="0"/>
              <w:rPr>
                <w:sz w:val="14"/>
                <w:szCs w:val="14"/>
                <w:color w:val="auto"/>
              </w:rPr>
            </w:pPr>
          </w:p>
        </w:tc>
        <w:tc>
          <w:tcPr>
            <w:tcW w:w="1960" w:type="dxa"/>
            <w:vAlign w:val="bottom"/>
          </w:tcPr>
          <w:p>
            <w:pPr>
              <w:ind w:left="80"/>
              <w:spacing w:after="0"/>
              <w:rPr>
                <w:sz w:val="20"/>
                <w:szCs w:val="20"/>
                <w:color w:val="auto"/>
              </w:rPr>
            </w:pPr>
            <w:r>
              <w:rPr>
                <w:rFonts w:ascii="Arial" w:cs="Arial" w:eastAsia="Arial" w:hAnsi="Arial"/>
                <w:sz w:val="14"/>
                <w:szCs w:val="14"/>
                <w:color w:val="auto"/>
              </w:rPr>
              <w:t>holds shares of beneficial</w:t>
            </w:r>
          </w:p>
        </w:tc>
        <w:tc>
          <w:tcPr>
            <w:tcW w:w="0" w:type="dxa"/>
            <w:vAlign w:val="bottom"/>
          </w:tcPr>
          <w:p>
            <w:pPr>
              <w:spacing w:after="0"/>
              <w:rPr>
                <w:sz w:val="1"/>
                <w:szCs w:val="1"/>
                <w:color w:val="auto"/>
              </w:rPr>
            </w:pPr>
          </w:p>
        </w:tc>
      </w:tr>
      <w:tr>
        <w:trPr>
          <w:trHeight w:val="162"/>
        </w:trPr>
        <w:tc>
          <w:tcPr>
            <w:tcW w:w="2200" w:type="dxa"/>
            <w:vAlign w:val="bottom"/>
          </w:tcPr>
          <w:p>
            <w:pPr>
              <w:spacing w:after="0"/>
              <w:rPr>
                <w:sz w:val="14"/>
                <w:szCs w:val="14"/>
                <w:color w:val="auto"/>
              </w:rPr>
            </w:pPr>
          </w:p>
        </w:tc>
        <w:tc>
          <w:tcPr>
            <w:tcW w:w="20" w:type="dxa"/>
            <w:vAlign w:val="bottom"/>
            <w:shd w:val="clear" w:color="auto" w:fill="333333"/>
          </w:tcPr>
          <w:p>
            <w:pPr>
              <w:spacing w:after="0"/>
              <w:rPr>
                <w:sz w:val="14"/>
                <w:szCs w:val="14"/>
                <w:color w:val="auto"/>
              </w:rPr>
            </w:pPr>
          </w:p>
        </w:tc>
        <w:tc>
          <w:tcPr>
            <w:tcW w:w="2300" w:type="dxa"/>
            <w:vAlign w:val="bottom"/>
          </w:tcPr>
          <w:p>
            <w:pPr>
              <w:spacing w:after="0"/>
              <w:rPr>
                <w:sz w:val="14"/>
                <w:szCs w:val="14"/>
                <w:color w:val="auto"/>
              </w:rPr>
            </w:pPr>
          </w:p>
        </w:tc>
        <w:tc>
          <w:tcPr>
            <w:tcW w:w="20" w:type="dxa"/>
            <w:vAlign w:val="bottom"/>
            <w:shd w:val="clear" w:color="auto" w:fill="333333"/>
          </w:tcPr>
          <w:p>
            <w:pPr>
              <w:spacing w:after="0"/>
              <w:rPr>
                <w:sz w:val="14"/>
                <w:szCs w:val="14"/>
                <w:color w:val="auto"/>
              </w:rPr>
            </w:pPr>
          </w:p>
        </w:tc>
        <w:tc>
          <w:tcPr>
            <w:tcW w:w="1960" w:type="dxa"/>
            <w:vAlign w:val="bottom"/>
          </w:tcPr>
          <w:p>
            <w:pPr>
              <w:ind w:left="80"/>
              <w:spacing w:after="0"/>
              <w:rPr>
                <w:sz w:val="20"/>
                <w:szCs w:val="20"/>
                <w:color w:val="auto"/>
              </w:rPr>
            </w:pPr>
            <w:r>
              <w:rPr>
                <w:rFonts w:ascii="Arial" w:cs="Arial" w:eastAsia="Arial" w:hAnsi="Arial"/>
                <w:sz w:val="14"/>
                <w:szCs w:val="14"/>
                <w:color w:val="auto"/>
              </w:rPr>
              <w:t>owners may vote in their</w:t>
            </w:r>
          </w:p>
        </w:tc>
        <w:tc>
          <w:tcPr>
            <w:tcW w:w="0" w:type="dxa"/>
            <w:vAlign w:val="bottom"/>
          </w:tcPr>
          <w:p>
            <w:pPr>
              <w:spacing w:after="0"/>
              <w:rPr>
                <w:sz w:val="1"/>
                <w:szCs w:val="1"/>
                <w:color w:val="auto"/>
              </w:rPr>
            </w:pPr>
          </w:p>
        </w:tc>
      </w:tr>
      <w:tr>
        <w:trPr>
          <w:trHeight w:val="172"/>
        </w:trPr>
        <w:tc>
          <w:tcPr>
            <w:tcW w:w="2200" w:type="dxa"/>
            <w:vAlign w:val="bottom"/>
          </w:tcPr>
          <w:p>
            <w:pPr>
              <w:spacing w:after="0"/>
              <w:rPr>
                <w:sz w:val="14"/>
                <w:szCs w:val="14"/>
                <w:color w:val="auto"/>
              </w:rPr>
            </w:pPr>
          </w:p>
        </w:tc>
        <w:tc>
          <w:tcPr>
            <w:tcW w:w="20" w:type="dxa"/>
            <w:vAlign w:val="bottom"/>
            <w:shd w:val="clear" w:color="auto" w:fill="333333"/>
          </w:tcPr>
          <w:p>
            <w:pPr>
              <w:spacing w:after="0"/>
              <w:rPr>
                <w:sz w:val="14"/>
                <w:szCs w:val="14"/>
                <w:color w:val="auto"/>
              </w:rPr>
            </w:pPr>
          </w:p>
        </w:tc>
        <w:tc>
          <w:tcPr>
            <w:tcW w:w="2300" w:type="dxa"/>
            <w:vAlign w:val="bottom"/>
          </w:tcPr>
          <w:p>
            <w:pPr>
              <w:spacing w:after="0"/>
              <w:rPr>
                <w:sz w:val="14"/>
                <w:szCs w:val="14"/>
                <w:color w:val="auto"/>
              </w:rPr>
            </w:pPr>
          </w:p>
        </w:tc>
        <w:tc>
          <w:tcPr>
            <w:tcW w:w="20" w:type="dxa"/>
            <w:vAlign w:val="bottom"/>
            <w:shd w:val="clear" w:color="auto" w:fill="333333"/>
          </w:tcPr>
          <w:p>
            <w:pPr>
              <w:spacing w:after="0"/>
              <w:rPr>
                <w:sz w:val="14"/>
                <w:szCs w:val="14"/>
                <w:color w:val="auto"/>
              </w:rPr>
            </w:pPr>
          </w:p>
        </w:tc>
        <w:tc>
          <w:tcPr>
            <w:tcW w:w="1960" w:type="dxa"/>
            <w:vAlign w:val="bottom"/>
          </w:tcPr>
          <w:p>
            <w:pPr>
              <w:ind w:left="80"/>
              <w:spacing w:after="0"/>
              <w:rPr>
                <w:sz w:val="20"/>
                <w:szCs w:val="20"/>
                <w:color w:val="auto"/>
              </w:rPr>
            </w:pPr>
            <w:r>
              <w:rPr>
                <w:rFonts w:ascii="Arial" w:cs="Arial" w:eastAsia="Arial" w:hAnsi="Arial"/>
                <w:sz w:val="14"/>
                <w:szCs w:val="14"/>
                <w:color w:val="auto"/>
              </w:rPr>
              <w:t>discretion</w:t>
            </w:r>
          </w:p>
        </w:tc>
        <w:tc>
          <w:tcPr>
            <w:tcW w:w="0" w:type="dxa"/>
            <w:vAlign w:val="bottom"/>
          </w:tcPr>
          <w:p>
            <w:pPr>
              <w:spacing w:after="0"/>
              <w:rPr>
                <w:sz w:val="1"/>
                <w:szCs w:val="1"/>
                <w:color w:val="auto"/>
              </w:rPr>
            </w:pPr>
          </w:p>
        </w:tc>
      </w:tr>
      <w:tr>
        <w:trPr>
          <w:trHeight w:val="53"/>
        </w:trPr>
        <w:tc>
          <w:tcPr>
            <w:tcW w:w="2200" w:type="dxa"/>
            <w:vAlign w:val="bottom"/>
          </w:tcPr>
          <w:p>
            <w:pPr>
              <w:spacing w:after="0"/>
              <w:rPr>
                <w:sz w:val="4"/>
                <w:szCs w:val="4"/>
                <w:color w:val="auto"/>
              </w:rPr>
            </w:pPr>
          </w:p>
        </w:tc>
        <w:tc>
          <w:tcPr>
            <w:tcW w:w="20" w:type="dxa"/>
            <w:vAlign w:val="bottom"/>
            <w:shd w:val="clear" w:color="auto" w:fill="333333"/>
          </w:tcPr>
          <w:p>
            <w:pPr>
              <w:spacing w:after="0"/>
              <w:rPr>
                <w:sz w:val="4"/>
                <w:szCs w:val="4"/>
                <w:color w:val="auto"/>
              </w:rPr>
            </w:pPr>
          </w:p>
        </w:tc>
        <w:tc>
          <w:tcPr>
            <w:tcW w:w="2300" w:type="dxa"/>
            <w:vAlign w:val="bottom"/>
          </w:tcPr>
          <w:p>
            <w:pPr>
              <w:spacing w:after="0"/>
              <w:rPr>
                <w:sz w:val="4"/>
                <w:szCs w:val="4"/>
                <w:color w:val="auto"/>
              </w:rPr>
            </w:pPr>
          </w:p>
        </w:tc>
        <w:tc>
          <w:tcPr>
            <w:tcW w:w="20" w:type="dxa"/>
            <w:vAlign w:val="bottom"/>
            <w:shd w:val="clear" w:color="auto" w:fill="333333"/>
          </w:tcPr>
          <w:p>
            <w:pPr>
              <w:spacing w:after="0"/>
              <w:rPr>
                <w:sz w:val="4"/>
                <w:szCs w:val="4"/>
                <w:color w:val="auto"/>
              </w:rPr>
            </w:pPr>
          </w:p>
        </w:tc>
        <w:tc>
          <w:tcPr>
            <w:tcW w:w="19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-1071245</wp:posOffset>
            </wp:positionV>
            <wp:extent cx="6995160" cy="123444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6995160" cy="1234440"/>
                    </a:xfrm>
                    <a:prstGeom prst="rect">
                      <a:avLst/>
                    </a:prstGeom>
                    <a:noFill/>
                  </pic:spPr>
                </pic:pic>
              </a:graphicData>
            </a:graphic>
          </wp:anchor>
        </w:drawing>
      </w:r>
    </w:p>
    <w:p>
      <w:pPr>
        <w:spacing w:after="0" w:line="27" w:lineRule="exact"/>
        <w:rPr>
          <w:sz w:val="20"/>
          <w:szCs w:val="20"/>
          <w:color w:val="auto"/>
        </w:rPr>
      </w:pPr>
    </w:p>
    <w:p>
      <w:pPr>
        <w:sectPr>
          <w:pgSz w:w="11900" w:h="16838" w:orient="portrait"/>
          <w:cols w:equalWidth="0" w:num="3">
            <w:col w:w="1940" w:space="180"/>
            <w:col w:w="2080" w:space="220"/>
            <w:col w:w="6720"/>
          </w:cols>
          <w:pgMar w:left="320" w:top="459" w:right="439" w:bottom="1440" w:gutter="0" w:footer="0" w:header="0"/>
          <w:type w:val="continuous"/>
        </w:sectPr>
      </w:pPr>
    </w:p>
    <w:p>
      <w:pPr>
        <w:ind w:left="180"/>
        <w:spacing w:after="0"/>
        <w:rPr>
          <w:sz w:val="20"/>
          <w:szCs w:val="20"/>
          <w:color w:val="auto"/>
        </w:rPr>
      </w:pPr>
      <w:r>
        <w:rPr>
          <w:rFonts w:ascii="Arial" w:cs="Arial" w:eastAsia="Arial" w:hAnsi="Arial"/>
          <w:sz w:val="14"/>
          <w:szCs w:val="14"/>
          <w:b w:val="1"/>
          <w:bCs w:val="1"/>
          <w:color w:val="FFFFFF"/>
        </w:rPr>
        <w:t>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43180</wp:posOffset>
            </wp:positionV>
            <wp:extent cx="6995160" cy="27432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6995160" cy="27432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p>
      <w:pPr>
        <w:spacing w:after="0" w:line="114" w:lineRule="exact"/>
        <w:rPr>
          <w:sz w:val="20"/>
          <w:szCs w:val="20"/>
          <w:color w:val="auto"/>
        </w:rPr>
      </w:pPr>
    </w:p>
    <w:p>
      <w:pPr>
        <w:ind w:left="180"/>
        <w:spacing w:after="0" w:line="258" w:lineRule="auto"/>
        <w:rPr>
          <w:sz w:val="20"/>
          <w:szCs w:val="20"/>
          <w:color w:val="auto"/>
        </w:rPr>
      </w:pPr>
      <w:r>
        <w:rPr>
          <w:rFonts w:ascii="Arial" w:cs="Arial" w:eastAsia="Arial" w:hAnsi="Arial"/>
          <w:sz w:val="14"/>
          <w:szCs w:val="14"/>
          <w:color w:val="auto"/>
        </w:rPr>
        <w:t>Voting requirements for each proposal are the same</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FOR, AGAINST or ABSTAIN</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Majority of the shares present or represented by proxy</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Counts as a vote AGAINST</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ind w:right="220"/>
        <w:spacing w:after="0" w:line="258" w:lineRule="auto"/>
        <w:rPr>
          <w:sz w:val="20"/>
          <w:szCs w:val="20"/>
          <w:color w:val="auto"/>
        </w:rPr>
      </w:pPr>
      <w:r>
        <w:rPr>
          <w:rFonts w:ascii="Arial" w:cs="Arial" w:eastAsia="Arial" w:hAnsi="Arial"/>
          <w:sz w:val="14"/>
          <w:szCs w:val="14"/>
          <w:color w:val="auto"/>
        </w:rPr>
        <w:t>No effect — broker non-votes are not permitted</w:t>
      </w:r>
    </w:p>
    <w:p>
      <w:pPr>
        <w:spacing w:after="0" w:line="113" w:lineRule="exact"/>
        <w:rPr>
          <w:sz w:val="20"/>
          <w:szCs w:val="20"/>
          <w:color w:val="auto"/>
        </w:rPr>
      </w:pPr>
    </w:p>
    <w:p>
      <w:pPr>
        <w:sectPr>
          <w:pgSz w:w="11900" w:h="16838" w:orient="portrait"/>
          <w:cols w:equalWidth="0" w:num="5">
            <w:col w:w="1980" w:space="140"/>
            <w:col w:w="1820" w:space="480"/>
            <w:col w:w="2060" w:space="260"/>
            <w:col w:w="1740" w:space="560"/>
            <w:col w:w="2100"/>
          </w:cols>
          <w:pgMar w:left="320" w:top="459" w:right="439" w:bottom="1440" w:gutter="0" w:footer="0" w:header="0"/>
          <w:type w:val="continuous"/>
        </w:sectPr>
      </w:pPr>
    </w:p>
    <w:p>
      <w:pPr>
        <w:ind w:left="340" w:hanging="175"/>
        <w:spacing w:after="0"/>
        <w:tabs>
          <w:tab w:leader="none" w:pos="340" w:val="left"/>
        </w:tabs>
        <w:numPr>
          <w:ilvl w:val="0"/>
          <w:numId w:val="242"/>
        </w:numPr>
        <w:rPr>
          <w:rFonts w:ascii="Arial" w:cs="Arial" w:eastAsia="Arial" w:hAnsi="Arial"/>
          <w:sz w:val="10"/>
          <w:szCs w:val="10"/>
          <w:color w:val="auto"/>
        </w:rPr>
      </w:pPr>
      <w:r>
        <w:rPr>
          <w:rFonts w:ascii="Arial" w:cs="Arial" w:eastAsia="Arial" w:hAnsi="Arial"/>
          <w:sz w:val="12"/>
          <w:szCs w:val="12"/>
          <w:color w:val="auto"/>
        </w:rPr>
        <w:t>For election of directors, abstentions have no effect because the required vote is determined as follows: votes FOR divided by the sum of votes FOR plus votes AGAINST. For all other proposals</w:t>
      </w:r>
    </w:p>
    <w:p>
      <w:pPr>
        <w:ind w:left="340" w:right="100"/>
        <w:spacing w:after="0" w:line="216" w:lineRule="auto"/>
        <w:rPr>
          <w:rFonts w:ascii="Arial" w:cs="Arial" w:eastAsia="Arial" w:hAnsi="Arial"/>
          <w:sz w:val="10"/>
          <w:szCs w:val="10"/>
          <w:color w:val="auto"/>
        </w:rPr>
      </w:pPr>
      <w:r>
        <w:rPr>
          <w:rFonts w:ascii="Arial" w:cs="Arial" w:eastAsia="Arial" w:hAnsi="Arial"/>
          <w:sz w:val="13"/>
          <w:szCs w:val="13"/>
          <w:color w:val="auto"/>
        </w:rPr>
        <w:t>(management and shareholder), abstentions are counted as a vote AGAINST the proposal because the required vote is determined as follows: votes FOR divided by the sum of votes FOR plus votes AGAINST plus votes ABSTAINING.</w:t>
      </w:r>
    </w:p>
    <w:p>
      <w:pPr>
        <w:spacing w:after="0" w:line="1" w:lineRule="exact"/>
        <w:rPr>
          <w:sz w:val="20"/>
          <w:szCs w:val="20"/>
          <w:color w:val="auto"/>
        </w:rPr>
      </w:pPr>
    </w:p>
    <w:p>
      <w:pPr>
        <w:ind w:left="340" w:right="20" w:hanging="175"/>
        <w:spacing w:after="0" w:line="216" w:lineRule="auto"/>
        <w:tabs>
          <w:tab w:leader="none" w:pos="340" w:val="left"/>
        </w:tabs>
        <w:numPr>
          <w:ilvl w:val="0"/>
          <w:numId w:val="243"/>
        </w:numPr>
        <w:rPr>
          <w:rFonts w:ascii="Arial" w:cs="Arial" w:eastAsia="Arial" w:hAnsi="Arial"/>
          <w:sz w:val="11"/>
          <w:szCs w:val="11"/>
          <w:color w:val="auto"/>
        </w:rPr>
      </w:pPr>
      <w:r>
        <w:rPr>
          <w:rFonts w:ascii="Arial" w:cs="Arial" w:eastAsia="Arial" w:hAnsi="Arial"/>
          <w:sz w:val="13"/>
          <w:szCs w:val="13"/>
          <w:color w:val="auto"/>
        </w:rPr>
        <w:t>For all proposals (management and shareholder) other than ratification of the independent auditor, broker non-votes have no effect because they are not considered shares entitled to vote on the proposal.</w:t>
      </w:r>
    </w:p>
    <w:p>
      <w:pPr>
        <w:spacing w:after="0" w:line="1" w:lineRule="exact"/>
        <w:rPr>
          <w:sz w:val="20"/>
          <w:szCs w:val="20"/>
          <w:color w:val="auto"/>
        </w:rPr>
      </w:pPr>
    </w:p>
    <w:p>
      <w:pPr>
        <w:ind w:left="340" w:right="20" w:hanging="175"/>
        <w:spacing w:after="0" w:line="216" w:lineRule="auto"/>
        <w:tabs>
          <w:tab w:leader="none" w:pos="340" w:val="left"/>
        </w:tabs>
        <w:numPr>
          <w:ilvl w:val="0"/>
          <w:numId w:val="244"/>
        </w:numPr>
        <w:rPr>
          <w:rFonts w:ascii="Arial" w:cs="Arial" w:eastAsia="Arial" w:hAnsi="Arial"/>
          <w:sz w:val="11"/>
          <w:szCs w:val="11"/>
          <w:color w:val="auto"/>
        </w:rPr>
      </w:pPr>
      <w:r>
        <w:rPr>
          <w:rFonts w:ascii="Arial" w:cs="Arial" w:eastAsia="Arial" w:hAnsi="Arial"/>
          <w:sz w:val="13"/>
          <w:szCs w:val="13"/>
          <w:color w:val="auto"/>
        </w:rPr>
        <w:t>If, in a non-contested election of directors, an incumbent nominee for director is not re-elected by a majority of votes cast, he or she must tender his or her resignation, and the Board of Directors, through a process managed by the Governance Committee, will decide whether to accept the resignation at its next regular meeting. Unless the Board decides to reject the offer or to postpone the effective date, the resignation shall become effective 45 days after the date of the election.</w:t>
      </w:r>
    </w:p>
    <w:p>
      <w:pPr>
        <w:spacing w:after="0" w:line="1" w:lineRule="exact"/>
        <w:rPr>
          <w:sz w:val="20"/>
          <w:szCs w:val="20"/>
          <w:color w:val="auto"/>
        </w:rPr>
      </w:pPr>
    </w:p>
    <w:p>
      <w:pPr>
        <w:ind w:left="340" w:hanging="175"/>
        <w:spacing w:after="0"/>
        <w:tabs>
          <w:tab w:leader="none" w:pos="340" w:val="left"/>
        </w:tabs>
        <w:numPr>
          <w:ilvl w:val="0"/>
          <w:numId w:val="245"/>
        </w:numPr>
        <w:rPr>
          <w:rFonts w:ascii="Arial" w:cs="Arial" w:eastAsia="Arial" w:hAnsi="Arial"/>
          <w:sz w:val="11"/>
          <w:szCs w:val="11"/>
          <w:color w:val="auto"/>
        </w:rPr>
      </w:pPr>
      <w:r>
        <w:rPr>
          <w:rFonts w:ascii="Arial" w:cs="Arial" w:eastAsia="Arial" w:hAnsi="Arial"/>
          <w:sz w:val="13"/>
          <w:szCs w:val="13"/>
          <w:color w:val="auto"/>
        </w:rPr>
        <w:t>The result of the advisory vote on compensation is not binding on the Board, whether or not the resolution is passed under the standard described above.</w:t>
      </w:r>
    </w:p>
    <w:p>
      <w:pPr>
        <w:sectPr>
          <w:pgSz w:w="11900" w:h="16838" w:orient="portrait"/>
          <w:cols w:equalWidth="0" w:num="1">
            <w:col w:w="11140"/>
          </w:cols>
          <w:pgMar w:left="320" w:top="459" w:right="439" w:bottom="1440" w:gutter="0" w:footer="0" w:header="0"/>
          <w:type w:val="continuous"/>
        </w:sectPr>
      </w:pPr>
    </w:p>
    <w:p>
      <w:pPr>
        <w:spacing w:after="0" w:line="312" w:lineRule="exact"/>
        <w:rPr>
          <w:sz w:val="20"/>
          <w:szCs w:val="20"/>
          <w:color w:val="auto"/>
        </w:rPr>
      </w:pPr>
    </w:p>
    <w:p>
      <w:pPr>
        <w:ind w:left="120"/>
        <w:spacing w:after="0"/>
        <w:rPr>
          <w:sz w:val="20"/>
          <w:szCs w:val="20"/>
          <w:color w:val="auto"/>
        </w:rPr>
      </w:pPr>
      <w:r>
        <w:rPr>
          <w:rFonts w:ascii="Arial" w:cs="Arial" w:eastAsia="Arial" w:hAnsi="Arial"/>
          <w:sz w:val="20"/>
          <w:szCs w:val="20"/>
          <w:color w:val="004876"/>
        </w:rPr>
        <w:t>Is my vote confidential?</w:t>
      </w:r>
    </w:p>
    <w:p>
      <w:pPr>
        <w:spacing w:after="0" w:line="29"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Proxy instructions, ballots and voting tabulations that identify individual shareholders are handled in a manner that protects your voting privacy. JPMorgan Chase will not disclose the proxy instructions or ballots of individual shareholders except to those recording the vote, or as may be required in accordance with appropriate legal process, or as authorized by the shareholder.</w:t>
      </w:r>
    </w:p>
    <w:p>
      <w:pPr>
        <w:spacing w:after="0" w:line="202" w:lineRule="exact"/>
        <w:rPr>
          <w:sz w:val="20"/>
          <w:szCs w:val="20"/>
          <w:color w:val="auto"/>
        </w:rPr>
      </w:pPr>
    </w:p>
    <w:p>
      <w:pPr>
        <w:ind w:left="120" w:right="820"/>
        <w:spacing w:after="0" w:line="236" w:lineRule="auto"/>
        <w:rPr>
          <w:sz w:val="20"/>
          <w:szCs w:val="20"/>
          <w:color w:val="auto"/>
        </w:rPr>
      </w:pPr>
      <w:r>
        <w:rPr>
          <w:rFonts w:ascii="Arial" w:cs="Arial" w:eastAsia="Arial" w:hAnsi="Arial"/>
          <w:sz w:val="20"/>
          <w:szCs w:val="20"/>
          <w:color w:val="004876"/>
        </w:rPr>
        <w:t>Could other matters be decided at the 2020 annual meeting?</w:t>
      </w:r>
    </w:p>
    <w:p>
      <w:pPr>
        <w:spacing w:after="0" w:line="9"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We do not know of any matters that will be considered at the annual meeting other than those described above. If a shareholder proposal that was properly excluded from this proxy statement or is otherwise not properly presented at the meeting is nevertheless brought before the meeting, the Chairman will declare such a proposal out of order, and it will be disregarded. If any other matters arise at the annual meeting that are properly presented at the meeting, the proxies will be voted at the discretion of the proxy holders.</w:t>
      </w:r>
    </w:p>
    <w:p>
      <w:pPr>
        <w:spacing w:after="0" w:line="20" w:lineRule="exact"/>
        <w:rPr>
          <w:sz w:val="20"/>
          <w:szCs w:val="20"/>
          <w:color w:val="auto"/>
        </w:rPr>
      </w:pPr>
      <w:r>
        <w:rPr>
          <w:sz w:val="20"/>
          <w:szCs w:val="20"/>
          <w:color w:val="auto"/>
        </w:rPr>
        <w:br w:type="column"/>
      </w:r>
    </w:p>
    <w:p>
      <w:pPr>
        <w:spacing w:after="0" w:line="292" w:lineRule="exact"/>
        <w:rPr>
          <w:sz w:val="20"/>
          <w:szCs w:val="20"/>
          <w:color w:val="auto"/>
        </w:rPr>
      </w:pPr>
    </w:p>
    <w:p>
      <w:pPr>
        <w:spacing w:after="0"/>
        <w:rPr>
          <w:sz w:val="20"/>
          <w:szCs w:val="20"/>
          <w:color w:val="auto"/>
        </w:rPr>
      </w:pPr>
      <w:r>
        <w:rPr>
          <w:rFonts w:ascii="Arial" w:cs="Arial" w:eastAsia="Arial" w:hAnsi="Arial"/>
          <w:sz w:val="20"/>
          <w:szCs w:val="20"/>
          <w:color w:val="004876"/>
        </w:rPr>
        <w:t>What happens if the meeting is postponed or adjourned?</w:t>
      </w:r>
    </w:p>
    <w:p>
      <w:pPr>
        <w:spacing w:after="0" w:line="29" w:lineRule="exact"/>
        <w:rPr>
          <w:sz w:val="20"/>
          <w:szCs w:val="20"/>
          <w:color w:val="auto"/>
        </w:rPr>
      </w:pPr>
    </w:p>
    <w:p>
      <w:pPr>
        <w:jc w:val="both"/>
        <w:ind w:right="160"/>
        <w:spacing w:after="0"/>
        <w:rPr>
          <w:sz w:val="20"/>
          <w:szCs w:val="20"/>
          <w:color w:val="auto"/>
        </w:rPr>
      </w:pPr>
      <w:r>
        <w:rPr>
          <w:rFonts w:ascii="Arial" w:cs="Arial" w:eastAsia="Arial" w:hAnsi="Arial"/>
          <w:sz w:val="18"/>
          <w:szCs w:val="18"/>
          <w:color w:val="auto"/>
        </w:rPr>
        <w:t>Your proxy will still be good and may be voted at the postponed or adjourned meeting. You will still be able to change or revoke your proxy until it is voted.</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004876"/>
        </w:rPr>
        <w:t>Who counts the votes cast at our annual meeting?</w:t>
      </w:r>
    </w:p>
    <w:p>
      <w:pPr>
        <w:spacing w:after="0" w:line="16"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Representatives of Broadridge Financial Solutions, Inc. will tabulate the votes cast at our annual meeting, and American Election Services, LLC will act as the independent inspector of election.</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color w:val="004876"/>
        </w:rPr>
        <w:t>Where can I find the voting results of our annual meeting?</w:t>
      </w:r>
    </w:p>
    <w:p>
      <w:pPr>
        <w:spacing w:after="0" w:line="29"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We expect to announce the preliminary voting results at our annual meeting. The final voting results will be reported on a Current Report on Form 8-K that will be filed with the SEC and be available on our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816610</wp:posOffset>
            </wp:positionV>
            <wp:extent cx="7029450" cy="19685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029450" cy="196850"/>
                    </a:xfrm>
                    <a:prstGeom prst="rect">
                      <a:avLst/>
                    </a:prstGeom>
                    <a:noFill/>
                  </pic:spPr>
                </pic:pic>
              </a:graphicData>
            </a:graphic>
          </wp:anchor>
        </w:drawing>
      </w:r>
    </w:p>
    <w:p>
      <w:pPr>
        <w:spacing w:after="0" w:line="954" w:lineRule="exact"/>
        <w:rPr>
          <w:sz w:val="20"/>
          <w:szCs w:val="20"/>
          <w:color w:val="auto"/>
        </w:rPr>
      </w:pPr>
    </w:p>
    <w:p>
      <w:pPr>
        <w:sectPr>
          <w:pgSz w:w="11900" w:h="16838" w:orient="portrait"/>
          <w:cols w:equalWidth="0" w:num="2">
            <w:col w:w="5400" w:space="340"/>
            <w:col w:w="5400"/>
          </w:cols>
          <w:pgMar w:left="320" w:top="459" w:right="439" w:bottom="1440" w:gutter="0" w:footer="0" w:header="0"/>
          <w:type w:val="continuous"/>
        </w:sectPr>
      </w:pPr>
    </w:p>
    <w:p>
      <w:pPr>
        <w:spacing w:after="0" w:line="200" w:lineRule="exact"/>
        <w:rPr>
          <w:sz w:val="20"/>
          <w:szCs w:val="20"/>
          <w:color w:val="auto"/>
        </w:rPr>
      </w:pPr>
    </w:p>
    <w:p>
      <w:pPr>
        <w:spacing w:after="0" w:line="209" w:lineRule="exact"/>
        <w:rPr>
          <w:sz w:val="20"/>
          <w:szCs w:val="20"/>
          <w:color w:val="auto"/>
        </w:rPr>
      </w:pPr>
    </w:p>
    <w:p>
      <w:pPr>
        <w:jc w:val="center"/>
        <w:ind w:right="-119"/>
        <w:spacing w:after="0"/>
        <w:rPr>
          <w:sz w:val="20"/>
          <w:szCs w:val="20"/>
          <w:color w:val="auto"/>
        </w:rPr>
      </w:pPr>
      <w:r>
        <w:rPr>
          <w:rFonts w:ascii="Arial" w:cs="Arial" w:eastAsia="Arial" w:hAnsi="Arial"/>
          <w:sz w:val="13"/>
          <w:szCs w:val="13"/>
          <w:b w:val="1"/>
          <w:bCs w:val="1"/>
          <w:color w:val="004876"/>
        </w:rPr>
        <w:t>110</w:t>
      </w:r>
    </w:p>
    <w:p>
      <w:pPr>
        <w:sectPr>
          <w:pgSz w:w="11900" w:h="16838" w:orient="portrait"/>
          <w:cols w:equalWidth="0" w:num="1">
            <w:col w:w="11140"/>
          </w:cols>
          <w:pgMar w:left="320" w:top="459" w:right="439" w:bottom="1440" w:gutter="0" w:footer="0" w:header="0"/>
          <w:type w:val="continuous"/>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04876"/>
        </w:rPr>
        <w:t>INFORMATION ABOUT THE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20"/>
          </w:cols>
          <w:pgMar w:left="320" w:top="459" w:right="459" w:bottom="1440" w:gutter="0" w:footer="0" w:header="0"/>
        </w:sectPr>
      </w:pPr>
    </w:p>
    <w:p>
      <w:pPr>
        <w:spacing w:after="0" w:line="384" w:lineRule="exact"/>
        <w:rPr>
          <w:sz w:val="20"/>
          <w:szCs w:val="20"/>
          <w:color w:val="auto"/>
        </w:rPr>
      </w:pPr>
    </w:p>
    <w:p>
      <w:pPr>
        <w:ind w:left="120"/>
        <w:spacing w:after="0"/>
        <w:rPr>
          <w:sz w:val="20"/>
          <w:szCs w:val="20"/>
          <w:color w:val="auto"/>
        </w:rPr>
      </w:pPr>
      <w:r>
        <w:rPr>
          <w:rFonts w:ascii="Arial" w:cs="Arial" w:eastAsia="Arial" w:hAnsi="Arial"/>
          <w:sz w:val="20"/>
          <w:szCs w:val="20"/>
          <w:color w:val="004876"/>
        </w:rPr>
        <w:t>Who is paying the costs of this proxy solicitation?</w:t>
      </w:r>
    </w:p>
    <w:p>
      <w:pPr>
        <w:spacing w:after="0" w:line="29" w:lineRule="exact"/>
        <w:rPr>
          <w:sz w:val="20"/>
          <w:szCs w:val="20"/>
          <w:color w:val="auto"/>
        </w:rPr>
      </w:pPr>
    </w:p>
    <w:p>
      <w:pPr>
        <w:ind w:left="120"/>
        <w:spacing w:after="0" w:line="253" w:lineRule="auto"/>
        <w:rPr>
          <w:sz w:val="20"/>
          <w:szCs w:val="20"/>
          <w:color w:val="auto"/>
        </w:rPr>
      </w:pPr>
      <w:r>
        <w:rPr>
          <w:rFonts w:ascii="Arial" w:cs="Arial" w:eastAsia="Arial" w:hAnsi="Arial"/>
          <w:sz w:val="17"/>
          <w:szCs w:val="17"/>
          <w:color w:val="auto"/>
        </w:rPr>
        <w:t>JPMorgan Chase is paying the costs of the solicitation of proxies. JPMorgan Chase has retained MacKenzie Partners, Inc. to assist in the distribution of proxy materials and the solicitation of proxies from brokerage firms, banks, broker-dealers and other similar organizations representing beneficial owners of shares. We have agreed to pay MacKenzie Partners a fee of approximately $50,000 plus reimbursement of certain out-of-pocket expenses.</w:t>
      </w:r>
    </w:p>
    <w:p>
      <w:pPr>
        <w:spacing w:after="0" w:line="83" w:lineRule="exact"/>
        <w:rPr>
          <w:sz w:val="20"/>
          <w:szCs w:val="20"/>
          <w:color w:val="auto"/>
        </w:rPr>
      </w:pPr>
    </w:p>
    <w:p>
      <w:pPr>
        <w:ind w:left="120" w:right="100"/>
        <w:spacing w:after="0"/>
        <w:rPr>
          <w:sz w:val="20"/>
          <w:szCs w:val="20"/>
          <w:color w:val="auto"/>
        </w:rPr>
      </w:pPr>
      <w:r>
        <w:rPr>
          <w:rFonts w:ascii="Arial" w:cs="Arial" w:eastAsia="Arial" w:hAnsi="Arial"/>
          <w:sz w:val="18"/>
          <w:szCs w:val="18"/>
          <w:color w:val="auto"/>
        </w:rPr>
        <w:t>JPMorgan Chase must also pay brokerage firms, banks, broker-dealers and other similar organizations representing beneficial owners certain fees associated with:</w:t>
      </w:r>
    </w:p>
    <w:p>
      <w:pPr>
        <w:spacing w:after="0" w:line="108" w:lineRule="exact"/>
        <w:rPr>
          <w:sz w:val="20"/>
          <w:szCs w:val="20"/>
          <w:color w:val="auto"/>
        </w:rPr>
      </w:pPr>
    </w:p>
    <w:p>
      <w:pPr>
        <w:ind w:left="300" w:right="500" w:hanging="184"/>
        <w:spacing w:after="0" w:line="246" w:lineRule="auto"/>
        <w:tabs>
          <w:tab w:leader="none" w:pos="300" w:val="left"/>
        </w:tabs>
        <w:numPr>
          <w:ilvl w:val="0"/>
          <w:numId w:val="246"/>
        </w:numPr>
        <w:rPr>
          <w:rFonts w:ascii="Arial" w:cs="Arial" w:eastAsia="Arial" w:hAnsi="Arial"/>
          <w:sz w:val="18"/>
          <w:szCs w:val="18"/>
          <w:color w:val="004876"/>
        </w:rPr>
      </w:pPr>
      <w:r>
        <w:rPr>
          <w:rFonts w:ascii="Arial" w:cs="Arial" w:eastAsia="Arial" w:hAnsi="Arial"/>
          <w:sz w:val="18"/>
          <w:szCs w:val="18"/>
          <w:color w:val="auto"/>
        </w:rPr>
        <w:t>Forwarding the Notice of Internet Availability to beneficial owners;</w:t>
      </w:r>
    </w:p>
    <w:p>
      <w:pPr>
        <w:spacing w:after="0" w:line="102" w:lineRule="exact"/>
        <w:rPr>
          <w:rFonts w:ascii="Arial" w:cs="Arial" w:eastAsia="Arial" w:hAnsi="Arial"/>
          <w:sz w:val="18"/>
          <w:szCs w:val="18"/>
          <w:color w:val="004876"/>
        </w:rPr>
      </w:pPr>
    </w:p>
    <w:p>
      <w:pPr>
        <w:ind w:left="300" w:hanging="184"/>
        <w:spacing w:after="0" w:line="246" w:lineRule="auto"/>
        <w:tabs>
          <w:tab w:leader="none" w:pos="300" w:val="left"/>
        </w:tabs>
        <w:numPr>
          <w:ilvl w:val="0"/>
          <w:numId w:val="246"/>
        </w:numPr>
        <w:rPr>
          <w:rFonts w:ascii="Arial" w:cs="Arial" w:eastAsia="Arial" w:hAnsi="Arial"/>
          <w:sz w:val="18"/>
          <w:szCs w:val="18"/>
          <w:color w:val="004876"/>
        </w:rPr>
      </w:pPr>
      <w:r>
        <w:rPr>
          <w:rFonts w:ascii="Arial" w:cs="Arial" w:eastAsia="Arial" w:hAnsi="Arial"/>
          <w:sz w:val="18"/>
          <w:szCs w:val="18"/>
          <w:color w:val="auto"/>
        </w:rPr>
        <w:t>Forwarding printed proxy materials by mail to beneficial owners who specifically request them; and</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ind w:left="166" w:hanging="166"/>
        <w:spacing w:after="0"/>
        <w:tabs>
          <w:tab w:leader="none" w:pos="166" w:val="left"/>
        </w:tabs>
        <w:numPr>
          <w:ilvl w:val="0"/>
          <w:numId w:val="247"/>
        </w:numPr>
        <w:rPr>
          <w:rFonts w:ascii="Arial" w:cs="Arial" w:eastAsia="Arial" w:hAnsi="Arial"/>
          <w:sz w:val="18"/>
          <w:szCs w:val="18"/>
          <w:color w:val="004876"/>
        </w:rPr>
      </w:pPr>
      <w:r>
        <w:rPr>
          <w:rFonts w:ascii="Arial" w:cs="Arial" w:eastAsia="Arial" w:hAnsi="Arial"/>
          <w:sz w:val="18"/>
          <w:szCs w:val="18"/>
          <w:color w:val="auto"/>
        </w:rPr>
        <w:t>Obtaining beneficial owners’ voting instructions.</w:t>
      </w:r>
    </w:p>
    <w:p>
      <w:pPr>
        <w:spacing w:after="0" w:line="104" w:lineRule="exact"/>
        <w:rPr>
          <w:sz w:val="20"/>
          <w:szCs w:val="20"/>
          <w:color w:val="auto"/>
        </w:rPr>
      </w:pPr>
    </w:p>
    <w:p>
      <w:pPr>
        <w:ind w:left="6" w:right="40"/>
        <w:spacing w:after="0" w:line="238" w:lineRule="auto"/>
        <w:rPr>
          <w:sz w:val="20"/>
          <w:szCs w:val="20"/>
          <w:color w:val="auto"/>
        </w:rPr>
      </w:pPr>
      <w:r>
        <w:rPr>
          <w:rFonts w:ascii="Arial" w:cs="Arial" w:eastAsia="Arial" w:hAnsi="Arial"/>
          <w:sz w:val="18"/>
          <w:szCs w:val="18"/>
          <w:color w:val="auto"/>
        </w:rPr>
        <w:t>In addition to solicitations by mail, the persons who will be serving as the proxies and JPMorgan Chase’s directors, officers and employees may solicit, without additional compensation, proxies on JPMorgan Chase’s behalf in person, by phone or by electronic communication.</w:t>
      </w:r>
    </w:p>
    <w:p>
      <w:pPr>
        <w:spacing w:after="0" w:line="199" w:lineRule="exact"/>
        <w:rPr>
          <w:sz w:val="20"/>
          <w:szCs w:val="20"/>
          <w:color w:val="auto"/>
        </w:rPr>
      </w:pPr>
    </w:p>
    <w:p>
      <w:pPr>
        <w:ind w:left="6"/>
        <w:spacing w:after="0"/>
        <w:rPr>
          <w:sz w:val="20"/>
          <w:szCs w:val="20"/>
          <w:color w:val="auto"/>
        </w:rPr>
      </w:pPr>
      <w:r>
        <w:rPr>
          <w:rFonts w:ascii="Arial" w:cs="Arial" w:eastAsia="Arial" w:hAnsi="Arial"/>
          <w:sz w:val="20"/>
          <w:szCs w:val="20"/>
          <w:color w:val="004876"/>
        </w:rPr>
        <w:t>How do I inspect the list of shareholders of record?</w:t>
      </w:r>
    </w:p>
    <w:p>
      <w:pPr>
        <w:spacing w:after="0" w:line="25" w:lineRule="exact"/>
        <w:rPr>
          <w:sz w:val="20"/>
          <w:szCs w:val="20"/>
          <w:color w:val="auto"/>
        </w:rPr>
      </w:pPr>
    </w:p>
    <w:p>
      <w:pPr>
        <w:ind w:left="6"/>
        <w:spacing w:after="0"/>
        <w:rPr>
          <w:sz w:val="20"/>
          <w:szCs w:val="20"/>
          <w:color w:val="auto"/>
        </w:rPr>
      </w:pPr>
      <w:r>
        <w:rPr>
          <w:rFonts w:ascii="Arial" w:cs="Arial" w:eastAsia="Arial" w:hAnsi="Arial"/>
          <w:sz w:val="18"/>
          <w:szCs w:val="18"/>
          <w:color w:val="auto"/>
        </w:rPr>
        <w:t>A list of shareholders of record as of March 20, 2020 will be</w:t>
      </w:r>
    </w:p>
    <w:p>
      <w:pPr>
        <w:ind w:left="6"/>
        <w:spacing w:after="0" w:line="234" w:lineRule="auto"/>
        <w:rPr>
          <w:sz w:val="20"/>
          <w:szCs w:val="20"/>
          <w:color w:val="auto"/>
        </w:rPr>
      </w:pPr>
      <w:r>
        <w:rPr>
          <w:rFonts w:ascii="Arial" w:cs="Arial" w:eastAsia="Arial" w:hAnsi="Arial"/>
          <w:sz w:val="18"/>
          <w:szCs w:val="18"/>
          <w:color w:val="auto"/>
        </w:rPr>
        <w:t>available for inspection during ordinary business hours at our</w:t>
      </w:r>
    </w:p>
    <w:p>
      <w:pPr>
        <w:ind w:left="6"/>
        <w:spacing w:after="0" w:line="235" w:lineRule="auto"/>
        <w:rPr>
          <w:sz w:val="20"/>
          <w:szCs w:val="20"/>
          <w:color w:val="auto"/>
        </w:rPr>
      </w:pPr>
      <w:r>
        <w:rPr>
          <w:rFonts w:ascii="Arial" w:cs="Arial" w:eastAsia="Arial" w:hAnsi="Arial"/>
          <w:sz w:val="18"/>
          <w:szCs w:val="18"/>
          <w:color w:val="auto"/>
        </w:rPr>
        <w:t>offices at 383 Madison Avenue, New York, NY 10017-0001, from</w:t>
      </w:r>
    </w:p>
    <w:p>
      <w:pPr>
        <w:ind w:left="6"/>
        <w:spacing w:after="0" w:line="235" w:lineRule="auto"/>
        <w:rPr>
          <w:sz w:val="20"/>
          <w:szCs w:val="20"/>
          <w:color w:val="auto"/>
        </w:rPr>
      </w:pPr>
      <w:r>
        <w:rPr>
          <w:rFonts w:ascii="Arial" w:cs="Arial" w:eastAsia="Arial" w:hAnsi="Arial"/>
          <w:sz w:val="18"/>
          <w:szCs w:val="18"/>
          <w:color w:val="auto"/>
        </w:rPr>
        <w:t>May 9, 2020, to May 18, 2020. Please contact the Office of the</w:t>
      </w:r>
    </w:p>
    <w:p>
      <w:pPr>
        <w:ind w:left="6"/>
        <w:spacing w:after="0" w:line="235" w:lineRule="auto"/>
        <w:rPr>
          <w:sz w:val="20"/>
          <w:szCs w:val="20"/>
          <w:color w:val="auto"/>
        </w:rPr>
      </w:pPr>
      <w:r>
        <w:rPr>
          <w:rFonts w:ascii="Arial" w:cs="Arial" w:eastAsia="Arial" w:hAnsi="Arial"/>
          <w:sz w:val="18"/>
          <w:szCs w:val="18"/>
          <w:color w:val="auto"/>
        </w:rPr>
        <w:t>Secretary by sending an email to</w:t>
      </w:r>
    </w:p>
    <w:p>
      <w:pPr>
        <w:ind w:left="6"/>
        <w:spacing w:after="0" w:line="235" w:lineRule="auto"/>
        <w:rPr>
          <w:sz w:val="20"/>
          <w:szCs w:val="20"/>
          <w:color w:val="auto"/>
        </w:rPr>
      </w:pPr>
      <w:r>
        <w:rPr>
          <w:rFonts w:ascii="Arial" w:cs="Arial" w:eastAsia="Arial" w:hAnsi="Arial"/>
          <w:sz w:val="18"/>
          <w:szCs w:val="18"/>
          <w:color w:val="auto"/>
        </w:rPr>
        <w:t>corporate.secretary@jpmchase.com if you wish to inspect the list</w:t>
      </w:r>
    </w:p>
    <w:p>
      <w:pPr>
        <w:ind w:left="6"/>
        <w:spacing w:after="0" w:line="234" w:lineRule="auto"/>
        <w:rPr>
          <w:sz w:val="20"/>
          <w:szCs w:val="20"/>
          <w:color w:val="auto"/>
        </w:rPr>
      </w:pPr>
      <w:r>
        <w:rPr>
          <w:rFonts w:ascii="Arial" w:cs="Arial" w:eastAsia="Arial" w:hAnsi="Arial"/>
          <w:sz w:val="18"/>
          <w:szCs w:val="18"/>
          <w:color w:val="auto"/>
        </w:rPr>
        <w:t>prior to the annual meeting. To access the list during the annual</w:t>
      </w:r>
    </w:p>
    <w:p>
      <w:pPr>
        <w:ind w:left="6"/>
        <w:spacing w:after="0" w:line="235" w:lineRule="auto"/>
        <w:rPr>
          <w:sz w:val="20"/>
          <w:szCs w:val="20"/>
          <w:color w:val="auto"/>
        </w:rPr>
      </w:pPr>
      <w:r>
        <w:rPr>
          <w:rFonts w:ascii="Arial" w:cs="Arial" w:eastAsia="Arial" w:hAnsi="Arial"/>
          <w:sz w:val="18"/>
          <w:szCs w:val="18"/>
          <w:color w:val="auto"/>
        </w:rPr>
        <w:t>meeting, please visit</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color w:val="auto"/>
        </w:rPr>
        <w:t>www.virtualshareholdermeeting.com/JPM2020.</w:t>
      </w:r>
    </w:p>
    <w:p>
      <w:pPr>
        <w:spacing w:after="0" w:line="200" w:lineRule="exact"/>
        <w:rPr>
          <w:sz w:val="20"/>
          <w:szCs w:val="20"/>
          <w:color w:val="auto"/>
        </w:rPr>
      </w:pPr>
    </w:p>
    <w:p>
      <w:pPr>
        <w:sectPr>
          <w:pgSz w:w="11900" w:h="16838" w:orient="portrait"/>
          <w:cols w:equalWidth="0" w:num="2">
            <w:col w:w="5320" w:space="414"/>
            <w:col w:w="5386"/>
          </w:cols>
          <w:pgMar w:left="320" w:top="459" w:right="459" w:bottom="1440" w:gutter="0" w:footer="0" w:header="0"/>
          <w:type w:val="continuous"/>
        </w:sectPr>
      </w:pPr>
    </w:p>
    <w:p>
      <w:pPr>
        <w:spacing w:after="0" w:line="184" w:lineRule="exact"/>
        <w:rPr>
          <w:sz w:val="20"/>
          <w:szCs w:val="20"/>
          <w:color w:val="auto"/>
        </w:rPr>
      </w:pPr>
    </w:p>
    <w:p>
      <w:pPr>
        <w:ind w:left="120"/>
        <w:spacing w:after="0"/>
        <w:rPr>
          <w:sz w:val="20"/>
          <w:szCs w:val="20"/>
          <w:color w:val="auto"/>
        </w:rPr>
      </w:pPr>
      <w:r>
        <w:rPr>
          <w:rFonts w:ascii="Arial" w:cs="Arial" w:eastAsia="Arial" w:hAnsi="Arial"/>
          <w:sz w:val="28"/>
          <w:szCs w:val="28"/>
          <w:color w:val="004876"/>
        </w:rPr>
        <w:t>Information about paper and electronic delivery of proxy materials</w:t>
      </w:r>
    </w:p>
    <w:p>
      <w:pPr>
        <w:sectPr>
          <w:pgSz w:w="11900" w:h="16838" w:orient="portrait"/>
          <w:cols w:equalWidth="0" w:num="1">
            <w:col w:w="11120"/>
          </w:cols>
          <w:pgMar w:left="320" w:top="459" w:right="459" w:bottom="1440" w:gutter="0" w:footer="0" w:header="0"/>
          <w:type w:val="continuous"/>
        </w:sectPr>
      </w:pPr>
    </w:p>
    <w:p>
      <w:pPr>
        <w:spacing w:after="0" w:line="194"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JPMorgan Chase uses the SEC rule commonly known as “Notice and Access” that permits companies to furnish proxy materials to our shareholders over the Internet. This process enables us to expedite delivery of materials to our shareholders and reduces the costs to us of printing and mailing paper proxy materials.</w:t>
      </w:r>
    </w:p>
    <w:p>
      <w:pPr>
        <w:spacing w:after="0" w:line="9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accordance with the Notice and Access rules, on or about April 6, 2020, we sent those current shareholders of record on March 20, 2020, the Record Date for the annual meeting, a Notice. The Notice contains instructions on how to access our proxy statement and annual report online. If you received a Notice, you will not receive a printed copy of the proxy materials in the mail.</w:t>
      </w:r>
    </w:p>
    <w:p>
      <w:pPr>
        <w:spacing w:after="0" w:line="284" w:lineRule="exact"/>
        <w:rPr>
          <w:sz w:val="20"/>
          <w:szCs w:val="20"/>
          <w:color w:val="auto"/>
        </w:rPr>
      </w:pPr>
    </w:p>
    <w:p>
      <w:pPr>
        <w:jc w:val="both"/>
        <w:ind w:left="120" w:right="140"/>
        <w:spacing w:after="0"/>
        <w:rPr>
          <w:sz w:val="20"/>
          <w:szCs w:val="20"/>
          <w:color w:val="auto"/>
        </w:rPr>
      </w:pPr>
      <w:r>
        <w:rPr>
          <w:rFonts w:ascii="Arial" w:cs="Arial" w:eastAsia="Arial" w:hAnsi="Arial"/>
          <w:sz w:val="18"/>
          <w:szCs w:val="18"/>
          <w:color w:val="auto"/>
        </w:rPr>
        <w:t>If you received a Notice, and would like to receive copies of our proxy materials in print by mail, or electronically by email, please follow the instructions in the Notice.</w:t>
      </w:r>
    </w:p>
    <w:p>
      <w:pPr>
        <w:spacing w:after="0" w:line="95"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Shareholders who do not receive the Notice will receive either by mail a paper, or by email an electronic, copy of our proxy statement and 2019 Annual Report to Shareholders, which will be sent on or about April 6, 2020.</w:t>
      </w:r>
    </w:p>
    <w:p>
      <w:pPr>
        <w:spacing w:after="0" w:line="202" w:lineRule="exact"/>
        <w:rPr>
          <w:sz w:val="20"/>
          <w:szCs w:val="20"/>
          <w:color w:val="auto"/>
        </w:rPr>
      </w:pPr>
    </w:p>
    <w:p>
      <w:pPr>
        <w:ind w:left="120"/>
        <w:spacing w:after="0"/>
        <w:rPr>
          <w:sz w:val="20"/>
          <w:szCs w:val="20"/>
          <w:color w:val="auto"/>
        </w:rPr>
      </w:pPr>
      <w:r>
        <w:rPr>
          <w:rFonts w:ascii="Arial" w:cs="Arial" w:eastAsia="Arial" w:hAnsi="Arial"/>
          <w:sz w:val="20"/>
          <w:szCs w:val="20"/>
          <w:color w:val="004876"/>
        </w:rPr>
        <w:t>How can I obtain an additional proxy card?</w:t>
      </w:r>
    </w:p>
    <w:p>
      <w:pPr>
        <w:spacing w:after="0" w:line="16"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Shareholders of record can contact the Office of the Secretary by sending an email to corporate.secretary@jpmchase.com or calling (212) 270-6000.</w:t>
      </w:r>
    </w:p>
    <w:p>
      <w:pPr>
        <w:spacing w:after="0" w:line="95" w:lineRule="exact"/>
        <w:rPr>
          <w:sz w:val="20"/>
          <w:szCs w:val="20"/>
          <w:color w:val="auto"/>
        </w:rPr>
      </w:pPr>
    </w:p>
    <w:p>
      <w:pPr>
        <w:ind w:left="120" w:right="20"/>
        <w:spacing w:after="0" w:line="261" w:lineRule="auto"/>
        <w:rPr>
          <w:sz w:val="20"/>
          <w:szCs w:val="20"/>
          <w:color w:val="auto"/>
        </w:rPr>
      </w:pPr>
      <w:r>
        <w:rPr>
          <w:rFonts w:ascii="Arial" w:cs="Arial" w:eastAsia="Arial" w:hAnsi="Arial"/>
          <w:sz w:val="17"/>
          <w:szCs w:val="17"/>
          <w:color w:val="auto"/>
        </w:rPr>
        <w:t>If you hold your shares of common stock in street name, contact your account representative at the bank, brokerage firm, broker-dealer or similar organization through which you hold your shares.</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004876"/>
        </w:rPr>
        <w:t>How do I sign up for electronic delivery of proxy materials?</w:t>
      </w:r>
    </w:p>
    <w:p>
      <w:pPr>
        <w:spacing w:after="0" w:line="1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This proxy statement and our 2019 Annual Report to Shareholders are available on our website at: jpmorganchase.com. If you would like to help reduce the environmental impact of our annual meetings and our costs of printing and mailing future materials, you can agree to access these documents in the future over the Internet rather than receiving printed copies in the mail. For your convenience, you may find links to sign up for electronic delivery for both shareholders of record and beneficial owners who hold shares in street name at https://enroll.icsdelivery.com/jpm.</w:t>
      </w:r>
    </w:p>
    <w:p>
      <w:pPr>
        <w:spacing w:after="0" w:line="99" w:lineRule="exact"/>
        <w:rPr>
          <w:sz w:val="20"/>
          <w:szCs w:val="20"/>
          <w:color w:val="auto"/>
        </w:rPr>
      </w:pPr>
    </w:p>
    <w:p>
      <w:pPr>
        <w:ind w:right="460"/>
        <w:spacing w:after="0" w:line="246" w:lineRule="auto"/>
        <w:rPr>
          <w:sz w:val="20"/>
          <w:szCs w:val="20"/>
          <w:color w:val="auto"/>
        </w:rPr>
      </w:pPr>
      <w:r>
        <w:rPr>
          <w:rFonts w:ascii="Arial" w:cs="Arial" w:eastAsia="Arial" w:hAnsi="Arial"/>
          <w:sz w:val="18"/>
          <w:szCs w:val="18"/>
          <w:color w:val="auto"/>
        </w:rPr>
        <w:t>Once you sign up, you will continue to receive proxy materials electronically until you revoke this preference.</w:t>
      </w:r>
    </w:p>
    <w:p>
      <w:pPr>
        <w:spacing w:after="0" w:line="194" w:lineRule="exact"/>
        <w:rPr>
          <w:sz w:val="20"/>
          <w:szCs w:val="20"/>
          <w:color w:val="auto"/>
        </w:rPr>
      </w:pPr>
    </w:p>
    <w:p>
      <w:pPr>
        <w:ind w:right="340"/>
        <w:spacing w:after="0" w:line="247" w:lineRule="auto"/>
        <w:rPr>
          <w:sz w:val="20"/>
          <w:szCs w:val="20"/>
          <w:color w:val="auto"/>
        </w:rPr>
      </w:pPr>
      <w:r>
        <w:rPr>
          <w:rFonts w:ascii="Arial" w:cs="Arial" w:eastAsia="Arial" w:hAnsi="Arial"/>
          <w:sz w:val="19"/>
          <w:szCs w:val="19"/>
          <w:color w:val="004876"/>
        </w:rPr>
        <w:t>I share an address with another shareholder, and we received only one paper copy of the proxy materials. How can I obtain an additional copy of the proxy materials?</w:t>
      </w:r>
    </w:p>
    <w:p>
      <w:pPr>
        <w:spacing w:after="0" w:line="17"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JPMorgan Chase has adopted a procedure called “householding”. Under this procedure, JPMorgan Chase may deliver a single copy of the proxy statement and annual report to multiple shareholders who share the same address, unless we have received contrary instructions from one or more of the shareholders. Each shareholder continues to receive a separate proxy card. This procedure reduces the environmental impact of our annual meetings and our printing and mailing costs.</w:t>
      </w:r>
    </w:p>
    <w:p>
      <w:pPr>
        <w:spacing w:after="0" w:line="100"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If your household received a single set of proxy materials, but you prefer to receive a separate copy of the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545465</wp:posOffset>
            </wp:positionV>
            <wp:extent cx="7029450" cy="19685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029450" cy="196850"/>
                    </a:xfrm>
                    <a:prstGeom prst="rect">
                      <a:avLst/>
                    </a:prstGeom>
                    <a:noFill/>
                  </pic:spPr>
                </pic:pic>
              </a:graphicData>
            </a:graphic>
          </wp:anchor>
        </w:drawing>
      </w:r>
    </w:p>
    <w:p>
      <w:pPr>
        <w:spacing w:after="0" w:line="548" w:lineRule="exact"/>
        <w:rPr>
          <w:sz w:val="20"/>
          <w:szCs w:val="20"/>
          <w:color w:val="auto"/>
        </w:rPr>
      </w:pPr>
    </w:p>
    <w:p>
      <w:pPr>
        <w:sectPr>
          <w:pgSz w:w="11900" w:h="16838" w:orient="portrait"/>
          <w:cols w:equalWidth="0" w:num="2">
            <w:col w:w="5380" w:space="360"/>
            <w:col w:w="5380"/>
          </w:cols>
          <w:pgMar w:left="320" w:top="459" w:right="459" w:bottom="1440" w:gutter="0" w:footer="0" w:header="0"/>
          <w:type w:val="continuous"/>
        </w:sectPr>
      </w:pPr>
    </w:p>
    <w:p>
      <w:pPr>
        <w:spacing w:after="0" w:line="388" w:lineRule="exact"/>
        <w:rPr>
          <w:sz w:val="20"/>
          <w:szCs w:val="20"/>
          <w:color w:val="auto"/>
        </w:rPr>
      </w:pPr>
    </w:p>
    <w:p>
      <w:pPr>
        <w:jc w:val="center"/>
        <w:ind w:right="-139"/>
        <w:spacing w:after="0"/>
        <w:rPr>
          <w:sz w:val="20"/>
          <w:szCs w:val="20"/>
          <w:color w:val="auto"/>
        </w:rPr>
      </w:pPr>
      <w:r>
        <w:rPr>
          <w:rFonts w:ascii="Arial" w:cs="Arial" w:eastAsia="Arial" w:hAnsi="Arial"/>
          <w:sz w:val="13"/>
          <w:szCs w:val="13"/>
          <w:b w:val="1"/>
          <w:bCs w:val="1"/>
          <w:color w:val="004876"/>
        </w:rPr>
        <w:t>111</w:t>
      </w:r>
    </w:p>
    <w:p>
      <w:pPr>
        <w:sectPr>
          <w:pgSz w:w="11900" w:h="16838" w:orient="portrait"/>
          <w:cols w:equalWidth="0" w:num="1">
            <w:col w:w="11120"/>
          </w:cols>
          <w:pgMar w:left="320" w:top="459" w:right="459" w:bottom="1440" w:gutter="0" w:footer="0" w:header="0"/>
          <w:type w:val="continuous"/>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4876"/>
        </w:rPr>
        <w:t>INFORMATION ABOUT THE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82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387" w:lineRule="exact"/>
        <w:rPr>
          <w:sz w:val="20"/>
          <w:szCs w:val="20"/>
          <w:color w:val="auto"/>
        </w:rPr>
      </w:pPr>
    </w:p>
    <w:p>
      <w:pPr>
        <w:ind w:left="120" w:right="320"/>
        <w:spacing w:after="0" w:line="248" w:lineRule="auto"/>
        <w:rPr>
          <w:sz w:val="20"/>
          <w:szCs w:val="20"/>
          <w:color w:val="auto"/>
        </w:rPr>
      </w:pPr>
      <w:r>
        <w:rPr>
          <w:rFonts w:ascii="Arial" w:cs="Arial" w:eastAsia="Arial" w:hAnsi="Arial"/>
          <w:sz w:val="17"/>
          <w:szCs w:val="17"/>
          <w:color w:val="auto"/>
        </w:rPr>
        <w:t>statement and 2019 Annual Report, you may contact the Secretary at: JPMorgan Chase &amp; Co., Office of the Secretary,</w:t>
      </w:r>
    </w:p>
    <w:p>
      <w:pPr>
        <w:spacing w:after="0" w:line="1" w:lineRule="exact"/>
        <w:rPr>
          <w:sz w:val="20"/>
          <w:szCs w:val="20"/>
          <w:color w:val="auto"/>
        </w:rPr>
      </w:pPr>
    </w:p>
    <w:p>
      <w:pPr>
        <w:ind w:left="120" w:right="140"/>
        <w:spacing w:after="0" w:line="234" w:lineRule="auto"/>
        <w:rPr>
          <w:sz w:val="20"/>
          <w:szCs w:val="20"/>
          <w:color w:val="auto"/>
        </w:rPr>
      </w:pPr>
      <w:r>
        <w:rPr>
          <w:rFonts w:ascii="Arial" w:cs="Arial" w:eastAsia="Arial" w:hAnsi="Arial"/>
          <w:sz w:val="18"/>
          <w:szCs w:val="18"/>
          <w:color w:val="auto"/>
        </w:rPr>
        <w:t>4 New York Plaza, New York, NY 10004-2413, or by sending an email to the Office of the Secretary at corporate.secretary@jpmchase.com or by calling us at</w:t>
      </w:r>
    </w:p>
    <w:p>
      <w:pPr>
        <w:spacing w:after="0" w:line="2" w:lineRule="exact"/>
        <w:rPr>
          <w:sz w:val="20"/>
          <w:szCs w:val="20"/>
          <w:color w:val="auto"/>
        </w:rPr>
      </w:pPr>
    </w:p>
    <w:p>
      <w:pPr>
        <w:ind w:left="120" w:right="440"/>
        <w:spacing w:after="0" w:line="246" w:lineRule="auto"/>
        <w:rPr>
          <w:sz w:val="20"/>
          <w:szCs w:val="20"/>
          <w:color w:val="auto"/>
        </w:rPr>
      </w:pPr>
      <w:r>
        <w:rPr>
          <w:rFonts w:ascii="Arial" w:cs="Arial" w:eastAsia="Arial" w:hAnsi="Arial"/>
          <w:sz w:val="18"/>
          <w:szCs w:val="18"/>
          <w:color w:val="auto"/>
        </w:rPr>
        <w:t>212-270-6000 and these documents will be delivered to you promptly upon receiving the request.</w:t>
      </w:r>
    </w:p>
    <w:p>
      <w:pPr>
        <w:spacing w:after="0" w:line="89"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Alternatively, if you are receiving more than one copy of the proxy materials at a single address and would like to participate in “householding”, please contact Broadridge Financial Services at 1-866-540-7095. If you are a</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ind w:right="380"/>
        <w:spacing w:after="0"/>
        <w:rPr>
          <w:sz w:val="20"/>
          <w:szCs w:val="20"/>
          <w:color w:val="auto"/>
        </w:rPr>
      </w:pPr>
      <w:r>
        <w:rPr>
          <w:rFonts w:ascii="Arial" w:cs="Arial" w:eastAsia="Arial" w:hAnsi="Arial"/>
          <w:sz w:val="18"/>
          <w:szCs w:val="18"/>
          <w:color w:val="auto"/>
        </w:rPr>
        <w:t>beneficial owner who holds shares in street name, contact your bank, brokerage firm, broker-dealer or similar organization to request information about householding.</w:t>
      </w:r>
    </w:p>
    <w:p>
      <w:pPr>
        <w:spacing w:after="0" w:line="95" w:lineRule="exact"/>
        <w:rPr>
          <w:sz w:val="20"/>
          <w:szCs w:val="20"/>
          <w:color w:val="auto"/>
        </w:rPr>
      </w:pPr>
    </w:p>
    <w:p>
      <w:pPr>
        <w:ind w:right="160"/>
        <w:spacing w:after="0" w:line="253" w:lineRule="auto"/>
        <w:rPr>
          <w:sz w:val="20"/>
          <w:szCs w:val="20"/>
          <w:color w:val="auto"/>
        </w:rPr>
      </w:pPr>
      <w:r>
        <w:rPr>
          <w:rFonts w:ascii="Arial" w:cs="Arial" w:eastAsia="Arial" w:hAnsi="Arial"/>
          <w:sz w:val="17"/>
          <w:szCs w:val="17"/>
          <w:color w:val="auto"/>
        </w:rPr>
        <w:t>You may change your householding preferences at any time, by contacting Broadridge Financial Services at 1-866-540-7095 or by sending a written request to Broadridge Financial Services, Inc., Householding Department, 51 Mercedes Way, Edgewood, NY 11717, or by contacting the bank, brokerage firm, broker-dealer or similar organization through which you hold your shares.</w:t>
      </w:r>
    </w:p>
    <w:p>
      <w:pPr>
        <w:spacing w:after="0" w:line="594" w:lineRule="exact"/>
        <w:rPr>
          <w:sz w:val="20"/>
          <w:szCs w:val="20"/>
          <w:color w:val="auto"/>
        </w:rPr>
      </w:pPr>
    </w:p>
    <w:p>
      <w:pPr>
        <w:sectPr>
          <w:pgSz w:w="11900" w:h="16838" w:orient="portrait"/>
          <w:cols w:equalWidth="0" w:num="2">
            <w:col w:w="5320" w:space="420"/>
            <w:col w:w="5400"/>
          </w:cols>
          <w:pgMar w:left="320" w:top="459" w:right="439" w:bottom="1440" w:gutter="0" w:footer="0" w:header="0"/>
          <w:type w:val="continuous"/>
        </w:sectPr>
      </w:pPr>
    </w:p>
    <w:p>
      <w:pPr>
        <w:spacing w:after="0" w:line="177" w:lineRule="exact"/>
        <w:rPr>
          <w:sz w:val="20"/>
          <w:szCs w:val="20"/>
          <w:color w:val="auto"/>
        </w:rPr>
      </w:pPr>
    </w:p>
    <w:p>
      <w:pPr>
        <w:ind w:left="120"/>
        <w:spacing w:after="0"/>
        <w:rPr>
          <w:sz w:val="20"/>
          <w:szCs w:val="20"/>
          <w:color w:val="auto"/>
        </w:rPr>
      </w:pPr>
      <w:r>
        <w:rPr>
          <w:rFonts w:ascii="Arial" w:cs="Arial" w:eastAsia="Arial" w:hAnsi="Arial"/>
          <w:sz w:val="29"/>
          <w:szCs w:val="29"/>
          <w:color w:val="004876"/>
        </w:rPr>
        <w:t>Other</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20"/>
          <w:szCs w:val="20"/>
          <w:color w:val="004876"/>
        </w:rPr>
        <w:t>How do I obtain more information about JPMorgan Chase?</w:t>
      </w:r>
    </w:p>
    <w:p>
      <w:pPr>
        <w:spacing w:after="0" w:line="29" w:lineRule="exact"/>
        <w:rPr>
          <w:sz w:val="20"/>
          <w:szCs w:val="20"/>
          <w:color w:val="auto"/>
        </w:rPr>
      </w:pPr>
    </w:p>
    <w:p>
      <w:pPr>
        <w:ind w:left="120"/>
        <w:spacing w:after="0" w:line="248" w:lineRule="auto"/>
        <w:rPr>
          <w:sz w:val="20"/>
          <w:szCs w:val="20"/>
          <w:color w:val="auto"/>
        </w:rPr>
      </w:pPr>
      <w:r>
        <w:rPr>
          <w:rFonts w:ascii="Arial" w:cs="Arial" w:eastAsia="Arial" w:hAnsi="Arial"/>
          <w:sz w:val="17"/>
          <w:szCs w:val="17"/>
          <w:color w:val="auto"/>
        </w:rPr>
        <w:t>The Governance Principles, Code of Conduct, Code of Ethics for Finance Professionals, Business Principles, How We Do Business</w:t>
      </w:r>
    </w:p>
    <w:p>
      <w:pPr>
        <w:spacing w:after="0" w:line="1" w:lineRule="exact"/>
        <w:rPr>
          <w:sz w:val="20"/>
          <w:szCs w:val="20"/>
          <w:color w:val="auto"/>
        </w:rPr>
      </w:pPr>
    </w:p>
    <w:p>
      <w:pPr>
        <w:ind w:left="120" w:right="20"/>
        <w:spacing w:after="0" w:line="255" w:lineRule="auto"/>
        <w:rPr>
          <w:sz w:val="20"/>
          <w:szCs w:val="20"/>
          <w:color w:val="auto"/>
        </w:rPr>
      </w:pPr>
      <w:r>
        <w:rPr>
          <w:rFonts w:ascii="Arial" w:cs="Arial" w:eastAsia="Arial" w:hAnsi="Arial"/>
          <w:sz w:val="17"/>
          <w:szCs w:val="17"/>
          <w:color w:val="auto"/>
        </w:rPr>
        <w:t>– The Report, the Political Engagement and Public Policy Statement, ESG Report, Corporate Responsibility Report, and the By-laws and charters of our principal standing Board committees are posted on our website at jpmorganchase.com. These documents will also be made available to any shareholder who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requests them by writing to the Secretary at JPMorgan Chase &amp; Co., Office of the Secretary, 4 New York Plaza, New York, NY 10004-2413, or by sending an email to the Office of the Secretary at corporate.secretary@jpmchase.com.</w:t>
      </w:r>
    </w:p>
    <w:p>
      <w:pPr>
        <w:spacing w:after="0" w:line="97"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Information that the Firm is required to disclose under Disclosure &amp; Transparency Rule 7.2 (Corporate Governance Statements) of the U.K. Financial Conduct Authority may be found in this proxy statement under the headings “Corporate Governance” and “Audit Committee report”.</w:t>
      </w:r>
    </w:p>
    <w:p>
      <w:pPr>
        <w:spacing w:after="0" w:line="200" w:lineRule="exact"/>
        <w:rPr>
          <w:sz w:val="20"/>
          <w:szCs w:val="20"/>
          <w:color w:val="auto"/>
        </w:rPr>
      </w:pPr>
    </w:p>
    <w:p>
      <w:pPr>
        <w:sectPr>
          <w:pgSz w:w="11900" w:h="16838" w:orient="portrait"/>
          <w:cols w:equalWidth="0" w:num="2">
            <w:col w:w="5380" w:space="360"/>
            <w:col w:w="5400"/>
          </w:cols>
          <w:pgMar w:left="320" w:top="459" w:right="439" w:bottom="1440" w:gutter="0" w:footer="0" w:header="0"/>
          <w:type w:val="continuous"/>
        </w:sectPr>
      </w:pPr>
    </w:p>
    <w:p>
      <w:pPr>
        <w:spacing w:after="0" w:line="390" w:lineRule="exact"/>
        <w:rPr>
          <w:sz w:val="20"/>
          <w:szCs w:val="20"/>
          <w:color w:val="auto"/>
        </w:rPr>
      </w:pPr>
    </w:p>
    <w:p>
      <w:pPr>
        <w:ind w:left="120"/>
        <w:spacing w:after="0"/>
        <w:rPr>
          <w:sz w:val="20"/>
          <w:szCs w:val="20"/>
          <w:color w:val="auto"/>
        </w:rPr>
      </w:pPr>
      <w:r>
        <w:rPr>
          <w:rFonts w:ascii="Arial" w:cs="Arial" w:eastAsia="Arial" w:hAnsi="Arial"/>
          <w:sz w:val="28"/>
          <w:szCs w:val="28"/>
          <w:color w:val="004876"/>
        </w:rPr>
        <w:t>Shareholder proposals and nominations for the 2021 annual meeting</w:t>
      </w:r>
    </w:p>
    <w:p>
      <w:pPr>
        <w:sectPr>
          <w:pgSz w:w="11900" w:h="16838" w:orient="portrait"/>
          <w:cols w:equalWidth="0" w:num="1">
            <w:col w:w="11140"/>
          </w:cols>
          <w:pgMar w:left="320" w:top="459" w:right="439" w:bottom="1440" w:gutter="0" w:footer="0" w:header="0"/>
          <w:type w:val="continuous"/>
        </w:sectPr>
      </w:pPr>
    </w:p>
    <w:p>
      <w:pPr>
        <w:spacing w:after="0" w:line="313" w:lineRule="exact"/>
        <w:rPr>
          <w:sz w:val="20"/>
          <w:szCs w:val="20"/>
          <w:color w:val="auto"/>
        </w:rPr>
      </w:pPr>
    </w:p>
    <w:p>
      <w:pPr>
        <w:ind w:left="120" w:right="40"/>
        <w:spacing w:after="0" w:line="236" w:lineRule="auto"/>
        <w:rPr>
          <w:sz w:val="20"/>
          <w:szCs w:val="20"/>
          <w:color w:val="auto"/>
        </w:rPr>
      </w:pPr>
      <w:r>
        <w:rPr>
          <w:rFonts w:ascii="Arial" w:cs="Arial" w:eastAsia="Arial" w:hAnsi="Arial"/>
          <w:sz w:val="20"/>
          <w:szCs w:val="20"/>
          <w:color w:val="004876"/>
        </w:rPr>
        <w:t>How do I submit a proposal for inclusion at the 2021 Annual Meeting of Shareholders?</w:t>
      </w:r>
    </w:p>
    <w:p>
      <w:pPr>
        <w:spacing w:after="0" w:line="9"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Shareholders who wish to present proposals for inclusion in the proxy materials to be distributed by us in connection with our 2021 Annual Meeting of Shareholders must cause the proposal to be received by the Secretary of JPMorgan Chase no later than December 7, 2020. Such proposals must comply with all requirements of Rule 14a-8 promulgated by the Securities and Exchange Commission.</w:t>
      </w:r>
    </w:p>
    <w:p>
      <w:pPr>
        <w:spacing w:after="0" w:line="200" w:lineRule="exact"/>
        <w:rPr>
          <w:sz w:val="20"/>
          <w:szCs w:val="20"/>
          <w:color w:val="auto"/>
        </w:rPr>
      </w:pPr>
    </w:p>
    <w:p>
      <w:pPr>
        <w:ind w:left="120" w:right="640"/>
        <w:spacing w:after="0" w:line="236" w:lineRule="auto"/>
        <w:rPr>
          <w:sz w:val="20"/>
          <w:szCs w:val="20"/>
          <w:color w:val="auto"/>
        </w:rPr>
      </w:pPr>
      <w:r>
        <w:rPr>
          <w:rFonts w:ascii="Arial" w:cs="Arial" w:eastAsia="Arial" w:hAnsi="Arial"/>
          <w:sz w:val="20"/>
          <w:szCs w:val="20"/>
          <w:color w:val="004876"/>
        </w:rPr>
        <w:t>How can I submit nominees for inclusion in the proxy materials for the 2021 Annual Meeting?</w:t>
      </w:r>
    </w:p>
    <w:p>
      <w:pPr>
        <w:spacing w:after="0" w:line="23" w:lineRule="exact"/>
        <w:rPr>
          <w:sz w:val="20"/>
          <w:szCs w:val="20"/>
          <w:color w:val="auto"/>
        </w:rPr>
      </w:pPr>
    </w:p>
    <w:p>
      <w:pPr>
        <w:ind w:left="120" w:right="40"/>
        <w:spacing w:after="0" w:line="251" w:lineRule="auto"/>
        <w:rPr>
          <w:sz w:val="20"/>
          <w:szCs w:val="20"/>
          <w:color w:val="auto"/>
        </w:rPr>
      </w:pPr>
      <w:r>
        <w:rPr>
          <w:rFonts w:ascii="Arial" w:cs="Arial" w:eastAsia="Arial" w:hAnsi="Arial"/>
          <w:sz w:val="17"/>
          <w:szCs w:val="17"/>
          <w:color w:val="auto"/>
        </w:rPr>
        <w:t>The Firm’s By-laws provide for a right of proxy access. This By-law enables shareholders, under specified conditions, to include their nominees for election as directors in the Firm’s proxy statement. Under By-law Section 1.10, a shareholder (or group of up to 20 shareholders) who has continuously owned at least 3% of the Firm’s outstanding shares for at least three consecutive years may nominate up to 20% of the Board (but in any event at least two directors) and have such nominee(s) included in the Firm’s proxy statement, if the shareholder(s) and the nominee(s) satisfy the applicable requirements set forth in the Firm’s By-laws.</w:t>
      </w:r>
    </w:p>
    <w:p>
      <w:pPr>
        <w:spacing w:after="0" w:line="20" w:lineRule="exact"/>
        <w:rPr>
          <w:sz w:val="20"/>
          <w:szCs w:val="20"/>
          <w:color w:val="auto"/>
        </w:rPr>
      </w:pPr>
      <w:r>
        <w:rPr>
          <w:sz w:val="20"/>
          <w:szCs w:val="20"/>
          <w:color w:val="auto"/>
        </w:rPr>
        <w:br w:type="column"/>
      </w:r>
    </w:p>
    <w:p>
      <w:pPr>
        <w:spacing w:after="0" w:line="296"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Shareholders seeking to have one or more nominees included in the Firm’s 2021 proxy statement must cause the notice required by the Firm’s By-laws to be received by the Secretary of JPMorgan Chase not later than December 7, 2020, and not earlier than November 7, 2020.</w:t>
      </w:r>
    </w:p>
    <w:p>
      <w:pPr>
        <w:spacing w:after="0" w:line="199" w:lineRule="exact"/>
        <w:rPr>
          <w:sz w:val="20"/>
          <w:szCs w:val="20"/>
          <w:color w:val="auto"/>
        </w:rPr>
      </w:pPr>
    </w:p>
    <w:p>
      <w:pPr>
        <w:ind w:right="660"/>
        <w:spacing w:after="0" w:line="230" w:lineRule="auto"/>
        <w:rPr>
          <w:sz w:val="20"/>
          <w:szCs w:val="20"/>
          <w:color w:val="auto"/>
        </w:rPr>
      </w:pPr>
      <w:r>
        <w:rPr>
          <w:rFonts w:ascii="Arial" w:cs="Arial" w:eastAsia="Arial" w:hAnsi="Arial"/>
          <w:sz w:val="20"/>
          <w:szCs w:val="20"/>
          <w:color w:val="004876"/>
        </w:rPr>
        <w:t>How can I submit proposals (including nominations for election of director) at our 2021 Annual Meeting of Shareholders, that are not to be included in the proxy materials?</w:t>
      </w:r>
    </w:p>
    <w:p>
      <w:pPr>
        <w:spacing w:after="0" w:line="12"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Our By-laws govern the submission of nominations for director or other business proposals that a shareholder wishes to have considered at a meeting of shareholders, but that are not included in JPMorgan Chase’s proxy statement for that meeting.</w:t>
      </w:r>
    </w:p>
    <w:p>
      <w:pPr>
        <w:spacing w:after="0" w:line="97"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Under our By-laws, nominations for director or other business proposals to be addressed at our next annual meeting may be made by a shareholder who is entitled to vote and who has caused a notice to be received by the Secretary of JPMorgan Chase not later than the close of business on February 18, 2021, and not earlier than January 19, 2021 and who complies with the other applicable requirements set forth in the Firm’s By-laws. The notice must contain the information required by the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338455</wp:posOffset>
            </wp:positionV>
            <wp:extent cx="7029450" cy="19685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029450" cy="1968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80" w:space="360"/>
            <w:col w:w="5400"/>
          </w:cols>
          <w:pgMar w:left="320" w:top="459" w:right="439" w:bottom="144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jc w:val="center"/>
        <w:ind w:right="-119"/>
        <w:spacing w:after="0"/>
        <w:rPr>
          <w:sz w:val="20"/>
          <w:szCs w:val="20"/>
          <w:color w:val="auto"/>
        </w:rPr>
      </w:pPr>
      <w:r>
        <w:rPr>
          <w:rFonts w:ascii="Arial" w:cs="Arial" w:eastAsia="Arial" w:hAnsi="Arial"/>
          <w:sz w:val="13"/>
          <w:szCs w:val="13"/>
          <w:b w:val="1"/>
          <w:bCs w:val="1"/>
          <w:color w:val="004876"/>
        </w:rPr>
        <w:t>112</w:t>
      </w:r>
    </w:p>
    <w:p>
      <w:pPr>
        <w:sectPr>
          <w:pgSz w:w="11900" w:h="16838" w:orient="portrait"/>
          <w:cols w:equalWidth="0" w:num="1">
            <w:col w:w="11140"/>
          </w:cols>
          <w:pgMar w:left="320" w:top="459" w:right="439" w:bottom="1440" w:gutter="0" w:footer="0" w:header="0"/>
          <w:type w:val="continuous"/>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04876"/>
        </w:rPr>
        <w:t>INFORMATION ABOUT THE ANNUAL SHAREHOLDER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825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00"/>
          </w:cols>
          <w:pgMar w:left="320" w:top="459" w:right="479" w:bottom="1440" w:gutter="0" w:footer="0" w:header="0"/>
        </w:sectPr>
      </w:pPr>
    </w:p>
    <w:p>
      <w:pPr>
        <w:spacing w:after="0" w:line="387" w:lineRule="exact"/>
        <w:rPr>
          <w:sz w:val="20"/>
          <w:szCs w:val="20"/>
          <w:color w:val="auto"/>
        </w:rPr>
      </w:pPr>
    </w:p>
    <w:p>
      <w:pPr>
        <w:jc w:val="both"/>
        <w:ind w:left="120"/>
        <w:spacing w:after="0" w:line="261" w:lineRule="auto"/>
        <w:rPr>
          <w:sz w:val="20"/>
          <w:szCs w:val="20"/>
          <w:color w:val="auto"/>
        </w:rPr>
      </w:pPr>
      <w:r>
        <w:rPr>
          <w:rFonts w:ascii="Arial" w:cs="Arial" w:eastAsia="Arial" w:hAnsi="Arial"/>
          <w:sz w:val="17"/>
          <w:szCs w:val="17"/>
          <w:color w:val="auto"/>
        </w:rPr>
        <w:t>These advance notice provisions are in addition to, and separate from, the requirements that a shareholder must meet in order to have a nominee or proposal included in the proxy statement.</w:t>
      </w:r>
    </w:p>
    <w:p>
      <w:pPr>
        <w:spacing w:after="0" w:line="78"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A proxy granted by a shareholder will give discretionary authority to the proxies to vote on any matters introduced pursuant to the advance-notice By-law provisions described above, subject to applicable rules of the SEC.</w:t>
      </w:r>
    </w:p>
    <w:p>
      <w:pPr>
        <w:spacing w:after="0" w:line="202" w:lineRule="exact"/>
        <w:rPr>
          <w:sz w:val="20"/>
          <w:szCs w:val="20"/>
          <w:color w:val="auto"/>
        </w:rPr>
      </w:pPr>
    </w:p>
    <w:p>
      <w:pPr>
        <w:ind w:left="120"/>
        <w:spacing w:after="0"/>
        <w:rPr>
          <w:sz w:val="20"/>
          <w:szCs w:val="20"/>
          <w:color w:val="auto"/>
        </w:rPr>
      </w:pPr>
      <w:r>
        <w:rPr>
          <w:rFonts w:ascii="Arial" w:cs="Arial" w:eastAsia="Arial" w:hAnsi="Arial"/>
          <w:sz w:val="20"/>
          <w:szCs w:val="20"/>
          <w:color w:val="004876"/>
        </w:rPr>
        <w:t>How can I obtain a copy of JPMorgan Chase’s By-laws?</w:t>
      </w:r>
    </w:p>
    <w:p>
      <w:pPr>
        <w:spacing w:after="0" w:line="29" w:lineRule="exact"/>
        <w:rPr>
          <w:sz w:val="20"/>
          <w:szCs w:val="20"/>
          <w:color w:val="auto"/>
        </w:rPr>
      </w:pPr>
    </w:p>
    <w:p>
      <w:pPr>
        <w:ind w:left="120" w:right="240"/>
        <w:spacing w:after="0"/>
        <w:rPr>
          <w:sz w:val="20"/>
          <w:szCs w:val="20"/>
          <w:color w:val="auto"/>
        </w:rPr>
      </w:pPr>
      <w:r>
        <w:rPr>
          <w:rFonts w:ascii="Arial" w:cs="Arial" w:eastAsia="Arial" w:hAnsi="Arial"/>
          <w:sz w:val="18"/>
          <w:szCs w:val="18"/>
          <w:color w:val="auto"/>
        </w:rPr>
        <w:t>Copies of our By-laws are available on our website at: jpmorganchase.com/governance or may be obtained from the Secretary.</w:t>
      </w:r>
    </w:p>
    <w:p>
      <w:pPr>
        <w:spacing w:after="0" w:line="20" w:lineRule="exact"/>
        <w:rPr>
          <w:sz w:val="20"/>
          <w:szCs w:val="20"/>
          <w:color w:val="auto"/>
        </w:rPr>
      </w:pPr>
      <w:r>
        <w:rPr>
          <w:sz w:val="20"/>
          <w:szCs w:val="20"/>
          <w:color w:val="auto"/>
        </w:rPr>
        <w:br w:type="column"/>
      </w:r>
    </w:p>
    <w:p>
      <w:pPr>
        <w:spacing w:after="0" w:line="364" w:lineRule="exact"/>
        <w:rPr>
          <w:sz w:val="20"/>
          <w:szCs w:val="20"/>
          <w:color w:val="auto"/>
        </w:rPr>
      </w:pPr>
    </w:p>
    <w:p>
      <w:pPr>
        <w:spacing w:after="0"/>
        <w:rPr>
          <w:sz w:val="20"/>
          <w:szCs w:val="20"/>
          <w:color w:val="auto"/>
        </w:rPr>
      </w:pPr>
      <w:r>
        <w:rPr>
          <w:rFonts w:ascii="Arial" w:cs="Arial" w:eastAsia="Arial" w:hAnsi="Arial"/>
          <w:sz w:val="20"/>
          <w:szCs w:val="20"/>
          <w:color w:val="004876"/>
        </w:rPr>
        <w:t>Where should a shareholder send his or her proposals?</w:t>
      </w:r>
    </w:p>
    <w:p>
      <w:pPr>
        <w:spacing w:after="0" w:line="29"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Shareholder proposals (including nominees for director pursuant to the Firm’s proxy access By-laws) should be mailed to the Secretary at JPMorgan Chase &amp; Co., Office of the Secretary, 4 New York Plaza, New York, NY 10004-2413; a copy may be emailed to the Office of the Secretary at corporate.secretary@jpmchase.com.</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Molly Carpenter</w:t>
      </w:r>
    </w:p>
    <w:p>
      <w:pPr>
        <w:spacing w:after="0"/>
        <w:rPr>
          <w:sz w:val="20"/>
          <w:szCs w:val="20"/>
          <w:color w:val="auto"/>
        </w:rPr>
      </w:pPr>
      <w:r>
        <w:rPr>
          <w:rFonts w:ascii="Arial" w:cs="Arial" w:eastAsia="Arial" w:hAnsi="Arial"/>
          <w:sz w:val="18"/>
          <w:szCs w:val="18"/>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863600</wp:posOffset>
            </wp:positionV>
            <wp:extent cx="7029450" cy="19748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029450" cy="197485"/>
                    </a:xfrm>
                    <a:prstGeom prst="rect">
                      <a:avLst/>
                    </a:prstGeom>
                    <a:noFill/>
                  </pic:spPr>
                </pic:pic>
              </a:graphicData>
            </a:graphic>
          </wp:anchor>
        </w:drawing>
      </w:r>
    </w:p>
    <w:p>
      <w:pPr>
        <w:spacing w:after="0" w:line="1032" w:lineRule="exact"/>
        <w:rPr>
          <w:sz w:val="20"/>
          <w:szCs w:val="20"/>
          <w:color w:val="auto"/>
        </w:rPr>
      </w:pPr>
    </w:p>
    <w:p>
      <w:pPr>
        <w:sectPr>
          <w:pgSz w:w="11900" w:h="16838" w:orient="portrait"/>
          <w:cols w:equalWidth="0" w:num="2">
            <w:col w:w="5260" w:space="480"/>
            <w:col w:w="5360"/>
          </w:cols>
          <w:pgMar w:left="320" w:top="459" w:right="479" w:bottom="1440" w:gutter="0" w:footer="0" w:header="0"/>
          <w:type w:val="continuous"/>
        </w:sectPr>
      </w:pPr>
    </w:p>
    <w:p>
      <w:pPr>
        <w:spacing w:after="0" w:line="200" w:lineRule="exact"/>
        <w:rPr>
          <w:sz w:val="20"/>
          <w:szCs w:val="20"/>
          <w:color w:val="auto"/>
        </w:rPr>
      </w:pPr>
    </w:p>
    <w:p>
      <w:pPr>
        <w:spacing w:after="0" w:line="205" w:lineRule="exact"/>
        <w:rPr>
          <w:sz w:val="20"/>
          <w:szCs w:val="20"/>
          <w:color w:val="auto"/>
        </w:rPr>
      </w:pPr>
    </w:p>
    <w:p>
      <w:pPr>
        <w:jc w:val="center"/>
        <w:ind w:right="-159"/>
        <w:spacing w:after="0"/>
        <w:rPr>
          <w:sz w:val="20"/>
          <w:szCs w:val="20"/>
          <w:color w:val="auto"/>
        </w:rPr>
      </w:pPr>
      <w:r>
        <w:rPr>
          <w:rFonts w:ascii="Arial" w:cs="Arial" w:eastAsia="Arial" w:hAnsi="Arial"/>
          <w:sz w:val="13"/>
          <w:szCs w:val="13"/>
          <w:b w:val="1"/>
          <w:bCs w:val="1"/>
          <w:color w:val="004876"/>
        </w:rPr>
        <w:t>113</w:t>
      </w:r>
    </w:p>
    <w:p>
      <w:pPr>
        <w:sectPr>
          <w:pgSz w:w="11900" w:h="16838" w:orient="portrait"/>
          <w:cols w:equalWidth="0" w:num="1">
            <w:col w:w="11100"/>
          </w:cols>
          <w:pgMar w:left="320" w:top="459" w:right="479" w:bottom="1440" w:gutter="0" w:footer="0" w:header="0"/>
          <w:type w:val="continuous"/>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4876"/>
        </w:rPr>
        <w:t>NOTES ON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825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12" w:lineRule="exact"/>
        <w:rPr>
          <w:sz w:val="20"/>
          <w:szCs w:val="20"/>
          <w:color w:val="auto"/>
        </w:rPr>
      </w:pPr>
    </w:p>
    <w:p>
      <w:pPr>
        <w:ind w:left="120"/>
        <w:spacing w:after="0"/>
        <w:rPr>
          <w:sz w:val="20"/>
          <w:szCs w:val="20"/>
          <w:color w:val="auto"/>
        </w:rPr>
      </w:pPr>
      <w:r>
        <w:rPr>
          <w:rFonts w:ascii="Arial" w:cs="Arial" w:eastAsia="Arial" w:hAnsi="Arial"/>
          <w:sz w:val="43"/>
          <w:szCs w:val="43"/>
          <w:color w:val="004876"/>
        </w:rPr>
        <w:t>Notes on non-GAAP financial measures</w:t>
      </w:r>
    </w:p>
    <w:p>
      <w:pPr>
        <w:spacing w:after="0" w:line="127" w:lineRule="exact"/>
        <w:rPr>
          <w:sz w:val="20"/>
          <w:szCs w:val="20"/>
          <w:color w:val="auto"/>
        </w:rPr>
      </w:pPr>
    </w:p>
    <w:p>
      <w:pPr>
        <w:ind w:left="440" w:right="40" w:hanging="324"/>
        <w:spacing w:after="0" w:line="237" w:lineRule="auto"/>
        <w:tabs>
          <w:tab w:leader="none" w:pos="44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TCE, ROTCE and TBVPS are each non-GAAP financial measures. TCE represents the Firm’s common stockholders’ equity (i.e., total stockholders’ equity less preferred stock) less goodwill and identifiable intangible assets (other than mortgage servicing rights), net of related deferred tax liabilities. ROTCE measures the Firm’s net income applicable to common equity as a percentage of average TCE. TBVPS represents the Firm’s TCE at period-end divided by common shares at period-end. TCE, ROTCE and TBVPS are utilized by the Firm, as well as investors and analysts, in assessing the Firm’s use of equity. The following tables provide reconciliations and calculations of these measures for the periods presented.</w:t>
      </w:r>
    </w:p>
    <w:p>
      <w:pPr>
        <w:spacing w:after="0" w:line="201" w:lineRule="exact"/>
        <w:rPr>
          <w:sz w:val="20"/>
          <w:szCs w:val="20"/>
          <w:color w:val="auto"/>
        </w:rPr>
      </w:pPr>
    </w:p>
    <w:p>
      <w:pPr>
        <w:ind w:left="120"/>
        <w:spacing w:after="0"/>
        <w:rPr>
          <w:sz w:val="20"/>
          <w:szCs w:val="20"/>
          <w:color w:val="auto"/>
        </w:rPr>
      </w:pPr>
      <w:r>
        <w:rPr>
          <w:rFonts w:ascii="Arial" w:cs="Arial" w:eastAsia="Arial" w:hAnsi="Arial"/>
          <w:sz w:val="29"/>
          <w:szCs w:val="29"/>
          <w:color w:val="004876"/>
        </w:rPr>
        <w:t>Non-GAAP reconciliations</w:t>
      </w:r>
    </w:p>
    <w:p>
      <w:pPr>
        <w:spacing w:after="0" w:line="265"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2380" w:type="dxa"/>
            <w:vAlign w:val="bottom"/>
          </w:tcPr>
          <w:p>
            <w:pPr>
              <w:spacing w:after="0"/>
              <w:rPr>
                <w:sz w:val="17"/>
                <w:szCs w:val="17"/>
                <w:color w:val="auto"/>
              </w:rPr>
            </w:pPr>
          </w:p>
        </w:tc>
        <w:tc>
          <w:tcPr>
            <w:tcW w:w="140" w:type="dxa"/>
            <w:vAlign w:val="bottom"/>
            <w:tcBorders>
              <w:bottom w:val="single" w:sz="8" w:color="004876"/>
            </w:tcBorders>
          </w:tcPr>
          <w:p>
            <w:pPr>
              <w:spacing w:after="0"/>
              <w:rPr>
                <w:sz w:val="17"/>
                <w:szCs w:val="17"/>
                <w:color w:val="auto"/>
              </w:rPr>
            </w:pPr>
          </w:p>
        </w:tc>
        <w:tc>
          <w:tcPr>
            <w:tcW w:w="720" w:type="dxa"/>
            <w:vAlign w:val="bottom"/>
            <w:tcBorders>
              <w:bottom w:val="single" w:sz="8" w:color="004876"/>
            </w:tcBorders>
          </w:tcPr>
          <w:p>
            <w:pPr>
              <w:spacing w:after="0"/>
              <w:rPr>
                <w:sz w:val="17"/>
                <w:szCs w:val="17"/>
                <w:color w:val="auto"/>
              </w:rPr>
            </w:pPr>
          </w:p>
        </w:tc>
        <w:tc>
          <w:tcPr>
            <w:tcW w:w="140" w:type="dxa"/>
            <w:vAlign w:val="bottom"/>
            <w:tcBorders>
              <w:bottom w:val="single" w:sz="8" w:color="004876"/>
            </w:tcBorders>
          </w:tcPr>
          <w:p>
            <w:pPr>
              <w:spacing w:after="0"/>
              <w:rPr>
                <w:sz w:val="17"/>
                <w:szCs w:val="17"/>
                <w:color w:val="auto"/>
              </w:rPr>
            </w:pPr>
          </w:p>
        </w:tc>
        <w:tc>
          <w:tcPr>
            <w:tcW w:w="720" w:type="dxa"/>
            <w:vAlign w:val="bottom"/>
            <w:tcBorders>
              <w:bottom w:val="single" w:sz="8" w:color="004876"/>
            </w:tcBorders>
          </w:tcPr>
          <w:p>
            <w:pPr>
              <w:spacing w:after="0"/>
              <w:rPr>
                <w:sz w:val="17"/>
                <w:szCs w:val="17"/>
                <w:color w:val="auto"/>
              </w:rPr>
            </w:pPr>
          </w:p>
        </w:tc>
        <w:tc>
          <w:tcPr>
            <w:tcW w:w="140" w:type="dxa"/>
            <w:vAlign w:val="bottom"/>
            <w:tcBorders>
              <w:bottom w:val="single" w:sz="8" w:color="004876"/>
            </w:tcBorders>
          </w:tcPr>
          <w:p>
            <w:pPr>
              <w:spacing w:after="0"/>
              <w:rPr>
                <w:sz w:val="17"/>
                <w:szCs w:val="17"/>
                <w:color w:val="auto"/>
              </w:rPr>
            </w:pPr>
          </w:p>
        </w:tc>
        <w:tc>
          <w:tcPr>
            <w:tcW w:w="720" w:type="dxa"/>
            <w:vAlign w:val="bottom"/>
            <w:tcBorders>
              <w:bottom w:val="single" w:sz="8" w:color="004876"/>
            </w:tcBorders>
          </w:tcPr>
          <w:p>
            <w:pPr>
              <w:spacing w:after="0"/>
              <w:rPr>
                <w:sz w:val="17"/>
                <w:szCs w:val="17"/>
                <w:color w:val="auto"/>
              </w:rPr>
            </w:pPr>
          </w:p>
        </w:tc>
        <w:tc>
          <w:tcPr>
            <w:tcW w:w="140" w:type="dxa"/>
            <w:vAlign w:val="bottom"/>
            <w:tcBorders>
              <w:bottom w:val="single" w:sz="8" w:color="004876"/>
            </w:tcBorders>
          </w:tcPr>
          <w:p>
            <w:pPr>
              <w:spacing w:after="0"/>
              <w:rPr>
                <w:sz w:val="17"/>
                <w:szCs w:val="17"/>
                <w:color w:val="auto"/>
              </w:rPr>
            </w:pPr>
          </w:p>
        </w:tc>
        <w:tc>
          <w:tcPr>
            <w:tcW w:w="720" w:type="dxa"/>
            <w:vAlign w:val="bottom"/>
            <w:tcBorders>
              <w:bottom w:val="single" w:sz="8" w:color="004876"/>
            </w:tcBorders>
          </w:tcPr>
          <w:p>
            <w:pPr>
              <w:spacing w:after="0"/>
              <w:rPr>
                <w:sz w:val="17"/>
                <w:szCs w:val="17"/>
                <w:color w:val="auto"/>
              </w:rPr>
            </w:pPr>
          </w:p>
        </w:tc>
        <w:tc>
          <w:tcPr>
            <w:tcW w:w="160" w:type="dxa"/>
            <w:vAlign w:val="bottom"/>
            <w:tcBorders>
              <w:bottom w:val="single" w:sz="8" w:color="004876"/>
            </w:tcBorders>
          </w:tcPr>
          <w:p>
            <w:pPr>
              <w:spacing w:after="0"/>
              <w:rPr>
                <w:sz w:val="17"/>
                <w:szCs w:val="17"/>
                <w:color w:val="auto"/>
              </w:rPr>
            </w:pPr>
          </w:p>
        </w:tc>
        <w:tc>
          <w:tcPr>
            <w:tcW w:w="1580" w:type="dxa"/>
            <w:vAlign w:val="bottom"/>
            <w:tcBorders>
              <w:bottom w:val="single" w:sz="8" w:color="004876"/>
            </w:tcBorders>
            <w:gridSpan w:val="3"/>
          </w:tcPr>
          <w:p>
            <w:pPr>
              <w:jc w:val="center"/>
              <w:ind w:right="228"/>
              <w:spacing w:after="0"/>
              <w:rPr>
                <w:sz w:val="20"/>
                <w:szCs w:val="20"/>
                <w:color w:val="auto"/>
              </w:rPr>
            </w:pPr>
            <w:r>
              <w:rPr>
                <w:rFonts w:ascii="Arial" w:cs="Arial" w:eastAsia="Arial" w:hAnsi="Arial"/>
                <w:sz w:val="14"/>
                <w:szCs w:val="14"/>
                <w:b w:val="1"/>
                <w:bCs w:val="1"/>
                <w:color w:val="auto"/>
              </w:rPr>
              <w:t>Average</w:t>
            </w:r>
          </w:p>
        </w:tc>
        <w:tc>
          <w:tcPr>
            <w:tcW w:w="140" w:type="dxa"/>
            <w:vAlign w:val="bottom"/>
            <w:tcBorders>
              <w:bottom w:val="single" w:sz="8" w:color="004876"/>
            </w:tcBorders>
          </w:tcPr>
          <w:p>
            <w:pPr>
              <w:spacing w:after="0"/>
              <w:rPr>
                <w:sz w:val="17"/>
                <w:szCs w:val="17"/>
                <w:color w:val="auto"/>
              </w:rPr>
            </w:pPr>
          </w:p>
        </w:tc>
        <w:tc>
          <w:tcPr>
            <w:tcW w:w="720" w:type="dxa"/>
            <w:vAlign w:val="bottom"/>
            <w:tcBorders>
              <w:bottom w:val="single" w:sz="8" w:color="004876"/>
            </w:tcBorders>
          </w:tcPr>
          <w:p>
            <w:pPr>
              <w:spacing w:after="0"/>
              <w:rPr>
                <w:sz w:val="17"/>
                <w:szCs w:val="17"/>
                <w:color w:val="auto"/>
              </w:rPr>
            </w:pPr>
          </w:p>
        </w:tc>
        <w:tc>
          <w:tcPr>
            <w:tcW w:w="140" w:type="dxa"/>
            <w:vAlign w:val="bottom"/>
            <w:tcBorders>
              <w:bottom w:val="single" w:sz="8" w:color="004876"/>
            </w:tcBorders>
          </w:tcPr>
          <w:p>
            <w:pPr>
              <w:spacing w:after="0"/>
              <w:rPr>
                <w:sz w:val="17"/>
                <w:szCs w:val="17"/>
                <w:color w:val="auto"/>
              </w:rPr>
            </w:pPr>
          </w:p>
        </w:tc>
        <w:tc>
          <w:tcPr>
            <w:tcW w:w="720" w:type="dxa"/>
            <w:vAlign w:val="bottom"/>
            <w:tcBorders>
              <w:bottom w:val="single" w:sz="8" w:color="004876"/>
            </w:tcBorders>
          </w:tcPr>
          <w:p>
            <w:pPr>
              <w:spacing w:after="0"/>
              <w:rPr>
                <w:sz w:val="17"/>
                <w:szCs w:val="17"/>
                <w:color w:val="auto"/>
              </w:rPr>
            </w:pPr>
          </w:p>
        </w:tc>
        <w:tc>
          <w:tcPr>
            <w:tcW w:w="140" w:type="dxa"/>
            <w:vAlign w:val="bottom"/>
            <w:tcBorders>
              <w:bottom w:val="single" w:sz="8" w:color="004876"/>
            </w:tcBorders>
          </w:tcPr>
          <w:p>
            <w:pPr>
              <w:spacing w:after="0"/>
              <w:rPr>
                <w:sz w:val="17"/>
                <w:szCs w:val="17"/>
                <w:color w:val="auto"/>
              </w:rPr>
            </w:pPr>
          </w:p>
        </w:tc>
        <w:tc>
          <w:tcPr>
            <w:tcW w:w="720" w:type="dxa"/>
            <w:vAlign w:val="bottom"/>
            <w:tcBorders>
              <w:bottom w:val="single" w:sz="8" w:color="004876"/>
            </w:tcBorders>
          </w:tcPr>
          <w:p>
            <w:pPr>
              <w:spacing w:after="0"/>
              <w:rPr>
                <w:sz w:val="17"/>
                <w:szCs w:val="17"/>
                <w:color w:val="auto"/>
              </w:rPr>
            </w:pPr>
          </w:p>
        </w:tc>
        <w:tc>
          <w:tcPr>
            <w:tcW w:w="160" w:type="dxa"/>
            <w:vAlign w:val="bottom"/>
            <w:tcBorders>
              <w:bottom w:val="single" w:sz="8" w:color="004876"/>
            </w:tcBorders>
          </w:tcPr>
          <w:p>
            <w:pPr>
              <w:spacing w:after="0"/>
              <w:rPr>
                <w:sz w:val="17"/>
                <w:szCs w:val="17"/>
                <w:color w:val="auto"/>
              </w:rPr>
            </w:pPr>
          </w:p>
        </w:tc>
        <w:tc>
          <w:tcPr>
            <w:tcW w:w="720" w:type="dxa"/>
            <w:vAlign w:val="bottom"/>
            <w:tcBorders>
              <w:bottom w:val="single" w:sz="8" w:color="004876"/>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380" w:type="dxa"/>
            <w:vAlign w:val="bottom"/>
            <w:vMerge w:val="restart"/>
          </w:tcPr>
          <w:p>
            <w:pPr>
              <w:spacing w:after="0"/>
              <w:rPr>
                <w:sz w:val="20"/>
                <w:szCs w:val="20"/>
                <w:color w:val="auto"/>
              </w:rPr>
            </w:pPr>
            <w:r>
              <w:rPr>
                <w:rFonts w:ascii="Arial" w:cs="Arial" w:eastAsia="Arial" w:hAnsi="Arial"/>
                <w:sz w:val="14"/>
                <w:szCs w:val="14"/>
                <w:b w:val="1"/>
                <w:bCs w:val="1"/>
                <w:color w:val="auto"/>
              </w:rPr>
              <w:t>(in millions, except per</w:t>
            </w:r>
          </w:p>
        </w:tc>
        <w:tc>
          <w:tcPr>
            <w:tcW w:w="140" w:type="dxa"/>
            <w:vAlign w:val="bottom"/>
            <w:tcBorders>
              <w:bottom w:val="single" w:sz="8" w:color="004876"/>
            </w:tcBorders>
          </w:tcPr>
          <w:p>
            <w:pPr>
              <w:spacing w:after="0"/>
              <w:rPr>
                <w:sz w:val="18"/>
                <w:szCs w:val="18"/>
                <w:color w:val="auto"/>
              </w:rPr>
            </w:pPr>
          </w:p>
        </w:tc>
        <w:tc>
          <w:tcPr>
            <w:tcW w:w="720" w:type="dxa"/>
            <w:vAlign w:val="bottom"/>
            <w:tcBorders>
              <w:bottom w:val="single" w:sz="8" w:color="004876"/>
            </w:tcBorders>
          </w:tcPr>
          <w:p>
            <w:pPr>
              <w:spacing w:after="0"/>
              <w:rPr>
                <w:sz w:val="18"/>
                <w:szCs w:val="18"/>
                <w:color w:val="auto"/>
              </w:rPr>
            </w:pPr>
          </w:p>
        </w:tc>
        <w:tc>
          <w:tcPr>
            <w:tcW w:w="140" w:type="dxa"/>
            <w:vAlign w:val="bottom"/>
            <w:tcBorders>
              <w:bottom w:val="single" w:sz="8" w:color="004876"/>
            </w:tcBorders>
          </w:tcPr>
          <w:p>
            <w:pPr>
              <w:spacing w:after="0"/>
              <w:rPr>
                <w:sz w:val="18"/>
                <w:szCs w:val="18"/>
                <w:color w:val="auto"/>
              </w:rPr>
            </w:pPr>
          </w:p>
        </w:tc>
        <w:tc>
          <w:tcPr>
            <w:tcW w:w="720" w:type="dxa"/>
            <w:vAlign w:val="bottom"/>
            <w:tcBorders>
              <w:bottom w:val="single" w:sz="8" w:color="004876"/>
            </w:tcBorders>
          </w:tcPr>
          <w:p>
            <w:pPr>
              <w:spacing w:after="0"/>
              <w:rPr>
                <w:sz w:val="18"/>
                <w:szCs w:val="18"/>
                <w:color w:val="auto"/>
              </w:rPr>
            </w:pPr>
          </w:p>
        </w:tc>
        <w:tc>
          <w:tcPr>
            <w:tcW w:w="140" w:type="dxa"/>
            <w:vAlign w:val="bottom"/>
            <w:tcBorders>
              <w:bottom w:val="single" w:sz="8" w:color="004876"/>
            </w:tcBorders>
          </w:tcPr>
          <w:p>
            <w:pPr>
              <w:spacing w:after="0"/>
              <w:rPr>
                <w:sz w:val="18"/>
                <w:szCs w:val="18"/>
                <w:color w:val="auto"/>
              </w:rPr>
            </w:pPr>
          </w:p>
        </w:tc>
        <w:tc>
          <w:tcPr>
            <w:tcW w:w="720" w:type="dxa"/>
            <w:vAlign w:val="bottom"/>
            <w:tcBorders>
              <w:bottom w:val="single" w:sz="8" w:color="004876"/>
            </w:tcBorders>
          </w:tcPr>
          <w:p>
            <w:pPr>
              <w:spacing w:after="0"/>
              <w:rPr>
                <w:sz w:val="18"/>
                <w:szCs w:val="18"/>
                <w:color w:val="auto"/>
              </w:rPr>
            </w:pPr>
          </w:p>
        </w:tc>
        <w:tc>
          <w:tcPr>
            <w:tcW w:w="140" w:type="dxa"/>
            <w:vAlign w:val="bottom"/>
            <w:tcBorders>
              <w:bottom w:val="single" w:sz="8" w:color="004876"/>
            </w:tcBorders>
          </w:tcPr>
          <w:p>
            <w:pPr>
              <w:spacing w:after="0"/>
              <w:rPr>
                <w:sz w:val="18"/>
                <w:szCs w:val="18"/>
                <w:color w:val="auto"/>
              </w:rPr>
            </w:pPr>
          </w:p>
        </w:tc>
        <w:tc>
          <w:tcPr>
            <w:tcW w:w="720" w:type="dxa"/>
            <w:vAlign w:val="bottom"/>
            <w:tcBorders>
              <w:bottom w:val="single" w:sz="8" w:color="004876"/>
            </w:tcBorders>
          </w:tcPr>
          <w:p>
            <w:pPr>
              <w:spacing w:after="0"/>
              <w:rPr>
                <w:sz w:val="18"/>
                <w:szCs w:val="18"/>
                <w:color w:val="auto"/>
              </w:rPr>
            </w:pPr>
          </w:p>
        </w:tc>
        <w:tc>
          <w:tcPr>
            <w:tcW w:w="160" w:type="dxa"/>
            <w:vAlign w:val="bottom"/>
            <w:tcBorders>
              <w:bottom w:val="single" w:sz="8" w:color="004876"/>
            </w:tcBorders>
          </w:tcPr>
          <w:p>
            <w:pPr>
              <w:spacing w:after="0"/>
              <w:rPr>
                <w:sz w:val="18"/>
                <w:szCs w:val="18"/>
                <w:color w:val="auto"/>
              </w:rPr>
            </w:pPr>
          </w:p>
        </w:tc>
        <w:tc>
          <w:tcPr>
            <w:tcW w:w="1580" w:type="dxa"/>
            <w:vAlign w:val="bottom"/>
            <w:tcBorders>
              <w:bottom w:val="single" w:sz="8" w:color="004876"/>
            </w:tcBorders>
            <w:gridSpan w:val="3"/>
          </w:tcPr>
          <w:p>
            <w:pPr>
              <w:jc w:val="center"/>
              <w:ind w:right="208"/>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Borders>
              <w:bottom w:val="single" w:sz="8" w:color="004876"/>
            </w:tcBorders>
          </w:tcPr>
          <w:p>
            <w:pPr>
              <w:spacing w:after="0"/>
              <w:rPr>
                <w:sz w:val="18"/>
                <w:szCs w:val="18"/>
                <w:color w:val="auto"/>
              </w:rPr>
            </w:pPr>
          </w:p>
        </w:tc>
        <w:tc>
          <w:tcPr>
            <w:tcW w:w="720" w:type="dxa"/>
            <w:vAlign w:val="bottom"/>
            <w:tcBorders>
              <w:bottom w:val="single" w:sz="8" w:color="004876"/>
            </w:tcBorders>
          </w:tcPr>
          <w:p>
            <w:pPr>
              <w:spacing w:after="0"/>
              <w:rPr>
                <w:sz w:val="18"/>
                <w:szCs w:val="18"/>
                <w:color w:val="auto"/>
              </w:rPr>
            </w:pPr>
          </w:p>
        </w:tc>
        <w:tc>
          <w:tcPr>
            <w:tcW w:w="140" w:type="dxa"/>
            <w:vAlign w:val="bottom"/>
            <w:tcBorders>
              <w:bottom w:val="single" w:sz="8" w:color="004876"/>
            </w:tcBorders>
          </w:tcPr>
          <w:p>
            <w:pPr>
              <w:spacing w:after="0"/>
              <w:rPr>
                <w:sz w:val="18"/>
                <w:szCs w:val="18"/>
                <w:color w:val="auto"/>
              </w:rPr>
            </w:pPr>
          </w:p>
        </w:tc>
        <w:tc>
          <w:tcPr>
            <w:tcW w:w="720" w:type="dxa"/>
            <w:vAlign w:val="bottom"/>
            <w:tcBorders>
              <w:bottom w:val="single" w:sz="8" w:color="004876"/>
            </w:tcBorders>
          </w:tcPr>
          <w:p>
            <w:pPr>
              <w:spacing w:after="0"/>
              <w:rPr>
                <w:sz w:val="18"/>
                <w:szCs w:val="18"/>
                <w:color w:val="auto"/>
              </w:rPr>
            </w:pPr>
          </w:p>
        </w:tc>
        <w:tc>
          <w:tcPr>
            <w:tcW w:w="140" w:type="dxa"/>
            <w:vAlign w:val="bottom"/>
            <w:tcBorders>
              <w:bottom w:val="single" w:sz="8" w:color="004876"/>
            </w:tcBorders>
          </w:tcPr>
          <w:p>
            <w:pPr>
              <w:spacing w:after="0"/>
              <w:rPr>
                <w:sz w:val="18"/>
                <w:szCs w:val="18"/>
                <w:color w:val="auto"/>
              </w:rPr>
            </w:pPr>
          </w:p>
        </w:tc>
        <w:tc>
          <w:tcPr>
            <w:tcW w:w="720" w:type="dxa"/>
            <w:vAlign w:val="bottom"/>
            <w:tcBorders>
              <w:bottom w:val="single" w:sz="8" w:color="004876"/>
            </w:tcBorders>
          </w:tcPr>
          <w:p>
            <w:pPr>
              <w:spacing w:after="0"/>
              <w:rPr>
                <w:sz w:val="18"/>
                <w:szCs w:val="18"/>
                <w:color w:val="auto"/>
              </w:rPr>
            </w:pPr>
          </w:p>
        </w:tc>
        <w:tc>
          <w:tcPr>
            <w:tcW w:w="160" w:type="dxa"/>
            <w:vAlign w:val="bottom"/>
            <w:tcBorders>
              <w:bottom w:val="single" w:sz="8" w:color="004876"/>
            </w:tcBorders>
          </w:tcPr>
          <w:p>
            <w:pPr>
              <w:spacing w:after="0"/>
              <w:rPr>
                <w:sz w:val="18"/>
                <w:szCs w:val="18"/>
                <w:color w:val="auto"/>
              </w:rPr>
            </w:pPr>
          </w:p>
        </w:tc>
        <w:tc>
          <w:tcPr>
            <w:tcW w:w="720" w:type="dxa"/>
            <w:vAlign w:val="bottom"/>
            <w:tcBorders>
              <w:bottom w:val="single" w:sz="8" w:color="004876"/>
            </w:tcBorders>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3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380" w:type="dxa"/>
            <w:vAlign w:val="bottom"/>
            <w:tcBorders>
              <w:bottom w:val="single" w:sz="8" w:color="004876"/>
            </w:tcBorders>
          </w:tcPr>
          <w:p>
            <w:pPr>
              <w:spacing w:after="0"/>
              <w:rPr>
                <w:sz w:val="20"/>
                <w:szCs w:val="20"/>
                <w:color w:val="auto"/>
              </w:rPr>
            </w:pPr>
            <w:r>
              <w:rPr>
                <w:rFonts w:ascii="Arial" w:cs="Arial" w:eastAsia="Arial" w:hAnsi="Arial"/>
                <w:sz w:val="14"/>
                <w:szCs w:val="14"/>
                <w:b w:val="1"/>
                <w:bCs w:val="1"/>
                <w:color w:val="auto"/>
              </w:rPr>
              <w:t>share and ratio data)</w:t>
            </w:r>
          </w:p>
        </w:tc>
        <w:tc>
          <w:tcPr>
            <w:tcW w:w="140" w:type="dxa"/>
            <w:vAlign w:val="bottom"/>
            <w:tcBorders>
              <w:bottom w:val="single" w:sz="8" w:color="004876"/>
            </w:tcBorders>
          </w:tcPr>
          <w:p>
            <w:pPr>
              <w:spacing w:after="0"/>
              <w:rPr>
                <w:sz w:val="15"/>
                <w:szCs w:val="15"/>
                <w:color w:val="auto"/>
              </w:rPr>
            </w:pPr>
          </w:p>
        </w:tc>
        <w:tc>
          <w:tcPr>
            <w:tcW w:w="720" w:type="dxa"/>
            <w:vAlign w:val="bottom"/>
            <w:tcBorders>
              <w:bottom w:val="single" w:sz="8" w:color="004876"/>
            </w:tcBorders>
          </w:tcPr>
          <w:p>
            <w:pPr>
              <w:jc w:val="right"/>
              <w:ind w:right="268"/>
              <w:spacing w:after="0"/>
              <w:rPr>
                <w:sz w:val="20"/>
                <w:szCs w:val="20"/>
                <w:color w:val="auto"/>
              </w:rPr>
            </w:pPr>
            <w:r>
              <w:rPr>
                <w:rFonts w:ascii="Arial" w:cs="Arial" w:eastAsia="Arial" w:hAnsi="Arial"/>
                <w:sz w:val="14"/>
                <w:szCs w:val="14"/>
                <w:color w:val="auto"/>
              </w:rPr>
              <w:t>2010</w:t>
            </w:r>
          </w:p>
        </w:tc>
        <w:tc>
          <w:tcPr>
            <w:tcW w:w="140" w:type="dxa"/>
            <w:vAlign w:val="bottom"/>
            <w:tcBorders>
              <w:bottom w:val="single" w:sz="8" w:color="004876"/>
            </w:tcBorders>
          </w:tcPr>
          <w:p>
            <w:pPr>
              <w:spacing w:after="0"/>
              <w:rPr>
                <w:sz w:val="15"/>
                <w:szCs w:val="15"/>
                <w:color w:val="auto"/>
              </w:rPr>
            </w:pPr>
          </w:p>
        </w:tc>
        <w:tc>
          <w:tcPr>
            <w:tcW w:w="720" w:type="dxa"/>
            <w:vAlign w:val="bottom"/>
            <w:tcBorders>
              <w:bottom w:val="single" w:sz="8" w:color="004876"/>
            </w:tcBorders>
          </w:tcPr>
          <w:p>
            <w:pPr>
              <w:jc w:val="right"/>
              <w:ind w:right="268"/>
              <w:spacing w:after="0"/>
              <w:rPr>
                <w:sz w:val="20"/>
                <w:szCs w:val="20"/>
                <w:color w:val="auto"/>
              </w:rPr>
            </w:pPr>
            <w:r>
              <w:rPr>
                <w:rFonts w:ascii="Arial" w:cs="Arial" w:eastAsia="Arial" w:hAnsi="Arial"/>
                <w:sz w:val="14"/>
                <w:szCs w:val="14"/>
                <w:color w:val="auto"/>
              </w:rPr>
              <w:t>2011</w:t>
            </w:r>
          </w:p>
        </w:tc>
        <w:tc>
          <w:tcPr>
            <w:tcW w:w="140" w:type="dxa"/>
            <w:vAlign w:val="bottom"/>
            <w:tcBorders>
              <w:bottom w:val="single" w:sz="8" w:color="004876"/>
            </w:tcBorders>
          </w:tcPr>
          <w:p>
            <w:pPr>
              <w:spacing w:after="0"/>
              <w:rPr>
                <w:sz w:val="15"/>
                <w:szCs w:val="15"/>
                <w:color w:val="auto"/>
              </w:rPr>
            </w:pPr>
          </w:p>
        </w:tc>
        <w:tc>
          <w:tcPr>
            <w:tcW w:w="720" w:type="dxa"/>
            <w:vAlign w:val="bottom"/>
            <w:tcBorders>
              <w:bottom w:val="single" w:sz="8" w:color="004876"/>
            </w:tcBorders>
          </w:tcPr>
          <w:p>
            <w:pPr>
              <w:jc w:val="right"/>
              <w:ind w:right="268"/>
              <w:spacing w:after="0"/>
              <w:rPr>
                <w:sz w:val="20"/>
                <w:szCs w:val="20"/>
                <w:color w:val="auto"/>
              </w:rPr>
            </w:pPr>
            <w:r>
              <w:rPr>
                <w:rFonts w:ascii="Arial" w:cs="Arial" w:eastAsia="Arial" w:hAnsi="Arial"/>
                <w:sz w:val="14"/>
                <w:szCs w:val="14"/>
                <w:color w:val="auto"/>
              </w:rPr>
              <w:t>2012</w:t>
            </w:r>
          </w:p>
        </w:tc>
        <w:tc>
          <w:tcPr>
            <w:tcW w:w="140" w:type="dxa"/>
            <w:vAlign w:val="bottom"/>
            <w:tcBorders>
              <w:bottom w:val="single" w:sz="8" w:color="004876"/>
            </w:tcBorders>
          </w:tcPr>
          <w:p>
            <w:pPr>
              <w:spacing w:after="0"/>
              <w:rPr>
                <w:sz w:val="15"/>
                <w:szCs w:val="15"/>
                <w:color w:val="auto"/>
              </w:rPr>
            </w:pPr>
          </w:p>
        </w:tc>
        <w:tc>
          <w:tcPr>
            <w:tcW w:w="720" w:type="dxa"/>
            <w:vAlign w:val="bottom"/>
            <w:tcBorders>
              <w:bottom w:val="single" w:sz="8" w:color="004876"/>
            </w:tcBorders>
          </w:tcPr>
          <w:p>
            <w:pPr>
              <w:jc w:val="right"/>
              <w:ind w:right="268"/>
              <w:spacing w:after="0"/>
              <w:rPr>
                <w:sz w:val="20"/>
                <w:szCs w:val="20"/>
                <w:color w:val="auto"/>
              </w:rPr>
            </w:pPr>
            <w:r>
              <w:rPr>
                <w:rFonts w:ascii="Arial" w:cs="Arial" w:eastAsia="Arial" w:hAnsi="Arial"/>
                <w:sz w:val="14"/>
                <w:szCs w:val="14"/>
                <w:color w:val="auto"/>
              </w:rPr>
              <w:t>2013</w:t>
            </w:r>
          </w:p>
        </w:tc>
        <w:tc>
          <w:tcPr>
            <w:tcW w:w="160" w:type="dxa"/>
            <w:vAlign w:val="bottom"/>
            <w:tcBorders>
              <w:bottom w:val="single" w:sz="8" w:color="004876"/>
            </w:tcBorders>
          </w:tcPr>
          <w:p>
            <w:pPr>
              <w:spacing w:after="0"/>
              <w:rPr>
                <w:sz w:val="15"/>
                <w:szCs w:val="15"/>
                <w:color w:val="auto"/>
              </w:rPr>
            </w:pPr>
          </w:p>
        </w:tc>
        <w:tc>
          <w:tcPr>
            <w:tcW w:w="700" w:type="dxa"/>
            <w:vAlign w:val="bottom"/>
            <w:tcBorders>
              <w:bottom w:val="single" w:sz="8" w:color="004876"/>
            </w:tcBorders>
          </w:tcPr>
          <w:p>
            <w:pPr>
              <w:jc w:val="right"/>
              <w:ind w:right="248"/>
              <w:spacing w:after="0"/>
              <w:rPr>
                <w:sz w:val="20"/>
                <w:szCs w:val="20"/>
                <w:color w:val="auto"/>
              </w:rPr>
            </w:pPr>
            <w:r>
              <w:rPr>
                <w:rFonts w:ascii="Arial" w:cs="Arial" w:eastAsia="Arial" w:hAnsi="Arial"/>
                <w:sz w:val="14"/>
                <w:szCs w:val="14"/>
                <w:color w:val="auto"/>
              </w:rPr>
              <w:t>2014</w:t>
            </w:r>
          </w:p>
        </w:tc>
        <w:tc>
          <w:tcPr>
            <w:tcW w:w="160" w:type="dxa"/>
            <w:vAlign w:val="bottom"/>
            <w:tcBorders>
              <w:bottom w:val="single" w:sz="8" w:color="004876"/>
            </w:tcBorders>
          </w:tcPr>
          <w:p>
            <w:pPr>
              <w:spacing w:after="0"/>
              <w:rPr>
                <w:sz w:val="15"/>
                <w:szCs w:val="15"/>
                <w:color w:val="auto"/>
              </w:rPr>
            </w:pPr>
          </w:p>
        </w:tc>
        <w:tc>
          <w:tcPr>
            <w:tcW w:w="720" w:type="dxa"/>
            <w:vAlign w:val="bottom"/>
            <w:tcBorders>
              <w:bottom w:val="single" w:sz="8" w:color="004876"/>
            </w:tcBorders>
          </w:tcPr>
          <w:p>
            <w:pPr>
              <w:jc w:val="right"/>
              <w:ind w:right="268"/>
              <w:spacing w:after="0"/>
              <w:rPr>
                <w:sz w:val="20"/>
                <w:szCs w:val="20"/>
                <w:color w:val="auto"/>
              </w:rPr>
            </w:pPr>
            <w:r>
              <w:rPr>
                <w:rFonts w:ascii="Arial" w:cs="Arial" w:eastAsia="Arial" w:hAnsi="Arial"/>
                <w:sz w:val="14"/>
                <w:szCs w:val="14"/>
                <w:color w:val="auto"/>
              </w:rPr>
              <w:t>2015</w:t>
            </w:r>
          </w:p>
        </w:tc>
        <w:tc>
          <w:tcPr>
            <w:tcW w:w="140" w:type="dxa"/>
            <w:vAlign w:val="bottom"/>
            <w:tcBorders>
              <w:bottom w:val="single" w:sz="8" w:color="004876"/>
            </w:tcBorders>
          </w:tcPr>
          <w:p>
            <w:pPr>
              <w:spacing w:after="0"/>
              <w:rPr>
                <w:sz w:val="15"/>
                <w:szCs w:val="15"/>
                <w:color w:val="auto"/>
              </w:rPr>
            </w:pPr>
          </w:p>
        </w:tc>
        <w:tc>
          <w:tcPr>
            <w:tcW w:w="720" w:type="dxa"/>
            <w:vAlign w:val="bottom"/>
            <w:tcBorders>
              <w:bottom w:val="single" w:sz="8" w:color="004876"/>
            </w:tcBorders>
          </w:tcPr>
          <w:p>
            <w:pPr>
              <w:jc w:val="right"/>
              <w:ind w:right="268"/>
              <w:spacing w:after="0"/>
              <w:rPr>
                <w:sz w:val="20"/>
                <w:szCs w:val="20"/>
                <w:color w:val="auto"/>
              </w:rPr>
            </w:pPr>
            <w:r>
              <w:rPr>
                <w:rFonts w:ascii="Arial" w:cs="Arial" w:eastAsia="Arial" w:hAnsi="Arial"/>
                <w:sz w:val="14"/>
                <w:szCs w:val="14"/>
                <w:color w:val="auto"/>
              </w:rPr>
              <w:t>2016</w:t>
            </w:r>
          </w:p>
        </w:tc>
        <w:tc>
          <w:tcPr>
            <w:tcW w:w="140" w:type="dxa"/>
            <w:vAlign w:val="bottom"/>
            <w:tcBorders>
              <w:bottom w:val="single" w:sz="8" w:color="004876"/>
            </w:tcBorders>
          </w:tcPr>
          <w:p>
            <w:pPr>
              <w:spacing w:after="0"/>
              <w:rPr>
                <w:sz w:val="15"/>
                <w:szCs w:val="15"/>
                <w:color w:val="auto"/>
              </w:rPr>
            </w:pPr>
          </w:p>
        </w:tc>
        <w:tc>
          <w:tcPr>
            <w:tcW w:w="720" w:type="dxa"/>
            <w:vAlign w:val="bottom"/>
            <w:tcBorders>
              <w:bottom w:val="single" w:sz="8" w:color="004876"/>
            </w:tcBorders>
          </w:tcPr>
          <w:p>
            <w:pPr>
              <w:jc w:val="right"/>
              <w:ind w:right="268"/>
              <w:spacing w:after="0"/>
              <w:rPr>
                <w:sz w:val="20"/>
                <w:szCs w:val="20"/>
                <w:color w:val="auto"/>
              </w:rPr>
            </w:pPr>
            <w:r>
              <w:rPr>
                <w:rFonts w:ascii="Arial" w:cs="Arial" w:eastAsia="Arial" w:hAnsi="Arial"/>
                <w:sz w:val="14"/>
                <w:szCs w:val="14"/>
                <w:color w:val="auto"/>
              </w:rPr>
              <w:t>2017</w:t>
            </w:r>
          </w:p>
        </w:tc>
        <w:tc>
          <w:tcPr>
            <w:tcW w:w="140" w:type="dxa"/>
            <w:vAlign w:val="bottom"/>
            <w:tcBorders>
              <w:bottom w:val="single" w:sz="8" w:color="004876"/>
            </w:tcBorders>
          </w:tcPr>
          <w:p>
            <w:pPr>
              <w:spacing w:after="0"/>
              <w:rPr>
                <w:sz w:val="15"/>
                <w:szCs w:val="15"/>
                <w:color w:val="auto"/>
              </w:rPr>
            </w:pPr>
          </w:p>
        </w:tc>
        <w:tc>
          <w:tcPr>
            <w:tcW w:w="720" w:type="dxa"/>
            <w:vAlign w:val="bottom"/>
            <w:tcBorders>
              <w:bottom w:val="single" w:sz="8" w:color="004876"/>
            </w:tcBorders>
          </w:tcPr>
          <w:p>
            <w:pPr>
              <w:jc w:val="right"/>
              <w:ind w:right="268"/>
              <w:spacing w:after="0"/>
              <w:rPr>
                <w:sz w:val="20"/>
                <w:szCs w:val="20"/>
                <w:color w:val="auto"/>
              </w:rPr>
            </w:pPr>
            <w:r>
              <w:rPr>
                <w:rFonts w:ascii="Arial" w:cs="Arial" w:eastAsia="Arial" w:hAnsi="Arial"/>
                <w:sz w:val="14"/>
                <w:szCs w:val="14"/>
                <w:color w:val="auto"/>
              </w:rPr>
              <w:t>2018</w:t>
            </w:r>
          </w:p>
        </w:tc>
        <w:tc>
          <w:tcPr>
            <w:tcW w:w="160" w:type="dxa"/>
            <w:vAlign w:val="bottom"/>
            <w:tcBorders>
              <w:bottom w:val="single" w:sz="8" w:color="004876"/>
            </w:tcBorders>
          </w:tcPr>
          <w:p>
            <w:pPr>
              <w:spacing w:after="0"/>
              <w:rPr>
                <w:sz w:val="15"/>
                <w:szCs w:val="15"/>
                <w:color w:val="auto"/>
              </w:rPr>
            </w:pPr>
          </w:p>
        </w:tc>
        <w:tc>
          <w:tcPr>
            <w:tcW w:w="720" w:type="dxa"/>
            <w:vAlign w:val="bottom"/>
            <w:tcBorders>
              <w:bottom w:val="single" w:sz="8" w:color="004876"/>
            </w:tcBorders>
          </w:tcPr>
          <w:p>
            <w:pPr>
              <w:jc w:val="right"/>
              <w:ind w:right="26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3"/>
        </w:trPr>
        <w:tc>
          <w:tcPr>
            <w:tcW w:w="238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4"/>
                <w:szCs w:val="14"/>
                <w:color w:val="auto"/>
              </w:rPr>
              <w:t>Common stockholders’ equity</w:t>
            </w:r>
          </w:p>
        </w:tc>
        <w:tc>
          <w:tcPr>
            <w:tcW w:w="1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E5E5E5"/>
            </w:tcBorders>
            <w:shd w:val="clear" w:color="auto" w:fill="E5E5E5"/>
          </w:tcPr>
          <w:p>
            <w:pPr>
              <w:jc w:val="right"/>
              <w:ind w:right="108"/>
              <w:spacing w:after="0"/>
              <w:rPr>
                <w:sz w:val="20"/>
                <w:szCs w:val="20"/>
                <w:color w:val="auto"/>
              </w:rPr>
            </w:pPr>
            <w:r>
              <w:rPr>
                <w:rFonts w:ascii="Arial" w:cs="Arial" w:eastAsia="Arial" w:hAnsi="Arial"/>
                <w:sz w:val="14"/>
                <w:szCs w:val="14"/>
                <w:color w:val="auto"/>
              </w:rPr>
              <w:t>161,520</w:t>
            </w:r>
          </w:p>
        </w:tc>
        <w:tc>
          <w:tcPr>
            <w:tcW w:w="1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E5E5E5"/>
            </w:tcBorders>
            <w:shd w:val="clear" w:color="auto" w:fill="E5E5E5"/>
          </w:tcPr>
          <w:p>
            <w:pPr>
              <w:jc w:val="right"/>
              <w:ind w:right="108"/>
              <w:spacing w:after="0"/>
              <w:rPr>
                <w:sz w:val="20"/>
                <w:szCs w:val="20"/>
                <w:color w:val="auto"/>
              </w:rPr>
            </w:pPr>
            <w:r>
              <w:rPr>
                <w:rFonts w:ascii="Arial" w:cs="Arial" w:eastAsia="Arial" w:hAnsi="Arial"/>
                <w:sz w:val="14"/>
                <w:szCs w:val="14"/>
                <w:color w:val="auto"/>
              </w:rPr>
              <w:t>173,266</w:t>
            </w:r>
          </w:p>
        </w:tc>
        <w:tc>
          <w:tcPr>
            <w:tcW w:w="1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E5E5E5"/>
            </w:tcBorders>
            <w:shd w:val="clear" w:color="auto" w:fill="E5E5E5"/>
          </w:tcPr>
          <w:p>
            <w:pPr>
              <w:jc w:val="right"/>
              <w:ind w:right="108"/>
              <w:spacing w:after="0"/>
              <w:rPr>
                <w:sz w:val="20"/>
                <w:szCs w:val="20"/>
                <w:color w:val="auto"/>
              </w:rPr>
            </w:pPr>
            <w:r>
              <w:rPr>
                <w:rFonts w:ascii="Arial" w:cs="Arial" w:eastAsia="Arial" w:hAnsi="Arial"/>
                <w:sz w:val="14"/>
                <w:szCs w:val="14"/>
                <w:color w:val="auto"/>
              </w:rPr>
              <w:t>184,352</w:t>
            </w:r>
          </w:p>
        </w:tc>
        <w:tc>
          <w:tcPr>
            <w:tcW w:w="1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E5E5E5"/>
            </w:tcBorders>
            <w:shd w:val="clear" w:color="auto" w:fill="E5E5E5"/>
          </w:tcPr>
          <w:p>
            <w:pPr>
              <w:jc w:val="right"/>
              <w:ind w:right="88"/>
              <w:spacing w:after="0"/>
              <w:rPr>
                <w:sz w:val="20"/>
                <w:szCs w:val="20"/>
                <w:color w:val="auto"/>
              </w:rPr>
            </w:pPr>
            <w:r>
              <w:rPr>
                <w:rFonts w:ascii="Arial" w:cs="Arial" w:eastAsia="Arial" w:hAnsi="Arial"/>
                <w:sz w:val="14"/>
                <w:szCs w:val="14"/>
                <w:color w:val="auto"/>
              </w:rPr>
              <w:t>196,409</w:t>
            </w:r>
          </w:p>
        </w:tc>
        <w:tc>
          <w:tcPr>
            <w:tcW w:w="1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E5E5E5"/>
            </w:tcBorders>
            <w:shd w:val="clear" w:color="auto" w:fill="E5E5E5"/>
          </w:tcPr>
          <w:p>
            <w:pPr>
              <w:jc w:val="right"/>
              <w:ind w:right="88"/>
              <w:spacing w:after="0"/>
              <w:rPr>
                <w:sz w:val="20"/>
                <w:szCs w:val="20"/>
                <w:color w:val="auto"/>
              </w:rPr>
            </w:pPr>
            <w:r>
              <w:rPr>
                <w:rFonts w:ascii="Arial" w:cs="Arial" w:eastAsia="Arial" w:hAnsi="Arial"/>
                <w:sz w:val="14"/>
                <w:szCs w:val="14"/>
                <w:color w:val="auto"/>
              </w:rPr>
              <w:t>207,400</w:t>
            </w:r>
          </w:p>
        </w:tc>
        <w:tc>
          <w:tcPr>
            <w:tcW w:w="1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E5E5E5"/>
            </w:tcBorders>
            <w:shd w:val="clear" w:color="auto" w:fill="E5E5E5"/>
          </w:tcPr>
          <w:p>
            <w:pPr>
              <w:jc w:val="right"/>
              <w:ind w:right="108"/>
              <w:spacing w:after="0"/>
              <w:rPr>
                <w:sz w:val="20"/>
                <w:szCs w:val="20"/>
                <w:color w:val="auto"/>
              </w:rPr>
            </w:pPr>
            <w:r>
              <w:rPr>
                <w:rFonts w:ascii="Arial" w:cs="Arial" w:eastAsia="Arial" w:hAnsi="Arial"/>
                <w:sz w:val="14"/>
                <w:szCs w:val="14"/>
                <w:color w:val="auto"/>
              </w:rPr>
              <w:t>215,690</w:t>
            </w:r>
          </w:p>
        </w:tc>
        <w:tc>
          <w:tcPr>
            <w:tcW w:w="1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E5E5E5"/>
            </w:tcBorders>
            <w:shd w:val="clear" w:color="auto" w:fill="E5E5E5"/>
          </w:tcPr>
          <w:p>
            <w:pPr>
              <w:jc w:val="right"/>
              <w:ind w:right="108"/>
              <w:spacing w:after="0"/>
              <w:rPr>
                <w:sz w:val="20"/>
                <w:szCs w:val="20"/>
                <w:color w:val="auto"/>
              </w:rPr>
            </w:pPr>
            <w:r>
              <w:rPr>
                <w:rFonts w:ascii="Arial" w:cs="Arial" w:eastAsia="Arial" w:hAnsi="Arial"/>
                <w:sz w:val="14"/>
                <w:szCs w:val="14"/>
                <w:color w:val="auto"/>
              </w:rPr>
              <w:t>224,631</w:t>
            </w:r>
          </w:p>
        </w:tc>
        <w:tc>
          <w:tcPr>
            <w:tcW w:w="1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E5E5E5"/>
            </w:tcBorders>
            <w:shd w:val="clear" w:color="auto" w:fill="E5E5E5"/>
          </w:tcPr>
          <w:p>
            <w:pPr>
              <w:jc w:val="right"/>
              <w:ind w:right="108"/>
              <w:spacing w:after="0"/>
              <w:rPr>
                <w:sz w:val="20"/>
                <w:szCs w:val="20"/>
                <w:color w:val="auto"/>
              </w:rPr>
            </w:pPr>
            <w:r>
              <w:rPr>
                <w:rFonts w:ascii="Arial" w:cs="Arial" w:eastAsia="Arial" w:hAnsi="Arial"/>
                <w:sz w:val="14"/>
                <w:szCs w:val="14"/>
                <w:color w:val="auto"/>
              </w:rPr>
              <w:t>230,350</w:t>
            </w:r>
          </w:p>
        </w:tc>
        <w:tc>
          <w:tcPr>
            <w:tcW w:w="1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E5E5E5"/>
            </w:tcBorders>
            <w:shd w:val="clear" w:color="auto" w:fill="E5E5E5"/>
          </w:tcPr>
          <w:p>
            <w:pPr>
              <w:jc w:val="right"/>
              <w:ind w:right="88"/>
              <w:spacing w:after="0"/>
              <w:rPr>
                <w:sz w:val="20"/>
                <w:szCs w:val="20"/>
                <w:color w:val="auto"/>
              </w:rPr>
            </w:pPr>
            <w:r>
              <w:rPr>
                <w:rFonts w:ascii="Arial" w:cs="Arial" w:eastAsia="Arial" w:hAnsi="Arial"/>
                <w:sz w:val="14"/>
                <w:szCs w:val="14"/>
                <w:color w:val="auto"/>
              </w:rPr>
              <w:t>229,222</w:t>
            </w:r>
          </w:p>
        </w:tc>
        <w:tc>
          <w:tcPr>
            <w:tcW w:w="1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E5E5E5"/>
            </w:tcBorders>
            <w:shd w:val="clear" w:color="auto" w:fill="E5E5E5"/>
          </w:tcPr>
          <w:p>
            <w:pPr>
              <w:jc w:val="right"/>
              <w:ind w:right="108"/>
              <w:spacing w:after="0"/>
              <w:rPr>
                <w:sz w:val="20"/>
                <w:szCs w:val="20"/>
                <w:color w:val="auto"/>
              </w:rPr>
            </w:pPr>
            <w:r>
              <w:rPr>
                <w:rFonts w:ascii="Arial" w:cs="Arial" w:eastAsia="Arial" w:hAnsi="Arial"/>
                <w:sz w:val="14"/>
                <w:szCs w:val="14"/>
                <w:b w:val="1"/>
                <w:bCs w:val="1"/>
                <w:color w:val="auto"/>
              </w:rPr>
              <w:t>232,907</w:t>
            </w:r>
          </w:p>
        </w:tc>
        <w:tc>
          <w:tcPr>
            <w:tcW w:w="0" w:type="dxa"/>
            <w:vAlign w:val="bottom"/>
          </w:tcPr>
          <w:p>
            <w:pPr>
              <w:spacing w:after="0"/>
              <w:rPr>
                <w:sz w:val="1"/>
                <w:szCs w:val="1"/>
                <w:color w:val="auto"/>
              </w:rPr>
            </w:pPr>
          </w:p>
        </w:tc>
      </w:tr>
      <w:tr>
        <w:trPr>
          <w:trHeight w:val="191"/>
        </w:trPr>
        <w:tc>
          <w:tcPr>
            <w:tcW w:w="2380" w:type="dxa"/>
            <w:vAlign w:val="bottom"/>
          </w:tcPr>
          <w:p>
            <w:pPr>
              <w:ind w:left="60"/>
              <w:spacing w:after="0"/>
              <w:rPr>
                <w:sz w:val="20"/>
                <w:szCs w:val="20"/>
                <w:color w:val="auto"/>
              </w:rPr>
            </w:pPr>
            <w:r>
              <w:rPr>
                <w:rFonts w:ascii="Arial" w:cs="Arial" w:eastAsia="Arial" w:hAnsi="Arial"/>
                <w:sz w:val="14"/>
                <w:szCs w:val="14"/>
                <w:color w:val="auto"/>
              </w:rPr>
              <w:t>Less: Goodwill</w:t>
            </w:r>
          </w:p>
        </w:tc>
        <w:tc>
          <w:tcPr>
            <w:tcW w:w="140" w:type="dxa"/>
            <w:vAlign w:val="bottom"/>
          </w:tcPr>
          <w:p>
            <w:pPr>
              <w:spacing w:after="0"/>
              <w:rPr>
                <w:sz w:val="16"/>
                <w:szCs w:val="16"/>
                <w:color w:val="auto"/>
              </w:rPr>
            </w:pP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48,618</w:t>
            </w:r>
          </w:p>
        </w:tc>
        <w:tc>
          <w:tcPr>
            <w:tcW w:w="140" w:type="dxa"/>
            <w:vAlign w:val="bottom"/>
          </w:tcPr>
          <w:p>
            <w:pPr>
              <w:spacing w:after="0"/>
              <w:rPr>
                <w:sz w:val="16"/>
                <w:szCs w:val="16"/>
                <w:color w:val="auto"/>
              </w:rPr>
            </w:pP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48,632</w:t>
            </w:r>
          </w:p>
        </w:tc>
        <w:tc>
          <w:tcPr>
            <w:tcW w:w="140" w:type="dxa"/>
            <w:vAlign w:val="bottom"/>
          </w:tcPr>
          <w:p>
            <w:pPr>
              <w:spacing w:after="0"/>
              <w:rPr>
                <w:sz w:val="16"/>
                <w:szCs w:val="16"/>
                <w:color w:val="auto"/>
              </w:rPr>
            </w:pP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48,176</w:t>
            </w:r>
          </w:p>
        </w:tc>
        <w:tc>
          <w:tcPr>
            <w:tcW w:w="140" w:type="dxa"/>
            <w:vAlign w:val="bottom"/>
          </w:tcPr>
          <w:p>
            <w:pPr>
              <w:spacing w:after="0"/>
              <w:rPr>
                <w:sz w:val="16"/>
                <w:szCs w:val="16"/>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48,102</w:t>
            </w:r>
          </w:p>
        </w:tc>
        <w:tc>
          <w:tcPr>
            <w:tcW w:w="160" w:type="dxa"/>
            <w:vAlign w:val="bottom"/>
          </w:tcPr>
          <w:p>
            <w:pPr>
              <w:spacing w:after="0"/>
              <w:rPr>
                <w:sz w:val="16"/>
                <w:szCs w:val="16"/>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48,029</w:t>
            </w:r>
          </w:p>
        </w:tc>
        <w:tc>
          <w:tcPr>
            <w:tcW w:w="160" w:type="dxa"/>
            <w:vAlign w:val="bottom"/>
          </w:tcPr>
          <w:p>
            <w:pPr>
              <w:spacing w:after="0"/>
              <w:rPr>
                <w:sz w:val="16"/>
                <w:szCs w:val="16"/>
                <w:color w:val="auto"/>
              </w:rPr>
            </w:pP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47,445</w:t>
            </w:r>
          </w:p>
        </w:tc>
        <w:tc>
          <w:tcPr>
            <w:tcW w:w="140" w:type="dxa"/>
            <w:vAlign w:val="bottom"/>
          </w:tcPr>
          <w:p>
            <w:pPr>
              <w:spacing w:after="0"/>
              <w:rPr>
                <w:sz w:val="16"/>
                <w:szCs w:val="16"/>
                <w:color w:val="auto"/>
              </w:rPr>
            </w:pP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47,310</w:t>
            </w:r>
          </w:p>
        </w:tc>
        <w:tc>
          <w:tcPr>
            <w:tcW w:w="140" w:type="dxa"/>
            <w:vAlign w:val="bottom"/>
          </w:tcPr>
          <w:p>
            <w:pPr>
              <w:spacing w:after="0"/>
              <w:rPr>
                <w:sz w:val="16"/>
                <w:szCs w:val="16"/>
                <w:color w:val="auto"/>
              </w:rPr>
            </w:pP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47,317</w:t>
            </w:r>
          </w:p>
        </w:tc>
        <w:tc>
          <w:tcPr>
            <w:tcW w:w="140" w:type="dxa"/>
            <w:vAlign w:val="bottom"/>
          </w:tcPr>
          <w:p>
            <w:pPr>
              <w:spacing w:after="0"/>
              <w:rPr>
                <w:sz w:val="16"/>
                <w:szCs w:val="16"/>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47,491</w:t>
            </w:r>
          </w:p>
        </w:tc>
        <w:tc>
          <w:tcPr>
            <w:tcW w:w="160" w:type="dxa"/>
            <w:vAlign w:val="bottom"/>
          </w:tcPr>
          <w:p>
            <w:pPr>
              <w:spacing w:after="0"/>
              <w:rPr>
                <w:sz w:val="16"/>
                <w:szCs w:val="16"/>
                <w:color w:val="auto"/>
              </w:rPr>
            </w:pPr>
          </w:p>
        </w:tc>
        <w:tc>
          <w:tcPr>
            <w:tcW w:w="720" w:type="dxa"/>
            <w:vAlign w:val="bottom"/>
          </w:tcPr>
          <w:p>
            <w:pPr>
              <w:jc w:val="right"/>
              <w:ind w:right="108"/>
              <w:spacing w:after="0"/>
              <w:rPr>
                <w:sz w:val="20"/>
                <w:szCs w:val="20"/>
                <w:color w:val="auto"/>
              </w:rPr>
            </w:pPr>
            <w:r>
              <w:rPr>
                <w:rFonts w:ascii="Arial" w:cs="Arial" w:eastAsia="Arial" w:hAnsi="Arial"/>
                <w:sz w:val="14"/>
                <w:szCs w:val="14"/>
                <w:b w:val="1"/>
                <w:bCs w:val="1"/>
                <w:color w:val="auto"/>
              </w:rPr>
              <w:t>47,620</w:t>
            </w:r>
          </w:p>
        </w:tc>
        <w:tc>
          <w:tcPr>
            <w:tcW w:w="0" w:type="dxa"/>
            <w:vAlign w:val="bottom"/>
          </w:tcPr>
          <w:p>
            <w:pPr>
              <w:spacing w:after="0"/>
              <w:rPr>
                <w:sz w:val="1"/>
                <w:szCs w:val="1"/>
                <w:color w:val="auto"/>
              </w:rPr>
            </w:pPr>
          </w:p>
        </w:tc>
      </w:tr>
      <w:tr>
        <w:trPr>
          <w:trHeight w:val="39"/>
        </w:trPr>
        <w:tc>
          <w:tcPr>
            <w:tcW w:w="2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38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4"/>
                <w:szCs w:val="14"/>
                <w:color w:val="auto"/>
              </w:rPr>
              <w:t>Less: Other intangible assets</w:t>
            </w:r>
          </w:p>
        </w:tc>
        <w:tc>
          <w:tcPr>
            <w:tcW w:w="140" w:type="dxa"/>
            <w:vAlign w:val="bottom"/>
            <w:tcBorders>
              <w:bottom w:val="single" w:sz="8" w:color="E5E5E5"/>
            </w:tcBorders>
            <w:shd w:val="clear" w:color="auto" w:fill="E5E5E5"/>
          </w:tcPr>
          <w:p>
            <w:pPr>
              <w:spacing w:after="0"/>
              <w:rPr>
                <w:sz w:val="18"/>
                <w:szCs w:val="18"/>
                <w:color w:val="auto"/>
              </w:rPr>
            </w:pPr>
          </w:p>
        </w:tc>
        <w:tc>
          <w:tcPr>
            <w:tcW w:w="720" w:type="dxa"/>
            <w:vAlign w:val="bottom"/>
            <w:tcBorders>
              <w:bottom w:val="single" w:sz="8" w:color="E5E5E5"/>
            </w:tcBorders>
            <w:shd w:val="clear" w:color="auto" w:fill="E5E5E5"/>
          </w:tcPr>
          <w:p>
            <w:pPr>
              <w:jc w:val="right"/>
              <w:ind w:right="108"/>
              <w:spacing w:after="0"/>
              <w:rPr>
                <w:sz w:val="20"/>
                <w:szCs w:val="20"/>
                <w:color w:val="auto"/>
              </w:rPr>
            </w:pPr>
            <w:r>
              <w:rPr>
                <w:rFonts w:ascii="Arial" w:cs="Arial" w:eastAsia="Arial" w:hAnsi="Arial"/>
                <w:sz w:val="14"/>
                <w:szCs w:val="14"/>
                <w:color w:val="auto"/>
              </w:rPr>
              <w:t>4,178</w:t>
            </w:r>
          </w:p>
        </w:tc>
        <w:tc>
          <w:tcPr>
            <w:tcW w:w="140" w:type="dxa"/>
            <w:vAlign w:val="bottom"/>
            <w:tcBorders>
              <w:bottom w:val="single" w:sz="8" w:color="E5E5E5"/>
            </w:tcBorders>
            <w:shd w:val="clear" w:color="auto" w:fill="E5E5E5"/>
          </w:tcPr>
          <w:p>
            <w:pPr>
              <w:spacing w:after="0"/>
              <w:rPr>
                <w:sz w:val="18"/>
                <w:szCs w:val="18"/>
                <w:color w:val="auto"/>
              </w:rPr>
            </w:pPr>
          </w:p>
        </w:tc>
        <w:tc>
          <w:tcPr>
            <w:tcW w:w="720" w:type="dxa"/>
            <w:vAlign w:val="bottom"/>
            <w:tcBorders>
              <w:bottom w:val="single" w:sz="8" w:color="E5E5E5"/>
            </w:tcBorders>
            <w:shd w:val="clear" w:color="auto" w:fill="E5E5E5"/>
          </w:tcPr>
          <w:p>
            <w:pPr>
              <w:jc w:val="right"/>
              <w:ind w:right="108"/>
              <w:spacing w:after="0"/>
              <w:rPr>
                <w:sz w:val="20"/>
                <w:szCs w:val="20"/>
                <w:color w:val="auto"/>
              </w:rPr>
            </w:pPr>
            <w:r>
              <w:rPr>
                <w:rFonts w:ascii="Arial" w:cs="Arial" w:eastAsia="Arial" w:hAnsi="Arial"/>
                <w:sz w:val="14"/>
                <w:szCs w:val="14"/>
                <w:color w:val="auto"/>
              </w:rPr>
              <w:t>3,632</w:t>
            </w:r>
          </w:p>
        </w:tc>
        <w:tc>
          <w:tcPr>
            <w:tcW w:w="140" w:type="dxa"/>
            <w:vAlign w:val="bottom"/>
            <w:tcBorders>
              <w:bottom w:val="single" w:sz="8" w:color="E5E5E5"/>
            </w:tcBorders>
            <w:shd w:val="clear" w:color="auto" w:fill="E5E5E5"/>
          </w:tcPr>
          <w:p>
            <w:pPr>
              <w:spacing w:after="0"/>
              <w:rPr>
                <w:sz w:val="18"/>
                <w:szCs w:val="18"/>
                <w:color w:val="auto"/>
              </w:rPr>
            </w:pPr>
          </w:p>
        </w:tc>
        <w:tc>
          <w:tcPr>
            <w:tcW w:w="720" w:type="dxa"/>
            <w:vAlign w:val="bottom"/>
            <w:tcBorders>
              <w:bottom w:val="single" w:sz="8" w:color="E5E5E5"/>
            </w:tcBorders>
            <w:shd w:val="clear" w:color="auto" w:fill="E5E5E5"/>
          </w:tcPr>
          <w:p>
            <w:pPr>
              <w:jc w:val="right"/>
              <w:ind w:right="108"/>
              <w:spacing w:after="0"/>
              <w:rPr>
                <w:sz w:val="20"/>
                <w:szCs w:val="20"/>
                <w:color w:val="auto"/>
              </w:rPr>
            </w:pPr>
            <w:r>
              <w:rPr>
                <w:rFonts w:ascii="Arial" w:cs="Arial" w:eastAsia="Arial" w:hAnsi="Arial"/>
                <w:sz w:val="14"/>
                <w:szCs w:val="14"/>
                <w:color w:val="auto"/>
              </w:rPr>
              <w:t>2,833</w:t>
            </w:r>
          </w:p>
        </w:tc>
        <w:tc>
          <w:tcPr>
            <w:tcW w:w="140" w:type="dxa"/>
            <w:vAlign w:val="bottom"/>
            <w:tcBorders>
              <w:bottom w:val="single" w:sz="8" w:color="E5E5E5"/>
            </w:tcBorders>
            <w:shd w:val="clear" w:color="auto" w:fill="E5E5E5"/>
          </w:tcPr>
          <w:p>
            <w:pPr>
              <w:spacing w:after="0"/>
              <w:rPr>
                <w:sz w:val="18"/>
                <w:szCs w:val="18"/>
                <w:color w:val="auto"/>
              </w:rPr>
            </w:pPr>
          </w:p>
        </w:tc>
        <w:tc>
          <w:tcPr>
            <w:tcW w:w="720" w:type="dxa"/>
            <w:vAlign w:val="bottom"/>
            <w:tcBorders>
              <w:bottom w:val="single" w:sz="8" w:color="E5E5E5"/>
            </w:tcBorders>
            <w:shd w:val="clear" w:color="auto" w:fill="E5E5E5"/>
          </w:tcPr>
          <w:p>
            <w:pPr>
              <w:jc w:val="right"/>
              <w:ind w:right="88"/>
              <w:spacing w:after="0"/>
              <w:rPr>
                <w:sz w:val="20"/>
                <w:szCs w:val="20"/>
                <w:color w:val="auto"/>
              </w:rPr>
            </w:pPr>
            <w:r>
              <w:rPr>
                <w:rFonts w:ascii="Arial" w:cs="Arial" w:eastAsia="Arial" w:hAnsi="Arial"/>
                <w:sz w:val="14"/>
                <w:szCs w:val="14"/>
                <w:color w:val="auto"/>
              </w:rPr>
              <w:t>1,950</w:t>
            </w:r>
          </w:p>
        </w:tc>
        <w:tc>
          <w:tcPr>
            <w:tcW w:w="160" w:type="dxa"/>
            <w:vAlign w:val="bottom"/>
            <w:tcBorders>
              <w:bottom w:val="single" w:sz="8" w:color="E5E5E5"/>
            </w:tcBorders>
            <w:shd w:val="clear" w:color="auto" w:fill="E5E5E5"/>
          </w:tcPr>
          <w:p>
            <w:pPr>
              <w:spacing w:after="0"/>
              <w:rPr>
                <w:sz w:val="18"/>
                <w:szCs w:val="18"/>
                <w:color w:val="auto"/>
              </w:rPr>
            </w:pPr>
          </w:p>
        </w:tc>
        <w:tc>
          <w:tcPr>
            <w:tcW w:w="700" w:type="dxa"/>
            <w:vAlign w:val="bottom"/>
            <w:tcBorders>
              <w:bottom w:val="single" w:sz="8" w:color="E5E5E5"/>
            </w:tcBorders>
            <w:shd w:val="clear" w:color="auto" w:fill="E5E5E5"/>
          </w:tcPr>
          <w:p>
            <w:pPr>
              <w:jc w:val="right"/>
              <w:ind w:right="88"/>
              <w:spacing w:after="0"/>
              <w:rPr>
                <w:sz w:val="20"/>
                <w:szCs w:val="20"/>
                <w:color w:val="auto"/>
              </w:rPr>
            </w:pPr>
            <w:r>
              <w:rPr>
                <w:rFonts w:ascii="Arial" w:cs="Arial" w:eastAsia="Arial" w:hAnsi="Arial"/>
                <w:sz w:val="14"/>
                <w:szCs w:val="14"/>
                <w:color w:val="auto"/>
              </w:rPr>
              <w:t>1,378</w:t>
            </w:r>
          </w:p>
        </w:tc>
        <w:tc>
          <w:tcPr>
            <w:tcW w:w="160" w:type="dxa"/>
            <w:vAlign w:val="bottom"/>
            <w:tcBorders>
              <w:bottom w:val="single" w:sz="8" w:color="E5E5E5"/>
            </w:tcBorders>
            <w:shd w:val="clear" w:color="auto" w:fill="E5E5E5"/>
          </w:tcPr>
          <w:p>
            <w:pPr>
              <w:spacing w:after="0"/>
              <w:rPr>
                <w:sz w:val="18"/>
                <w:szCs w:val="18"/>
                <w:color w:val="auto"/>
              </w:rPr>
            </w:pPr>
          </w:p>
        </w:tc>
        <w:tc>
          <w:tcPr>
            <w:tcW w:w="720" w:type="dxa"/>
            <w:vAlign w:val="bottom"/>
            <w:tcBorders>
              <w:bottom w:val="single" w:sz="8" w:color="E5E5E5"/>
            </w:tcBorders>
            <w:shd w:val="clear" w:color="auto" w:fill="E5E5E5"/>
          </w:tcPr>
          <w:p>
            <w:pPr>
              <w:jc w:val="right"/>
              <w:ind w:right="108"/>
              <w:spacing w:after="0"/>
              <w:rPr>
                <w:sz w:val="20"/>
                <w:szCs w:val="20"/>
                <w:color w:val="auto"/>
              </w:rPr>
            </w:pPr>
            <w:r>
              <w:rPr>
                <w:rFonts w:ascii="Arial" w:cs="Arial" w:eastAsia="Arial" w:hAnsi="Arial"/>
                <w:sz w:val="14"/>
                <w:szCs w:val="14"/>
                <w:color w:val="auto"/>
              </w:rPr>
              <w:t>1,092</w:t>
            </w:r>
          </w:p>
        </w:tc>
        <w:tc>
          <w:tcPr>
            <w:tcW w:w="140" w:type="dxa"/>
            <w:vAlign w:val="bottom"/>
            <w:tcBorders>
              <w:bottom w:val="single" w:sz="8" w:color="E5E5E5"/>
            </w:tcBorders>
            <w:shd w:val="clear" w:color="auto" w:fill="E5E5E5"/>
          </w:tcPr>
          <w:p>
            <w:pPr>
              <w:spacing w:after="0"/>
              <w:rPr>
                <w:sz w:val="18"/>
                <w:szCs w:val="18"/>
                <w:color w:val="auto"/>
              </w:rPr>
            </w:pPr>
          </w:p>
        </w:tc>
        <w:tc>
          <w:tcPr>
            <w:tcW w:w="720" w:type="dxa"/>
            <w:vAlign w:val="bottom"/>
            <w:tcBorders>
              <w:bottom w:val="single" w:sz="8" w:color="E5E5E5"/>
            </w:tcBorders>
            <w:shd w:val="clear" w:color="auto" w:fill="E5E5E5"/>
          </w:tcPr>
          <w:p>
            <w:pPr>
              <w:jc w:val="right"/>
              <w:ind w:right="108"/>
              <w:spacing w:after="0"/>
              <w:rPr>
                <w:sz w:val="20"/>
                <w:szCs w:val="20"/>
                <w:color w:val="auto"/>
              </w:rPr>
            </w:pPr>
            <w:r>
              <w:rPr>
                <w:rFonts w:ascii="Arial" w:cs="Arial" w:eastAsia="Arial" w:hAnsi="Arial"/>
                <w:sz w:val="14"/>
                <w:szCs w:val="14"/>
                <w:color w:val="auto"/>
              </w:rPr>
              <w:t>922</w:t>
            </w:r>
          </w:p>
        </w:tc>
        <w:tc>
          <w:tcPr>
            <w:tcW w:w="140" w:type="dxa"/>
            <w:vAlign w:val="bottom"/>
            <w:tcBorders>
              <w:bottom w:val="single" w:sz="8" w:color="E5E5E5"/>
            </w:tcBorders>
            <w:shd w:val="clear" w:color="auto" w:fill="E5E5E5"/>
          </w:tcPr>
          <w:p>
            <w:pPr>
              <w:spacing w:after="0"/>
              <w:rPr>
                <w:sz w:val="18"/>
                <w:szCs w:val="18"/>
                <w:color w:val="auto"/>
              </w:rPr>
            </w:pPr>
          </w:p>
        </w:tc>
        <w:tc>
          <w:tcPr>
            <w:tcW w:w="720" w:type="dxa"/>
            <w:vAlign w:val="bottom"/>
            <w:tcBorders>
              <w:bottom w:val="single" w:sz="8" w:color="E5E5E5"/>
            </w:tcBorders>
            <w:shd w:val="clear" w:color="auto" w:fill="E5E5E5"/>
          </w:tcPr>
          <w:p>
            <w:pPr>
              <w:jc w:val="right"/>
              <w:ind w:right="108"/>
              <w:spacing w:after="0"/>
              <w:rPr>
                <w:sz w:val="20"/>
                <w:szCs w:val="20"/>
                <w:color w:val="auto"/>
              </w:rPr>
            </w:pPr>
            <w:r>
              <w:rPr>
                <w:rFonts w:ascii="Arial" w:cs="Arial" w:eastAsia="Arial" w:hAnsi="Arial"/>
                <w:sz w:val="14"/>
                <w:szCs w:val="14"/>
                <w:color w:val="auto"/>
              </w:rPr>
              <w:t>832</w:t>
            </w:r>
          </w:p>
        </w:tc>
        <w:tc>
          <w:tcPr>
            <w:tcW w:w="140" w:type="dxa"/>
            <w:vAlign w:val="bottom"/>
            <w:tcBorders>
              <w:bottom w:val="single" w:sz="8" w:color="E5E5E5"/>
            </w:tcBorders>
            <w:shd w:val="clear" w:color="auto" w:fill="E5E5E5"/>
          </w:tcPr>
          <w:p>
            <w:pPr>
              <w:spacing w:after="0"/>
              <w:rPr>
                <w:sz w:val="18"/>
                <w:szCs w:val="18"/>
                <w:color w:val="auto"/>
              </w:rPr>
            </w:pPr>
          </w:p>
        </w:tc>
        <w:tc>
          <w:tcPr>
            <w:tcW w:w="720" w:type="dxa"/>
            <w:vAlign w:val="bottom"/>
            <w:tcBorders>
              <w:bottom w:val="single" w:sz="8" w:color="E5E5E5"/>
            </w:tcBorders>
            <w:shd w:val="clear" w:color="auto" w:fill="E5E5E5"/>
          </w:tcPr>
          <w:p>
            <w:pPr>
              <w:jc w:val="right"/>
              <w:ind w:right="88"/>
              <w:spacing w:after="0"/>
              <w:rPr>
                <w:sz w:val="20"/>
                <w:szCs w:val="20"/>
                <w:color w:val="auto"/>
              </w:rPr>
            </w:pPr>
            <w:r>
              <w:rPr>
                <w:rFonts w:ascii="Arial" w:cs="Arial" w:eastAsia="Arial" w:hAnsi="Arial"/>
                <w:sz w:val="14"/>
                <w:szCs w:val="14"/>
                <w:color w:val="auto"/>
              </w:rPr>
              <w:t>807</w:t>
            </w:r>
          </w:p>
        </w:tc>
        <w:tc>
          <w:tcPr>
            <w:tcW w:w="160" w:type="dxa"/>
            <w:vAlign w:val="bottom"/>
            <w:tcBorders>
              <w:bottom w:val="single" w:sz="8" w:color="E5E5E5"/>
            </w:tcBorders>
            <w:shd w:val="clear" w:color="auto" w:fill="E5E5E5"/>
          </w:tcPr>
          <w:p>
            <w:pPr>
              <w:spacing w:after="0"/>
              <w:rPr>
                <w:sz w:val="18"/>
                <w:szCs w:val="18"/>
                <w:color w:val="auto"/>
              </w:rPr>
            </w:pPr>
          </w:p>
        </w:tc>
        <w:tc>
          <w:tcPr>
            <w:tcW w:w="720" w:type="dxa"/>
            <w:vAlign w:val="bottom"/>
            <w:tcBorders>
              <w:bottom w:val="single" w:sz="8" w:color="E5E5E5"/>
            </w:tcBorders>
            <w:shd w:val="clear" w:color="auto" w:fill="E5E5E5"/>
          </w:tcPr>
          <w:p>
            <w:pPr>
              <w:jc w:val="right"/>
              <w:ind w:right="108"/>
              <w:spacing w:after="0"/>
              <w:rPr>
                <w:sz w:val="20"/>
                <w:szCs w:val="20"/>
                <w:color w:val="auto"/>
              </w:rPr>
            </w:pPr>
            <w:r>
              <w:rPr>
                <w:rFonts w:ascii="Arial" w:cs="Arial" w:eastAsia="Arial" w:hAnsi="Arial"/>
                <w:sz w:val="14"/>
                <w:szCs w:val="14"/>
                <w:b w:val="1"/>
                <w:bCs w:val="1"/>
                <w:color w:val="auto"/>
              </w:rPr>
              <w:t>789</w:t>
            </w:r>
          </w:p>
        </w:tc>
        <w:tc>
          <w:tcPr>
            <w:tcW w:w="0" w:type="dxa"/>
            <w:vAlign w:val="bottom"/>
          </w:tcPr>
          <w:p>
            <w:pPr>
              <w:spacing w:after="0"/>
              <w:rPr>
                <w:sz w:val="1"/>
                <w:szCs w:val="1"/>
                <w:color w:val="auto"/>
              </w:rPr>
            </w:pPr>
          </w:p>
        </w:tc>
      </w:tr>
      <w:tr>
        <w:trPr>
          <w:trHeight w:val="173"/>
        </w:trPr>
        <w:tc>
          <w:tcPr>
            <w:tcW w:w="2380" w:type="dxa"/>
            <w:vAlign w:val="bottom"/>
          </w:tcPr>
          <w:p>
            <w:pPr>
              <w:ind w:left="60"/>
              <w:spacing w:after="0"/>
              <w:rPr>
                <w:sz w:val="20"/>
                <w:szCs w:val="20"/>
                <w:color w:val="auto"/>
              </w:rPr>
            </w:pPr>
            <w:r>
              <w:rPr>
                <w:rFonts w:ascii="Arial" w:cs="Arial" w:eastAsia="Arial" w:hAnsi="Arial"/>
                <w:sz w:val="14"/>
                <w:szCs w:val="14"/>
                <w:color w:val="auto"/>
              </w:rPr>
              <w:t>Add: Certain deferred tax</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2,328</w:t>
            </w:r>
          </w:p>
        </w:tc>
        <w:tc>
          <w:tcPr>
            <w:tcW w:w="0" w:type="dxa"/>
            <w:vAlign w:val="bottom"/>
          </w:tcPr>
          <w:p>
            <w:pPr>
              <w:spacing w:after="0"/>
              <w:rPr>
                <w:sz w:val="1"/>
                <w:szCs w:val="1"/>
                <w:color w:val="auto"/>
              </w:rPr>
            </w:pPr>
          </w:p>
        </w:tc>
      </w:tr>
      <w:tr>
        <w:trPr>
          <w:trHeight w:val="219"/>
        </w:trPr>
        <w:tc>
          <w:tcPr>
            <w:tcW w:w="2380" w:type="dxa"/>
            <w:vAlign w:val="bottom"/>
            <w:tcBorders>
              <w:bottom w:val="single" w:sz="8" w:color="004876"/>
            </w:tcBorders>
          </w:tcPr>
          <w:p>
            <w:pPr>
              <w:ind w:left="60"/>
              <w:spacing w:after="0" w:line="219" w:lineRule="exact"/>
              <w:rPr>
                <w:sz w:val="20"/>
                <w:szCs w:val="20"/>
                <w:color w:val="auto"/>
              </w:rPr>
            </w:pPr>
            <w:r>
              <w:rPr>
                <w:rFonts w:ascii="Arial" w:cs="Arial" w:eastAsia="Arial" w:hAnsi="Arial"/>
                <w:sz w:val="14"/>
                <w:szCs w:val="14"/>
                <w:color w:val="auto"/>
              </w:rPr>
              <w:t>liabilities</w:t>
            </w:r>
            <w:r>
              <w:rPr>
                <w:rFonts w:ascii="Arial" w:cs="Arial" w:eastAsia="Arial" w:hAnsi="Arial"/>
                <w:sz w:val="24"/>
                <w:szCs w:val="24"/>
                <w:color w:val="auto"/>
                <w:vertAlign w:val="superscript"/>
              </w:rPr>
              <w:t>(a)</w:t>
            </w:r>
          </w:p>
        </w:tc>
        <w:tc>
          <w:tcPr>
            <w:tcW w:w="140" w:type="dxa"/>
            <w:vAlign w:val="bottom"/>
            <w:tcBorders>
              <w:bottom w:val="single" w:sz="8" w:color="004876"/>
            </w:tcBorders>
          </w:tcPr>
          <w:p>
            <w:pPr>
              <w:spacing w:after="0"/>
              <w:rPr>
                <w:sz w:val="19"/>
                <w:szCs w:val="19"/>
                <w:color w:val="auto"/>
              </w:rPr>
            </w:pPr>
          </w:p>
        </w:tc>
        <w:tc>
          <w:tcPr>
            <w:tcW w:w="720" w:type="dxa"/>
            <w:vAlign w:val="bottom"/>
            <w:tcBorders>
              <w:bottom w:val="single" w:sz="8" w:color="004876"/>
            </w:tcBorders>
          </w:tcPr>
          <w:p>
            <w:pPr>
              <w:jc w:val="right"/>
              <w:ind w:right="108"/>
              <w:spacing w:after="0"/>
              <w:rPr>
                <w:sz w:val="20"/>
                <w:szCs w:val="20"/>
                <w:color w:val="auto"/>
              </w:rPr>
            </w:pPr>
            <w:r>
              <w:rPr>
                <w:rFonts w:ascii="Arial" w:cs="Arial" w:eastAsia="Arial" w:hAnsi="Arial"/>
                <w:sz w:val="14"/>
                <w:szCs w:val="14"/>
                <w:color w:val="auto"/>
              </w:rPr>
              <w:t>2,587</w:t>
            </w:r>
          </w:p>
        </w:tc>
        <w:tc>
          <w:tcPr>
            <w:tcW w:w="140" w:type="dxa"/>
            <w:vAlign w:val="bottom"/>
            <w:tcBorders>
              <w:bottom w:val="single" w:sz="8" w:color="004876"/>
            </w:tcBorders>
          </w:tcPr>
          <w:p>
            <w:pPr>
              <w:spacing w:after="0"/>
              <w:rPr>
                <w:sz w:val="19"/>
                <w:szCs w:val="19"/>
                <w:color w:val="auto"/>
              </w:rPr>
            </w:pPr>
          </w:p>
        </w:tc>
        <w:tc>
          <w:tcPr>
            <w:tcW w:w="720" w:type="dxa"/>
            <w:vAlign w:val="bottom"/>
            <w:tcBorders>
              <w:bottom w:val="single" w:sz="8" w:color="004876"/>
            </w:tcBorders>
          </w:tcPr>
          <w:p>
            <w:pPr>
              <w:jc w:val="right"/>
              <w:ind w:right="108"/>
              <w:spacing w:after="0"/>
              <w:rPr>
                <w:sz w:val="20"/>
                <w:szCs w:val="20"/>
                <w:color w:val="auto"/>
              </w:rPr>
            </w:pPr>
            <w:r>
              <w:rPr>
                <w:rFonts w:ascii="Arial" w:cs="Arial" w:eastAsia="Arial" w:hAnsi="Arial"/>
                <w:sz w:val="14"/>
                <w:szCs w:val="14"/>
                <w:color w:val="auto"/>
              </w:rPr>
              <w:t>2,635</w:t>
            </w:r>
          </w:p>
        </w:tc>
        <w:tc>
          <w:tcPr>
            <w:tcW w:w="140" w:type="dxa"/>
            <w:vAlign w:val="bottom"/>
            <w:tcBorders>
              <w:bottom w:val="single" w:sz="8" w:color="004876"/>
            </w:tcBorders>
          </w:tcPr>
          <w:p>
            <w:pPr>
              <w:spacing w:after="0"/>
              <w:rPr>
                <w:sz w:val="19"/>
                <w:szCs w:val="19"/>
                <w:color w:val="auto"/>
              </w:rPr>
            </w:pPr>
          </w:p>
        </w:tc>
        <w:tc>
          <w:tcPr>
            <w:tcW w:w="720" w:type="dxa"/>
            <w:vAlign w:val="bottom"/>
            <w:tcBorders>
              <w:bottom w:val="single" w:sz="8" w:color="004876"/>
            </w:tcBorders>
          </w:tcPr>
          <w:p>
            <w:pPr>
              <w:jc w:val="right"/>
              <w:ind w:right="108"/>
              <w:spacing w:after="0"/>
              <w:rPr>
                <w:sz w:val="20"/>
                <w:szCs w:val="20"/>
                <w:color w:val="auto"/>
              </w:rPr>
            </w:pPr>
            <w:r>
              <w:rPr>
                <w:rFonts w:ascii="Arial" w:cs="Arial" w:eastAsia="Arial" w:hAnsi="Arial"/>
                <w:sz w:val="14"/>
                <w:szCs w:val="14"/>
                <w:color w:val="auto"/>
              </w:rPr>
              <w:t>2,754</w:t>
            </w:r>
          </w:p>
        </w:tc>
        <w:tc>
          <w:tcPr>
            <w:tcW w:w="140" w:type="dxa"/>
            <w:vAlign w:val="bottom"/>
            <w:tcBorders>
              <w:bottom w:val="single" w:sz="8" w:color="004876"/>
            </w:tcBorders>
          </w:tcPr>
          <w:p>
            <w:pPr>
              <w:spacing w:after="0"/>
              <w:rPr>
                <w:sz w:val="19"/>
                <w:szCs w:val="19"/>
                <w:color w:val="auto"/>
              </w:rPr>
            </w:pPr>
          </w:p>
        </w:tc>
        <w:tc>
          <w:tcPr>
            <w:tcW w:w="720" w:type="dxa"/>
            <w:vAlign w:val="bottom"/>
            <w:tcBorders>
              <w:bottom w:val="single" w:sz="8" w:color="004876"/>
            </w:tcBorders>
          </w:tcPr>
          <w:p>
            <w:pPr>
              <w:jc w:val="right"/>
              <w:ind w:right="88"/>
              <w:spacing w:after="0"/>
              <w:rPr>
                <w:sz w:val="20"/>
                <w:szCs w:val="20"/>
                <w:color w:val="auto"/>
              </w:rPr>
            </w:pPr>
            <w:r>
              <w:rPr>
                <w:rFonts w:ascii="Arial" w:cs="Arial" w:eastAsia="Arial" w:hAnsi="Arial"/>
                <w:sz w:val="14"/>
                <w:szCs w:val="14"/>
                <w:color w:val="auto"/>
              </w:rPr>
              <w:t>2,885</w:t>
            </w:r>
          </w:p>
        </w:tc>
        <w:tc>
          <w:tcPr>
            <w:tcW w:w="160" w:type="dxa"/>
            <w:vAlign w:val="bottom"/>
            <w:tcBorders>
              <w:bottom w:val="single" w:sz="8" w:color="004876"/>
            </w:tcBorders>
          </w:tcPr>
          <w:p>
            <w:pPr>
              <w:spacing w:after="0"/>
              <w:rPr>
                <w:sz w:val="19"/>
                <w:szCs w:val="19"/>
                <w:color w:val="auto"/>
              </w:rPr>
            </w:pPr>
          </w:p>
        </w:tc>
        <w:tc>
          <w:tcPr>
            <w:tcW w:w="700" w:type="dxa"/>
            <w:vAlign w:val="bottom"/>
            <w:tcBorders>
              <w:bottom w:val="single" w:sz="8" w:color="004876"/>
            </w:tcBorders>
          </w:tcPr>
          <w:p>
            <w:pPr>
              <w:jc w:val="right"/>
              <w:ind w:right="88"/>
              <w:spacing w:after="0"/>
              <w:rPr>
                <w:sz w:val="20"/>
                <w:szCs w:val="20"/>
                <w:color w:val="auto"/>
              </w:rPr>
            </w:pPr>
            <w:r>
              <w:rPr>
                <w:rFonts w:ascii="Arial" w:cs="Arial" w:eastAsia="Arial" w:hAnsi="Arial"/>
                <w:sz w:val="14"/>
                <w:szCs w:val="14"/>
                <w:color w:val="auto"/>
              </w:rPr>
              <w:t>2,950</w:t>
            </w:r>
          </w:p>
        </w:tc>
        <w:tc>
          <w:tcPr>
            <w:tcW w:w="160" w:type="dxa"/>
            <w:vAlign w:val="bottom"/>
            <w:tcBorders>
              <w:bottom w:val="single" w:sz="8" w:color="004876"/>
            </w:tcBorders>
          </w:tcPr>
          <w:p>
            <w:pPr>
              <w:spacing w:after="0"/>
              <w:rPr>
                <w:sz w:val="19"/>
                <w:szCs w:val="19"/>
                <w:color w:val="auto"/>
              </w:rPr>
            </w:pPr>
          </w:p>
        </w:tc>
        <w:tc>
          <w:tcPr>
            <w:tcW w:w="720" w:type="dxa"/>
            <w:vAlign w:val="bottom"/>
            <w:tcBorders>
              <w:bottom w:val="single" w:sz="8" w:color="004876"/>
            </w:tcBorders>
          </w:tcPr>
          <w:p>
            <w:pPr>
              <w:jc w:val="right"/>
              <w:ind w:right="108"/>
              <w:spacing w:after="0"/>
              <w:rPr>
                <w:sz w:val="20"/>
                <w:szCs w:val="20"/>
                <w:color w:val="auto"/>
              </w:rPr>
            </w:pPr>
            <w:r>
              <w:rPr>
                <w:rFonts w:ascii="Arial" w:cs="Arial" w:eastAsia="Arial" w:hAnsi="Arial"/>
                <w:sz w:val="14"/>
                <w:szCs w:val="14"/>
                <w:color w:val="auto"/>
              </w:rPr>
              <w:t>2,964</w:t>
            </w:r>
          </w:p>
        </w:tc>
        <w:tc>
          <w:tcPr>
            <w:tcW w:w="140" w:type="dxa"/>
            <w:vAlign w:val="bottom"/>
            <w:tcBorders>
              <w:bottom w:val="single" w:sz="8" w:color="004876"/>
            </w:tcBorders>
          </w:tcPr>
          <w:p>
            <w:pPr>
              <w:spacing w:after="0"/>
              <w:rPr>
                <w:sz w:val="19"/>
                <w:szCs w:val="19"/>
                <w:color w:val="auto"/>
              </w:rPr>
            </w:pPr>
          </w:p>
        </w:tc>
        <w:tc>
          <w:tcPr>
            <w:tcW w:w="720" w:type="dxa"/>
            <w:vAlign w:val="bottom"/>
            <w:tcBorders>
              <w:bottom w:val="single" w:sz="8" w:color="004876"/>
            </w:tcBorders>
          </w:tcPr>
          <w:p>
            <w:pPr>
              <w:jc w:val="right"/>
              <w:ind w:right="108"/>
              <w:spacing w:after="0"/>
              <w:rPr>
                <w:sz w:val="20"/>
                <w:szCs w:val="20"/>
                <w:color w:val="auto"/>
              </w:rPr>
            </w:pPr>
            <w:r>
              <w:rPr>
                <w:rFonts w:ascii="Arial" w:cs="Arial" w:eastAsia="Arial" w:hAnsi="Arial"/>
                <w:sz w:val="14"/>
                <w:szCs w:val="14"/>
                <w:color w:val="auto"/>
              </w:rPr>
              <w:t>3,212</w:t>
            </w:r>
          </w:p>
        </w:tc>
        <w:tc>
          <w:tcPr>
            <w:tcW w:w="140" w:type="dxa"/>
            <w:vAlign w:val="bottom"/>
            <w:tcBorders>
              <w:bottom w:val="single" w:sz="8" w:color="004876"/>
            </w:tcBorders>
          </w:tcPr>
          <w:p>
            <w:pPr>
              <w:spacing w:after="0"/>
              <w:rPr>
                <w:sz w:val="19"/>
                <w:szCs w:val="19"/>
                <w:color w:val="auto"/>
              </w:rPr>
            </w:pPr>
          </w:p>
        </w:tc>
        <w:tc>
          <w:tcPr>
            <w:tcW w:w="720" w:type="dxa"/>
            <w:vAlign w:val="bottom"/>
            <w:tcBorders>
              <w:bottom w:val="single" w:sz="8" w:color="004876"/>
            </w:tcBorders>
          </w:tcPr>
          <w:p>
            <w:pPr>
              <w:jc w:val="right"/>
              <w:ind w:right="108"/>
              <w:spacing w:after="0"/>
              <w:rPr>
                <w:sz w:val="20"/>
                <w:szCs w:val="20"/>
                <w:color w:val="auto"/>
              </w:rPr>
            </w:pPr>
            <w:r>
              <w:rPr>
                <w:rFonts w:ascii="Arial" w:cs="Arial" w:eastAsia="Arial" w:hAnsi="Arial"/>
                <w:sz w:val="14"/>
                <w:szCs w:val="14"/>
                <w:color w:val="auto"/>
              </w:rPr>
              <w:t>3,116</w:t>
            </w:r>
          </w:p>
        </w:tc>
        <w:tc>
          <w:tcPr>
            <w:tcW w:w="140" w:type="dxa"/>
            <w:vAlign w:val="bottom"/>
            <w:tcBorders>
              <w:bottom w:val="single" w:sz="8" w:color="004876"/>
            </w:tcBorders>
          </w:tcPr>
          <w:p>
            <w:pPr>
              <w:spacing w:after="0"/>
              <w:rPr>
                <w:sz w:val="19"/>
                <w:szCs w:val="19"/>
                <w:color w:val="auto"/>
              </w:rPr>
            </w:pPr>
          </w:p>
        </w:tc>
        <w:tc>
          <w:tcPr>
            <w:tcW w:w="720" w:type="dxa"/>
            <w:vAlign w:val="bottom"/>
            <w:tcBorders>
              <w:bottom w:val="single" w:sz="8" w:color="004876"/>
            </w:tcBorders>
          </w:tcPr>
          <w:p>
            <w:pPr>
              <w:jc w:val="right"/>
              <w:ind w:right="88"/>
              <w:spacing w:after="0"/>
              <w:rPr>
                <w:sz w:val="20"/>
                <w:szCs w:val="20"/>
                <w:color w:val="auto"/>
              </w:rPr>
            </w:pPr>
            <w:r>
              <w:rPr>
                <w:rFonts w:ascii="Arial" w:cs="Arial" w:eastAsia="Arial" w:hAnsi="Arial"/>
                <w:sz w:val="14"/>
                <w:szCs w:val="14"/>
                <w:color w:val="auto"/>
              </w:rPr>
              <w:t>2,231</w:t>
            </w:r>
          </w:p>
        </w:tc>
        <w:tc>
          <w:tcPr>
            <w:tcW w:w="160" w:type="dxa"/>
            <w:vAlign w:val="bottom"/>
            <w:tcBorders>
              <w:bottom w:val="single" w:sz="8" w:color="004876"/>
            </w:tcBorders>
          </w:tcPr>
          <w:p>
            <w:pPr>
              <w:spacing w:after="0"/>
              <w:rPr>
                <w:sz w:val="19"/>
                <w:szCs w:val="19"/>
                <w:color w:val="auto"/>
              </w:rPr>
            </w:pPr>
          </w:p>
        </w:tc>
        <w:tc>
          <w:tcPr>
            <w:tcW w:w="720" w:type="dxa"/>
            <w:vAlign w:val="bottom"/>
            <w:tcBorders>
              <w:bottom w:val="single" w:sz="8" w:color="004876"/>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38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4"/>
                <w:szCs w:val="14"/>
                <w:b w:val="1"/>
                <w:bCs w:val="1"/>
                <w:color w:val="auto"/>
              </w:rPr>
              <w:t>Tangible common equity</w:t>
            </w:r>
          </w:p>
        </w:tc>
        <w:tc>
          <w:tcPr>
            <w:tcW w:w="1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E5E5E5"/>
            </w:tcBorders>
            <w:shd w:val="clear" w:color="auto" w:fill="E5E5E5"/>
          </w:tcPr>
          <w:p>
            <w:pPr>
              <w:jc w:val="right"/>
              <w:ind w:right="108"/>
              <w:spacing w:after="0"/>
              <w:rPr>
                <w:sz w:val="20"/>
                <w:szCs w:val="20"/>
                <w:color w:val="auto"/>
              </w:rPr>
            </w:pPr>
            <w:r>
              <w:rPr>
                <w:rFonts w:ascii="Arial" w:cs="Arial" w:eastAsia="Arial" w:hAnsi="Arial"/>
                <w:sz w:val="14"/>
                <w:szCs w:val="14"/>
                <w:color w:val="auto"/>
              </w:rPr>
              <w:t>111,311</w:t>
            </w:r>
          </w:p>
        </w:tc>
        <w:tc>
          <w:tcPr>
            <w:tcW w:w="1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E5E5E5"/>
            </w:tcBorders>
            <w:shd w:val="clear" w:color="auto" w:fill="E5E5E5"/>
          </w:tcPr>
          <w:p>
            <w:pPr>
              <w:jc w:val="right"/>
              <w:ind w:right="108"/>
              <w:spacing w:after="0"/>
              <w:rPr>
                <w:sz w:val="20"/>
                <w:szCs w:val="20"/>
                <w:color w:val="auto"/>
              </w:rPr>
            </w:pPr>
            <w:r>
              <w:rPr>
                <w:rFonts w:ascii="Arial" w:cs="Arial" w:eastAsia="Arial" w:hAnsi="Arial"/>
                <w:sz w:val="14"/>
                <w:szCs w:val="14"/>
                <w:color w:val="auto"/>
              </w:rPr>
              <w:t>123,637</w:t>
            </w:r>
          </w:p>
        </w:tc>
        <w:tc>
          <w:tcPr>
            <w:tcW w:w="1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E5E5E5"/>
            </w:tcBorders>
            <w:shd w:val="clear" w:color="auto" w:fill="E5E5E5"/>
          </w:tcPr>
          <w:p>
            <w:pPr>
              <w:jc w:val="right"/>
              <w:ind w:right="108"/>
              <w:spacing w:after="0"/>
              <w:rPr>
                <w:sz w:val="20"/>
                <w:szCs w:val="20"/>
                <w:color w:val="auto"/>
              </w:rPr>
            </w:pPr>
            <w:r>
              <w:rPr>
                <w:rFonts w:ascii="Arial" w:cs="Arial" w:eastAsia="Arial" w:hAnsi="Arial"/>
                <w:sz w:val="14"/>
                <w:szCs w:val="14"/>
                <w:color w:val="auto"/>
              </w:rPr>
              <w:t>136,097</w:t>
            </w:r>
          </w:p>
        </w:tc>
        <w:tc>
          <w:tcPr>
            <w:tcW w:w="1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E5E5E5"/>
            </w:tcBorders>
            <w:shd w:val="clear" w:color="auto" w:fill="E5E5E5"/>
          </w:tcPr>
          <w:p>
            <w:pPr>
              <w:jc w:val="right"/>
              <w:ind w:right="88"/>
              <w:spacing w:after="0"/>
              <w:rPr>
                <w:sz w:val="20"/>
                <w:szCs w:val="20"/>
                <w:color w:val="auto"/>
              </w:rPr>
            </w:pPr>
            <w:r>
              <w:rPr>
                <w:rFonts w:ascii="Arial" w:cs="Arial" w:eastAsia="Arial" w:hAnsi="Arial"/>
                <w:sz w:val="14"/>
                <w:szCs w:val="14"/>
                <w:color w:val="auto"/>
              </w:rPr>
              <w:t>149,242</w:t>
            </w:r>
          </w:p>
        </w:tc>
        <w:tc>
          <w:tcPr>
            <w:tcW w:w="1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E5E5E5"/>
            </w:tcBorders>
            <w:shd w:val="clear" w:color="auto" w:fill="E5E5E5"/>
          </w:tcPr>
          <w:p>
            <w:pPr>
              <w:jc w:val="right"/>
              <w:ind w:right="88"/>
              <w:spacing w:after="0"/>
              <w:rPr>
                <w:sz w:val="20"/>
                <w:szCs w:val="20"/>
                <w:color w:val="auto"/>
              </w:rPr>
            </w:pPr>
            <w:r>
              <w:rPr>
                <w:rFonts w:ascii="Arial" w:cs="Arial" w:eastAsia="Arial" w:hAnsi="Arial"/>
                <w:sz w:val="14"/>
                <w:szCs w:val="14"/>
                <w:color w:val="auto"/>
              </w:rPr>
              <w:t>160,943</w:t>
            </w:r>
          </w:p>
        </w:tc>
        <w:tc>
          <w:tcPr>
            <w:tcW w:w="1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E5E5E5"/>
            </w:tcBorders>
            <w:shd w:val="clear" w:color="auto" w:fill="E5E5E5"/>
          </w:tcPr>
          <w:p>
            <w:pPr>
              <w:jc w:val="right"/>
              <w:ind w:right="108"/>
              <w:spacing w:after="0"/>
              <w:rPr>
                <w:sz w:val="20"/>
                <w:szCs w:val="20"/>
                <w:color w:val="auto"/>
              </w:rPr>
            </w:pPr>
            <w:r>
              <w:rPr>
                <w:rFonts w:ascii="Arial" w:cs="Arial" w:eastAsia="Arial" w:hAnsi="Arial"/>
                <w:sz w:val="14"/>
                <w:szCs w:val="14"/>
                <w:color w:val="auto"/>
              </w:rPr>
              <w:t>170,117</w:t>
            </w:r>
          </w:p>
        </w:tc>
        <w:tc>
          <w:tcPr>
            <w:tcW w:w="1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E5E5E5"/>
            </w:tcBorders>
            <w:shd w:val="clear" w:color="auto" w:fill="E5E5E5"/>
          </w:tcPr>
          <w:p>
            <w:pPr>
              <w:jc w:val="right"/>
              <w:ind w:right="108"/>
              <w:spacing w:after="0"/>
              <w:rPr>
                <w:sz w:val="20"/>
                <w:szCs w:val="20"/>
                <w:color w:val="auto"/>
              </w:rPr>
            </w:pPr>
            <w:r>
              <w:rPr>
                <w:rFonts w:ascii="Arial" w:cs="Arial" w:eastAsia="Arial" w:hAnsi="Arial"/>
                <w:sz w:val="14"/>
                <w:szCs w:val="14"/>
                <w:color w:val="auto"/>
              </w:rPr>
              <w:t>179,611</w:t>
            </w:r>
          </w:p>
        </w:tc>
        <w:tc>
          <w:tcPr>
            <w:tcW w:w="1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E5E5E5"/>
            </w:tcBorders>
            <w:shd w:val="clear" w:color="auto" w:fill="E5E5E5"/>
          </w:tcPr>
          <w:p>
            <w:pPr>
              <w:jc w:val="right"/>
              <w:ind w:right="108"/>
              <w:spacing w:after="0"/>
              <w:rPr>
                <w:sz w:val="20"/>
                <w:szCs w:val="20"/>
                <w:color w:val="auto"/>
              </w:rPr>
            </w:pPr>
            <w:r>
              <w:rPr>
                <w:rFonts w:ascii="Arial" w:cs="Arial" w:eastAsia="Arial" w:hAnsi="Arial"/>
                <w:sz w:val="14"/>
                <w:szCs w:val="14"/>
                <w:color w:val="auto"/>
              </w:rPr>
              <w:t>185,317</w:t>
            </w:r>
          </w:p>
        </w:tc>
        <w:tc>
          <w:tcPr>
            <w:tcW w:w="1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E5E5E5"/>
            </w:tcBorders>
            <w:shd w:val="clear" w:color="auto" w:fill="E5E5E5"/>
          </w:tcPr>
          <w:p>
            <w:pPr>
              <w:jc w:val="right"/>
              <w:ind w:right="88"/>
              <w:spacing w:after="0"/>
              <w:rPr>
                <w:sz w:val="20"/>
                <w:szCs w:val="20"/>
                <w:color w:val="auto"/>
              </w:rPr>
            </w:pPr>
            <w:r>
              <w:rPr>
                <w:rFonts w:ascii="Arial" w:cs="Arial" w:eastAsia="Arial" w:hAnsi="Arial"/>
                <w:sz w:val="14"/>
                <w:szCs w:val="14"/>
                <w:color w:val="auto"/>
              </w:rPr>
              <w:t>183,155</w:t>
            </w:r>
          </w:p>
        </w:tc>
        <w:tc>
          <w:tcPr>
            <w:tcW w:w="1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E5E5E5"/>
            </w:tcBorders>
            <w:shd w:val="clear" w:color="auto" w:fill="E5E5E5"/>
          </w:tcPr>
          <w:p>
            <w:pPr>
              <w:jc w:val="right"/>
              <w:ind w:right="108"/>
              <w:spacing w:after="0"/>
              <w:rPr>
                <w:sz w:val="20"/>
                <w:szCs w:val="20"/>
                <w:color w:val="auto"/>
              </w:rPr>
            </w:pPr>
            <w:r>
              <w:rPr>
                <w:rFonts w:ascii="Arial" w:cs="Arial" w:eastAsia="Arial" w:hAnsi="Arial"/>
                <w:sz w:val="14"/>
                <w:szCs w:val="14"/>
                <w:b w:val="1"/>
                <w:bCs w:val="1"/>
                <w:color w:val="auto"/>
              </w:rPr>
              <w:t>186,826</w:t>
            </w:r>
          </w:p>
        </w:tc>
        <w:tc>
          <w:tcPr>
            <w:tcW w:w="0" w:type="dxa"/>
            <w:vAlign w:val="bottom"/>
          </w:tcPr>
          <w:p>
            <w:pPr>
              <w:spacing w:after="0"/>
              <w:rPr>
                <w:sz w:val="1"/>
                <w:szCs w:val="1"/>
                <w:color w:val="auto"/>
              </w:rPr>
            </w:pPr>
          </w:p>
        </w:tc>
      </w:tr>
      <w:tr>
        <w:trPr>
          <w:trHeight w:val="160"/>
        </w:trPr>
        <w:tc>
          <w:tcPr>
            <w:tcW w:w="2380" w:type="dxa"/>
            <w:vAlign w:val="bottom"/>
            <w:tcBorders>
              <w:top w:val="single" w:sz="8" w:color="004876"/>
            </w:tcBorders>
          </w:tcPr>
          <w:p>
            <w:pPr>
              <w:ind w:left="60"/>
              <w:spacing w:after="0"/>
              <w:rPr>
                <w:sz w:val="20"/>
                <w:szCs w:val="20"/>
                <w:color w:val="auto"/>
              </w:rPr>
            </w:pPr>
            <w:r>
              <w:rPr>
                <w:rFonts w:ascii="Arial" w:cs="Arial" w:eastAsia="Arial" w:hAnsi="Arial"/>
                <w:sz w:val="14"/>
                <w:szCs w:val="14"/>
                <w:color w:val="auto"/>
              </w:rPr>
              <w:t>Net income applicable to common</w:t>
            </w:r>
          </w:p>
        </w:tc>
        <w:tc>
          <w:tcPr>
            <w:tcW w:w="140" w:type="dxa"/>
            <w:vAlign w:val="bottom"/>
            <w:tcBorders>
              <w:top w:val="single" w:sz="8" w:color="004876"/>
            </w:tcBorders>
          </w:tcPr>
          <w:p>
            <w:pPr>
              <w:spacing w:after="0"/>
              <w:rPr>
                <w:sz w:val="13"/>
                <w:szCs w:val="13"/>
                <w:color w:val="auto"/>
              </w:rPr>
            </w:pPr>
          </w:p>
        </w:tc>
        <w:tc>
          <w:tcPr>
            <w:tcW w:w="720" w:type="dxa"/>
            <w:vAlign w:val="bottom"/>
            <w:tcBorders>
              <w:top w:val="single" w:sz="8" w:color="004876"/>
            </w:tcBorders>
          </w:tcPr>
          <w:p>
            <w:pPr>
              <w:spacing w:after="0"/>
              <w:rPr>
                <w:sz w:val="13"/>
                <w:szCs w:val="13"/>
                <w:color w:val="auto"/>
              </w:rPr>
            </w:pPr>
          </w:p>
        </w:tc>
        <w:tc>
          <w:tcPr>
            <w:tcW w:w="140" w:type="dxa"/>
            <w:vAlign w:val="bottom"/>
            <w:tcBorders>
              <w:top w:val="single" w:sz="8" w:color="004876"/>
            </w:tcBorders>
          </w:tcPr>
          <w:p>
            <w:pPr>
              <w:spacing w:after="0"/>
              <w:rPr>
                <w:sz w:val="13"/>
                <w:szCs w:val="13"/>
                <w:color w:val="auto"/>
              </w:rPr>
            </w:pPr>
          </w:p>
        </w:tc>
        <w:tc>
          <w:tcPr>
            <w:tcW w:w="720" w:type="dxa"/>
            <w:vAlign w:val="bottom"/>
            <w:tcBorders>
              <w:top w:val="single" w:sz="8" w:color="004876"/>
            </w:tcBorders>
          </w:tcPr>
          <w:p>
            <w:pPr>
              <w:spacing w:after="0"/>
              <w:rPr>
                <w:sz w:val="13"/>
                <w:szCs w:val="13"/>
                <w:color w:val="auto"/>
              </w:rPr>
            </w:pPr>
          </w:p>
        </w:tc>
        <w:tc>
          <w:tcPr>
            <w:tcW w:w="140" w:type="dxa"/>
            <w:vAlign w:val="bottom"/>
            <w:tcBorders>
              <w:top w:val="single" w:sz="8" w:color="004876"/>
            </w:tcBorders>
          </w:tcPr>
          <w:p>
            <w:pPr>
              <w:spacing w:after="0"/>
              <w:rPr>
                <w:sz w:val="13"/>
                <w:szCs w:val="13"/>
                <w:color w:val="auto"/>
              </w:rPr>
            </w:pPr>
          </w:p>
        </w:tc>
        <w:tc>
          <w:tcPr>
            <w:tcW w:w="720" w:type="dxa"/>
            <w:vAlign w:val="bottom"/>
            <w:tcBorders>
              <w:top w:val="single" w:sz="8" w:color="004876"/>
            </w:tcBorders>
          </w:tcPr>
          <w:p>
            <w:pPr>
              <w:spacing w:after="0"/>
              <w:rPr>
                <w:sz w:val="13"/>
                <w:szCs w:val="13"/>
                <w:color w:val="auto"/>
              </w:rPr>
            </w:pPr>
          </w:p>
        </w:tc>
        <w:tc>
          <w:tcPr>
            <w:tcW w:w="140" w:type="dxa"/>
            <w:vAlign w:val="bottom"/>
            <w:tcBorders>
              <w:top w:val="single" w:sz="8" w:color="004876"/>
            </w:tcBorders>
          </w:tcPr>
          <w:p>
            <w:pPr>
              <w:spacing w:after="0"/>
              <w:rPr>
                <w:sz w:val="13"/>
                <w:szCs w:val="13"/>
                <w:color w:val="auto"/>
              </w:rPr>
            </w:pPr>
          </w:p>
        </w:tc>
        <w:tc>
          <w:tcPr>
            <w:tcW w:w="720" w:type="dxa"/>
            <w:vAlign w:val="bottom"/>
            <w:tcBorders>
              <w:top w:val="single" w:sz="8" w:color="004876"/>
            </w:tcBorders>
          </w:tcPr>
          <w:p>
            <w:pPr>
              <w:spacing w:after="0"/>
              <w:rPr>
                <w:sz w:val="13"/>
                <w:szCs w:val="13"/>
                <w:color w:val="auto"/>
              </w:rPr>
            </w:pPr>
          </w:p>
        </w:tc>
        <w:tc>
          <w:tcPr>
            <w:tcW w:w="160" w:type="dxa"/>
            <w:vAlign w:val="bottom"/>
            <w:tcBorders>
              <w:top w:val="single" w:sz="8" w:color="004876"/>
            </w:tcBorders>
          </w:tcPr>
          <w:p>
            <w:pPr>
              <w:spacing w:after="0"/>
              <w:rPr>
                <w:sz w:val="13"/>
                <w:szCs w:val="13"/>
                <w:color w:val="auto"/>
              </w:rPr>
            </w:pPr>
          </w:p>
        </w:tc>
        <w:tc>
          <w:tcPr>
            <w:tcW w:w="700" w:type="dxa"/>
            <w:vAlign w:val="bottom"/>
            <w:tcBorders>
              <w:top w:val="single" w:sz="8" w:color="004876"/>
            </w:tcBorders>
          </w:tcPr>
          <w:p>
            <w:pPr>
              <w:spacing w:after="0"/>
              <w:rPr>
                <w:sz w:val="13"/>
                <w:szCs w:val="13"/>
                <w:color w:val="auto"/>
              </w:rPr>
            </w:pPr>
          </w:p>
        </w:tc>
        <w:tc>
          <w:tcPr>
            <w:tcW w:w="160" w:type="dxa"/>
            <w:vAlign w:val="bottom"/>
            <w:tcBorders>
              <w:top w:val="single" w:sz="8" w:color="004876"/>
            </w:tcBorders>
          </w:tcPr>
          <w:p>
            <w:pPr>
              <w:spacing w:after="0"/>
              <w:rPr>
                <w:sz w:val="13"/>
                <w:szCs w:val="13"/>
                <w:color w:val="auto"/>
              </w:rPr>
            </w:pPr>
          </w:p>
        </w:tc>
        <w:tc>
          <w:tcPr>
            <w:tcW w:w="720" w:type="dxa"/>
            <w:vAlign w:val="bottom"/>
            <w:tcBorders>
              <w:top w:val="single" w:sz="8" w:color="004876"/>
            </w:tcBorders>
          </w:tcPr>
          <w:p>
            <w:pPr>
              <w:spacing w:after="0"/>
              <w:rPr>
                <w:sz w:val="13"/>
                <w:szCs w:val="13"/>
                <w:color w:val="auto"/>
              </w:rPr>
            </w:pPr>
          </w:p>
        </w:tc>
        <w:tc>
          <w:tcPr>
            <w:tcW w:w="140" w:type="dxa"/>
            <w:vAlign w:val="bottom"/>
            <w:tcBorders>
              <w:top w:val="single" w:sz="8" w:color="004876"/>
            </w:tcBorders>
          </w:tcPr>
          <w:p>
            <w:pPr>
              <w:spacing w:after="0"/>
              <w:rPr>
                <w:sz w:val="13"/>
                <w:szCs w:val="13"/>
                <w:color w:val="auto"/>
              </w:rPr>
            </w:pPr>
          </w:p>
        </w:tc>
        <w:tc>
          <w:tcPr>
            <w:tcW w:w="720" w:type="dxa"/>
            <w:vAlign w:val="bottom"/>
            <w:tcBorders>
              <w:top w:val="single" w:sz="8" w:color="004876"/>
            </w:tcBorders>
          </w:tcPr>
          <w:p>
            <w:pPr>
              <w:spacing w:after="0"/>
              <w:rPr>
                <w:sz w:val="13"/>
                <w:szCs w:val="13"/>
                <w:color w:val="auto"/>
              </w:rPr>
            </w:pPr>
          </w:p>
        </w:tc>
        <w:tc>
          <w:tcPr>
            <w:tcW w:w="140" w:type="dxa"/>
            <w:vAlign w:val="bottom"/>
            <w:tcBorders>
              <w:top w:val="single" w:sz="8" w:color="004876"/>
            </w:tcBorders>
          </w:tcPr>
          <w:p>
            <w:pPr>
              <w:spacing w:after="0"/>
              <w:rPr>
                <w:sz w:val="13"/>
                <w:szCs w:val="13"/>
                <w:color w:val="auto"/>
              </w:rPr>
            </w:pPr>
          </w:p>
        </w:tc>
        <w:tc>
          <w:tcPr>
            <w:tcW w:w="720" w:type="dxa"/>
            <w:vAlign w:val="bottom"/>
            <w:tcBorders>
              <w:top w:val="single" w:sz="8" w:color="004876"/>
            </w:tcBorders>
          </w:tcPr>
          <w:p>
            <w:pPr>
              <w:spacing w:after="0"/>
              <w:rPr>
                <w:sz w:val="13"/>
                <w:szCs w:val="13"/>
                <w:color w:val="auto"/>
              </w:rPr>
            </w:pPr>
          </w:p>
        </w:tc>
        <w:tc>
          <w:tcPr>
            <w:tcW w:w="140" w:type="dxa"/>
            <w:vAlign w:val="bottom"/>
            <w:tcBorders>
              <w:top w:val="single" w:sz="8" w:color="004876"/>
            </w:tcBorders>
          </w:tcPr>
          <w:p>
            <w:pPr>
              <w:spacing w:after="0"/>
              <w:rPr>
                <w:sz w:val="13"/>
                <w:szCs w:val="13"/>
                <w:color w:val="auto"/>
              </w:rPr>
            </w:pPr>
          </w:p>
        </w:tc>
        <w:tc>
          <w:tcPr>
            <w:tcW w:w="720" w:type="dxa"/>
            <w:vAlign w:val="bottom"/>
            <w:tcBorders>
              <w:top w:val="single" w:sz="8" w:color="004876"/>
            </w:tcBorders>
          </w:tcPr>
          <w:p>
            <w:pPr>
              <w:spacing w:after="0"/>
              <w:rPr>
                <w:sz w:val="13"/>
                <w:szCs w:val="13"/>
                <w:color w:val="auto"/>
              </w:rPr>
            </w:pPr>
          </w:p>
        </w:tc>
        <w:tc>
          <w:tcPr>
            <w:tcW w:w="160" w:type="dxa"/>
            <w:vAlign w:val="bottom"/>
            <w:tcBorders>
              <w:top w:val="single" w:sz="8" w:color="004876"/>
            </w:tcBorders>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004876"/>
            </w:tcBorders>
            <w:vMerge w:val="restart"/>
          </w:tcPr>
          <w:p>
            <w:pPr>
              <w:jc w:val="right"/>
              <w:ind w:right="108"/>
              <w:spacing w:after="0"/>
              <w:rPr>
                <w:sz w:val="20"/>
                <w:szCs w:val="20"/>
                <w:color w:val="auto"/>
              </w:rPr>
            </w:pPr>
            <w:r>
              <w:rPr>
                <w:rFonts w:ascii="Arial" w:cs="Arial" w:eastAsia="Arial" w:hAnsi="Arial"/>
                <w:sz w:val="14"/>
                <w:szCs w:val="14"/>
                <w:b w:val="1"/>
                <w:bCs w:val="1"/>
                <w:color w:val="auto"/>
              </w:rPr>
              <w:t>34,844</w:t>
            </w:r>
          </w:p>
        </w:tc>
        <w:tc>
          <w:tcPr>
            <w:tcW w:w="0" w:type="dxa"/>
            <w:vAlign w:val="bottom"/>
          </w:tcPr>
          <w:p>
            <w:pPr>
              <w:spacing w:after="0"/>
              <w:rPr>
                <w:sz w:val="1"/>
                <w:szCs w:val="1"/>
                <w:color w:val="auto"/>
              </w:rPr>
            </w:pPr>
          </w:p>
        </w:tc>
      </w:tr>
      <w:tr>
        <w:trPr>
          <w:trHeight w:val="172"/>
        </w:trPr>
        <w:tc>
          <w:tcPr>
            <w:tcW w:w="2380" w:type="dxa"/>
            <w:vAlign w:val="bottom"/>
          </w:tcPr>
          <w:p>
            <w:pPr>
              <w:ind w:left="60"/>
              <w:spacing w:after="0"/>
              <w:rPr>
                <w:sz w:val="20"/>
                <w:szCs w:val="20"/>
                <w:color w:val="auto"/>
              </w:rPr>
            </w:pPr>
            <w:r>
              <w:rPr>
                <w:rFonts w:ascii="Arial" w:cs="Arial" w:eastAsia="Arial" w:hAnsi="Arial"/>
                <w:sz w:val="14"/>
                <w:szCs w:val="14"/>
                <w:color w:val="auto"/>
              </w:rPr>
              <w:t>equity</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16,728</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18,327</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20,606</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17,081</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20,620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22,927</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23,086</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22,778</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30,923</w:t>
            </w:r>
          </w:p>
        </w:tc>
        <w:tc>
          <w:tcPr>
            <w:tcW w:w="16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2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2380" w:type="dxa"/>
            <w:vAlign w:val="bottom"/>
            <w:shd w:val="clear" w:color="auto" w:fill="E5E5E5"/>
          </w:tcPr>
          <w:p>
            <w:pPr>
              <w:ind w:left="60"/>
              <w:spacing w:after="0" w:line="229" w:lineRule="exact"/>
              <w:rPr>
                <w:sz w:val="20"/>
                <w:szCs w:val="20"/>
                <w:color w:val="auto"/>
              </w:rPr>
            </w:pPr>
            <w:r>
              <w:rPr>
                <w:rFonts w:ascii="Arial" w:cs="Arial" w:eastAsia="Arial" w:hAnsi="Arial"/>
                <w:sz w:val="14"/>
                <w:szCs w:val="14"/>
                <w:color w:val="auto"/>
              </w:rPr>
              <w:t>Return on common equity</w:t>
            </w:r>
            <w:r>
              <w:rPr>
                <w:rFonts w:ascii="Arial" w:cs="Arial" w:eastAsia="Arial" w:hAnsi="Arial"/>
                <w:sz w:val="24"/>
                <w:szCs w:val="24"/>
                <w:color w:val="auto"/>
                <w:vertAlign w:val="superscript"/>
              </w:rPr>
              <w:t>(b)</w:t>
            </w:r>
          </w:p>
        </w:tc>
        <w:tc>
          <w:tcPr>
            <w:tcW w:w="140" w:type="dxa"/>
            <w:vAlign w:val="bottom"/>
            <w:shd w:val="clear" w:color="auto" w:fill="E5E5E5"/>
          </w:tcPr>
          <w:p>
            <w:pPr>
              <w:spacing w:after="0"/>
              <w:rPr>
                <w:sz w:val="19"/>
                <w:szCs w:val="19"/>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10%</w:t>
            </w:r>
          </w:p>
        </w:tc>
        <w:tc>
          <w:tcPr>
            <w:tcW w:w="140" w:type="dxa"/>
            <w:vAlign w:val="bottom"/>
            <w:shd w:val="clear" w:color="auto" w:fill="E5E5E5"/>
          </w:tcPr>
          <w:p>
            <w:pPr>
              <w:spacing w:after="0"/>
              <w:rPr>
                <w:sz w:val="19"/>
                <w:szCs w:val="19"/>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11%</w:t>
            </w:r>
          </w:p>
        </w:tc>
        <w:tc>
          <w:tcPr>
            <w:tcW w:w="140" w:type="dxa"/>
            <w:vAlign w:val="bottom"/>
            <w:shd w:val="clear" w:color="auto" w:fill="E5E5E5"/>
          </w:tcPr>
          <w:p>
            <w:pPr>
              <w:spacing w:after="0"/>
              <w:rPr>
                <w:sz w:val="19"/>
                <w:szCs w:val="19"/>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11%</w:t>
            </w:r>
          </w:p>
        </w:tc>
        <w:tc>
          <w:tcPr>
            <w:tcW w:w="140" w:type="dxa"/>
            <w:vAlign w:val="bottom"/>
            <w:shd w:val="clear" w:color="auto" w:fill="E5E5E5"/>
          </w:tcPr>
          <w:p>
            <w:pPr>
              <w:spacing w:after="0"/>
              <w:rPr>
                <w:sz w:val="19"/>
                <w:szCs w:val="19"/>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9%</w:t>
            </w:r>
          </w:p>
        </w:tc>
        <w:tc>
          <w:tcPr>
            <w:tcW w:w="160" w:type="dxa"/>
            <w:vAlign w:val="bottom"/>
            <w:shd w:val="clear" w:color="auto" w:fill="E5E5E5"/>
          </w:tcPr>
          <w:p>
            <w:pPr>
              <w:spacing w:after="0"/>
              <w:rPr>
                <w:sz w:val="19"/>
                <w:szCs w:val="19"/>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10%</w:t>
            </w:r>
          </w:p>
        </w:tc>
        <w:tc>
          <w:tcPr>
            <w:tcW w:w="160" w:type="dxa"/>
            <w:vAlign w:val="bottom"/>
            <w:shd w:val="clear" w:color="auto" w:fill="E5E5E5"/>
          </w:tcPr>
          <w:p>
            <w:pPr>
              <w:spacing w:after="0"/>
              <w:rPr>
                <w:sz w:val="19"/>
                <w:szCs w:val="19"/>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11%</w:t>
            </w:r>
          </w:p>
        </w:tc>
        <w:tc>
          <w:tcPr>
            <w:tcW w:w="140" w:type="dxa"/>
            <w:vAlign w:val="bottom"/>
            <w:shd w:val="clear" w:color="auto" w:fill="E5E5E5"/>
          </w:tcPr>
          <w:p>
            <w:pPr>
              <w:spacing w:after="0"/>
              <w:rPr>
                <w:sz w:val="19"/>
                <w:szCs w:val="19"/>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10%</w:t>
            </w:r>
          </w:p>
        </w:tc>
        <w:tc>
          <w:tcPr>
            <w:tcW w:w="140" w:type="dxa"/>
            <w:vAlign w:val="bottom"/>
            <w:shd w:val="clear" w:color="auto" w:fill="E5E5E5"/>
          </w:tcPr>
          <w:p>
            <w:pPr>
              <w:spacing w:after="0"/>
              <w:rPr>
                <w:sz w:val="19"/>
                <w:szCs w:val="19"/>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10%</w:t>
            </w:r>
          </w:p>
        </w:tc>
        <w:tc>
          <w:tcPr>
            <w:tcW w:w="140" w:type="dxa"/>
            <w:vAlign w:val="bottom"/>
            <w:shd w:val="clear" w:color="auto" w:fill="E5E5E5"/>
          </w:tcPr>
          <w:p>
            <w:pPr>
              <w:spacing w:after="0"/>
              <w:rPr>
                <w:sz w:val="19"/>
                <w:szCs w:val="19"/>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13%</w:t>
            </w:r>
          </w:p>
        </w:tc>
        <w:tc>
          <w:tcPr>
            <w:tcW w:w="160" w:type="dxa"/>
            <w:vAlign w:val="bottom"/>
            <w:shd w:val="clear" w:color="auto" w:fill="E5E5E5"/>
          </w:tcPr>
          <w:p>
            <w:pPr>
              <w:spacing w:after="0"/>
              <w:rPr>
                <w:sz w:val="19"/>
                <w:szCs w:val="19"/>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4"/>
                <w:szCs w:val="14"/>
                <w:b w:val="1"/>
                <w:bCs w:val="1"/>
                <w:color w:val="auto"/>
              </w:rPr>
              <w:t>15%</w:t>
            </w:r>
          </w:p>
        </w:tc>
        <w:tc>
          <w:tcPr>
            <w:tcW w:w="0" w:type="dxa"/>
            <w:vAlign w:val="bottom"/>
          </w:tcPr>
          <w:p>
            <w:pPr>
              <w:spacing w:after="0"/>
              <w:rPr>
                <w:sz w:val="1"/>
                <w:szCs w:val="1"/>
                <w:color w:val="auto"/>
              </w:rPr>
            </w:pPr>
          </w:p>
        </w:tc>
      </w:tr>
      <w:tr>
        <w:trPr>
          <w:trHeight w:val="159"/>
        </w:trPr>
        <w:tc>
          <w:tcPr>
            <w:tcW w:w="2380" w:type="dxa"/>
            <w:vAlign w:val="bottom"/>
          </w:tcPr>
          <w:p>
            <w:pPr>
              <w:ind w:left="60"/>
              <w:spacing w:after="0" w:line="159" w:lineRule="exact"/>
              <w:rPr>
                <w:sz w:val="20"/>
                <w:szCs w:val="20"/>
                <w:color w:val="auto"/>
              </w:rPr>
            </w:pPr>
            <w:r>
              <w:rPr>
                <w:rFonts w:ascii="Arial" w:cs="Arial" w:eastAsia="Arial" w:hAnsi="Arial"/>
                <w:sz w:val="14"/>
                <w:szCs w:val="14"/>
                <w:color w:val="auto"/>
              </w:rPr>
              <w:t>Return on tangible common</w:t>
            </w:r>
          </w:p>
        </w:tc>
        <w:tc>
          <w:tcPr>
            <w:tcW w:w="140" w:type="dxa"/>
            <w:vAlign w:val="bottom"/>
          </w:tcPr>
          <w:p>
            <w:pPr>
              <w:spacing w:after="0"/>
              <w:rPr>
                <w:sz w:val="13"/>
                <w:szCs w:val="13"/>
                <w:color w:val="auto"/>
              </w:rPr>
            </w:pPr>
          </w:p>
        </w:tc>
        <w:tc>
          <w:tcPr>
            <w:tcW w:w="720" w:type="dxa"/>
            <w:vAlign w:val="bottom"/>
            <w:vMerge w:val="restart"/>
          </w:tcPr>
          <w:p>
            <w:pPr>
              <w:jc w:val="right"/>
              <w:ind w:right="108"/>
              <w:spacing w:after="0"/>
              <w:rPr>
                <w:sz w:val="20"/>
                <w:szCs w:val="20"/>
                <w:color w:val="auto"/>
              </w:rPr>
            </w:pPr>
            <w:r>
              <w:rPr>
                <w:rFonts w:ascii="Arial" w:cs="Arial" w:eastAsia="Arial" w:hAnsi="Arial"/>
                <w:sz w:val="14"/>
                <w:szCs w:val="14"/>
                <w:color w:val="auto"/>
              </w:rPr>
              <w:t>15</w:t>
            </w:r>
          </w:p>
        </w:tc>
        <w:tc>
          <w:tcPr>
            <w:tcW w:w="140" w:type="dxa"/>
            <w:vAlign w:val="bottom"/>
          </w:tcPr>
          <w:p>
            <w:pPr>
              <w:spacing w:after="0"/>
              <w:rPr>
                <w:sz w:val="13"/>
                <w:szCs w:val="13"/>
                <w:color w:val="auto"/>
              </w:rPr>
            </w:pPr>
          </w:p>
        </w:tc>
        <w:tc>
          <w:tcPr>
            <w:tcW w:w="720" w:type="dxa"/>
            <w:vAlign w:val="bottom"/>
            <w:vMerge w:val="restart"/>
          </w:tcPr>
          <w:p>
            <w:pPr>
              <w:jc w:val="right"/>
              <w:ind w:right="108"/>
              <w:spacing w:after="0"/>
              <w:rPr>
                <w:sz w:val="20"/>
                <w:szCs w:val="20"/>
                <w:color w:val="auto"/>
              </w:rPr>
            </w:pPr>
            <w:r>
              <w:rPr>
                <w:rFonts w:ascii="Arial" w:cs="Arial" w:eastAsia="Arial" w:hAnsi="Arial"/>
                <w:sz w:val="14"/>
                <w:szCs w:val="14"/>
                <w:color w:val="auto"/>
              </w:rPr>
              <w:t>15</w:t>
            </w:r>
          </w:p>
        </w:tc>
        <w:tc>
          <w:tcPr>
            <w:tcW w:w="140" w:type="dxa"/>
            <w:vAlign w:val="bottom"/>
          </w:tcPr>
          <w:p>
            <w:pPr>
              <w:spacing w:after="0"/>
              <w:rPr>
                <w:sz w:val="13"/>
                <w:szCs w:val="13"/>
                <w:color w:val="auto"/>
              </w:rPr>
            </w:pPr>
          </w:p>
        </w:tc>
        <w:tc>
          <w:tcPr>
            <w:tcW w:w="720" w:type="dxa"/>
            <w:vAlign w:val="bottom"/>
            <w:vMerge w:val="restart"/>
          </w:tcPr>
          <w:p>
            <w:pPr>
              <w:jc w:val="right"/>
              <w:ind w:right="108"/>
              <w:spacing w:after="0"/>
              <w:rPr>
                <w:sz w:val="20"/>
                <w:szCs w:val="20"/>
                <w:color w:val="auto"/>
              </w:rPr>
            </w:pPr>
            <w:r>
              <w:rPr>
                <w:rFonts w:ascii="Arial" w:cs="Arial" w:eastAsia="Arial" w:hAnsi="Arial"/>
                <w:sz w:val="14"/>
                <w:szCs w:val="14"/>
                <w:color w:val="auto"/>
              </w:rPr>
              <w:t>15</w:t>
            </w:r>
          </w:p>
        </w:tc>
        <w:tc>
          <w:tcPr>
            <w:tcW w:w="140" w:type="dxa"/>
            <w:vAlign w:val="bottom"/>
          </w:tcPr>
          <w:p>
            <w:pPr>
              <w:spacing w:after="0"/>
              <w:rPr>
                <w:sz w:val="13"/>
                <w:szCs w:val="13"/>
                <w:color w:val="auto"/>
              </w:rPr>
            </w:pPr>
          </w:p>
        </w:tc>
        <w:tc>
          <w:tcPr>
            <w:tcW w:w="720" w:type="dxa"/>
            <w:vAlign w:val="bottom"/>
            <w:vMerge w:val="restart"/>
          </w:tcPr>
          <w:p>
            <w:pPr>
              <w:jc w:val="right"/>
              <w:ind w:right="88"/>
              <w:spacing w:after="0"/>
              <w:rPr>
                <w:sz w:val="20"/>
                <w:szCs w:val="20"/>
                <w:color w:val="auto"/>
              </w:rPr>
            </w:pPr>
            <w:r>
              <w:rPr>
                <w:rFonts w:ascii="Arial" w:cs="Arial" w:eastAsia="Arial" w:hAnsi="Arial"/>
                <w:sz w:val="14"/>
                <w:szCs w:val="14"/>
                <w:color w:val="auto"/>
              </w:rPr>
              <w:t>11</w:t>
            </w:r>
          </w:p>
        </w:tc>
        <w:tc>
          <w:tcPr>
            <w:tcW w:w="160" w:type="dxa"/>
            <w:vAlign w:val="bottom"/>
          </w:tcPr>
          <w:p>
            <w:pPr>
              <w:spacing w:after="0"/>
              <w:rPr>
                <w:sz w:val="13"/>
                <w:szCs w:val="13"/>
                <w:color w:val="auto"/>
              </w:rPr>
            </w:pPr>
          </w:p>
        </w:tc>
        <w:tc>
          <w:tcPr>
            <w:tcW w:w="700" w:type="dxa"/>
            <w:vAlign w:val="bottom"/>
            <w:vMerge w:val="restart"/>
          </w:tcPr>
          <w:p>
            <w:pPr>
              <w:jc w:val="right"/>
              <w:ind w:right="88"/>
              <w:spacing w:after="0"/>
              <w:rPr>
                <w:sz w:val="20"/>
                <w:szCs w:val="20"/>
                <w:color w:val="auto"/>
              </w:rPr>
            </w:pPr>
            <w:r>
              <w:rPr>
                <w:rFonts w:ascii="Arial" w:cs="Arial" w:eastAsia="Arial" w:hAnsi="Arial"/>
                <w:sz w:val="14"/>
                <w:szCs w:val="14"/>
                <w:color w:val="auto"/>
              </w:rPr>
              <w:t>13</w:t>
            </w:r>
          </w:p>
        </w:tc>
        <w:tc>
          <w:tcPr>
            <w:tcW w:w="160" w:type="dxa"/>
            <w:vAlign w:val="bottom"/>
          </w:tcPr>
          <w:p>
            <w:pPr>
              <w:spacing w:after="0"/>
              <w:rPr>
                <w:sz w:val="13"/>
                <w:szCs w:val="13"/>
                <w:color w:val="auto"/>
              </w:rPr>
            </w:pPr>
          </w:p>
        </w:tc>
        <w:tc>
          <w:tcPr>
            <w:tcW w:w="720" w:type="dxa"/>
            <w:vAlign w:val="bottom"/>
            <w:vMerge w:val="restart"/>
          </w:tcPr>
          <w:p>
            <w:pPr>
              <w:jc w:val="right"/>
              <w:ind w:right="108"/>
              <w:spacing w:after="0"/>
              <w:rPr>
                <w:sz w:val="20"/>
                <w:szCs w:val="20"/>
                <w:color w:val="auto"/>
              </w:rPr>
            </w:pPr>
            <w:r>
              <w:rPr>
                <w:rFonts w:ascii="Arial" w:cs="Arial" w:eastAsia="Arial" w:hAnsi="Arial"/>
                <w:sz w:val="14"/>
                <w:szCs w:val="14"/>
                <w:color w:val="auto"/>
              </w:rPr>
              <w:t>13</w:t>
            </w:r>
          </w:p>
        </w:tc>
        <w:tc>
          <w:tcPr>
            <w:tcW w:w="140" w:type="dxa"/>
            <w:vAlign w:val="bottom"/>
          </w:tcPr>
          <w:p>
            <w:pPr>
              <w:spacing w:after="0"/>
              <w:rPr>
                <w:sz w:val="13"/>
                <w:szCs w:val="13"/>
                <w:color w:val="auto"/>
              </w:rPr>
            </w:pPr>
          </w:p>
        </w:tc>
        <w:tc>
          <w:tcPr>
            <w:tcW w:w="720" w:type="dxa"/>
            <w:vAlign w:val="bottom"/>
            <w:vMerge w:val="restart"/>
          </w:tcPr>
          <w:p>
            <w:pPr>
              <w:jc w:val="right"/>
              <w:ind w:right="108"/>
              <w:spacing w:after="0"/>
              <w:rPr>
                <w:sz w:val="20"/>
                <w:szCs w:val="20"/>
                <w:color w:val="auto"/>
              </w:rPr>
            </w:pPr>
            <w:r>
              <w:rPr>
                <w:rFonts w:ascii="Arial" w:cs="Arial" w:eastAsia="Arial" w:hAnsi="Arial"/>
                <w:sz w:val="14"/>
                <w:szCs w:val="14"/>
                <w:color w:val="auto"/>
              </w:rPr>
              <w:t>13</w:t>
            </w:r>
          </w:p>
        </w:tc>
        <w:tc>
          <w:tcPr>
            <w:tcW w:w="140" w:type="dxa"/>
            <w:vAlign w:val="bottom"/>
          </w:tcPr>
          <w:p>
            <w:pPr>
              <w:spacing w:after="0"/>
              <w:rPr>
                <w:sz w:val="13"/>
                <w:szCs w:val="13"/>
                <w:color w:val="auto"/>
              </w:rPr>
            </w:pPr>
          </w:p>
        </w:tc>
        <w:tc>
          <w:tcPr>
            <w:tcW w:w="720" w:type="dxa"/>
            <w:vAlign w:val="bottom"/>
            <w:vMerge w:val="restart"/>
          </w:tcPr>
          <w:p>
            <w:pPr>
              <w:jc w:val="right"/>
              <w:ind w:right="108"/>
              <w:spacing w:after="0"/>
              <w:rPr>
                <w:sz w:val="20"/>
                <w:szCs w:val="20"/>
                <w:color w:val="auto"/>
              </w:rPr>
            </w:pPr>
            <w:r>
              <w:rPr>
                <w:rFonts w:ascii="Arial" w:cs="Arial" w:eastAsia="Arial" w:hAnsi="Arial"/>
                <w:sz w:val="14"/>
                <w:szCs w:val="14"/>
                <w:color w:val="auto"/>
              </w:rPr>
              <w:t>12</w:t>
            </w:r>
          </w:p>
        </w:tc>
        <w:tc>
          <w:tcPr>
            <w:tcW w:w="140" w:type="dxa"/>
            <w:vAlign w:val="bottom"/>
          </w:tcPr>
          <w:p>
            <w:pPr>
              <w:spacing w:after="0"/>
              <w:rPr>
                <w:sz w:val="13"/>
                <w:szCs w:val="13"/>
                <w:color w:val="auto"/>
              </w:rPr>
            </w:pPr>
          </w:p>
        </w:tc>
        <w:tc>
          <w:tcPr>
            <w:tcW w:w="720" w:type="dxa"/>
            <w:vAlign w:val="bottom"/>
            <w:vMerge w:val="restart"/>
          </w:tcPr>
          <w:p>
            <w:pPr>
              <w:jc w:val="right"/>
              <w:ind w:right="88"/>
              <w:spacing w:after="0"/>
              <w:rPr>
                <w:sz w:val="20"/>
                <w:szCs w:val="20"/>
                <w:color w:val="auto"/>
              </w:rPr>
            </w:pPr>
            <w:r>
              <w:rPr>
                <w:rFonts w:ascii="Arial" w:cs="Arial" w:eastAsia="Arial" w:hAnsi="Arial"/>
                <w:sz w:val="14"/>
                <w:szCs w:val="14"/>
                <w:color w:val="auto"/>
              </w:rPr>
              <w:t>17</w:t>
            </w:r>
          </w:p>
        </w:tc>
        <w:tc>
          <w:tcPr>
            <w:tcW w:w="160" w:type="dxa"/>
            <w:vAlign w:val="bottom"/>
          </w:tcPr>
          <w:p>
            <w:pPr>
              <w:spacing w:after="0"/>
              <w:rPr>
                <w:sz w:val="13"/>
                <w:szCs w:val="13"/>
                <w:color w:val="auto"/>
              </w:rPr>
            </w:pPr>
          </w:p>
        </w:tc>
        <w:tc>
          <w:tcPr>
            <w:tcW w:w="72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19</w:t>
            </w:r>
          </w:p>
        </w:tc>
        <w:tc>
          <w:tcPr>
            <w:tcW w:w="0" w:type="dxa"/>
            <w:vAlign w:val="bottom"/>
          </w:tcPr>
          <w:p>
            <w:pPr>
              <w:spacing w:after="0"/>
              <w:rPr>
                <w:sz w:val="1"/>
                <w:szCs w:val="1"/>
                <w:color w:val="auto"/>
              </w:rPr>
            </w:pPr>
          </w:p>
        </w:tc>
      </w:tr>
      <w:tr>
        <w:trPr>
          <w:trHeight w:val="126"/>
        </w:trPr>
        <w:tc>
          <w:tcPr>
            <w:tcW w:w="2380" w:type="dxa"/>
            <w:vAlign w:val="bottom"/>
            <w:vMerge w:val="restart"/>
          </w:tcPr>
          <w:p>
            <w:pPr>
              <w:ind w:left="60"/>
              <w:spacing w:after="0"/>
              <w:rPr>
                <w:sz w:val="20"/>
                <w:szCs w:val="20"/>
                <w:color w:val="auto"/>
              </w:rPr>
            </w:pPr>
            <w:r>
              <w:rPr>
                <w:rFonts w:ascii="Arial" w:cs="Arial" w:eastAsia="Arial" w:hAnsi="Arial"/>
                <w:sz w:val="14"/>
                <w:szCs w:val="14"/>
                <w:color w:val="auto"/>
              </w:rPr>
              <w:t>equity</w:t>
            </w:r>
            <w:r>
              <w:rPr>
                <w:rFonts w:ascii="Arial" w:cs="Arial" w:eastAsia="Arial" w:hAnsi="Arial"/>
                <w:sz w:val="24"/>
                <w:szCs w:val="24"/>
                <w:color w:val="auto"/>
                <w:vertAlign w:val="superscript"/>
              </w:rPr>
              <w:t>(c)</w:t>
            </w:r>
          </w:p>
        </w:tc>
        <w:tc>
          <w:tcPr>
            <w:tcW w:w="14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23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8"/>
        </w:trPr>
        <w:tc>
          <w:tcPr>
            <w:tcW w:w="2380" w:type="dxa"/>
            <w:vAlign w:val="bottom"/>
          </w:tcPr>
          <w:p>
            <w:pPr>
              <w:spacing w:after="0"/>
              <w:rPr>
                <w:sz w:val="24"/>
                <w:szCs w:val="24"/>
                <w:color w:val="auto"/>
              </w:rPr>
            </w:pPr>
          </w:p>
        </w:tc>
        <w:tc>
          <w:tcPr>
            <w:tcW w:w="140" w:type="dxa"/>
            <w:vAlign w:val="bottom"/>
            <w:tcBorders>
              <w:bottom w:val="single" w:sz="8" w:color="004876"/>
            </w:tcBorders>
          </w:tcPr>
          <w:p>
            <w:pPr>
              <w:spacing w:after="0"/>
              <w:rPr>
                <w:sz w:val="24"/>
                <w:szCs w:val="24"/>
                <w:color w:val="auto"/>
              </w:rPr>
            </w:pPr>
          </w:p>
        </w:tc>
        <w:tc>
          <w:tcPr>
            <w:tcW w:w="720" w:type="dxa"/>
            <w:vAlign w:val="bottom"/>
            <w:tcBorders>
              <w:bottom w:val="single" w:sz="8" w:color="004876"/>
            </w:tcBorders>
          </w:tcPr>
          <w:p>
            <w:pPr>
              <w:spacing w:after="0"/>
              <w:rPr>
                <w:sz w:val="24"/>
                <w:szCs w:val="24"/>
                <w:color w:val="auto"/>
              </w:rPr>
            </w:pPr>
          </w:p>
        </w:tc>
        <w:tc>
          <w:tcPr>
            <w:tcW w:w="140" w:type="dxa"/>
            <w:vAlign w:val="bottom"/>
            <w:tcBorders>
              <w:bottom w:val="single" w:sz="8" w:color="004876"/>
            </w:tcBorders>
          </w:tcPr>
          <w:p>
            <w:pPr>
              <w:spacing w:after="0"/>
              <w:rPr>
                <w:sz w:val="24"/>
                <w:szCs w:val="24"/>
                <w:color w:val="auto"/>
              </w:rPr>
            </w:pPr>
          </w:p>
        </w:tc>
        <w:tc>
          <w:tcPr>
            <w:tcW w:w="720" w:type="dxa"/>
            <w:vAlign w:val="bottom"/>
            <w:tcBorders>
              <w:bottom w:val="single" w:sz="8" w:color="004876"/>
            </w:tcBorders>
          </w:tcPr>
          <w:p>
            <w:pPr>
              <w:spacing w:after="0"/>
              <w:rPr>
                <w:sz w:val="24"/>
                <w:szCs w:val="24"/>
                <w:color w:val="auto"/>
              </w:rPr>
            </w:pPr>
          </w:p>
        </w:tc>
        <w:tc>
          <w:tcPr>
            <w:tcW w:w="140" w:type="dxa"/>
            <w:vAlign w:val="bottom"/>
            <w:tcBorders>
              <w:bottom w:val="single" w:sz="8" w:color="004876"/>
            </w:tcBorders>
          </w:tcPr>
          <w:p>
            <w:pPr>
              <w:spacing w:after="0"/>
              <w:rPr>
                <w:sz w:val="24"/>
                <w:szCs w:val="24"/>
                <w:color w:val="auto"/>
              </w:rPr>
            </w:pPr>
          </w:p>
        </w:tc>
        <w:tc>
          <w:tcPr>
            <w:tcW w:w="720" w:type="dxa"/>
            <w:vAlign w:val="bottom"/>
            <w:tcBorders>
              <w:bottom w:val="single" w:sz="8" w:color="004876"/>
            </w:tcBorders>
          </w:tcPr>
          <w:p>
            <w:pPr>
              <w:spacing w:after="0"/>
              <w:rPr>
                <w:sz w:val="24"/>
                <w:szCs w:val="24"/>
                <w:color w:val="auto"/>
              </w:rPr>
            </w:pPr>
          </w:p>
        </w:tc>
        <w:tc>
          <w:tcPr>
            <w:tcW w:w="140" w:type="dxa"/>
            <w:vAlign w:val="bottom"/>
            <w:tcBorders>
              <w:bottom w:val="single" w:sz="8" w:color="004876"/>
            </w:tcBorders>
          </w:tcPr>
          <w:p>
            <w:pPr>
              <w:spacing w:after="0"/>
              <w:rPr>
                <w:sz w:val="24"/>
                <w:szCs w:val="24"/>
                <w:color w:val="auto"/>
              </w:rPr>
            </w:pPr>
          </w:p>
        </w:tc>
        <w:tc>
          <w:tcPr>
            <w:tcW w:w="720" w:type="dxa"/>
            <w:vAlign w:val="bottom"/>
            <w:tcBorders>
              <w:bottom w:val="single" w:sz="8" w:color="004876"/>
            </w:tcBorders>
          </w:tcPr>
          <w:p>
            <w:pPr>
              <w:spacing w:after="0"/>
              <w:rPr>
                <w:sz w:val="24"/>
                <w:szCs w:val="24"/>
                <w:color w:val="auto"/>
              </w:rPr>
            </w:pPr>
          </w:p>
        </w:tc>
        <w:tc>
          <w:tcPr>
            <w:tcW w:w="160" w:type="dxa"/>
            <w:vAlign w:val="bottom"/>
            <w:tcBorders>
              <w:bottom w:val="single" w:sz="8" w:color="004876"/>
            </w:tcBorders>
          </w:tcPr>
          <w:p>
            <w:pPr>
              <w:spacing w:after="0"/>
              <w:rPr>
                <w:sz w:val="24"/>
                <w:szCs w:val="24"/>
                <w:color w:val="auto"/>
              </w:rPr>
            </w:pPr>
          </w:p>
        </w:tc>
        <w:tc>
          <w:tcPr>
            <w:tcW w:w="1580" w:type="dxa"/>
            <w:vAlign w:val="bottom"/>
            <w:tcBorders>
              <w:bottom w:val="single" w:sz="8" w:color="004876"/>
            </w:tcBorders>
            <w:gridSpan w:val="3"/>
          </w:tcPr>
          <w:p>
            <w:pPr>
              <w:jc w:val="center"/>
              <w:ind w:right="228"/>
              <w:spacing w:after="0"/>
              <w:rPr>
                <w:sz w:val="20"/>
                <w:szCs w:val="20"/>
                <w:color w:val="auto"/>
              </w:rPr>
            </w:pPr>
            <w:r>
              <w:rPr>
                <w:rFonts w:ascii="Arial" w:cs="Arial" w:eastAsia="Arial" w:hAnsi="Arial"/>
                <w:sz w:val="14"/>
                <w:szCs w:val="14"/>
                <w:b w:val="1"/>
                <w:bCs w:val="1"/>
                <w:color w:val="auto"/>
              </w:rPr>
              <w:t>Period-end</w:t>
            </w:r>
          </w:p>
        </w:tc>
        <w:tc>
          <w:tcPr>
            <w:tcW w:w="140" w:type="dxa"/>
            <w:vAlign w:val="bottom"/>
            <w:tcBorders>
              <w:bottom w:val="single" w:sz="8" w:color="004876"/>
            </w:tcBorders>
          </w:tcPr>
          <w:p>
            <w:pPr>
              <w:spacing w:after="0"/>
              <w:rPr>
                <w:sz w:val="24"/>
                <w:szCs w:val="24"/>
                <w:color w:val="auto"/>
              </w:rPr>
            </w:pPr>
          </w:p>
        </w:tc>
        <w:tc>
          <w:tcPr>
            <w:tcW w:w="720" w:type="dxa"/>
            <w:vAlign w:val="bottom"/>
            <w:tcBorders>
              <w:bottom w:val="single" w:sz="8" w:color="004876"/>
            </w:tcBorders>
          </w:tcPr>
          <w:p>
            <w:pPr>
              <w:spacing w:after="0"/>
              <w:rPr>
                <w:sz w:val="24"/>
                <w:szCs w:val="24"/>
                <w:color w:val="auto"/>
              </w:rPr>
            </w:pPr>
          </w:p>
        </w:tc>
        <w:tc>
          <w:tcPr>
            <w:tcW w:w="140" w:type="dxa"/>
            <w:vAlign w:val="bottom"/>
            <w:tcBorders>
              <w:bottom w:val="single" w:sz="8" w:color="004876"/>
            </w:tcBorders>
          </w:tcPr>
          <w:p>
            <w:pPr>
              <w:spacing w:after="0"/>
              <w:rPr>
                <w:sz w:val="24"/>
                <w:szCs w:val="24"/>
                <w:color w:val="auto"/>
              </w:rPr>
            </w:pPr>
          </w:p>
        </w:tc>
        <w:tc>
          <w:tcPr>
            <w:tcW w:w="720" w:type="dxa"/>
            <w:vAlign w:val="bottom"/>
            <w:tcBorders>
              <w:bottom w:val="single" w:sz="8" w:color="004876"/>
            </w:tcBorders>
          </w:tcPr>
          <w:p>
            <w:pPr>
              <w:spacing w:after="0"/>
              <w:rPr>
                <w:sz w:val="24"/>
                <w:szCs w:val="24"/>
                <w:color w:val="auto"/>
              </w:rPr>
            </w:pPr>
          </w:p>
        </w:tc>
        <w:tc>
          <w:tcPr>
            <w:tcW w:w="140" w:type="dxa"/>
            <w:vAlign w:val="bottom"/>
            <w:tcBorders>
              <w:bottom w:val="single" w:sz="8" w:color="004876"/>
            </w:tcBorders>
          </w:tcPr>
          <w:p>
            <w:pPr>
              <w:spacing w:after="0"/>
              <w:rPr>
                <w:sz w:val="24"/>
                <w:szCs w:val="24"/>
                <w:color w:val="auto"/>
              </w:rPr>
            </w:pPr>
          </w:p>
        </w:tc>
        <w:tc>
          <w:tcPr>
            <w:tcW w:w="720" w:type="dxa"/>
            <w:vAlign w:val="bottom"/>
            <w:tcBorders>
              <w:bottom w:val="single" w:sz="8" w:color="004876"/>
            </w:tcBorders>
          </w:tcPr>
          <w:p>
            <w:pPr>
              <w:spacing w:after="0"/>
              <w:rPr>
                <w:sz w:val="24"/>
                <w:szCs w:val="24"/>
                <w:color w:val="auto"/>
              </w:rPr>
            </w:pPr>
          </w:p>
        </w:tc>
        <w:tc>
          <w:tcPr>
            <w:tcW w:w="160" w:type="dxa"/>
            <w:vAlign w:val="bottom"/>
            <w:tcBorders>
              <w:bottom w:val="single" w:sz="8" w:color="004876"/>
            </w:tcBorders>
          </w:tcPr>
          <w:p>
            <w:pPr>
              <w:spacing w:after="0"/>
              <w:rPr>
                <w:sz w:val="24"/>
                <w:szCs w:val="24"/>
                <w:color w:val="auto"/>
              </w:rPr>
            </w:pPr>
          </w:p>
        </w:tc>
        <w:tc>
          <w:tcPr>
            <w:tcW w:w="720" w:type="dxa"/>
            <w:vAlign w:val="bottom"/>
            <w:tcBorders>
              <w:bottom w:val="single" w:sz="8" w:color="004876"/>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380" w:type="dxa"/>
            <w:vAlign w:val="bottom"/>
            <w:vMerge w:val="restart"/>
          </w:tcPr>
          <w:p>
            <w:pPr>
              <w:spacing w:after="0"/>
              <w:rPr>
                <w:sz w:val="20"/>
                <w:szCs w:val="20"/>
                <w:color w:val="auto"/>
              </w:rPr>
            </w:pPr>
            <w:r>
              <w:rPr>
                <w:rFonts w:ascii="Arial" w:cs="Arial" w:eastAsia="Arial" w:hAnsi="Arial"/>
                <w:sz w:val="14"/>
                <w:szCs w:val="14"/>
                <w:b w:val="1"/>
                <w:bCs w:val="1"/>
                <w:color w:val="auto"/>
              </w:rPr>
              <w:t>(in millions, except per</w:t>
            </w:r>
          </w:p>
        </w:tc>
        <w:tc>
          <w:tcPr>
            <w:tcW w:w="140" w:type="dxa"/>
            <w:vAlign w:val="bottom"/>
            <w:tcBorders>
              <w:bottom w:val="single" w:sz="8" w:color="004876"/>
            </w:tcBorders>
          </w:tcPr>
          <w:p>
            <w:pPr>
              <w:spacing w:after="0"/>
              <w:rPr>
                <w:sz w:val="18"/>
                <w:szCs w:val="18"/>
                <w:color w:val="auto"/>
              </w:rPr>
            </w:pPr>
          </w:p>
        </w:tc>
        <w:tc>
          <w:tcPr>
            <w:tcW w:w="720" w:type="dxa"/>
            <w:vAlign w:val="bottom"/>
            <w:tcBorders>
              <w:bottom w:val="single" w:sz="8" w:color="004876"/>
            </w:tcBorders>
          </w:tcPr>
          <w:p>
            <w:pPr>
              <w:spacing w:after="0"/>
              <w:rPr>
                <w:sz w:val="18"/>
                <w:szCs w:val="18"/>
                <w:color w:val="auto"/>
              </w:rPr>
            </w:pPr>
          </w:p>
        </w:tc>
        <w:tc>
          <w:tcPr>
            <w:tcW w:w="140" w:type="dxa"/>
            <w:vAlign w:val="bottom"/>
            <w:tcBorders>
              <w:bottom w:val="single" w:sz="8" w:color="004876"/>
            </w:tcBorders>
          </w:tcPr>
          <w:p>
            <w:pPr>
              <w:spacing w:after="0"/>
              <w:rPr>
                <w:sz w:val="18"/>
                <w:szCs w:val="18"/>
                <w:color w:val="auto"/>
              </w:rPr>
            </w:pPr>
          </w:p>
        </w:tc>
        <w:tc>
          <w:tcPr>
            <w:tcW w:w="720" w:type="dxa"/>
            <w:vAlign w:val="bottom"/>
            <w:tcBorders>
              <w:bottom w:val="single" w:sz="8" w:color="004876"/>
            </w:tcBorders>
          </w:tcPr>
          <w:p>
            <w:pPr>
              <w:spacing w:after="0"/>
              <w:rPr>
                <w:sz w:val="18"/>
                <w:szCs w:val="18"/>
                <w:color w:val="auto"/>
              </w:rPr>
            </w:pPr>
          </w:p>
        </w:tc>
        <w:tc>
          <w:tcPr>
            <w:tcW w:w="140" w:type="dxa"/>
            <w:vAlign w:val="bottom"/>
            <w:tcBorders>
              <w:bottom w:val="single" w:sz="8" w:color="004876"/>
            </w:tcBorders>
          </w:tcPr>
          <w:p>
            <w:pPr>
              <w:spacing w:after="0"/>
              <w:rPr>
                <w:sz w:val="18"/>
                <w:szCs w:val="18"/>
                <w:color w:val="auto"/>
              </w:rPr>
            </w:pPr>
          </w:p>
        </w:tc>
        <w:tc>
          <w:tcPr>
            <w:tcW w:w="720" w:type="dxa"/>
            <w:vAlign w:val="bottom"/>
            <w:tcBorders>
              <w:bottom w:val="single" w:sz="8" w:color="004876"/>
            </w:tcBorders>
          </w:tcPr>
          <w:p>
            <w:pPr>
              <w:spacing w:after="0"/>
              <w:rPr>
                <w:sz w:val="18"/>
                <w:szCs w:val="18"/>
                <w:color w:val="auto"/>
              </w:rPr>
            </w:pPr>
          </w:p>
        </w:tc>
        <w:tc>
          <w:tcPr>
            <w:tcW w:w="140" w:type="dxa"/>
            <w:vAlign w:val="bottom"/>
            <w:tcBorders>
              <w:bottom w:val="single" w:sz="8" w:color="004876"/>
            </w:tcBorders>
          </w:tcPr>
          <w:p>
            <w:pPr>
              <w:spacing w:after="0"/>
              <w:rPr>
                <w:sz w:val="18"/>
                <w:szCs w:val="18"/>
                <w:color w:val="auto"/>
              </w:rPr>
            </w:pPr>
          </w:p>
        </w:tc>
        <w:tc>
          <w:tcPr>
            <w:tcW w:w="720" w:type="dxa"/>
            <w:vAlign w:val="bottom"/>
            <w:tcBorders>
              <w:bottom w:val="single" w:sz="8" w:color="004876"/>
            </w:tcBorders>
          </w:tcPr>
          <w:p>
            <w:pPr>
              <w:spacing w:after="0"/>
              <w:rPr>
                <w:sz w:val="18"/>
                <w:szCs w:val="18"/>
                <w:color w:val="auto"/>
              </w:rPr>
            </w:pPr>
          </w:p>
        </w:tc>
        <w:tc>
          <w:tcPr>
            <w:tcW w:w="160" w:type="dxa"/>
            <w:vAlign w:val="bottom"/>
            <w:tcBorders>
              <w:bottom w:val="single" w:sz="8" w:color="004876"/>
            </w:tcBorders>
          </w:tcPr>
          <w:p>
            <w:pPr>
              <w:spacing w:after="0"/>
              <w:rPr>
                <w:sz w:val="18"/>
                <w:szCs w:val="18"/>
                <w:color w:val="auto"/>
              </w:rPr>
            </w:pPr>
          </w:p>
        </w:tc>
        <w:tc>
          <w:tcPr>
            <w:tcW w:w="1580" w:type="dxa"/>
            <w:vAlign w:val="bottom"/>
            <w:tcBorders>
              <w:bottom w:val="single" w:sz="8" w:color="004876"/>
            </w:tcBorders>
            <w:gridSpan w:val="3"/>
          </w:tcPr>
          <w:p>
            <w:pPr>
              <w:jc w:val="center"/>
              <w:ind w:right="208"/>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Borders>
              <w:bottom w:val="single" w:sz="8" w:color="004876"/>
            </w:tcBorders>
          </w:tcPr>
          <w:p>
            <w:pPr>
              <w:spacing w:after="0"/>
              <w:rPr>
                <w:sz w:val="18"/>
                <w:szCs w:val="18"/>
                <w:color w:val="auto"/>
              </w:rPr>
            </w:pPr>
          </w:p>
        </w:tc>
        <w:tc>
          <w:tcPr>
            <w:tcW w:w="720" w:type="dxa"/>
            <w:vAlign w:val="bottom"/>
            <w:tcBorders>
              <w:bottom w:val="single" w:sz="8" w:color="004876"/>
            </w:tcBorders>
          </w:tcPr>
          <w:p>
            <w:pPr>
              <w:spacing w:after="0"/>
              <w:rPr>
                <w:sz w:val="18"/>
                <w:szCs w:val="18"/>
                <w:color w:val="auto"/>
              </w:rPr>
            </w:pPr>
          </w:p>
        </w:tc>
        <w:tc>
          <w:tcPr>
            <w:tcW w:w="140" w:type="dxa"/>
            <w:vAlign w:val="bottom"/>
            <w:tcBorders>
              <w:bottom w:val="single" w:sz="8" w:color="004876"/>
            </w:tcBorders>
          </w:tcPr>
          <w:p>
            <w:pPr>
              <w:spacing w:after="0"/>
              <w:rPr>
                <w:sz w:val="18"/>
                <w:szCs w:val="18"/>
                <w:color w:val="auto"/>
              </w:rPr>
            </w:pPr>
          </w:p>
        </w:tc>
        <w:tc>
          <w:tcPr>
            <w:tcW w:w="720" w:type="dxa"/>
            <w:vAlign w:val="bottom"/>
            <w:tcBorders>
              <w:bottom w:val="single" w:sz="8" w:color="004876"/>
            </w:tcBorders>
          </w:tcPr>
          <w:p>
            <w:pPr>
              <w:spacing w:after="0"/>
              <w:rPr>
                <w:sz w:val="18"/>
                <w:szCs w:val="18"/>
                <w:color w:val="auto"/>
              </w:rPr>
            </w:pPr>
          </w:p>
        </w:tc>
        <w:tc>
          <w:tcPr>
            <w:tcW w:w="140" w:type="dxa"/>
            <w:vAlign w:val="bottom"/>
            <w:tcBorders>
              <w:bottom w:val="single" w:sz="8" w:color="004876"/>
            </w:tcBorders>
          </w:tcPr>
          <w:p>
            <w:pPr>
              <w:spacing w:after="0"/>
              <w:rPr>
                <w:sz w:val="18"/>
                <w:szCs w:val="18"/>
                <w:color w:val="auto"/>
              </w:rPr>
            </w:pPr>
          </w:p>
        </w:tc>
        <w:tc>
          <w:tcPr>
            <w:tcW w:w="720" w:type="dxa"/>
            <w:vAlign w:val="bottom"/>
            <w:tcBorders>
              <w:bottom w:val="single" w:sz="8" w:color="004876"/>
            </w:tcBorders>
          </w:tcPr>
          <w:p>
            <w:pPr>
              <w:spacing w:after="0"/>
              <w:rPr>
                <w:sz w:val="18"/>
                <w:szCs w:val="18"/>
                <w:color w:val="auto"/>
              </w:rPr>
            </w:pPr>
          </w:p>
        </w:tc>
        <w:tc>
          <w:tcPr>
            <w:tcW w:w="160" w:type="dxa"/>
            <w:vAlign w:val="bottom"/>
            <w:tcBorders>
              <w:bottom w:val="single" w:sz="8" w:color="004876"/>
            </w:tcBorders>
          </w:tcPr>
          <w:p>
            <w:pPr>
              <w:spacing w:after="0"/>
              <w:rPr>
                <w:sz w:val="18"/>
                <w:szCs w:val="18"/>
                <w:color w:val="auto"/>
              </w:rPr>
            </w:pPr>
          </w:p>
        </w:tc>
        <w:tc>
          <w:tcPr>
            <w:tcW w:w="720" w:type="dxa"/>
            <w:vAlign w:val="bottom"/>
            <w:tcBorders>
              <w:bottom w:val="single" w:sz="8" w:color="004876"/>
            </w:tcBorders>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3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75"/>
        </w:trPr>
        <w:tc>
          <w:tcPr>
            <w:tcW w:w="2380" w:type="dxa"/>
            <w:vAlign w:val="bottom"/>
            <w:tcBorders>
              <w:bottom w:val="single" w:sz="8" w:color="004876"/>
            </w:tcBorders>
          </w:tcPr>
          <w:p>
            <w:pPr>
              <w:spacing w:after="0"/>
              <w:rPr>
                <w:sz w:val="20"/>
                <w:szCs w:val="20"/>
                <w:color w:val="auto"/>
              </w:rPr>
            </w:pPr>
            <w:r>
              <w:rPr>
                <w:rFonts w:ascii="Arial" w:cs="Arial" w:eastAsia="Arial" w:hAnsi="Arial"/>
                <w:sz w:val="14"/>
                <w:szCs w:val="14"/>
                <w:b w:val="1"/>
                <w:bCs w:val="1"/>
                <w:color w:val="auto"/>
              </w:rPr>
              <w:t>share and ratio data)</w:t>
            </w:r>
          </w:p>
        </w:tc>
        <w:tc>
          <w:tcPr>
            <w:tcW w:w="140" w:type="dxa"/>
            <w:vAlign w:val="bottom"/>
            <w:tcBorders>
              <w:bottom w:val="single" w:sz="8" w:color="004876"/>
            </w:tcBorders>
          </w:tcPr>
          <w:p>
            <w:pPr>
              <w:spacing w:after="0"/>
              <w:rPr>
                <w:sz w:val="15"/>
                <w:szCs w:val="15"/>
                <w:color w:val="auto"/>
              </w:rPr>
            </w:pPr>
          </w:p>
        </w:tc>
        <w:tc>
          <w:tcPr>
            <w:tcW w:w="720" w:type="dxa"/>
            <w:vAlign w:val="bottom"/>
            <w:tcBorders>
              <w:bottom w:val="single" w:sz="8" w:color="004876"/>
            </w:tcBorders>
          </w:tcPr>
          <w:p>
            <w:pPr>
              <w:jc w:val="right"/>
              <w:ind w:right="268"/>
              <w:spacing w:after="0"/>
              <w:rPr>
                <w:sz w:val="20"/>
                <w:szCs w:val="20"/>
                <w:color w:val="auto"/>
              </w:rPr>
            </w:pPr>
            <w:r>
              <w:rPr>
                <w:rFonts w:ascii="Arial" w:cs="Arial" w:eastAsia="Arial" w:hAnsi="Arial"/>
                <w:sz w:val="14"/>
                <w:szCs w:val="14"/>
                <w:color w:val="auto"/>
              </w:rPr>
              <w:t>2010</w:t>
            </w:r>
          </w:p>
        </w:tc>
        <w:tc>
          <w:tcPr>
            <w:tcW w:w="140" w:type="dxa"/>
            <w:vAlign w:val="bottom"/>
            <w:tcBorders>
              <w:bottom w:val="single" w:sz="8" w:color="004876"/>
            </w:tcBorders>
          </w:tcPr>
          <w:p>
            <w:pPr>
              <w:spacing w:after="0"/>
              <w:rPr>
                <w:sz w:val="15"/>
                <w:szCs w:val="15"/>
                <w:color w:val="auto"/>
              </w:rPr>
            </w:pPr>
          </w:p>
        </w:tc>
        <w:tc>
          <w:tcPr>
            <w:tcW w:w="720" w:type="dxa"/>
            <w:vAlign w:val="bottom"/>
            <w:tcBorders>
              <w:bottom w:val="single" w:sz="8" w:color="004876"/>
            </w:tcBorders>
          </w:tcPr>
          <w:p>
            <w:pPr>
              <w:jc w:val="right"/>
              <w:ind w:right="268"/>
              <w:spacing w:after="0"/>
              <w:rPr>
                <w:sz w:val="20"/>
                <w:szCs w:val="20"/>
                <w:color w:val="auto"/>
              </w:rPr>
            </w:pPr>
            <w:r>
              <w:rPr>
                <w:rFonts w:ascii="Arial" w:cs="Arial" w:eastAsia="Arial" w:hAnsi="Arial"/>
                <w:sz w:val="14"/>
                <w:szCs w:val="14"/>
                <w:color w:val="auto"/>
              </w:rPr>
              <w:t>2011</w:t>
            </w:r>
          </w:p>
        </w:tc>
        <w:tc>
          <w:tcPr>
            <w:tcW w:w="140" w:type="dxa"/>
            <w:vAlign w:val="bottom"/>
            <w:tcBorders>
              <w:bottom w:val="single" w:sz="8" w:color="004876"/>
            </w:tcBorders>
          </w:tcPr>
          <w:p>
            <w:pPr>
              <w:spacing w:after="0"/>
              <w:rPr>
                <w:sz w:val="15"/>
                <w:szCs w:val="15"/>
                <w:color w:val="auto"/>
              </w:rPr>
            </w:pPr>
          </w:p>
        </w:tc>
        <w:tc>
          <w:tcPr>
            <w:tcW w:w="720" w:type="dxa"/>
            <w:vAlign w:val="bottom"/>
            <w:tcBorders>
              <w:bottom w:val="single" w:sz="8" w:color="004876"/>
            </w:tcBorders>
          </w:tcPr>
          <w:p>
            <w:pPr>
              <w:jc w:val="right"/>
              <w:ind w:right="268"/>
              <w:spacing w:after="0"/>
              <w:rPr>
                <w:sz w:val="20"/>
                <w:szCs w:val="20"/>
                <w:color w:val="auto"/>
              </w:rPr>
            </w:pPr>
            <w:r>
              <w:rPr>
                <w:rFonts w:ascii="Arial" w:cs="Arial" w:eastAsia="Arial" w:hAnsi="Arial"/>
                <w:sz w:val="14"/>
                <w:szCs w:val="14"/>
                <w:color w:val="auto"/>
              </w:rPr>
              <w:t>2012</w:t>
            </w:r>
          </w:p>
        </w:tc>
        <w:tc>
          <w:tcPr>
            <w:tcW w:w="140" w:type="dxa"/>
            <w:vAlign w:val="bottom"/>
            <w:tcBorders>
              <w:bottom w:val="single" w:sz="8" w:color="004876"/>
            </w:tcBorders>
          </w:tcPr>
          <w:p>
            <w:pPr>
              <w:spacing w:after="0"/>
              <w:rPr>
                <w:sz w:val="15"/>
                <w:szCs w:val="15"/>
                <w:color w:val="auto"/>
              </w:rPr>
            </w:pPr>
          </w:p>
        </w:tc>
        <w:tc>
          <w:tcPr>
            <w:tcW w:w="720" w:type="dxa"/>
            <w:vAlign w:val="bottom"/>
            <w:tcBorders>
              <w:bottom w:val="single" w:sz="8" w:color="004876"/>
            </w:tcBorders>
          </w:tcPr>
          <w:p>
            <w:pPr>
              <w:jc w:val="right"/>
              <w:ind w:right="268"/>
              <w:spacing w:after="0"/>
              <w:rPr>
                <w:sz w:val="20"/>
                <w:szCs w:val="20"/>
                <w:color w:val="auto"/>
              </w:rPr>
            </w:pPr>
            <w:r>
              <w:rPr>
                <w:rFonts w:ascii="Arial" w:cs="Arial" w:eastAsia="Arial" w:hAnsi="Arial"/>
                <w:sz w:val="14"/>
                <w:szCs w:val="14"/>
                <w:color w:val="auto"/>
              </w:rPr>
              <w:t>2013</w:t>
            </w:r>
          </w:p>
        </w:tc>
        <w:tc>
          <w:tcPr>
            <w:tcW w:w="160" w:type="dxa"/>
            <w:vAlign w:val="bottom"/>
            <w:tcBorders>
              <w:bottom w:val="single" w:sz="8" w:color="004876"/>
            </w:tcBorders>
          </w:tcPr>
          <w:p>
            <w:pPr>
              <w:spacing w:after="0"/>
              <w:rPr>
                <w:sz w:val="15"/>
                <w:szCs w:val="15"/>
                <w:color w:val="auto"/>
              </w:rPr>
            </w:pPr>
          </w:p>
        </w:tc>
        <w:tc>
          <w:tcPr>
            <w:tcW w:w="700" w:type="dxa"/>
            <w:vAlign w:val="bottom"/>
            <w:tcBorders>
              <w:bottom w:val="single" w:sz="8" w:color="004876"/>
            </w:tcBorders>
          </w:tcPr>
          <w:p>
            <w:pPr>
              <w:jc w:val="right"/>
              <w:ind w:right="248"/>
              <w:spacing w:after="0"/>
              <w:rPr>
                <w:sz w:val="20"/>
                <w:szCs w:val="20"/>
                <w:color w:val="auto"/>
              </w:rPr>
            </w:pPr>
            <w:r>
              <w:rPr>
                <w:rFonts w:ascii="Arial" w:cs="Arial" w:eastAsia="Arial" w:hAnsi="Arial"/>
                <w:sz w:val="14"/>
                <w:szCs w:val="14"/>
                <w:color w:val="auto"/>
              </w:rPr>
              <w:t>2014</w:t>
            </w:r>
          </w:p>
        </w:tc>
        <w:tc>
          <w:tcPr>
            <w:tcW w:w="160" w:type="dxa"/>
            <w:vAlign w:val="bottom"/>
            <w:tcBorders>
              <w:bottom w:val="single" w:sz="8" w:color="004876"/>
            </w:tcBorders>
          </w:tcPr>
          <w:p>
            <w:pPr>
              <w:spacing w:after="0"/>
              <w:rPr>
                <w:sz w:val="15"/>
                <w:szCs w:val="15"/>
                <w:color w:val="auto"/>
              </w:rPr>
            </w:pPr>
          </w:p>
        </w:tc>
        <w:tc>
          <w:tcPr>
            <w:tcW w:w="720" w:type="dxa"/>
            <w:vAlign w:val="bottom"/>
            <w:tcBorders>
              <w:bottom w:val="single" w:sz="8" w:color="004876"/>
            </w:tcBorders>
          </w:tcPr>
          <w:p>
            <w:pPr>
              <w:jc w:val="right"/>
              <w:ind w:right="268"/>
              <w:spacing w:after="0"/>
              <w:rPr>
                <w:sz w:val="20"/>
                <w:szCs w:val="20"/>
                <w:color w:val="auto"/>
              </w:rPr>
            </w:pPr>
            <w:r>
              <w:rPr>
                <w:rFonts w:ascii="Arial" w:cs="Arial" w:eastAsia="Arial" w:hAnsi="Arial"/>
                <w:sz w:val="14"/>
                <w:szCs w:val="14"/>
                <w:color w:val="auto"/>
              </w:rPr>
              <w:t>2015</w:t>
            </w:r>
          </w:p>
        </w:tc>
        <w:tc>
          <w:tcPr>
            <w:tcW w:w="140" w:type="dxa"/>
            <w:vAlign w:val="bottom"/>
            <w:tcBorders>
              <w:bottom w:val="single" w:sz="8" w:color="004876"/>
            </w:tcBorders>
          </w:tcPr>
          <w:p>
            <w:pPr>
              <w:spacing w:after="0"/>
              <w:rPr>
                <w:sz w:val="15"/>
                <w:szCs w:val="15"/>
                <w:color w:val="auto"/>
              </w:rPr>
            </w:pPr>
          </w:p>
        </w:tc>
        <w:tc>
          <w:tcPr>
            <w:tcW w:w="720" w:type="dxa"/>
            <w:vAlign w:val="bottom"/>
            <w:tcBorders>
              <w:bottom w:val="single" w:sz="8" w:color="004876"/>
            </w:tcBorders>
          </w:tcPr>
          <w:p>
            <w:pPr>
              <w:jc w:val="right"/>
              <w:ind w:right="268"/>
              <w:spacing w:after="0"/>
              <w:rPr>
                <w:sz w:val="20"/>
                <w:szCs w:val="20"/>
                <w:color w:val="auto"/>
              </w:rPr>
            </w:pPr>
            <w:r>
              <w:rPr>
                <w:rFonts w:ascii="Arial" w:cs="Arial" w:eastAsia="Arial" w:hAnsi="Arial"/>
                <w:sz w:val="14"/>
                <w:szCs w:val="14"/>
                <w:color w:val="auto"/>
              </w:rPr>
              <w:t>2016</w:t>
            </w:r>
          </w:p>
        </w:tc>
        <w:tc>
          <w:tcPr>
            <w:tcW w:w="140" w:type="dxa"/>
            <w:vAlign w:val="bottom"/>
            <w:tcBorders>
              <w:bottom w:val="single" w:sz="8" w:color="004876"/>
            </w:tcBorders>
          </w:tcPr>
          <w:p>
            <w:pPr>
              <w:spacing w:after="0"/>
              <w:rPr>
                <w:sz w:val="15"/>
                <w:szCs w:val="15"/>
                <w:color w:val="auto"/>
              </w:rPr>
            </w:pPr>
          </w:p>
        </w:tc>
        <w:tc>
          <w:tcPr>
            <w:tcW w:w="720" w:type="dxa"/>
            <w:vAlign w:val="bottom"/>
            <w:tcBorders>
              <w:bottom w:val="single" w:sz="8" w:color="004876"/>
            </w:tcBorders>
          </w:tcPr>
          <w:p>
            <w:pPr>
              <w:jc w:val="right"/>
              <w:ind w:right="268"/>
              <w:spacing w:after="0"/>
              <w:rPr>
                <w:sz w:val="20"/>
                <w:szCs w:val="20"/>
                <w:color w:val="auto"/>
              </w:rPr>
            </w:pPr>
            <w:r>
              <w:rPr>
                <w:rFonts w:ascii="Arial" w:cs="Arial" w:eastAsia="Arial" w:hAnsi="Arial"/>
                <w:sz w:val="14"/>
                <w:szCs w:val="14"/>
                <w:color w:val="auto"/>
              </w:rPr>
              <w:t>2017</w:t>
            </w:r>
          </w:p>
        </w:tc>
        <w:tc>
          <w:tcPr>
            <w:tcW w:w="140" w:type="dxa"/>
            <w:vAlign w:val="bottom"/>
            <w:tcBorders>
              <w:bottom w:val="single" w:sz="8" w:color="004876"/>
            </w:tcBorders>
          </w:tcPr>
          <w:p>
            <w:pPr>
              <w:spacing w:after="0"/>
              <w:rPr>
                <w:sz w:val="15"/>
                <w:szCs w:val="15"/>
                <w:color w:val="auto"/>
              </w:rPr>
            </w:pPr>
          </w:p>
        </w:tc>
        <w:tc>
          <w:tcPr>
            <w:tcW w:w="720" w:type="dxa"/>
            <w:vAlign w:val="bottom"/>
            <w:tcBorders>
              <w:bottom w:val="single" w:sz="8" w:color="004876"/>
            </w:tcBorders>
          </w:tcPr>
          <w:p>
            <w:pPr>
              <w:jc w:val="right"/>
              <w:ind w:right="268"/>
              <w:spacing w:after="0"/>
              <w:rPr>
                <w:sz w:val="20"/>
                <w:szCs w:val="20"/>
                <w:color w:val="auto"/>
              </w:rPr>
            </w:pPr>
            <w:r>
              <w:rPr>
                <w:rFonts w:ascii="Arial" w:cs="Arial" w:eastAsia="Arial" w:hAnsi="Arial"/>
                <w:sz w:val="14"/>
                <w:szCs w:val="14"/>
                <w:color w:val="auto"/>
              </w:rPr>
              <w:t>2018</w:t>
            </w:r>
          </w:p>
        </w:tc>
        <w:tc>
          <w:tcPr>
            <w:tcW w:w="160" w:type="dxa"/>
            <w:vAlign w:val="bottom"/>
            <w:tcBorders>
              <w:bottom w:val="single" w:sz="8" w:color="004876"/>
            </w:tcBorders>
          </w:tcPr>
          <w:p>
            <w:pPr>
              <w:spacing w:after="0"/>
              <w:rPr>
                <w:sz w:val="15"/>
                <w:szCs w:val="15"/>
                <w:color w:val="auto"/>
              </w:rPr>
            </w:pPr>
          </w:p>
        </w:tc>
        <w:tc>
          <w:tcPr>
            <w:tcW w:w="720" w:type="dxa"/>
            <w:vAlign w:val="bottom"/>
            <w:tcBorders>
              <w:bottom w:val="single" w:sz="8" w:color="004876"/>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38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4"/>
                <w:szCs w:val="14"/>
                <w:color w:val="auto"/>
              </w:rPr>
              <w:t>Common stockholders’ equity</w:t>
            </w:r>
          </w:p>
        </w:tc>
        <w:tc>
          <w:tcPr>
            <w:tcW w:w="1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E5E5E5"/>
            </w:tcBorders>
            <w:shd w:val="clear" w:color="auto" w:fill="E5E5E5"/>
          </w:tcPr>
          <w:p>
            <w:pPr>
              <w:jc w:val="right"/>
              <w:ind w:right="108"/>
              <w:spacing w:after="0"/>
              <w:rPr>
                <w:sz w:val="20"/>
                <w:szCs w:val="20"/>
                <w:color w:val="auto"/>
              </w:rPr>
            </w:pPr>
            <w:r>
              <w:rPr>
                <w:rFonts w:ascii="Arial" w:cs="Arial" w:eastAsia="Arial" w:hAnsi="Arial"/>
                <w:sz w:val="14"/>
                <w:szCs w:val="14"/>
                <w:color w:val="auto"/>
              </w:rPr>
              <w:t>168,067</w:t>
            </w:r>
          </w:p>
        </w:tc>
        <w:tc>
          <w:tcPr>
            <w:tcW w:w="1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E5E5E5"/>
            </w:tcBorders>
            <w:shd w:val="clear" w:color="auto" w:fill="E5E5E5"/>
          </w:tcPr>
          <w:p>
            <w:pPr>
              <w:jc w:val="right"/>
              <w:ind w:right="108"/>
              <w:spacing w:after="0"/>
              <w:rPr>
                <w:sz w:val="20"/>
                <w:szCs w:val="20"/>
                <w:color w:val="auto"/>
              </w:rPr>
            </w:pPr>
            <w:r>
              <w:rPr>
                <w:rFonts w:ascii="Arial" w:cs="Arial" w:eastAsia="Arial" w:hAnsi="Arial"/>
                <w:sz w:val="14"/>
                <w:szCs w:val="14"/>
                <w:color w:val="auto"/>
              </w:rPr>
              <w:t>175,514</w:t>
            </w:r>
          </w:p>
        </w:tc>
        <w:tc>
          <w:tcPr>
            <w:tcW w:w="1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E5E5E5"/>
            </w:tcBorders>
            <w:shd w:val="clear" w:color="auto" w:fill="E5E5E5"/>
          </w:tcPr>
          <w:p>
            <w:pPr>
              <w:jc w:val="right"/>
              <w:ind w:right="108"/>
              <w:spacing w:after="0"/>
              <w:rPr>
                <w:sz w:val="20"/>
                <w:szCs w:val="20"/>
                <w:color w:val="auto"/>
              </w:rPr>
            </w:pPr>
            <w:r>
              <w:rPr>
                <w:rFonts w:ascii="Arial" w:cs="Arial" w:eastAsia="Arial" w:hAnsi="Arial"/>
                <w:sz w:val="14"/>
                <w:szCs w:val="14"/>
                <w:color w:val="auto"/>
              </w:rPr>
              <w:t>194,727</w:t>
            </w:r>
          </w:p>
        </w:tc>
        <w:tc>
          <w:tcPr>
            <w:tcW w:w="1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E5E5E5"/>
            </w:tcBorders>
            <w:shd w:val="clear" w:color="auto" w:fill="E5E5E5"/>
          </w:tcPr>
          <w:p>
            <w:pPr>
              <w:jc w:val="right"/>
              <w:ind w:right="88"/>
              <w:spacing w:after="0"/>
              <w:rPr>
                <w:sz w:val="20"/>
                <w:szCs w:val="20"/>
                <w:color w:val="auto"/>
              </w:rPr>
            </w:pPr>
            <w:r>
              <w:rPr>
                <w:rFonts w:ascii="Arial" w:cs="Arial" w:eastAsia="Arial" w:hAnsi="Arial"/>
                <w:sz w:val="14"/>
                <w:szCs w:val="14"/>
                <w:color w:val="auto"/>
              </w:rPr>
              <w:t>199,699</w:t>
            </w:r>
          </w:p>
        </w:tc>
        <w:tc>
          <w:tcPr>
            <w:tcW w:w="1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E5E5E5"/>
            </w:tcBorders>
            <w:shd w:val="clear" w:color="auto" w:fill="E5E5E5"/>
          </w:tcPr>
          <w:p>
            <w:pPr>
              <w:jc w:val="right"/>
              <w:ind w:right="88"/>
              <w:spacing w:after="0"/>
              <w:rPr>
                <w:sz w:val="20"/>
                <w:szCs w:val="20"/>
                <w:color w:val="auto"/>
              </w:rPr>
            </w:pPr>
            <w:r>
              <w:rPr>
                <w:rFonts w:ascii="Arial" w:cs="Arial" w:eastAsia="Arial" w:hAnsi="Arial"/>
                <w:sz w:val="14"/>
                <w:szCs w:val="14"/>
                <w:color w:val="auto"/>
              </w:rPr>
              <w:t>211,664</w:t>
            </w:r>
          </w:p>
        </w:tc>
        <w:tc>
          <w:tcPr>
            <w:tcW w:w="1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E5E5E5"/>
            </w:tcBorders>
            <w:shd w:val="clear" w:color="auto" w:fill="E5E5E5"/>
          </w:tcPr>
          <w:p>
            <w:pPr>
              <w:jc w:val="right"/>
              <w:ind w:right="108"/>
              <w:spacing w:after="0"/>
              <w:rPr>
                <w:sz w:val="20"/>
                <w:szCs w:val="20"/>
                <w:color w:val="auto"/>
              </w:rPr>
            </w:pPr>
            <w:r>
              <w:rPr>
                <w:rFonts w:ascii="Arial" w:cs="Arial" w:eastAsia="Arial" w:hAnsi="Arial"/>
                <w:sz w:val="14"/>
                <w:szCs w:val="14"/>
                <w:color w:val="auto"/>
              </w:rPr>
              <w:t>221,505</w:t>
            </w:r>
          </w:p>
        </w:tc>
        <w:tc>
          <w:tcPr>
            <w:tcW w:w="1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E5E5E5"/>
            </w:tcBorders>
            <w:shd w:val="clear" w:color="auto" w:fill="E5E5E5"/>
          </w:tcPr>
          <w:p>
            <w:pPr>
              <w:jc w:val="right"/>
              <w:ind w:right="108"/>
              <w:spacing w:after="0"/>
              <w:rPr>
                <w:sz w:val="20"/>
                <w:szCs w:val="20"/>
                <w:color w:val="auto"/>
              </w:rPr>
            </w:pPr>
            <w:r>
              <w:rPr>
                <w:rFonts w:ascii="Arial" w:cs="Arial" w:eastAsia="Arial" w:hAnsi="Arial"/>
                <w:sz w:val="14"/>
                <w:szCs w:val="14"/>
                <w:color w:val="auto"/>
              </w:rPr>
              <w:t>228,122</w:t>
            </w:r>
          </w:p>
        </w:tc>
        <w:tc>
          <w:tcPr>
            <w:tcW w:w="1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E5E5E5"/>
            </w:tcBorders>
            <w:shd w:val="clear" w:color="auto" w:fill="E5E5E5"/>
          </w:tcPr>
          <w:p>
            <w:pPr>
              <w:jc w:val="right"/>
              <w:ind w:right="108"/>
              <w:spacing w:after="0"/>
              <w:rPr>
                <w:sz w:val="20"/>
                <w:szCs w:val="20"/>
                <w:color w:val="auto"/>
              </w:rPr>
            </w:pPr>
            <w:r>
              <w:rPr>
                <w:rFonts w:ascii="Arial" w:cs="Arial" w:eastAsia="Arial" w:hAnsi="Arial"/>
                <w:sz w:val="14"/>
                <w:szCs w:val="14"/>
                <w:color w:val="auto"/>
              </w:rPr>
              <w:t>229,625</w:t>
            </w:r>
          </w:p>
        </w:tc>
        <w:tc>
          <w:tcPr>
            <w:tcW w:w="1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E5E5E5"/>
            </w:tcBorders>
            <w:shd w:val="clear" w:color="auto" w:fill="E5E5E5"/>
          </w:tcPr>
          <w:p>
            <w:pPr>
              <w:jc w:val="right"/>
              <w:ind w:right="88"/>
              <w:spacing w:after="0"/>
              <w:rPr>
                <w:sz w:val="20"/>
                <w:szCs w:val="20"/>
                <w:color w:val="auto"/>
              </w:rPr>
            </w:pPr>
            <w:r>
              <w:rPr>
                <w:rFonts w:ascii="Arial" w:cs="Arial" w:eastAsia="Arial" w:hAnsi="Arial"/>
                <w:sz w:val="14"/>
                <w:szCs w:val="14"/>
                <w:color w:val="auto"/>
              </w:rPr>
              <w:t>230,447</w:t>
            </w:r>
          </w:p>
        </w:tc>
        <w:tc>
          <w:tcPr>
            <w:tcW w:w="1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E5E5E5"/>
            </w:tcBorders>
            <w:shd w:val="clear" w:color="auto" w:fill="E5E5E5"/>
          </w:tcPr>
          <w:p>
            <w:pPr>
              <w:jc w:val="right"/>
              <w:ind w:right="108"/>
              <w:spacing w:after="0"/>
              <w:rPr>
                <w:sz w:val="20"/>
                <w:szCs w:val="20"/>
                <w:color w:val="auto"/>
              </w:rPr>
            </w:pPr>
            <w:r>
              <w:rPr>
                <w:rFonts w:ascii="Arial" w:cs="Arial" w:eastAsia="Arial" w:hAnsi="Arial"/>
                <w:sz w:val="14"/>
                <w:szCs w:val="14"/>
                <w:b w:val="1"/>
                <w:bCs w:val="1"/>
                <w:color w:val="auto"/>
              </w:rPr>
              <w:t>234,337</w:t>
            </w:r>
          </w:p>
        </w:tc>
        <w:tc>
          <w:tcPr>
            <w:tcW w:w="0" w:type="dxa"/>
            <w:vAlign w:val="bottom"/>
          </w:tcPr>
          <w:p>
            <w:pPr>
              <w:spacing w:after="0"/>
              <w:rPr>
                <w:sz w:val="1"/>
                <w:szCs w:val="1"/>
                <w:color w:val="auto"/>
              </w:rPr>
            </w:pPr>
          </w:p>
        </w:tc>
      </w:tr>
      <w:tr>
        <w:trPr>
          <w:trHeight w:val="190"/>
        </w:trPr>
        <w:tc>
          <w:tcPr>
            <w:tcW w:w="2380" w:type="dxa"/>
            <w:vAlign w:val="bottom"/>
          </w:tcPr>
          <w:p>
            <w:pPr>
              <w:ind w:left="60"/>
              <w:spacing w:after="0"/>
              <w:rPr>
                <w:sz w:val="20"/>
                <w:szCs w:val="20"/>
                <w:color w:val="auto"/>
              </w:rPr>
            </w:pPr>
            <w:r>
              <w:rPr>
                <w:rFonts w:ascii="Arial" w:cs="Arial" w:eastAsia="Arial" w:hAnsi="Arial"/>
                <w:sz w:val="14"/>
                <w:szCs w:val="14"/>
                <w:color w:val="auto"/>
              </w:rPr>
              <w:t>Less: Goodwill</w:t>
            </w:r>
          </w:p>
        </w:tc>
        <w:tc>
          <w:tcPr>
            <w:tcW w:w="140" w:type="dxa"/>
            <w:vAlign w:val="bottom"/>
          </w:tcPr>
          <w:p>
            <w:pPr>
              <w:spacing w:after="0"/>
              <w:rPr>
                <w:sz w:val="16"/>
                <w:szCs w:val="16"/>
                <w:color w:val="auto"/>
              </w:rPr>
            </w:pP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48,854</w:t>
            </w:r>
          </w:p>
        </w:tc>
        <w:tc>
          <w:tcPr>
            <w:tcW w:w="140" w:type="dxa"/>
            <w:vAlign w:val="bottom"/>
          </w:tcPr>
          <w:p>
            <w:pPr>
              <w:spacing w:after="0"/>
              <w:rPr>
                <w:sz w:val="16"/>
                <w:szCs w:val="16"/>
                <w:color w:val="auto"/>
              </w:rPr>
            </w:pP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48,188</w:t>
            </w:r>
          </w:p>
        </w:tc>
        <w:tc>
          <w:tcPr>
            <w:tcW w:w="140" w:type="dxa"/>
            <w:vAlign w:val="bottom"/>
          </w:tcPr>
          <w:p>
            <w:pPr>
              <w:spacing w:after="0"/>
              <w:rPr>
                <w:sz w:val="16"/>
                <w:szCs w:val="16"/>
                <w:color w:val="auto"/>
              </w:rPr>
            </w:pP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48,175</w:t>
            </w:r>
          </w:p>
        </w:tc>
        <w:tc>
          <w:tcPr>
            <w:tcW w:w="140" w:type="dxa"/>
            <w:vAlign w:val="bottom"/>
          </w:tcPr>
          <w:p>
            <w:pPr>
              <w:spacing w:after="0"/>
              <w:rPr>
                <w:sz w:val="16"/>
                <w:szCs w:val="16"/>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48,081</w:t>
            </w:r>
          </w:p>
        </w:tc>
        <w:tc>
          <w:tcPr>
            <w:tcW w:w="160" w:type="dxa"/>
            <w:vAlign w:val="bottom"/>
          </w:tcPr>
          <w:p>
            <w:pPr>
              <w:spacing w:after="0"/>
              <w:rPr>
                <w:sz w:val="16"/>
                <w:szCs w:val="16"/>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47,647</w:t>
            </w:r>
          </w:p>
        </w:tc>
        <w:tc>
          <w:tcPr>
            <w:tcW w:w="160" w:type="dxa"/>
            <w:vAlign w:val="bottom"/>
          </w:tcPr>
          <w:p>
            <w:pPr>
              <w:spacing w:after="0"/>
              <w:rPr>
                <w:sz w:val="16"/>
                <w:szCs w:val="16"/>
                <w:color w:val="auto"/>
              </w:rPr>
            </w:pP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47,325</w:t>
            </w:r>
          </w:p>
        </w:tc>
        <w:tc>
          <w:tcPr>
            <w:tcW w:w="140" w:type="dxa"/>
            <w:vAlign w:val="bottom"/>
          </w:tcPr>
          <w:p>
            <w:pPr>
              <w:spacing w:after="0"/>
              <w:rPr>
                <w:sz w:val="16"/>
                <w:szCs w:val="16"/>
                <w:color w:val="auto"/>
              </w:rPr>
            </w:pP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47,288</w:t>
            </w:r>
          </w:p>
        </w:tc>
        <w:tc>
          <w:tcPr>
            <w:tcW w:w="140" w:type="dxa"/>
            <w:vAlign w:val="bottom"/>
          </w:tcPr>
          <w:p>
            <w:pPr>
              <w:spacing w:after="0"/>
              <w:rPr>
                <w:sz w:val="16"/>
                <w:szCs w:val="16"/>
                <w:color w:val="auto"/>
              </w:rPr>
            </w:pP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47,507</w:t>
            </w:r>
          </w:p>
        </w:tc>
        <w:tc>
          <w:tcPr>
            <w:tcW w:w="140" w:type="dxa"/>
            <w:vAlign w:val="bottom"/>
          </w:tcPr>
          <w:p>
            <w:pPr>
              <w:spacing w:after="0"/>
              <w:rPr>
                <w:sz w:val="16"/>
                <w:szCs w:val="16"/>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47,471</w:t>
            </w:r>
          </w:p>
        </w:tc>
        <w:tc>
          <w:tcPr>
            <w:tcW w:w="160" w:type="dxa"/>
            <w:vAlign w:val="bottom"/>
          </w:tcPr>
          <w:p>
            <w:pPr>
              <w:spacing w:after="0"/>
              <w:rPr>
                <w:sz w:val="16"/>
                <w:szCs w:val="16"/>
                <w:color w:val="auto"/>
              </w:rPr>
            </w:pPr>
          </w:p>
        </w:tc>
        <w:tc>
          <w:tcPr>
            <w:tcW w:w="720" w:type="dxa"/>
            <w:vAlign w:val="bottom"/>
          </w:tcPr>
          <w:p>
            <w:pPr>
              <w:jc w:val="right"/>
              <w:ind w:right="108"/>
              <w:spacing w:after="0"/>
              <w:rPr>
                <w:sz w:val="20"/>
                <w:szCs w:val="20"/>
                <w:color w:val="auto"/>
              </w:rPr>
            </w:pPr>
            <w:r>
              <w:rPr>
                <w:rFonts w:ascii="Arial" w:cs="Arial" w:eastAsia="Arial" w:hAnsi="Arial"/>
                <w:sz w:val="14"/>
                <w:szCs w:val="14"/>
                <w:b w:val="1"/>
                <w:bCs w:val="1"/>
                <w:color w:val="auto"/>
              </w:rPr>
              <w:t>47,823</w:t>
            </w:r>
          </w:p>
        </w:tc>
        <w:tc>
          <w:tcPr>
            <w:tcW w:w="0" w:type="dxa"/>
            <w:vAlign w:val="bottom"/>
          </w:tcPr>
          <w:p>
            <w:pPr>
              <w:spacing w:after="0"/>
              <w:rPr>
                <w:sz w:val="1"/>
                <w:szCs w:val="1"/>
                <w:color w:val="auto"/>
              </w:rPr>
            </w:pPr>
          </w:p>
        </w:tc>
      </w:tr>
      <w:tr>
        <w:trPr>
          <w:trHeight w:val="39"/>
        </w:trPr>
        <w:tc>
          <w:tcPr>
            <w:tcW w:w="2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38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4"/>
                <w:szCs w:val="14"/>
                <w:color w:val="auto"/>
              </w:rPr>
              <w:t>Less: Other intangible assets</w:t>
            </w:r>
          </w:p>
        </w:tc>
        <w:tc>
          <w:tcPr>
            <w:tcW w:w="140" w:type="dxa"/>
            <w:vAlign w:val="bottom"/>
            <w:tcBorders>
              <w:bottom w:val="single" w:sz="8" w:color="E5E5E5"/>
            </w:tcBorders>
            <w:shd w:val="clear" w:color="auto" w:fill="E5E5E5"/>
          </w:tcPr>
          <w:p>
            <w:pPr>
              <w:spacing w:after="0"/>
              <w:rPr>
                <w:sz w:val="18"/>
                <w:szCs w:val="18"/>
                <w:color w:val="auto"/>
              </w:rPr>
            </w:pPr>
          </w:p>
        </w:tc>
        <w:tc>
          <w:tcPr>
            <w:tcW w:w="720" w:type="dxa"/>
            <w:vAlign w:val="bottom"/>
            <w:tcBorders>
              <w:bottom w:val="single" w:sz="8" w:color="E5E5E5"/>
            </w:tcBorders>
            <w:shd w:val="clear" w:color="auto" w:fill="E5E5E5"/>
          </w:tcPr>
          <w:p>
            <w:pPr>
              <w:jc w:val="right"/>
              <w:ind w:right="108"/>
              <w:spacing w:after="0"/>
              <w:rPr>
                <w:sz w:val="20"/>
                <w:szCs w:val="20"/>
                <w:color w:val="auto"/>
              </w:rPr>
            </w:pPr>
            <w:r>
              <w:rPr>
                <w:rFonts w:ascii="Arial" w:cs="Arial" w:eastAsia="Arial" w:hAnsi="Arial"/>
                <w:sz w:val="14"/>
                <w:szCs w:val="14"/>
                <w:color w:val="auto"/>
              </w:rPr>
              <w:t>4,039</w:t>
            </w:r>
          </w:p>
        </w:tc>
        <w:tc>
          <w:tcPr>
            <w:tcW w:w="140" w:type="dxa"/>
            <w:vAlign w:val="bottom"/>
            <w:tcBorders>
              <w:bottom w:val="single" w:sz="8" w:color="E5E5E5"/>
            </w:tcBorders>
            <w:shd w:val="clear" w:color="auto" w:fill="E5E5E5"/>
          </w:tcPr>
          <w:p>
            <w:pPr>
              <w:spacing w:after="0"/>
              <w:rPr>
                <w:sz w:val="18"/>
                <w:szCs w:val="18"/>
                <w:color w:val="auto"/>
              </w:rPr>
            </w:pPr>
          </w:p>
        </w:tc>
        <w:tc>
          <w:tcPr>
            <w:tcW w:w="720" w:type="dxa"/>
            <w:vAlign w:val="bottom"/>
            <w:tcBorders>
              <w:bottom w:val="single" w:sz="8" w:color="E5E5E5"/>
            </w:tcBorders>
            <w:shd w:val="clear" w:color="auto" w:fill="E5E5E5"/>
          </w:tcPr>
          <w:p>
            <w:pPr>
              <w:jc w:val="right"/>
              <w:ind w:right="108"/>
              <w:spacing w:after="0"/>
              <w:rPr>
                <w:sz w:val="20"/>
                <w:szCs w:val="20"/>
                <w:color w:val="auto"/>
              </w:rPr>
            </w:pPr>
            <w:r>
              <w:rPr>
                <w:rFonts w:ascii="Arial" w:cs="Arial" w:eastAsia="Arial" w:hAnsi="Arial"/>
                <w:sz w:val="14"/>
                <w:szCs w:val="14"/>
                <w:color w:val="auto"/>
              </w:rPr>
              <w:t>3,207</w:t>
            </w:r>
          </w:p>
        </w:tc>
        <w:tc>
          <w:tcPr>
            <w:tcW w:w="140" w:type="dxa"/>
            <w:vAlign w:val="bottom"/>
            <w:tcBorders>
              <w:bottom w:val="single" w:sz="8" w:color="E5E5E5"/>
            </w:tcBorders>
            <w:shd w:val="clear" w:color="auto" w:fill="E5E5E5"/>
          </w:tcPr>
          <w:p>
            <w:pPr>
              <w:spacing w:after="0"/>
              <w:rPr>
                <w:sz w:val="18"/>
                <w:szCs w:val="18"/>
                <w:color w:val="auto"/>
              </w:rPr>
            </w:pPr>
          </w:p>
        </w:tc>
        <w:tc>
          <w:tcPr>
            <w:tcW w:w="720" w:type="dxa"/>
            <w:vAlign w:val="bottom"/>
            <w:tcBorders>
              <w:bottom w:val="single" w:sz="8" w:color="E5E5E5"/>
            </w:tcBorders>
            <w:shd w:val="clear" w:color="auto" w:fill="E5E5E5"/>
          </w:tcPr>
          <w:p>
            <w:pPr>
              <w:jc w:val="right"/>
              <w:ind w:right="108"/>
              <w:spacing w:after="0"/>
              <w:rPr>
                <w:sz w:val="20"/>
                <w:szCs w:val="20"/>
                <w:color w:val="auto"/>
              </w:rPr>
            </w:pPr>
            <w:r>
              <w:rPr>
                <w:rFonts w:ascii="Arial" w:cs="Arial" w:eastAsia="Arial" w:hAnsi="Arial"/>
                <w:sz w:val="14"/>
                <w:szCs w:val="14"/>
                <w:color w:val="auto"/>
              </w:rPr>
              <w:t>2,235</w:t>
            </w:r>
          </w:p>
        </w:tc>
        <w:tc>
          <w:tcPr>
            <w:tcW w:w="140" w:type="dxa"/>
            <w:vAlign w:val="bottom"/>
            <w:tcBorders>
              <w:bottom w:val="single" w:sz="8" w:color="E5E5E5"/>
            </w:tcBorders>
            <w:shd w:val="clear" w:color="auto" w:fill="E5E5E5"/>
          </w:tcPr>
          <w:p>
            <w:pPr>
              <w:spacing w:after="0"/>
              <w:rPr>
                <w:sz w:val="18"/>
                <w:szCs w:val="18"/>
                <w:color w:val="auto"/>
              </w:rPr>
            </w:pPr>
          </w:p>
        </w:tc>
        <w:tc>
          <w:tcPr>
            <w:tcW w:w="720" w:type="dxa"/>
            <w:vAlign w:val="bottom"/>
            <w:tcBorders>
              <w:bottom w:val="single" w:sz="8" w:color="E5E5E5"/>
            </w:tcBorders>
            <w:shd w:val="clear" w:color="auto" w:fill="E5E5E5"/>
          </w:tcPr>
          <w:p>
            <w:pPr>
              <w:jc w:val="right"/>
              <w:ind w:right="88"/>
              <w:spacing w:after="0"/>
              <w:rPr>
                <w:sz w:val="20"/>
                <w:szCs w:val="20"/>
                <w:color w:val="auto"/>
              </w:rPr>
            </w:pPr>
            <w:r>
              <w:rPr>
                <w:rFonts w:ascii="Arial" w:cs="Arial" w:eastAsia="Arial" w:hAnsi="Arial"/>
                <w:sz w:val="14"/>
                <w:szCs w:val="14"/>
                <w:color w:val="auto"/>
              </w:rPr>
              <w:t>1,618</w:t>
            </w:r>
          </w:p>
        </w:tc>
        <w:tc>
          <w:tcPr>
            <w:tcW w:w="160" w:type="dxa"/>
            <w:vAlign w:val="bottom"/>
            <w:tcBorders>
              <w:bottom w:val="single" w:sz="8" w:color="E5E5E5"/>
            </w:tcBorders>
            <w:shd w:val="clear" w:color="auto" w:fill="E5E5E5"/>
          </w:tcPr>
          <w:p>
            <w:pPr>
              <w:spacing w:after="0"/>
              <w:rPr>
                <w:sz w:val="18"/>
                <w:szCs w:val="18"/>
                <w:color w:val="auto"/>
              </w:rPr>
            </w:pPr>
          </w:p>
        </w:tc>
        <w:tc>
          <w:tcPr>
            <w:tcW w:w="700" w:type="dxa"/>
            <w:vAlign w:val="bottom"/>
            <w:tcBorders>
              <w:bottom w:val="single" w:sz="8" w:color="E5E5E5"/>
            </w:tcBorders>
            <w:shd w:val="clear" w:color="auto" w:fill="E5E5E5"/>
          </w:tcPr>
          <w:p>
            <w:pPr>
              <w:jc w:val="right"/>
              <w:ind w:right="88"/>
              <w:spacing w:after="0"/>
              <w:rPr>
                <w:sz w:val="20"/>
                <w:szCs w:val="20"/>
                <w:color w:val="auto"/>
              </w:rPr>
            </w:pPr>
            <w:r>
              <w:rPr>
                <w:rFonts w:ascii="Arial" w:cs="Arial" w:eastAsia="Arial" w:hAnsi="Arial"/>
                <w:sz w:val="14"/>
                <w:szCs w:val="14"/>
                <w:color w:val="auto"/>
              </w:rPr>
              <w:t>1,192</w:t>
            </w:r>
          </w:p>
        </w:tc>
        <w:tc>
          <w:tcPr>
            <w:tcW w:w="160" w:type="dxa"/>
            <w:vAlign w:val="bottom"/>
            <w:tcBorders>
              <w:bottom w:val="single" w:sz="8" w:color="E5E5E5"/>
            </w:tcBorders>
            <w:shd w:val="clear" w:color="auto" w:fill="E5E5E5"/>
          </w:tcPr>
          <w:p>
            <w:pPr>
              <w:spacing w:after="0"/>
              <w:rPr>
                <w:sz w:val="18"/>
                <w:szCs w:val="18"/>
                <w:color w:val="auto"/>
              </w:rPr>
            </w:pPr>
          </w:p>
        </w:tc>
        <w:tc>
          <w:tcPr>
            <w:tcW w:w="720" w:type="dxa"/>
            <w:vAlign w:val="bottom"/>
            <w:tcBorders>
              <w:bottom w:val="single" w:sz="8" w:color="E5E5E5"/>
            </w:tcBorders>
            <w:shd w:val="clear" w:color="auto" w:fill="E5E5E5"/>
          </w:tcPr>
          <w:p>
            <w:pPr>
              <w:jc w:val="right"/>
              <w:ind w:right="108"/>
              <w:spacing w:after="0"/>
              <w:rPr>
                <w:sz w:val="20"/>
                <w:szCs w:val="20"/>
                <w:color w:val="auto"/>
              </w:rPr>
            </w:pPr>
            <w:r>
              <w:rPr>
                <w:rFonts w:ascii="Arial" w:cs="Arial" w:eastAsia="Arial" w:hAnsi="Arial"/>
                <w:sz w:val="14"/>
                <w:szCs w:val="14"/>
                <w:color w:val="auto"/>
              </w:rPr>
              <w:t>1,015</w:t>
            </w:r>
          </w:p>
        </w:tc>
        <w:tc>
          <w:tcPr>
            <w:tcW w:w="140" w:type="dxa"/>
            <w:vAlign w:val="bottom"/>
            <w:tcBorders>
              <w:bottom w:val="single" w:sz="8" w:color="E5E5E5"/>
            </w:tcBorders>
            <w:shd w:val="clear" w:color="auto" w:fill="E5E5E5"/>
          </w:tcPr>
          <w:p>
            <w:pPr>
              <w:spacing w:after="0"/>
              <w:rPr>
                <w:sz w:val="18"/>
                <w:szCs w:val="18"/>
                <w:color w:val="auto"/>
              </w:rPr>
            </w:pPr>
          </w:p>
        </w:tc>
        <w:tc>
          <w:tcPr>
            <w:tcW w:w="720" w:type="dxa"/>
            <w:vAlign w:val="bottom"/>
            <w:tcBorders>
              <w:bottom w:val="single" w:sz="8" w:color="E5E5E5"/>
            </w:tcBorders>
            <w:shd w:val="clear" w:color="auto" w:fill="E5E5E5"/>
          </w:tcPr>
          <w:p>
            <w:pPr>
              <w:jc w:val="right"/>
              <w:ind w:right="108"/>
              <w:spacing w:after="0"/>
              <w:rPr>
                <w:sz w:val="20"/>
                <w:szCs w:val="20"/>
                <w:color w:val="auto"/>
              </w:rPr>
            </w:pPr>
            <w:r>
              <w:rPr>
                <w:rFonts w:ascii="Arial" w:cs="Arial" w:eastAsia="Arial" w:hAnsi="Arial"/>
                <w:sz w:val="14"/>
                <w:szCs w:val="14"/>
                <w:color w:val="auto"/>
              </w:rPr>
              <w:t>862</w:t>
            </w:r>
          </w:p>
        </w:tc>
        <w:tc>
          <w:tcPr>
            <w:tcW w:w="140" w:type="dxa"/>
            <w:vAlign w:val="bottom"/>
            <w:tcBorders>
              <w:bottom w:val="single" w:sz="8" w:color="E5E5E5"/>
            </w:tcBorders>
            <w:shd w:val="clear" w:color="auto" w:fill="E5E5E5"/>
          </w:tcPr>
          <w:p>
            <w:pPr>
              <w:spacing w:after="0"/>
              <w:rPr>
                <w:sz w:val="18"/>
                <w:szCs w:val="18"/>
                <w:color w:val="auto"/>
              </w:rPr>
            </w:pPr>
          </w:p>
        </w:tc>
        <w:tc>
          <w:tcPr>
            <w:tcW w:w="720" w:type="dxa"/>
            <w:vAlign w:val="bottom"/>
            <w:tcBorders>
              <w:bottom w:val="single" w:sz="8" w:color="E5E5E5"/>
            </w:tcBorders>
            <w:shd w:val="clear" w:color="auto" w:fill="E5E5E5"/>
          </w:tcPr>
          <w:p>
            <w:pPr>
              <w:jc w:val="right"/>
              <w:ind w:right="108"/>
              <w:spacing w:after="0"/>
              <w:rPr>
                <w:sz w:val="20"/>
                <w:szCs w:val="20"/>
                <w:color w:val="auto"/>
              </w:rPr>
            </w:pPr>
            <w:r>
              <w:rPr>
                <w:rFonts w:ascii="Arial" w:cs="Arial" w:eastAsia="Arial" w:hAnsi="Arial"/>
                <w:sz w:val="14"/>
                <w:szCs w:val="14"/>
                <w:color w:val="auto"/>
              </w:rPr>
              <w:t>855</w:t>
            </w:r>
          </w:p>
        </w:tc>
        <w:tc>
          <w:tcPr>
            <w:tcW w:w="140" w:type="dxa"/>
            <w:vAlign w:val="bottom"/>
            <w:tcBorders>
              <w:bottom w:val="single" w:sz="8" w:color="E5E5E5"/>
            </w:tcBorders>
            <w:shd w:val="clear" w:color="auto" w:fill="E5E5E5"/>
          </w:tcPr>
          <w:p>
            <w:pPr>
              <w:spacing w:after="0"/>
              <w:rPr>
                <w:sz w:val="18"/>
                <w:szCs w:val="18"/>
                <w:color w:val="auto"/>
              </w:rPr>
            </w:pPr>
          </w:p>
        </w:tc>
        <w:tc>
          <w:tcPr>
            <w:tcW w:w="720" w:type="dxa"/>
            <w:vAlign w:val="bottom"/>
            <w:tcBorders>
              <w:bottom w:val="single" w:sz="8" w:color="E5E5E5"/>
            </w:tcBorders>
            <w:shd w:val="clear" w:color="auto" w:fill="E5E5E5"/>
          </w:tcPr>
          <w:p>
            <w:pPr>
              <w:jc w:val="right"/>
              <w:ind w:right="88"/>
              <w:spacing w:after="0"/>
              <w:rPr>
                <w:sz w:val="20"/>
                <w:szCs w:val="20"/>
                <w:color w:val="auto"/>
              </w:rPr>
            </w:pPr>
            <w:r>
              <w:rPr>
                <w:rFonts w:ascii="Arial" w:cs="Arial" w:eastAsia="Arial" w:hAnsi="Arial"/>
                <w:sz w:val="14"/>
                <w:szCs w:val="14"/>
                <w:color w:val="auto"/>
              </w:rPr>
              <w:t>748</w:t>
            </w:r>
          </w:p>
        </w:tc>
        <w:tc>
          <w:tcPr>
            <w:tcW w:w="160" w:type="dxa"/>
            <w:vAlign w:val="bottom"/>
            <w:tcBorders>
              <w:bottom w:val="single" w:sz="8" w:color="E5E5E5"/>
            </w:tcBorders>
            <w:shd w:val="clear" w:color="auto" w:fill="E5E5E5"/>
          </w:tcPr>
          <w:p>
            <w:pPr>
              <w:spacing w:after="0"/>
              <w:rPr>
                <w:sz w:val="18"/>
                <w:szCs w:val="18"/>
                <w:color w:val="auto"/>
              </w:rPr>
            </w:pPr>
          </w:p>
        </w:tc>
        <w:tc>
          <w:tcPr>
            <w:tcW w:w="720" w:type="dxa"/>
            <w:vAlign w:val="bottom"/>
            <w:tcBorders>
              <w:bottom w:val="single" w:sz="8" w:color="E5E5E5"/>
            </w:tcBorders>
            <w:shd w:val="clear" w:color="auto" w:fill="E5E5E5"/>
          </w:tcPr>
          <w:p>
            <w:pPr>
              <w:jc w:val="right"/>
              <w:ind w:right="108"/>
              <w:spacing w:after="0"/>
              <w:rPr>
                <w:sz w:val="20"/>
                <w:szCs w:val="20"/>
                <w:color w:val="auto"/>
              </w:rPr>
            </w:pPr>
            <w:r>
              <w:rPr>
                <w:rFonts w:ascii="Arial" w:cs="Arial" w:eastAsia="Arial" w:hAnsi="Arial"/>
                <w:sz w:val="14"/>
                <w:szCs w:val="14"/>
                <w:b w:val="1"/>
                <w:bCs w:val="1"/>
                <w:color w:val="auto"/>
              </w:rPr>
              <w:t>819</w:t>
            </w:r>
          </w:p>
        </w:tc>
        <w:tc>
          <w:tcPr>
            <w:tcW w:w="0" w:type="dxa"/>
            <w:vAlign w:val="bottom"/>
          </w:tcPr>
          <w:p>
            <w:pPr>
              <w:spacing w:after="0"/>
              <w:rPr>
                <w:sz w:val="1"/>
                <w:szCs w:val="1"/>
                <w:color w:val="auto"/>
              </w:rPr>
            </w:pPr>
          </w:p>
        </w:tc>
      </w:tr>
      <w:tr>
        <w:trPr>
          <w:trHeight w:val="173"/>
        </w:trPr>
        <w:tc>
          <w:tcPr>
            <w:tcW w:w="2380" w:type="dxa"/>
            <w:vAlign w:val="bottom"/>
          </w:tcPr>
          <w:p>
            <w:pPr>
              <w:ind w:left="60"/>
              <w:spacing w:after="0"/>
              <w:rPr>
                <w:sz w:val="20"/>
                <w:szCs w:val="20"/>
                <w:color w:val="auto"/>
              </w:rPr>
            </w:pPr>
            <w:r>
              <w:rPr>
                <w:rFonts w:ascii="Arial" w:cs="Arial" w:eastAsia="Arial" w:hAnsi="Arial"/>
                <w:sz w:val="14"/>
                <w:szCs w:val="14"/>
                <w:color w:val="auto"/>
              </w:rPr>
              <w:t>Add: Certain deferred tax</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2,381</w:t>
            </w:r>
          </w:p>
        </w:tc>
        <w:tc>
          <w:tcPr>
            <w:tcW w:w="0" w:type="dxa"/>
            <w:vAlign w:val="bottom"/>
          </w:tcPr>
          <w:p>
            <w:pPr>
              <w:spacing w:after="0"/>
              <w:rPr>
                <w:sz w:val="1"/>
                <w:szCs w:val="1"/>
                <w:color w:val="auto"/>
              </w:rPr>
            </w:pPr>
          </w:p>
        </w:tc>
      </w:tr>
      <w:tr>
        <w:trPr>
          <w:trHeight w:val="219"/>
        </w:trPr>
        <w:tc>
          <w:tcPr>
            <w:tcW w:w="2380" w:type="dxa"/>
            <w:vAlign w:val="bottom"/>
            <w:tcBorders>
              <w:bottom w:val="single" w:sz="8" w:color="004876"/>
            </w:tcBorders>
          </w:tcPr>
          <w:p>
            <w:pPr>
              <w:ind w:left="60"/>
              <w:spacing w:after="0" w:line="219" w:lineRule="exact"/>
              <w:rPr>
                <w:sz w:val="20"/>
                <w:szCs w:val="20"/>
                <w:color w:val="auto"/>
              </w:rPr>
            </w:pPr>
            <w:r>
              <w:rPr>
                <w:rFonts w:ascii="Arial" w:cs="Arial" w:eastAsia="Arial" w:hAnsi="Arial"/>
                <w:sz w:val="14"/>
                <w:szCs w:val="14"/>
                <w:color w:val="auto"/>
              </w:rPr>
              <w:t>liabilities</w:t>
            </w:r>
            <w:r>
              <w:rPr>
                <w:rFonts w:ascii="Arial" w:cs="Arial" w:eastAsia="Arial" w:hAnsi="Arial"/>
                <w:sz w:val="24"/>
                <w:szCs w:val="24"/>
                <w:color w:val="auto"/>
                <w:vertAlign w:val="superscript"/>
              </w:rPr>
              <w:t>(a)</w:t>
            </w:r>
          </w:p>
        </w:tc>
        <w:tc>
          <w:tcPr>
            <w:tcW w:w="140" w:type="dxa"/>
            <w:vAlign w:val="bottom"/>
            <w:tcBorders>
              <w:bottom w:val="single" w:sz="8" w:color="004876"/>
            </w:tcBorders>
          </w:tcPr>
          <w:p>
            <w:pPr>
              <w:spacing w:after="0"/>
              <w:rPr>
                <w:sz w:val="19"/>
                <w:szCs w:val="19"/>
                <w:color w:val="auto"/>
              </w:rPr>
            </w:pPr>
          </w:p>
        </w:tc>
        <w:tc>
          <w:tcPr>
            <w:tcW w:w="720" w:type="dxa"/>
            <w:vAlign w:val="bottom"/>
            <w:tcBorders>
              <w:bottom w:val="single" w:sz="8" w:color="004876"/>
            </w:tcBorders>
          </w:tcPr>
          <w:p>
            <w:pPr>
              <w:jc w:val="right"/>
              <w:ind w:right="108"/>
              <w:spacing w:after="0"/>
              <w:rPr>
                <w:sz w:val="20"/>
                <w:szCs w:val="20"/>
                <w:color w:val="auto"/>
              </w:rPr>
            </w:pPr>
            <w:r>
              <w:rPr>
                <w:rFonts w:ascii="Arial" w:cs="Arial" w:eastAsia="Arial" w:hAnsi="Arial"/>
                <w:sz w:val="14"/>
                <w:szCs w:val="14"/>
                <w:color w:val="auto"/>
              </w:rPr>
              <w:t>2,586</w:t>
            </w:r>
          </w:p>
        </w:tc>
        <w:tc>
          <w:tcPr>
            <w:tcW w:w="140" w:type="dxa"/>
            <w:vAlign w:val="bottom"/>
            <w:tcBorders>
              <w:bottom w:val="single" w:sz="8" w:color="004876"/>
            </w:tcBorders>
          </w:tcPr>
          <w:p>
            <w:pPr>
              <w:spacing w:after="0"/>
              <w:rPr>
                <w:sz w:val="19"/>
                <w:szCs w:val="19"/>
                <w:color w:val="auto"/>
              </w:rPr>
            </w:pPr>
          </w:p>
        </w:tc>
        <w:tc>
          <w:tcPr>
            <w:tcW w:w="720" w:type="dxa"/>
            <w:vAlign w:val="bottom"/>
            <w:tcBorders>
              <w:bottom w:val="single" w:sz="8" w:color="004876"/>
            </w:tcBorders>
          </w:tcPr>
          <w:p>
            <w:pPr>
              <w:jc w:val="right"/>
              <w:ind w:right="108"/>
              <w:spacing w:after="0"/>
              <w:rPr>
                <w:sz w:val="20"/>
                <w:szCs w:val="20"/>
                <w:color w:val="auto"/>
              </w:rPr>
            </w:pPr>
            <w:r>
              <w:rPr>
                <w:rFonts w:ascii="Arial" w:cs="Arial" w:eastAsia="Arial" w:hAnsi="Arial"/>
                <w:sz w:val="14"/>
                <w:szCs w:val="14"/>
                <w:color w:val="auto"/>
              </w:rPr>
              <w:t>2,729</w:t>
            </w:r>
          </w:p>
        </w:tc>
        <w:tc>
          <w:tcPr>
            <w:tcW w:w="140" w:type="dxa"/>
            <w:vAlign w:val="bottom"/>
            <w:tcBorders>
              <w:bottom w:val="single" w:sz="8" w:color="004876"/>
            </w:tcBorders>
          </w:tcPr>
          <w:p>
            <w:pPr>
              <w:spacing w:after="0"/>
              <w:rPr>
                <w:sz w:val="19"/>
                <w:szCs w:val="19"/>
                <w:color w:val="auto"/>
              </w:rPr>
            </w:pPr>
          </w:p>
        </w:tc>
        <w:tc>
          <w:tcPr>
            <w:tcW w:w="720" w:type="dxa"/>
            <w:vAlign w:val="bottom"/>
            <w:tcBorders>
              <w:bottom w:val="single" w:sz="8" w:color="004876"/>
            </w:tcBorders>
          </w:tcPr>
          <w:p>
            <w:pPr>
              <w:jc w:val="right"/>
              <w:ind w:right="108"/>
              <w:spacing w:after="0"/>
              <w:rPr>
                <w:sz w:val="20"/>
                <w:szCs w:val="20"/>
                <w:color w:val="auto"/>
              </w:rPr>
            </w:pPr>
            <w:r>
              <w:rPr>
                <w:rFonts w:ascii="Arial" w:cs="Arial" w:eastAsia="Arial" w:hAnsi="Arial"/>
                <w:sz w:val="14"/>
                <w:szCs w:val="14"/>
                <w:color w:val="auto"/>
              </w:rPr>
              <w:t>2,803</w:t>
            </w:r>
          </w:p>
        </w:tc>
        <w:tc>
          <w:tcPr>
            <w:tcW w:w="140" w:type="dxa"/>
            <w:vAlign w:val="bottom"/>
            <w:tcBorders>
              <w:bottom w:val="single" w:sz="8" w:color="004876"/>
            </w:tcBorders>
          </w:tcPr>
          <w:p>
            <w:pPr>
              <w:spacing w:after="0"/>
              <w:rPr>
                <w:sz w:val="19"/>
                <w:szCs w:val="19"/>
                <w:color w:val="auto"/>
              </w:rPr>
            </w:pPr>
          </w:p>
        </w:tc>
        <w:tc>
          <w:tcPr>
            <w:tcW w:w="720" w:type="dxa"/>
            <w:vAlign w:val="bottom"/>
            <w:tcBorders>
              <w:bottom w:val="single" w:sz="8" w:color="004876"/>
            </w:tcBorders>
          </w:tcPr>
          <w:p>
            <w:pPr>
              <w:jc w:val="right"/>
              <w:ind w:right="88"/>
              <w:spacing w:after="0"/>
              <w:rPr>
                <w:sz w:val="20"/>
                <w:szCs w:val="20"/>
                <w:color w:val="auto"/>
              </w:rPr>
            </w:pPr>
            <w:r>
              <w:rPr>
                <w:rFonts w:ascii="Arial" w:cs="Arial" w:eastAsia="Arial" w:hAnsi="Arial"/>
                <w:sz w:val="14"/>
                <w:szCs w:val="14"/>
                <w:color w:val="auto"/>
              </w:rPr>
              <w:t>2,953</w:t>
            </w:r>
          </w:p>
        </w:tc>
        <w:tc>
          <w:tcPr>
            <w:tcW w:w="160" w:type="dxa"/>
            <w:vAlign w:val="bottom"/>
            <w:tcBorders>
              <w:bottom w:val="single" w:sz="8" w:color="004876"/>
            </w:tcBorders>
          </w:tcPr>
          <w:p>
            <w:pPr>
              <w:spacing w:after="0"/>
              <w:rPr>
                <w:sz w:val="19"/>
                <w:szCs w:val="19"/>
                <w:color w:val="auto"/>
              </w:rPr>
            </w:pPr>
          </w:p>
        </w:tc>
        <w:tc>
          <w:tcPr>
            <w:tcW w:w="700" w:type="dxa"/>
            <w:vAlign w:val="bottom"/>
            <w:tcBorders>
              <w:bottom w:val="single" w:sz="8" w:color="004876"/>
            </w:tcBorders>
          </w:tcPr>
          <w:p>
            <w:pPr>
              <w:jc w:val="right"/>
              <w:ind w:right="88"/>
              <w:spacing w:after="0"/>
              <w:rPr>
                <w:sz w:val="20"/>
                <w:szCs w:val="20"/>
                <w:color w:val="auto"/>
              </w:rPr>
            </w:pPr>
            <w:r>
              <w:rPr>
                <w:rFonts w:ascii="Arial" w:cs="Arial" w:eastAsia="Arial" w:hAnsi="Arial"/>
                <w:sz w:val="14"/>
                <w:szCs w:val="14"/>
                <w:color w:val="auto"/>
              </w:rPr>
              <w:t>2,853</w:t>
            </w:r>
          </w:p>
        </w:tc>
        <w:tc>
          <w:tcPr>
            <w:tcW w:w="160" w:type="dxa"/>
            <w:vAlign w:val="bottom"/>
            <w:tcBorders>
              <w:bottom w:val="single" w:sz="8" w:color="004876"/>
            </w:tcBorders>
          </w:tcPr>
          <w:p>
            <w:pPr>
              <w:spacing w:after="0"/>
              <w:rPr>
                <w:sz w:val="19"/>
                <w:szCs w:val="19"/>
                <w:color w:val="auto"/>
              </w:rPr>
            </w:pPr>
          </w:p>
        </w:tc>
        <w:tc>
          <w:tcPr>
            <w:tcW w:w="720" w:type="dxa"/>
            <w:vAlign w:val="bottom"/>
            <w:tcBorders>
              <w:bottom w:val="single" w:sz="8" w:color="004876"/>
            </w:tcBorders>
          </w:tcPr>
          <w:p>
            <w:pPr>
              <w:jc w:val="right"/>
              <w:ind w:right="108"/>
              <w:spacing w:after="0"/>
              <w:rPr>
                <w:sz w:val="20"/>
                <w:szCs w:val="20"/>
                <w:color w:val="auto"/>
              </w:rPr>
            </w:pPr>
            <w:r>
              <w:rPr>
                <w:rFonts w:ascii="Arial" w:cs="Arial" w:eastAsia="Arial" w:hAnsi="Arial"/>
                <w:sz w:val="14"/>
                <w:szCs w:val="14"/>
                <w:color w:val="auto"/>
              </w:rPr>
              <w:t>3,148</w:t>
            </w:r>
          </w:p>
        </w:tc>
        <w:tc>
          <w:tcPr>
            <w:tcW w:w="140" w:type="dxa"/>
            <w:vAlign w:val="bottom"/>
            <w:tcBorders>
              <w:bottom w:val="single" w:sz="8" w:color="004876"/>
            </w:tcBorders>
          </w:tcPr>
          <w:p>
            <w:pPr>
              <w:spacing w:after="0"/>
              <w:rPr>
                <w:sz w:val="19"/>
                <w:szCs w:val="19"/>
                <w:color w:val="auto"/>
              </w:rPr>
            </w:pPr>
          </w:p>
        </w:tc>
        <w:tc>
          <w:tcPr>
            <w:tcW w:w="720" w:type="dxa"/>
            <w:vAlign w:val="bottom"/>
            <w:tcBorders>
              <w:bottom w:val="single" w:sz="8" w:color="004876"/>
            </w:tcBorders>
          </w:tcPr>
          <w:p>
            <w:pPr>
              <w:jc w:val="right"/>
              <w:ind w:right="108"/>
              <w:spacing w:after="0"/>
              <w:rPr>
                <w:sz w:val="20"/>
                <w:szCs w:val="20"/>
                <w:color w:val="auto"/>
              </w:rPr>
            </w:pPr>
            <w:r>
              <w:rPr>
                <w:rFonts w:ascii="Arial" w:cs="Arial" w:eastAsia="Arial" w:hAnsi="Arial"/>
                <w:sz w:val="14"/>
                <w:szCs w:val="14"/>
                <w:color w:val="auto"/>
              </w:rPr>
              <w:t>3,230</w:t>
            </w:r>
          </w:p>
        </w:tc>
        <w:tc>
          <w:tcPr>
            <w:tcW w:w="140" w:type="dxa"/>
            <w:vAlign w:val="bottom"/>
            <w:tcBorders>
              <w:bottom w:val="single" w:sz="8" w:color="004876"/>
            </w:tcBorders>
          </w:tcPr>
          <w:p>
            <w:pPr>
              <w:spacing w:after="0"/>
              <w:rPr>
                <w:sz w:val="19"/>
                <w:szCs w:val="19"/>
                <w:color w:val="auto"/>
              </w:rPr>
            </w:pPr>
          </w:p>
        </w:tc>
        <w:tc>
          <w:tcPr>
            <w:tcW w:w="720" w:type="dxa"/>
            <w:vAlign w:val="bottom"/>
            <w:tcBorders>
              <w:bottom w:val="single" w:sz="8" w:color="004876"/>
            </w:tcBorders>
          </w:tcPr>
          <w:p>
            <w:pPr>
              <w:jc w:val="right"/>
              <w:ind w:right="108"/>
              <w:spacing w:after="0"/>
              <w:rPr>
                <w:sz w:val="20"/>
                <w:szCs w:val="20"/>
                <w:color w:val="auto"/>
              </w:rPr>
            </w:pPr>
            <w:r>
              <w:rPr>
                <w:rFonts w:ascii="Arial" w:cs="Arial" w:eastAsia="Arial" w:hAnsi="Arial"/>
                <w:sz w:val="14"/>
                <w:szCs w:val="14"/>
                <w:color w:val="auto"/>
              </w:rPr>
              <w:t>2,204</w:t>
            </w:r>
          </w:p>
        </w:tc>
        <w:tc>
          <w:tcPr>
            <w:tcW w:w="140" w:type="dxa"/>
            <w:vAlign w:val="bottom"/>
            <w:tcBorders>
              <w:bottom w:val="single" w:sz="8" w:color="004876"/>
            </w:tcBorders>
          </w:tcPr>
          <w:p>
            <w:pPr>
              <w:spacing w:after="0"/>
              <w:rPr>
                <w:sz w:val="19"/>
                <w:szCs w:val="19"/>
                <w:color w:val="auto"/>
              </w:rPr>
            </w:pPr>
          </w:p>
        </w:tc>
        <w:tc>
          <w:tcPr>
            <w:tcW w:w="720" w:type="dxa"/>
            <w:vAlign w:val="bottom"/>
            <w:tcBorders>
              <w:bottom w:val="single" w:sz="8" w:color="004876"/>
            </w:tcBorders>
          </w:tcPr>
          <w:p>
            <w:pPr>
              <w:jc w:val="right"/>
              <w:ind w:right="88"/>
              <w:spacing w:after="0"/>
              <w:rPr>
                <w:sz w:val="20"/>
                <w:szCs w:val="20"/>
                <w:color w:val="auto"/>
              </w:rPr>
            </w:pPr>
            <w:r>
              <w:rPr>
                <w:rFonts w:ascii="Arial" w:cs="Arial" w:eastAsia="Arial" w:hAnsi="Arial"/>
                <w:sz w:val="14"/>
                <w:szCs w:val="14"/>
                <w:color w:val="auto"/>
              </w:rPr>
              <w:t>2,280</w:t>
            </w:r>
          </w:p>
        </w:tc>
        <w:tc>
          <w:tcPr>
            <w:tcW w:w="160" w:type="dxa"/>
            <w:vAlign w:val="bottom"/>
            <w:tcBorders>
              <w:bottom w:val="single" w:sz="8" w:color="004876"/>
            </w:tcBorders>
          </w:tcPr>
          <w:p>
            <w:pPr>
              <w:spacing w:after="0"/>
              <w:rPr>
                <w:sz w:val="19"/>
                <w:szCs w:val="19"/>
                <w:color w:val="auto"/>
              </w:rPr>
            </w:pPr>
          </w:p>
        </w:tc>
        <w:tc>
          <w:tcPr>
            <w:tcW w:w="720" w:type="dxa"/>
            <w:vAlign w:val="bottom"/>
            <w:tcBorders>
              <w:bottom w:val="single" w:sz="8" w:color="004876"/>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380" w:type="dxa"/>
            <w:vAlign w:val="bottom"/>
            <w:tcBorders>
              <w:bottom w:val="single" w:sz="8" w:color="E5E5E5"/>
            </w:tcBorders>
            <w:shd w:val="clear" w:color="auto" w:fill="E5E5E5"/>
          </w:tcPr>
          <w:p>
            <w:pPr>
              <w:ind w:left="60"/>
              <w:spacing w:after="0"/>
              <w:rPr>
                <w:sz w:val="20"/>
                <w:szCs w:val="20"/>
                <w:color w:val="auto"/>
              </w:rPr>
            </w:pPr>
            <w:r>
              <w:rPr>
                <w:rFonts w:ascii="Arial" w:cs="Arial" w:eastAsia="Arial" w:hAnsi="Arial"/>
                <w:sz w:val="14"/>
                <w:szCs w:val="14"/>
                <w:b w:val="1"/>
                <w:bCs w:val="1"/>
                <w:color w:val="auto"/>
              </w:rPr>
              <w:t>Tangible common equity</w:t>
            </w:r>
          </w:p>
        </w:tc>
        <w:tc>
          <w:tcPr>
            <w:tcW w:w="1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E5E5E5"/>
            </w:tcBorders>
            <w:shd w:val="clear" w:color="auto" w:fill="E5E5E5"/>
          </w:tcPr>
          <w:p>
            <w:pPr>
              <w:jc w:val="right"/>
              <w:ind w:right="108"/>
              <w:spacing w:after="0"/>
              <w:rPr>
                <w:sz w:val="20"/>
                <w:szCs w:val="20"/>
                <w:color w:val="auto"/>
              </w:rPr>
            </w:pPr>
            <w:r>
              <w:rPr>
                <w:rFonts w:ascii="Arial" w:cs="Arial" w:eastAsia="Arial" w:hAnsi="Arial"/>
                <w:sz w:val="14"/>
                <w:szCs w:val="14"/>
                <w:color w:val="auto"/>
              </w:rPr>
              <w:t>117,760</w:t>
            </w:r>
          </w:p>
        </w:tc>
        <w:tc>
          <w:tcPr>
            <w:tcW w:w="1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E5E5E5"/>
            </w:tcBorders>
            <w:shd w:val="clear" w:color="auto" w:fill="E5E5E5"/>
          </w:tcPr>
          <w:p>
            <w:pPr>
              <w:jc w:val="right"/>
              <w:ind w:right="108"/>
              <w:spacing w:after="0"/>
              <w:rPr>
                <w:sz w:val="20"/>
                <w:szCs w:val="20"/>
                <w:color w:val="auto"/>
              </w:rPr>
            </w:pPr>
            <w:r>
              <w:rPr>
                <w:rFonts w:ascii="Arial" w:cs="Arial" w:eastAsia="Arial" w:hAnsi="Arial"/>
                <w:sz w:val="14"/>
                <w:szCs w:val="14"/>
                <w:color w:val="auto"/>
              </w:rPr>
              <w:t>126,848</w:t>
            </w:r>
          </w:p>
        </w:tc>
        <w:tc>
          <w:tcPr>
            <w:tcW w:w="1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E5E5E5"/>
            </w:tcBorders>
            <w:shd w:val="clear" w:color="auto" w:fill="E5E5E5"/>
          </w:tcPr>
          <w:p>
            <w:pPr>
              <w:jc w:val="right"/>
              <w:ind w:right="108"/>
              <w:spacing w:after="0"/>
              <w:rPr>
                <w:sz w:val="20"/>
                <w:szCs w:val="20"/>
                <w:color w:val="auto"/>
              </w:rPr>
            </w:pPr>
            <w:r>
              <w:rPr>
                <w:rFonts w:ascii="Arial" w:cs="Arial" w:eastAsia="Arial" w:hAnsi="Arial"/>
                <w:sz w:val="14"/>
                <w:szCs w:val="14"/>
                <w:color w:val="auto"/>
              </w:rPr>
              <w:t>147,120</w:t>
            </w:r>
          </w:p>
        </w:tc>
        <w:tc>
          <w:tcPr>
            <w:tcW w:w="1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E5E5E5"/>
            </w:tcBorders>
            <w:shd w:val="clear" w:color="auto" w:fill="E5E5E5"/>
          </w:tcPr>
          <w:p>
            <w:pPr>
              <w:jc w:val="right"/>
              <w:ind w:right="88"/>
              <w:spacing w:after="0"/>
              <w:rPr>
                <w:sz w:val="20"/>
                <w:szCs w:val="20"/>
                <w:color w:val="auto"/>
              </w:rPr>
            </w:pPr>
            <w:r>
              <w:rPr>
                <w:rFonts w:ascii="Arial" w:cs="Arial" w:eastAsia="Arial" w:hAnsi="Arial"/>
                <w:sz w:val="14"/>
                <w:szCs w:val="14"/>
                <w:color w:val="auto"/>
              </w:rPr>
              <w:t>152,953</w:t>
            </w:r>
          </w:p>
        </w:tc>
        <w:tc>
          <w:tcPr>
            <w:tcW w:w="1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E5E5E5"/>
            </w:tcBorders>
            <w:shd w:val="clear" w:color="auto" w:fill="E5E5E5"/>
          </w:tcPr>
          <w:p>
            <w:pPr>
              <w:jc w:val="right"/>
              <w:ind w:right="88"/>
              <w:spacing w:after="0"/>
              <w:rPr>
                <w:sz w:val="20"/>
                <w:szCs w:val="20"/>
                <w:color w:val="auto"/>
              </w:rPr>
            </w:pPr>
            <w:r>
              <w:rPr>
                <w:rFonts w:ascii="Arial" w:cs="Arial" w:eastAsia="Arial" w:hAnsi="Arial"/>
                <w:sz w:val="14"/>
                <w:szCs w:val="14"/>
                <w:color w:val="auto"/>
              </w:rPr>
              <w:t>165,678</w:t>
            </w:r>
          </w:p>
        </w:tc>
        <w:tc>
          <w:tcPr>
            <w:tcW w:w="1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E5E5E5"/>
            </w:tcBorders>
            <w:shd w:val="clear" w:color="auto" w:fill="E5E5E5"/>
          </w:tcPr>
          <w:p>
            <w:pPr>
              <w:jc w:val="right"/>
              <w:ind w:right="108"/>
              <w:spacing w:after="0"/>
              <w:rPr>
                <w:sz w:val="20"/>
                <w:szCs w:val="20"/>
                <w:color w:val="auto"/>
              </w:rPr>
            </w:pPr>
            <w:r>
              <w:rPr>
                <w:rFonts w:ascii="Arial" w:cs="Arial" w:eastAsia="Arial" w:hAnsi="Arial"/>
                <w:sz w:val="14"/>
                <w:szCs w:val="14"/>
                <w:color w:val="auto"/>
              </w:rPr>
              <w:t>176,313</w:t>
            </w:r>
          </w:p>
        </w:tc>
        <w:tc>
          <w:tcPr>
            <w:tcW w:w="1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E5E5E5"/>
            </w:tcBorders>
            <w:shd w:val="clear" w:color="auto" w:fill="E5E5E5"/>
          </w:tcPr>
          <w:p>
            <w:pPr>
              <w:jc w:val="right"/>
              <w:ind w:right="108"/>
              <w:spacing w:after="0"/>
              <w:rPr>
                <w:sz w:val="20"/>
                <w:szCs w:val="20"/>
                <w:color w:val="auto"/>
              </w:rPr>
            </w:pPr>
            <w:r>
              <w:rPr>
                <w:rFonts w:ascii="Arial" w:cs="Arial" w:eastAsia="Arial" w:hAnsi="Arial"/>
                <w:sz w:val="14"/>
                <w:szCs w:val="14"/>
                <w:color w:val="auto"/>
              </w:rPr>
              <w:t>183,202</w:t>
            </w:r>
          </w:p>
        </w:tc>
        <w:tc>
          <w:tcPr>
            <w:tcW w:w="1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E5E5E5"/>
            </w:tcBorders>
            <w:shd w:val="clear" w:color="auto" w:fill="E5E5E5"/>
          </w:tcPr>
          <w:p>
            <w:pPr>
              <w:jc w:val="right"/>
              <w:ind w:right="108"/>
              <w:spacing w:after="0"/>
              <w:rPr>
                <w:sz w:val="20"/>
                <w:szCs w:val="20"/>
                <w:color w:val="auto"/>
              </w:rPr>
            </w:pPr>
            <w:r>
              <w:rPr>
                <w:rFonts w:ascii="Arial" w:cs="Arial" w:eastAsia="Arial" w:hAnsi="Arial"/>
                <w:sz w:val="14"/>
                <w:szCs w:val="14"/>
                <w:color w:val="auto"/>
              </w:rPr>
              <w:t>183,467</w:t>
            </w:r>
          </w:p>
        </w:tc>
        <w:tc>
          <w:tcPr>
            <w:tcW w:w="1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E5E5E5"/>
            </w:tcBorders>
            <w:shd w:val="clear" w:color="auto" w:fill="E5E5E5"/>
          </w:tcPr>
          <w:p>
            <w:pPr>
              <w:jc w:val="right"/>
              <w:ind w:right="88"/>
              <w:spacing w:after="0"/>
              <w:rPr>
                <w:sz w:val="20"/>
                <w:szCs w:val="20"/>
                <w:color w:val="auto"/>
              </w:rPr>
            </w:pPr>
            <w:r>
              <w:rPr>
                <w:rFonts w:ascii="Arial" w:cs="Arial" w:eastAsia="Arial" w:hAnsi="Arial"/>
                <w:sz w:val="14"/>
                <w:szCs w:val="14"/>
                <w:color w:val="auto"/>
              </w:rPr>
              <w:t>184,508</w:t>
            </w:r>
          </w:p>
        </w:tc>
        <w:tc>
          <w:tcPr>
            <w:tcW w:w="16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E5E5E5"/>
            </w:tcBorders>
            <w:shd w:val="clear" w:color="auto" w:fill="E5E5E5"/>
          </w:tcPr>
          <w:p>
            <w:pPr>
              <w:jc w:val="right"/>
              <w:ind w:right="108"/>
              <w:spacing w:after="0"/>
              <w:rPr>
                <w:sz w:val="20"/>
                <w:szCs w:val="20"/>
                <w:color w:val="auto"/>
              </w:rPr>
            </w:pPr>
            <w:r>
              <w:rPr>
                <w:rFonts w:ascii="Arial" w:cs="Arial" w:eastAsia="Arial" w:hAnsi="Arial"/>
                <w:sz w:val="14"/>
                <w:szCs w:val="14"/>
                <w:b w:val="1"/>
                <w:bCs w:val="1"/>
                <w:color w:val="auto"/>
              </w:rPr>
              <w:t>188,076</w:t>
            </w:r>
          </w:p>
        </w:tc>
        <w:tc>
          <w:tcPr>
            <w:tcW w:w="0" w:type="dxa"/>
            <w:vAlign w:val="bottom"/>
          </w:tcPr>
          <w:p>
            <w:pPr>
              <w:spacing w:after="0"/>
              <w:rPr>
                <w:sz w:val="1"/>
                <w:szCs w:val="1"/>
                <w:color w:val="auto"/>
              </w:rPr>
            </w:pPr>
          </w:p>
        </w:tc>
      </w:tr>
      <w:tr>
        <w:trPr>
          <w:trHeight w:val="184"/>
        </w:trPr>
        <w:tc>
          <w:tcPr>
            <w:tcW w:w="2380" w:type="dxa"/>
            <w:vAlign w:val="bottom"/>
            <w:tcBorders>
              <w:top w:val="single" w:sz="8" w:color="004876"/>
            </w:tcBorders>
          </w:tcPr>
          <w:p>
            <w:pPr>
              <w:ind w:left="60"/>
              <w:spacing w:after="0"/>
              <w:rPr>
                <w:sz w:val="20"/>
                <w:szCs w:val="20"/>
                <w:color w:val="auto"/>
              </w:rPr>
            </w:pPr>
            <w:r>
              <w:rPr>
                <w:rFonts w:ascii="Arial" w:cs="Arial" w:eastAsia="Arial" w:hAnsi="Arial"/>
                <w:sz w:val="14"/>
                <w:szCs w:val="14"/>
                <w:color w:val="auto"/>
              </w:rPr>
              <w:t>Common shares</w:t>
            </w:r>
          </w:p>
        </w:tc>
        <w:tc>
          <w:tcPr>
            <w:tcW w:w="140" w:type="dxa"/>
            <w:vAlign w:val="bottom"/>
            <w:tcBorders>
              <w:top w:val="single" w:sz="8" w:color="004876"/>
            </w:tcBorders>
          </w:tcPr>
          <w:p>
            <w:pPr>
              <w:spacing w:after="0"/>
              <w:rPr>
                <w:sz w:val="16"/>
                <w:szCs w:val="16"/>
                <w:color w:val="auto"/>
              </w:rPr>
            </w:pPr>
          </w:p>
        </w:tc>
        <w:tc>
          <w:tcPr>
            <w:tcW w:w="720" w:type="dxa"/>
            <w:vAlign w:val="bottom"/>
            <w:tcBorders>
              <w:top w:val="single" w:sz="8" w:color="004876"/>
            </w:tcBorders>
          </w:tcPr>
          <w:p>
            <w:pPr>
              <w:jc w:val="right"/>
              <w:ind w:right="108"/>
              <w:spacing w:after="0"/>
              <w:rPr>
                <w:sz w:val="20"/>
                <w:szCs w:val="20"/>
                <w:color w:val="auto"/>
              </w:rPr>
            </w:pPr>
            <w:r>
              <w:rPr>
                <w:rFonts w:ascii="Arial" w:cs="Arial" w:eastAsia="Arial" w:hAnsi="Arial"/>
                <w:sz w:val="14"/>
                <w:szCs w:val="14"/>
                <w:color w:val="auto"/>
              </w:rPr>
              <w:t>3,910.3</w:t>
            </w:r>
          </w:p>
        </w:tc>
        <w:tc>
          <w:tcPr>
            <w:tcW w:w="140" w:type="dxa"/>
            <w:vAlign w:val="bottom"/>
            <w:tcBorders>
              <w:top w:val="single" w:sz="8" w:color="004876"/>
            </w:tcBorders>
          </w:tcPr>
          <w:p>
            <w:pPr>
              <w:spacing w:after="0"/>
              <w:rPr>
                <w:sz w:val="16"/>
                <w:szCs w:val="16"/>
                <w:color w:val="auto"/>
              </w:rPr>
            </w:pPr>
          </w:p>
        </w:tc>
        <w:tc>
          <w:tcPr>
            <w:tcW w:w="720" w:type="dxa"/>
            <w:vAlign w:val="bottom"/>
            <w:tcBorders>
              <w:top w:val="single" w:sz="8" w:color="004876"/>
            </w:tcBorders>
          </w:tcPr>
          <w:p>
            <w:pPr>
              <w:jc w:val="right"/>
              <w:ind w:right="108"/>
              <w:spacing w:after="0"/>
              <w:rPr>
                <w:sz w:val="20"/>
                <w:szCs w:val="20"/>
                <w:color w:val="auto"/>
              </w:rPr>
            </w:pPr>
            <w:r>
              <w:rPr>
                <w:rFonts w:ascii="Arial" w:cs="Arial" w:eastAsia="Arial" w:hAnsi="Arial"/>
                <w:sz w:val="14"/>
                <w:szCs w:val="14"/>
                <w:color w:val="auto"/>
              </w:rPr>
              <w:t>3,772.7</w:t>
            </w:r>
          </w:p>
        </w:tc>
        <w:tc>
          <w:tcPr>
            <w:tcW w:w="140" w:type="dxa"/>
            <w:vAlign w:val="bottom"/>
            <w:tcBorders>
              <w:top w:val="single" w:sz="8" w:color="004876"/>
            </w:tcBorders>
          </w:tcPr>
          <w:p>
            <w:pPr>
              <w:spacing w:after="0"/>
              <w:rPr>
                <w:sz w:val="16"/>
                <w:szCs w:val="16"/>
                <w:color w:val="auto"/>
              </w:rPr>
            </w:pPr>
          </w:p>
        </w:tc>
        <w:tc>
          <w:tcPr>
            <w:tcW w:w="720" w:type="dxa"/>
            <w:vAlign w:val="bottom"/>
            <w:tcBorders>
              <w:top w:val="single" w:sz="8" w:color="004876"/>
            </w:tcBorders>
          </w:tcPr>
          <w:p>
            <w:pPr>
              <w:jc w:val="right"/>
              <w:ind w:right="108"/>
              <w:spacing w:after="0"/>
              <w:rPr>
                <w:sz w:val="20"/>
                <w:szCs w:val="20"/>
                <w:color w:val="auto"/>
              </w:rPr>
            </w:pPr>
            <w:r>
              <w:rPr>
                <w:rFonts w:ascii="Arial" w:cs="Arial" w:eastAsia="Arial" w:hAnsi="Arial"/>
                <w:sz w:val="14"/>
                <w:szCs w:val="14"/>
                <w:color w:val="auto"/>
              </w:rPr>
              <w:t>3,804.0</w:t>
            </w:r>
          </w:p>
        </w:tc>
        <w:tc>
          <w:tcPr>
            <w:tcW w:w="140" w:type="dxa"/>
            <w:vAlign w:val="bottom"/>
            <w:tcBorders>
              <w:top w:val="single" w:sz="8" w:color="004876"/>
            </w:tcBorders>
          </w:tcPr>
          <w:p>
            <w:pPr>
              <w:spacing w:after="0"/>
              <w:rPr>
                <w:sz w:val="16"/>
                <w:szCs w:val="16"/>
                <w:color w:val="auto"/>
              </w:rPr>
            </w:pPr>
          </w:p>
        </w:tc>
        <w:tc>
          <w:tcPr>
            <w:tcW w:w="720" w:type="dxa"/>
            <w:vAlign w:val="bottom"/>
            <w:tcBorders>
              <w:top w:val="single" w:sz="8" w:color="004876"/>
            </w:tcBorders>
          </w:tcPr>
          <w:p>
            <w:pPr>
              <w:jc w:val="right"/>
              <w:ind w:right="88"/>
              <w:spacing w:after="0"/>
              <w:rPr>
                <w:sz w:val="20"/>
                <w:szCs w:val="20"/>
                <w:color w:val="auto"/>
              </w:rPr>
            </w:pPr>
            <w:r>
              <w:rPr>
                <w:rFonts w:ascii="Arial" w:cs="Arial" w:eastAsia="Arial" w:hAnsi="Arial"/>
                <w:sz w:val="14"/>
                <w:szCs w:val="14"/>
                <w:color w:val="auto"/>
              </w:rPr>
              <w:t>3,756.1</w:t>
            </w:r>
          </w:p>
        </w:tc>
        <w:tc>
          <w:tcPr>
            <w:tcW w:w="160" w:type="dxa"/>
            <w:vAlign w:val="bottom"/>
            <w:tcBorders>
              <w:top w:val="single" w:sz="8" w:color="004876"/>
            </w:tcBorders>
          </w:tcPr>
          <w:p>
            <w:pPr>
              <w:spacing w:after="0"/>
              <w:rPr>
                <w:sz w:val="16"/>
                <w:szCs w:val="16"/>
                <w:color w:val="auto"/>
              </w:rPr>
            </w:pPr>
          </w:p>
        </w:tc>
        <w:tc>
          <w:tcPr>
            <w:tcW w:w="700" w:type="dxa"/>
            <w:vAlign w:val="bottom"/>
            <w:tcBorders>
              <w:top w:val="single" w:sz="8" w:color="004876"/>
            </w:tcBorders>
          </w:tcPr>
          <w:p>
            <w:pPr>
              <w:jc w:val="right"/>
              <w:ind w:right="88"/>
              <w:spacing w:after="0"/>
              <w:rPr>
                <w:sz w:val="20"/>
                <w:szCs w:val="20"/>
                <w:color w:val="auto"/>
              </w:rPr>
            </w:pPr>
            <w:r>
              <w:rPr>
                <w:rFonts w:ascii="Arial" w:cs="Arial" w:eastAsia="Arial" w:hAnsi="Arial"/>
                <w:sz w:val="14"/>
                <w:szCs w:val="14"/>
                <w:color w:val="auto"/>
              </w:rPr>
              <w:t>3,714.8</w:t>
            </w:r>
          </w:p>
        </w:tc>
        <w:tc>
          <w:tcPr>
            <w:tcW w:w="160" w:type="dxa"/>
            <w:vAlign w:val="bottom"/>
            <w:tcBorders>
              <w:top w:val="single" w:sz="8" w:color="004876"/>
            </w:tcBorders>
          </w:tcPr>
          <w:p>
            <w:pPr>
              <w:spacing w:after="0"/>
              <w:rPr>
                <w:sz w:val="16"/>
                <w:szCs w:val="16"/>
                <w:color w:val="auto"/>
              </w:rPr>
            </w:pPr>
          </w:p>
        </w:tc>
        <w:tc>
          <w:tcPr>
            <w:tcW w:w="720" w:type="dxa"/>
            <w:vAlign w:val="bottom"/>
            <w:tcBorders>
              <w:top w:val="single" w:sz="8" w:color="004876"/>
            </w:tcBorders>
          </w:tcPr>
          <w:p>
            <w:pPr>
              <w:jc w:val="right"/>
              <w:ind w:right="108"/>
              <w:spacing w:after="0"/>
              <w:rPr>
                <w:sz w:val="20"/>
                <w:szCs w:val="20"/>
                <w:color w:val="auto"/>
              </w:rPr>
            </w:pPr>
            <w:r>
              <w:rPr>
                <w:rFonts w:ascii="Arial" w:cs="Arial" w:eastAsia="Arial" w:hAnsi="Arial"/>
                <w:sz w:val="14"/>
                <w:szCs w:val="14"/>
                <w:color w:val="auto"/>
              </w:rPr>
              <w:t>3,663.5</w:t>
            </w:r>
          </w:p>
        </w:tc>
        <w:tc>
          <w:tcPr>
            <w:tcW w:w="140" w:type="dxa"/>
            <w:vAlign w:val="bottom"/>
            <w:tcBorders>
              <w:top w:val="single" w:sz="8" w:color="004876"/>
            </w:tcBorders>
          </w:tcPr>
          <w:p>
            <w:pPr>
              <w:spacing w:after="0"/>
              <w:rPr>
                <w:sz w:val="16"/>
                <w:szCs w:val="16"/>
                <w:color w:val="auto"/>
              </w:rPr>
            </w:pPr>
          </w:p>
        </w:tc>
        <w:tc>
          <w:tcPr>
            <w:tcW w:w="720" w:type="dxa"/>
            <w:vAlign w:val="bottom"/>
            <w:tcBorders>
              <w:top w:val="single" w:sz="8" w:color="004876"/>
            </w:tcBorders>
          </w:tcPr>
          <w:p>
            <w:pPr>
              <w:jc w:val="right"/>
              <w:ind w:right="108"/>
              <w:spacing w:after="0"/>
              <w:rPr>
                <w:sz w:val="20"/>
                <w:szCs w:val="20"/>
                <w:color w:val="auto"/>
              </w:rPr>
            </w:pPr>
            <w:r>
              <w:rPr>
                <w:rFonts w:ascii="Arial" w:cs="Arial" w:eastAsia="Arial" w:hAnsi="Arial"/>
                <w:sz w:val="14"/>
                <w:szCs w:val="14"/>
                <w:color w:val="auto"/>
              </w:rPr>
              <w:t>3,561.2</w:t>
            </w:r>
          </w:p>
        </w:tc>
        <w:tc>
          <w:tcPr>
            <w:tcW w:w="140" w:type="dxa"/>
            <w:vAlign w:val="bottom"/>
            <w:tcBorders>
              <w:top w:val="single" w:sz="8" w:color="004876"/>
            </w:tcBorders>
          </w:tcPr>
          <w:p>
            <w:pPr>
              <w:spacing w:after="0"/>
              <w:rPr>
                <w:sz w:val="16"/>
                <w:szCs w:val="16"/>
                <w:color w:val="auto"/>
              </w:rPr>
            </w:pPr>
          </w:p>
        </w:tc>
        <w:tc>
          <w:tcPr>
            <w:tcW w:w="720" w:type="dxa"/>
            <w:vAlign w:val="bottom"/>
            <w:tcBorders>
              <w:top w:val="single" w:sz="8" w:color="004876"/>
            </w:tcBorders>
          </w:tcPr>
          <w:p>
            <w:pPr>
              <w:jc w:val="right"/>
              <w:ind w:right="108"/>
              <w:spacing w:after="0"/>
              <w:rPr>
                <w:sz w:val="20"/>
                <w:szCs w:val="20"/>
                <w:color w:val="auto"/>
              </w:rPr>
            </w:pPr>
            <w:r>
              <w:rPr>
                <w:rFonts w:ascii="Arial" w:cs="Arial" w:eastAsia="Arial" w:hAnsi="Arial"/>
                <w:sz w:val="14"/>
                <w:szCs w:val="14"/>
                <w:color w:val="auto"/>
              </w:rPr>
              <w:t>3,425.3</w:t>
            </w:r>
          </w:p>
        </w:tc>
        <w:tc>
          <w:tcPr>
            <w:tcW w:w="140" w:type="dxa"/>
            <w:vAlign w:val="bottom"/>
            <w:tcBorders>
              <w:top w:val="single" w:sz="8" w:color="004876"/>
            </w:tcBorders>
          </w:tcPr>
          <w:p>
            <w:pPr>
              <w:spacing w:after="0"/>
              <w:rPr>
                <w:sz w:val="16"/>
                <w:szCs w:val="16"/>
                <w:color w:val="auto"/>
              </w:rPr>
            </w:pPr>
          </w:p>
        </w:tc>
        <w:tc>
          <w:tcPr>
            <w:tcW w:w="720" w:type="dxa"/>
            <w:vAlign w:val="bottom"/>
            <w:tcBorders>
              <w:top w:val="single" w:sz="8" w:color="004876"/>
            </w:tcBorders>
          </w:tcPr>
          <w:p>
            <w:pPr>
              <w:jc w:val="right"/>
              <w:ind w:right="88"/>
              <w:spacing w:after="0"/>
              <w:rPr>
                <w:sz w:val="20"/>
                <w:szCs w:val="20"/>
                <w:color w:val="auto"/>
              </w:rPr>
            </w:pPr>
            <w:r>
              <w:rPr>
                <w:rFonts w:ascii="Arial" w:cs="Arial" w:eastAsia="Arial" w:hAnsi="Arial"/>
                <w:sz w:val="14"/>
                <w:szCs w:val="14"/>
                <w:color w:val="auto"/>
              </w:rPr>
              <w:t>3,275.8</w:t>
            </w:r>
          </w:p>
        </w:tc>
        <w:tc>
          <w:tcPr>
            <w:tcW w:w="160" w:type="dxa"/>
            <w:vAlign w:val="bottom"/>
            <w:tcBorders>
              <w:top w:val="single" w:sz="8" w:color="004876"/>
            </w:tcBorders>
          </w:tcPr>
          <w:p>
            <w:pPr>
              <w:spacing w:after="0"/>
              <w:rPr>
                <w:sz w:val="16"/>
                <w:szCs w:val="16"/>
                <w:color w:val="auto"/>
              </w:rPr>
            </w:pPr>
          </w:p>
        </w:tc>
        <w:tc>
          <w:tcPr>
            <w:tcW w:w="720" w:type="dxa"/>
            <w:vAlign w:val="bottom"/>
            <w:tcBorders>
              <w:top w:val="single" w:sz="8" w:color="004876"/>
            </w:tcBorders>
          </w:tcPr>
          <w:p>
            <w:pPr>
              <w:jc w:val="right"/>
              <w:ind w:right="108"/>
              <w:spacing w:after="0"/>
              <w:rPr>
                <w:sz w:val="20"/>
                <w:szCs w:val="20"/>
                <w:color w:val="auto"/>
              </w:rPr>
            </w:pPr>
            <w:r>
              <w:rPr>
                <w:rFonts w:ascii="Arial" w:cs="Arial" w:eastAsia="Arial" w:hAnsi="Arial"/>
                <w:sz w:val="14"/>
                <w:szCs w:val="14"/>
                <w:b w:val="1"/>
                <w:bCs w:val="1"/>
                <w:color w:val="auto"/>
              </w:rPr>
              <w:t>3,084.0</w:t>
            </w:r>
          </w:p>
        </w:tc>
        <w:tc>
          <w:tcPr>
            <w:tcW w:w="0" w:type="dxa"/>
            <w:vAlign w:val="bottom"/>
          </w:tcPr>
          <w:p>
            <w:pPr>
              <w:spacing w:after="0"/>
              <w:rPr>
                <w:sz w:val="1"/>
                <w:szCs w:val="1"/>
                <w:color w:val="auto"/>
              </w:rPr>
            </w:pPr>
          </w:p>
        </w:tc>
      </w:tr>
      <w:tr>
        <w:trPr>
          <w:trHeight w:val="39"/>
        </w:trPr>
        <w:tc>
          <w:tcPr>
            <w:tcW w:w="2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380" w:type="dxa"/>
            <w:vAlign w:val="bottom"/>
            <w:shd w:val="clear" w:color="auto" w:fill="E5E5E5"/>
          </w:tcPr>
          <w:p>
            <w:pPr>
              <w:ind w:left="60"/>
              <w:spacing w:after="0" w:line="229" w:lineRule="exact"/>
              <w:rPr>
                <w:sz w:val="20"/>
                <w:szCs w:val="20"/>
                <w:color w:val="auto"/>
              </w:rPr>
            </w:pPr>
            <w:r>
              <w:rPr>
                <w:rFonts w:ascii="Arial" w:cs="Arial" w:eastAsia="Arial" w:hAnsi="Arial"/>
                <w:sz w:val="14"/>
                <w:szCs w:val="14"/>
                <w:color w:val="auto"/>
              </w:rPr>
              <w:t>Book value per share</w:t>
            </w:r>
            <w:r>
              <w:rPr>
                <w:rFonts w:ascii="Arial" w:cs="Arial" w:eastAsia="Arial" w:hAnsi="Arial"/>
                <w:sz w:val="24"/>
                <w:szCs w:val="24"/>
                <w:color w:val="auto"/>
                <w:vertAlign w:val="superscript"/>
              </w:rPr>
              <w:t>(d)</w:t>
            </w:r>
          </w:p>
        </w:tc>
        <w:tc>
          <w:tcPr>
            <w:tcW w:w="1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42.98</w:t>
            </w:r>
          </w:p>
        </w:tc>
        <w:tc>
          <w:tcPr>
            <w:tcW w:w="1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46.52</w:t>
            </w:r>
          </w:p>
        </w:tc>
        <w:tc>
          <w:tcPr>
            <w:tcW w:w="1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51.19</w:t>
            </w:r>
          </w:p>
        </w:tc>
        <w:tc>
          <w:tcPr>
            <w:tcW w:w="1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53.17</w:t>
            </w:r>
          </w:p>
        </w:tc>
        <w:tc>
          <w:tcPr>
            <w:tcW w:w="1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56.98</w:t>
            </w:r>
          </w:p>
        </w:tc>
        <w:tc>
          <w:tcPr>
            <w:tcW w:w="1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60.46</w:t>
            </w:r>
          </w:p>
        </w:tc>
        <w:tc>
          <w:tcPr>
            <w:tcW w:w="1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64.06</w:t>
            </w:r>
          </w:p>
        </w:tc>
        <w:tc>
          <w:tcPr>
            <w:tcW w:w="1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E5E5E5"/>
          </w:tcPr>
          <w:p>
            <w:pPr>
              <w:jc w:val="right"/>
              <w:ind w:right="108"/>
              <w:spacing w:after="0"/>
              <w:rPr>
                <w:sz w:val="20"/>
                <w:szCs w:val="20"/>
                <w:color w:val="auto"/>
              </w:rPr>
            </w:pPr>
            <w:r>
              <w:rPr>
                <w:rFonts w:ascii="Arial" w:cs="Arial" w:eastAsia="Arial" w:hAnsi="Arial"/>
                <w:sz w:val="14"/>
                <w:szCs w:val="14"/>
                <w:color w:val="auto"/>
              </w:rPr>
              <w:t>67.04</w:t>
            </w:r>
          </w:p>
        </w:tc>
        <w:tc>
          <w:tcPr>
            <w:tcW w:w="14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70.35</w:t>
            </w:r>
          </w:p>
        </w:tc>
        <w:tc>
          <w:tcPr>
            <w:tcW w:w="160" w:type="dxa"/>
            <w:vAlign w:val="bottom"/>
            <w:shd w:val="clear" w:color="auto" w:fill="E5E5E5"/>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E5E5E5"/>
          </w:tcPr>
          <w:p>
            <w:pPr>
              <w:jc w:val="right"/>
              <w:ind w:right="108"/>
              <w:spacing w:after="0"/>
              <w:rPr>
                <w:sz w:val="20"/>
                <w:szCs w:val="20"/>
                <w:color w:val="auto"/>
              </w:rPr>
            </w:pPr>
            <w:r>
              <w:rPr>
                <w:rFonts w:ascii="Arial" w:cs="Arial" w:eastAsia="Arial" w:hAnsi="Arial"/>
                <w:sz w:val="14"/>
                <w:szCs w:val="14"/>
                <w:b w:val="1"/>
                <w:bCs w:val="1"/>
                <w:color w:val="auto"/>
              </w:rPr>
              <w:t>75.98</w:t>
            </w:r>
          </w:p>
        </w:tc>
        <w:tc>
          <w:tcPr>
            <w:tcW w:w="0" w:type="dxa"/>
            <w:vAlign w:val="bottom"/>
          </w:tcPr>
          <w:p>
            <w:pPr>
              <w:spacing w:after="0"/>
              <w:rPr>
                <w:sz w:val="1"/>
                <w:szCs w:val="1"/>
                <w:color w:val="auto"/>
              </w:rPr>
            </w:pPr>
          </w:p>
        </w:tc>
      </w:tr>
      <w:tr>
        <w:trPr>
          <w:trHeight w:val="305"/>
        </w:trPr>
        <w:tc>
          <w:tcPr>
            <w:tcW w:w="2380" w:type="dxa"/>
            <w:vAlign w:val="bottom"/>
          </w:tcPr>
          <w:p>
            <w:pPr>
              <w:ind w:left="60"/>
              <w:spacing w:after="0"/>
              <w:rPr>
                <w:sz w:val="20"/>
                <w:szCs w:val="20"/>
                <w:color w:val="auto"/>
              </w:rPr>
            </w:pPr>
            <w:r>
              <w:rPr>
                <w:rFonts w:ascii="Arial" w:cs="Arial" w:eastAsia="Arial" w:hAnsi="Arial"/>
                <w:sz w:val="14"/>
                <w:szCs w:val="14"/>
                <w:color w:val="auto"/>
              </w:rPr>
              <w:t>Tangible book value per share</w:t>
            </w:r>
            <w:r>
              <w:rPr>
                <w:rFonts w:ascii="Arial" w:cs="Arial" w:eastAsia="Arial" w:hAnsi="Arial"/>
                <w:sz w:val="24"/>
                <w:szCs w:val="24"/>
                <w:color w:val="auto"/>
                <w:vertAlign w:val="superscript"/>
              </w:rPr>
              <w:t>(e)</w:t>
            </w:r>
          </w:p>
        </w:tc>
        <w:tc>
          <w:tcPr>
            <w:tcW w:w="140" w:type="dxa"/>
            <w:vAlign w:val="bottom"/>
          </w:tcPr>
          <w:p>
            <w:pPr>
              <w:spacing w:after="0"/>
              <w:rPr>
                <w:sz w:val="24"/>
                <w:szCs w:val="24"/>
                <w:color w:val="auto"/>
              </w:rPr>
            </w:pP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30.12</w:t>
            </w:r>
          </w:p>
        </w:tc>
        <w:tc>
          <w:tcPr>
            <w:tcW w:w="140" w:type="dxa"/>
            <w:vAlign w:val="bottom"/>
          </w:tcPr>
          <w:p>
            <w:pPr>
              <w:spacing w:after="0"/>
              <w:rPr>
                <w:sz w:val="24"/>
                <w:szCs w:val="24"/>
                <w:color w:val="auto"/>
              </w:rPr>
            </w:pP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33.62</w:t>
            </w:r>
          </w:p>
        </w:tc>
        <w:tc>
          <w:tcPr>
            <w:tcW w:w="140" w:type="dxa"/>
            <w:vAlign w:val="bottom"/>
          </w:tcPr>
          <w:p>
            <w:pPr>
              <w:spacing w:after="0"/>
              <w:rPr>
                <w:sz w:val="24"/>
                <w:szCs w:val="24"/>
                <w:color w:val="auto"/>
              </w:rPr>
            </w:pP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38.68</w:t>
            </w:r>
          </w:p>
        </w:tc>
        <w:tc>
          <w:tcPr>
            <w:tcW w:w="140" w:type="dxa"/>
            <w:vAlign w:val="bottom"/>
          </w:tcPr>
          <w:p>
            <w:pPr>
              <w:spacing w:after="0"/>
              <w:rPr>
                <w:sz w:val="24"/>
                <w:szCs w:val="24"/>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40.72</w:t>
            </w:r>
          </w:p>
        </w:tc>
        <w:tc>
          <w:tcPr>
            <w:tcW w:w="160" w:type="dxa"/>
            <w:vAlign w:val="bottom"/>
          </w:tcPr>
          <w:p>
            <w:pPr>
              <w:spacing w:after="0"/>
              <w:rPr>
                <w:sz w:val="24"/>
                <w:szCs w:val="24"/>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44.60</w:t>
            </w:r>
          </w:p>
        </w:tc>
        <w:tc>
          <w:tcPr>
            <w:tcW w:w="160" w:type="dxa"/>
            <w:vAlign w:val="bottom"/>
          </w:tcPr>
          <w:p>
            <w:pPr>
              <w:spacing w:after="0"/>
              <w:rPr>
                <w:sz w:val="24"/>
                <w:szCs w:val="24"/>
                <w:color w:val="auto"/>
              </w:rPr>
            </w:pP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48.13</w:t>
            </w:r>
          </w:p>
        </w:tc>
        <w:tc>
          <w:tcPr>
            <w:tcW w:w="140" w:type="dxa"/>
            <w:vAlign w:val="bottom"/>
          </w:tcPr>
          <w:p>
            <w:pPr>
              <w:spacing w:after="0"/>
              <w:rPr>
                <w:sz w:val="24"/>
                <w:szCs w:val="24"/>
                <w:color w:val="auto"/>
              </w:rPr>
            </w:pP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51.44</w:t>
            </w:r>
          </w:p>
        </w:tc>
        <w:tc>
          <w:tcPr>
            <w:tcW w:w="140" w:type="dxa"/>
            <w:vAlign w:val="bottom"/>
          </w:tcPr>
          <w:p>
            <w:pPr>
              <w:spacing w:after="0"/>
              <w:rPr>
                <w:sz w:val="24"/>
                <w:szCs w:val="24"/>
                <w:color w:val="auto"/>
              </w:rPr>
            </w:pP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53.56</w:t>
            </w:r>
          </w:p>
        </w:tc>
        <w:tc>
          <w:tcPr>
            <w:tcW w:w="140" w:type="dxa"/>
            <w:vAlign w:val="bottom"/>
          </w:tcPr>
          <w:p>
            <w:pPr>
              <w:spacing w:after="0"/>
              <w:rPr>
                <w:sz w:val="24"/>
                <w:szCs w:val="24"/>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56.33</w:t>
            </w:r>
          </w:p>
        </w:tc>
        <w:tc>
          <w:tcPr>
            <w:tcW w:w="160" w:type="dxa"/>
            <w:vAlign w:val="bottom"/>
          </w:tcPr>
          <w:p>
            <w:pPr>
              <w:spacing w:after="0"/>
              <w:rPr>
                <w:sz w:val="24"/>
                <w:szCs w:val="24"/>
                <w:color w:val="auto"/>
              </w:rPr>
            </w:pPr>
          </w:p>
        </w:tc>
        <w:tc>
          <w:tcPr>
            <w:tcW w:w="720" w:type="dxa"/>
            <w:vAlign w:val="bottom"/>
          </w:tcPr>
          <w:p>
            <w:pPr>
              <w:jc w:val="right"/>
              <w:ind w:right="108"/>
              <w:spacing w:after="0"/>
              <w:rPr>
                <w:sz w:val="20"/>
                <w:szCs w:val="20"/>
                <w:color w:val="auto"/>
              </w:rPr>
            </w:pPr>
            <w:r>
              <w:rPr>
                <w:rFonts w:ascii="Arial" w:cs="Arial" w:eastAsia="Arial" w:hAnsi="Arial"/>
                <w:sz w:val="14"/>
                <w:szCs w:val="14"/>
                <w:b w:val="1"/>
                <w:bCs w:val="1"/>
                <w:color w:val="auto"/>
              </w:rPr>
              <w:t>60.98</w:t>
            </w:r>
          </w:p>
        </w:tc>
        <w:tc>
          <w:tcPr>
            <w:tcW w:w="0" w:type="dxa"/>
            <w:vAlign w:val="bottom"/>
          </w:tcPr>
          <w:p>
            <w:pPr>
              <w:spacing w:after="0"/>
              <w:rPr>
                <w:sz w:val="1"/>
                <w:szCs w:val="1"/>
                <w:color w:val="auto"/>
              </w:rPr>
            </w:pPr>
          </w:p>
        </w:tc>
      </w:tr>
    </w:tbl>
    <w:p>
      <w:pPr>
        <w:ind w:left="360" w:right="300" w:hanging="240"/>
        <w:spacing w:after="0" w:line="216" w:lineRule="auto"/>
        <w:tabs>
          <w:tab w:leader="none" w:pos="360" w:val="left"/>
        </w:tabs>
        <w:numPr>
          <w:ilvl w:val="0"/>
          <w:numId w:val="250"/>
        </w:numPr>
        <w:rPr>
          <w:rFonts w:ascii="Arial" w:cs="Arial" w:eastAsia="Arial" w:hAnsi="Arial"/>
          <w:sz w:val="11"/>
          <w:szCs w:val="11"/>
          <w:color w:val="auto"/>
        </w:rPr>
      </w:pPr>
      <w:r>
        <w:rPr>
          <w:rFonts w:ascii="Arial" w:cs="Arial" w:eastAsia="Arial" w:hAnsi="Arial"/>
          <w:sz w:val="13"/>
          <w:szCs w:val="13"/>
          <w:color w:val="auto"/>
        </w:rPr>
        <w:t>Represents deferred tax liabilities related to tax-deductible goodwill and to identifiable intangibles created in nontaxable transactions, which are netted against goodwill and other intangibles when calculating TCE.</w:t>
      </w:r>
    </w:p>
    <w:p>
      <w:pPr>
        <w:ind w:left="360" w:hanging="240"/>
        <w:spacing w:after="0"/>
        <w:tabs>
          <w:tab w:leader="none" w:pos="360" w:val="left"/>
        </w:tabs>
        <w:numPr>
          <w:ilvl w:val="0"/>
          <w:numId w:val="250"/>
        </w:numPr>
        <w:rPr>
          <w:rFonts w:ascii="Arial" w:cs="Arial" w:eastAsia="Arial" w:hAnsi="Arial"/>
          <w:sz w:val="11"/>
          <w:szCs w:val="11"/>
          <w:color w:val="auto"/>
        </w:rPr>
      </w:pPr>
      <w:r>
        <w:rPr>
          <w:rFonts w:ascii="Arial" w:cs="Arial" w:eastAsia="Arial" w:hAnsi="Arial"/>
          <w:sz w:val="13"/>
          <w:szCs w:val="13"/>
          <w:color w:val="auto"/>
        </w:rPr>
        <w:t>Represents net income applicable to common equity / average common stockholders’ equity.</w:t>
      </w:r>
    </w:p>
    <w:p>
      <w:pPr>
        <w:spacing w:after="0" w:line="12" w:lineRule="exact"/>
        <w:rPr>
          <w:rFonts w:ascii="Arial" w:cs="Arial" w:eastAsia="Arial" w:hAnsi="Arial"/>
          <w:sz w:val="11"/>
          <w:szCs w:val="11"/>
          <w:color w:val="auto"/>
        </w:rPr>
      </w:pPr>
    </w:p>
    <w:p>
      <w:pPr>
        <w:ind w:left="360" w:hanging="234"/>
        <w:spacing w:after="0"/>
        <w:tabs>
          <w:tab w:leader="none" w:pos="360" w:val="left"/>
        </w:tabs>
        <w:numPr>
          <w:ilvl w:val="0"/>
          <w:numId w:val="250"/>
        </w:numPr>
        <w:rPr>
          <w:rFonts w:ascii="Arial" w:cs="Arial" w:eastAsia="Arial" w:hAnsi="Arial"/>
          <w:sz w:val="11"/>
          <w:szCs w:val="11"/>
          <w:color w:val="auto"/>
        </w:rPr>
      </w:pPr>
      <w:r>
        <w:rPr>
          <w:rFonts w:ascii="Arial" w:cs="Arial" w:eastAsia="Arial" w:hAnsi="Arial"/>
          <w:sz w:val="13"/>
          <w:szCs w:val="13"/>
          <w:color w:val="auto"/>
        </w:rPr>
        <w:t>Represents net income applicable to common equity / average TCE.</w:t>
      </w:r>
    </w:p>
    <w:p>
      <w:pPr>
        <w:spacing w:after="0" w:line="12" w:lineRule="exact"/>
        <w:rPr>
          <w:rFonts w:ascii="Arial" w:cs="Arial" w:eastAsia="Arial" w:hAnsi="Arial"/>
          <w:sz w:val="11"/>
          <w:szCs w:val="11"/>
          <w:color w:val="auto"/>
        </w:rPr>
      </w:pPr>
    </w:p>
    <w:p>
      <w:pPr>
        <w:ind w:left="360" w:hanging="240"/>
        <w:spacing w:after="0"/>
        <w:tabs>
          <w:tab w:leader="none" w:pos="360" w:val="left"/>
        </w:tabs>
        <w:numPr>
          <w:ilvl w:val="0"/>
          <w:numId w:val="250"/>
        </w:numPr>
        <w:rPr>
          <w:rFonts w:ascii="Arial" w:cs="Arial" w:eastAsia="Arial" w:hAnsi="Arial"/>
          <w:sz w:val="11"/>
          <w:szCs w:val="11"/>
          <w:color w:val="auto"/>
        </w:rPr>
      </w:pPr>
      <w:r>
        <w:rPr>
          <w:rFonts w:ascii="Arial" w:cs="Arial" w:eastAsia="Arial" w:hAnsi="Arial"/>
          <w:sz w:val="13"/>
          <w:szCs w:val="13"/>
          <w:color w:val="auto"/>
        </w:rPr>
        <w:t>Represents common stockholders’ equity at period-end / common shares at period-end.</w:t>
      </w:r>
    </w:p>
    <w:p>
      <w:pPr>
        <w:spacing w:after="0" w:line="12" w:lineRule="exact"/>
        <w:rPr>
          <w:rFonts w:ascii="Arial" w:cs="Arial" w:eastAsia="Arial" w:hAnsi="Arial"/>
          <w:sz w:val="11"/>
          <w:szCs w:val="11"/>
          <w:color w:val="auto"/>
        </w:rPr>
      </w:pPr>
    </w:p>
    <w:p>
      <w:pPr>
        <w:ind w:left="360" w:hanging="240"/>
        <w:spacing w:after="0"/>
        <w:tabs>
          <w:tab w:leader="none" w:pos="360" w:val="left"/>
        </w:tabs>
        <w:numPr>
          <w:ilvl w:val="0"/>
          <w:numId w:val="250"/>
        </w:numPr>
        <w:rPr>
          <w:rFonts w:ascii="Arial" w:cs="Arial" w:eastAsia="Arial" w:hAnsi="Arial"/>
          <w:sz w:val="11"/>
          <w:szCs w:val="11"/>
          <w:color w:val="auto"/>
        </w:rPr>
      </w:pPr>
      <w:r>
        <w:rPr>
          <w:rFonts w:ascii="Arial" w:cs="Arial" w:eastAsia="Arial" w:hAnsi="Arial"/>
          <w:sz w:val="13"/>
          <w:szCs w:val="13"/>
          <w:color w:val="auto"/>
        </w:rPr>
        <w:t>Represents TCE at period-end / common shares at period-end.</w:t>
      </w:r>
    </w:p>
    <w:p>
      <w:pPr>
        <w:spacing w:after="0" w:line="139" w:lineRule="exact"/>
        <w:rPr>
          <w:sz w:val="20"/>
          <w:szCs w:val="20"/>
          <w:color w:val="auto"/>
        </w:rPr>
      </w:pPr>
    </w:p>
    <w:p>
      <w:pPr>
        <w:ind w:left="440" w:right="200" w:hanging="324"/>
        <w:spacing w:after="0" w:line="237" w:lineRule="auto"/>
        <w:tabs>
          <w:tab w:leader="none" w:pos="44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On December 22, 2017, the TCJA was signed into law. The Firm’s results for the year ended December 31, 2017, included a $2.4 billion decrease to net income, as a result of the enactment of the TCJA, as well as a legal benefit of $406 million (after-tax) related to a settlement with the FDIC receivership for Washington Mutual and with Deutsche Bank as trustee to certain Washington Mutual trusts. Adjusted net income, adjusted ROTCE and adjusted earnings per share, which exclude the impact of these significant items, are each non-GAAP financial measures. Management believes these measures help investors understand the effect of these items on reported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241935</wp:posOffset>
            </wp:positionV>
            <wp:extent cx="7029450" cy="19685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029450" cy="19685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center"/>
        <w:ind w:right="-99"/>
        <w:spacing w:after="0"/>
        <w:rPr>
          <w:sz w:val="20"/>
          <w:szCs w:val="20"/>
          <w:color w:val="auto"/>
        </w:rPr>
      </w:pPr>
      <w:r>
        <w:rPr>
          <w:rFonts w:ascii="Arial" w:cs="Arial" w:eastAsia="Arial" w:hAnsi="Arial"/>
          <w:sz w:val="13"/>
          <w:szCs w:val="13"/>
          <w:b w:val="1"/>
          <w:bCs w:val="1"/>
          <w:color w:val="004876"/>
        </w:rPr>
        <w:t>114</w:t>
      </w:r>
    </w:p>
    <w:p>
      <w:pPr>
        <w:sectPr>
          <w:pgSz w:w="11900" w:h="16838" w:orient="portrait"/>
          <w:cols w:equalWidth="0" w:num="1">
            <w:col w:w="11140"/>
          </w:cols>
          <w:pgMar w:left="320" w:top="459" w:right="4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04876"/>
        </w:rPr>
        <w:t>NOTES ON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825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10" w:lineRule="exact"/>
        <w:rPr>
          <w:sz w:val="20"/>
          <w:szCs w:val="20"/>
          <w:color w:val="auto"/>
        </w:rPr>
      </w:pPr>
    </w:p>
    <w:p>
      <w:pPr>
        <w:ind w:left="120"/>
        <w:spacing w:after="0"/>
        <w:rPr>
          <w:sz w:val="20"/>
          <w:szCs w:val="20"/>
          <w:color w:val="auto"/>
        </w:rPr>
      </w:pPr>
      <w:r>
        <w:rPr>
          <w:rFonts w:ascii="Arial" w:cs="Arial" w:eastAsia="Arial" w:hAnsi="Arial"/>
          <w:sz w:val="29"/>
          <w:szCs w:val="29"/>
          <w:color w:val="004876"/>
        </w:rPr>
        <w:t>Additional notes</w:t>
      </w:r>
    </w:p>
    <w:p>
      <w:pPr>
        <w:spacing w:after="0" w:line="250" w:lineRule="exact"/>
        <w:rPr>
          <w:sz w:val="20"/>
          <w:szCs w:val="20"/>
          <w:color w:val="auto"/>
        </w:rPr>
      </w:pPr>
    </w:p>
    <w:p>
      <w:pPr>
        <w:ind w:left="440" w:hanging="324"/>
        <w:spacing w:after="0" w:line="237" w:lineRule="auto"/>
        <w:tabs>
          <w:tab w:leader="none" w:pos="44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 Firm reviews the results of the lines of business on a “managed basis.” The Firm’s definition of managed basis starts, in each case, with the reported U.S. GAAP results and includes certain reclassifications to present total net revenue for each of the reportable business segments on a fully taxable-equivalent basis. Accordingly, revenue from investments that receive tax credits and tax-exempt securities is presented in the managed results on a basis comparable to taxable investments and securities. These financial measures allow management to assess the comparability of revenue year-to-year arising from both taxable and tax-exempt sources. The corresponding income tax impact related to tax-exempt items is recorded within income tax expense. These adjustments have no impact on net income as reported by the lines of business.</w:t>
      </w:r>
    </w:p>
    <w:p>
      <w:pPr>
        <w:spacing w:after="0" w:line="108" w:lineRule="exact"/>
        <w:rPr>
          <w:rFonts w:ascii="Arial" w:cs="Arial" w:eastAsia="Arial" w:hAnsi="Arial"/>
          <w:sz w:val="18"/>
          <w:szCs w:val="18"/>
          <w:color w:val="auto"/>
        </w:rPr>
      </w:pPr>
    </w:p>
    <w:p>
      <w:pPr>
        <w:jc w:val="both"/>
        <w:ind w:left="440" w:right="740" w:hanging="324"/>
        <w:spacing w:after="0"/>
        <w:tabs>
          <w:tab w:leader="none" w:pos="44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 Basel III common equity Tier 1 (“CET1”) ratio became fully phased-in effective January 1, 2019. This measure is used by management, bank regulators, investors and analysts to assess and monitor the Firm’s capital position. Refer to Capital Risk Management on pages 85–92 of the 2019 Form 10-K for additional information on this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240665</wp:posOffset>
            </wp:positionV>
            <wp:extent cx="7029450" cy="19748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029450" cy="19748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Arial" w:cs="Arial" w:eastAsia="Arial" w:hAnsi="Arial"/>
          <w:sz w:val="13"/>
          <w:szCs w:val="13"/>
          <w:b w:val="1"/>
          <w:bCs w:val="1"/>
          <w:color w:val="004876"/>
        </w:rPr>
        <w:t>115</w:t>
      </w:r>
    </w:p>
    <w:p>
      <w:pPr>
        <w:sectPr>
          <w:pgSz w:w="11900" w:h="16838" w:orient="portrait"/>
          <w:cols w:equalWidth="0" w:num="1">
            <w:col w:w="11120"/>
          </w:cols>
          <w:pgMar w:left="320" w:top="459" w:right="4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left="120"/>
        <w:spacing w:after="0"/>
        <w:rPr>
          <w:sz w:val="20"/>
          <w:szCs w:val="20"/>
          <w:color w:val="auto"/>
        </w:rPr>
      </w:pPr>
      <w:r>
        <w:rPr>
          <w:rFonts w:ascii="Arial" w:cs="Arial" w:eastAsia="Arial" w:hAnsi="Arial"/>
          <w:sz w:val="43"/>
          <w:szCs w:val="43"/>
          <w:color w:val="004876"/>
        </w:rPr>
        <w:t>Glossary of selected terms and acronyms</w:t>
      </w:r>
    </w:p>
    <w:p>
      <w:pPr>
        <w:sectPr>
          <w:pgSz w:w="11900" w:h="16838" w:orient="portrait"/>
          <w:cols w:equalWidth="0" w:num="1">
            <w:col w:w="11020"/>
          </w:cols>
          <w:pgMar w:left="320" w:top="459" w:right="559" w:bottom="1440" w:gutter="0" w:footer="0" w:header="0"/>
        </w:sectPr>
      </w:pPr>
    </w:p>
    <w:p>
      <w:pPr>
        <w:spacing w:after="0" w:line="159" w:lineRule="exact"/>
        <w:rPr>
          <w:sz w:val="20"/>
          <w:szCs w:val="20"/>
          <w:color w:val="auto"/>
        </w:rPr>
      </w:pPr>
    </w:p>
    <w:p>
      <w:pPr>
        <w:ind w:left="120" w:right="180"/>
        <w:spacing w:after="0" w:line="271" w:lineRule="auto"/>
        <w:rPr>
          <w:sz w:val="20"/>
          <w:szCs w:val="20"/>
          <w:color w:val="auto"/>
        </w:rPr>
      </w:pPr>
      <w:r>
        <w:rPr>
          <w:rFonts w:ascii="Arial" w:cs="Arial" w:eastAsia="Arial" w:hAnsi="Arial"/>
          <w:sz w:val="18"/>
          <w:szCs w:val="18"/>
          <w:b w:val="1"/>
          <w:bCs w:val="1"/>
          <w:color w:val="auto"/>
        </w:rPr>
        <w:t xml:space="preserve">2019 Form 10-K: </w:t>
      </w:r>
      <w:r>
        <w:rPr>
          <w:rFonts w:ascii="Arial" w:cs="Arial" w:eastAsia="Arial" w:hAnsi="Arial"/>
          <w:sz w:val="18"/>
          <w:szCs w:val="18"/>
          <w:color w:val="auto"/>
        </w:rPr>
        <w:t>JPMorgan Chase &amp; Co.’s Annual Report on</w:t>
      </w:r>
      <w:r>
        <w:rPr>
          <w:rFonts w:ascii="Arial" w:cs="Arial" w:eastAsia="Arial" w:hAnsi="Arial"/>
          <w:sz w:val="18"/>
          <w:szCs w:val="18"/>
          <w:b w:val="1"/>
          <w:bCs w:val="1"/>
          <w:color w:val="auto"/>
        </w:rPr>
        <w:t xml:space="preserve"> </w:t>
      </w:r>
      <w:r>
        <w:rPr>
          <w:rFonts w:ascii="Arial" w:cs="Arial" w:eastAsia="Arial" w:hAnsi="Arial"/>
          <w:sz w:val="18"/>
          <w:szCs w:val="18"/>
          <w:color w:val="auto"/>
        </w:rPr>
        <w:t>Form 10-K for the year ended December 31, 2019</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ABL: </w:t>
      </w:r>
      <w:r>
        <w:rPr>
          <w:rFonts w:ascii="Arial" w:cs="Arial" w:eastAsia="Arial" w:hAnsi="Arial"/>
          <w:sz w:val="18"/>
          <w:szCs w:val="18"/>
          <w:color w:val="auto"/>
        </w:rPr>
        <w:t>Advancing Black Leaders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ABP: </w:t>
      </w:r>
      <w:r>
        <w:rPr>
          <w:rFonts w:ascii="Arial" w:cs="Arial" w:eastAsia="Arial" w:hAnsi="Arial"/>
          <w:sz w:val="18"/>
          <w:szCs w:val="18"/>
          <w:color w:val="auto"/>
        </w:rPr>
        <w:t>Advancing Black Pathways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AEF: </w:t>
      </w:r>
      <w:r>
        <w:rPr>
          <w:rFonts w:ascii="Arial" w:cs="Arial" w:eastAsia="Arial" w:hAnsi="Arial"/>
          <w:sz w:val="18"/>
          <w:szCs w:val="18"/>
          <w:color w:val="auto"/>
        </w:rPr>
        <w:t>Asian Executive Forum</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AUC: </w:t>
      </w:r>
      <w:r>
        <w:rPr>
          <w:rFonts w:ascii="Arial" w:cs="Arial" w:eastAsia="Arial" w:hAnsi="Arial"/>
          <w:sz w:val="18"/>
          <w:szCs w:val="18"/>
          <w:color w:val="auto"/>
        </w:rPr>
        <w:t>Assets under custody</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AsPIRE: </w:t>
      </w:r>
      <w:r>
        <w:rPr>
          <w:rFonts w:ascii="Arial" w:cs="Arial" w:eastAsia="Arial" w:hAnsi="Arial"/>
          <w:sz w:val="18"/>
          <w:szCs w:val="18"/>
          <w:color w:val="auto"/>
        </w:rPr>
        <w:t>Asians &amp; Pacific Islanders Reaching for Excellence</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AUM: </w:t>
      </w:r>
      <w:r>
        <w:rPr>
          <w:rFonts w:ascii="Arial" w:cs="Arial" w:eastAsia="Arial" w:hAnsi="Arial"/>
          <w:sz w:val="18"/>
          <w:szCs w:val="18"/>
          <w:color w:val="auto"/>
        </w:rPr>
        <w:t>Assets under management</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AWM: </w:t>
      </w:r>
      <w:r>
        <w:rPr>
          <w:rFonts w:ascii="Arial" w:cs="Arial" w:eastAsia="Arial" w:hAnsi="Arial"/>
          <w:sz w:val="18"/>
          <w:szCs w:val="18"/>
          <w:color w:val="auto"/>
        </w:rPr>
        <w:t>Asset &amp; Wealth Management</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Bank: </w:t>
      </w:r>
      <w:r>
        <w:rPr>
          <w:rFonts w:ascii="Arial" w:cs="Arial" w:eastAsia="Arial" w:hAnsi="Arial"/>
          <w:sz w:val="18"/>
          <w:szCs w:val="18"/>
          <w:color w:val="auto"/>
        </w:rPr>
        <w:t>JPMorgan Chase Bank, National Association</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Business Principles: </w:t>
      </w:r>
      <w:r>
        <w:rPr>
          <w:rFonts w:ascii="Arial" w:cs="Arial" w:eastAsia="Arial" w:hAnsi="Arial"/>
          <w:sz w:val="18"/>
          <w:szCs w:val="18"/>
          <w:color w:val="auto"/>
        </w:rPr>
        <w:t>How We Do Business Principles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BOLD: </w:t>
      </w:r>
      <w:r>
        <w:rPr>
          <w:rFonts w:ascii="Arial" w:cs="Arial" w:eastAsia="Arial" w:hAnsi="Arial"/>
          <w:sz w:val="18"/>
          <w:szCs w:val="18"/>
          <w:color w:val="auto"/>
        </w:rPr>
        <w:t>Black Organization for Leadership Development</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BRG: </w:t>
      </w:r>
      <w:r>
        <w:rPr>
          <w:rFonts w:ascii="Arial" w:cs="Arial" w:eastAsia="Arial" w:hAnsi="Arial"/>
          <w:sz w:val="18"/>
          <w:szCs w:val="18"/>
          <w:color w:val="auto"/>
        </w:rPr>
        <w:t>Business resource group</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BVPS: </w:t>
      </w:r>
      <w:r>
        <w:rPr>
          <w:rFonts w:ascii="Arial" w:cs="Arial" w:eastAsia="Arial" w:hAnsi="Arial"/>
          <w:sz w:val="18"/>
          <w:szCs w:val="18"/>
          <w:color w:val="auto"/>
        </w:rPr>
        <w:t>Book value per share</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CB: </w:t>
      </w:r>
      <w:r>
        <w:rPr>
          <w:rFonts w:ascii="Arial" w:cs="Arial" w:eastAsia="Arial" w:hAnsi="Arial"/>
          <w:sz w:val="18"/>
          <w:szCs w:val="18"/>
          <w:color w:val="auto"/>
        </w:rPr>
        <w:t>Commercial Banking</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CCAR: </w:t>
      </w:r>
      <w:r>
        <w:rPr>
          <w:rFonts w:ascii="Arial" w:cs="Arial" w:eastAsia="Arial" w:hAnsi="Arial"/>
          <w:sz w:val="18"/>
          <w:szCs w:val="18"/>
          <w:color w:val="auto"/>
        </w:rPr>
        <w:t>Comprehensive Capital Analysis and Review</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CCB: </w:t>
      </w:r>
      <w:r>
        <w:rPr>
          <w:rFonts w:ascii="Arial" w:cs="Arial" w:eastAsia="Arial" w:hAnsi="Arial"/>
          <w:sz w:val="18"/>
          <w:szCs w:val="18"/>
          <w:color w:val="auto"/>
        </w:rPr>
        <w:t>Consumer &amp; Community Banking</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CCBSI: </w:t>
      </w:r>
      <w:r>
        <w:rPr>
          <w:rFonts w:ascii="Arial" w:cs="Arial" w:eastAsia="Arial" w:hAnsi="Arial"/>
          <w:sz w:val="18"/>
          <w:szCs w:val="18"/>
          <w:color w:val="auto"/>
        </w:rPr>
        <w:t>Corporate client banking &amp; specialized industries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CD&amp;A: </w:t>
      </w:r>
      <w:r>
        <w:rPr>
          <w:rFonts w:ascii="Arial" w:cs="Arial" w:eastAsia="Arial" w:hAnsi="Arial"/>
          <w:sz w:val="18"/>
          <w:szCs w:val="18"/>
          <w:color w:val="auto"/>
        </w:rPr>
        <w:t>Compensation discussion and analysis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CET1: </w:t>
      </w:r>
      <w:r>
        <w:rPr>
          <w:rFonts w:ascii="Arial" w:cs="Arial" w:eastAsia="Arial" w:hAnsi="Arial"/>
          <w:sz w:val="18"/>
          <w:szCs w:val="18"/>
          <w:color w:val="auto"/>
        </w:rPr>
        <w:t>Common equity Tier 1</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CEO: </w:t>
      </w:r>
      <w:r>
        <w:rPr>
          <w:rFonts w:ascii="Arial" w:cs="Arial" w:eastAsia="Arial" w:hAnsi="Arial"/>
          <w:sz w:val="18"/>
          <w:szCs w:val="18"/>
          <w:color w:val="auto"/>
        </w:rPr>
        <w:t>Chief Executive Officer</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CIB: </w:t>
      </w:r>
      <w:r>
        <w:rPr>
          <w:rFonts w:ascii="Arial" w:cs="Arial" w:eastAsia="Arial" w:hAnsi="Arial"/>
          <w:sz w:val="18"/>
          <w:szCs w:val="18"/>
          <w:color w:val="auto"/>
        </w:rPr>
        <w:t>Corporate &amp; Investment Bank</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 xml:space="preserve">CMDC: </w:t>
      </w:r>
      <w:r>
        <w:rPr>
          <w:rFonts w:ascii="Arial" w:cs="Arial" w:eastAsia="Arial" w:hAnsi="Arial"/>
          <w:sz w:val="17"/>
          <w:szCs w:val="17"/>
          <w:color w:val="auto"/>
        </w:rPr>
        <w:t>Compensation &amp; Management Development Committee</w:t>
      </w:r>
    </w:p>
    <w:p>
      <w:pPr>
        <w:spacing w:after="0" w:line="1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COO: </w:t>
      </w:r>
      <w:r>
        <w:rPr>
          <w:rFonts w:ascii="Arial" w:cs="Arial" w:eastAsia="Arial" w:hAnsi="Arial"/>
          <w:sz w:val="18"/>
          <w:szCs w:val="18"/>
          <w:color w:val="auto"/>
        </w:rPr>
        <w:t>Chief Operating Officer</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Designated Employees: </w:t>
      </w:r>
      <w:r>
        <w:rPr>
          <w:rFonts w:ascii="Arial" w:cs="Arial" w:eastAsia="Arial" w:hAnsi="Arial"/>
          <w:sz w:val="18"/>
          <w:szCs w:val="18"/>
          <w:color w:val="auto"/>
        </w:rPr>
        <w:t>Tier 1 employees &amp; Identified Staff</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EMEA: </w:t>
      </w:r>
      <w:r>
        <w:rPr>
          <w:rFonts w:ascii="Arial" w:cs="Arial" w:eastAsia="Arial" w:hAnsi="Arial"/>
          <w:sz w:val="18"/>
          <w:szCs w:val="18"/>
          <w:color w:val="auto"/>
        </w:rPr>
        <w:t>Europe, Middle East, and Africa</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EPS: </w:t>
      </w:r>
      <w:r>
        <w:rPr>
          <w:rFonts w:ascii="Arial" w:cs="Arial" w:eastAsia="Arial" w:hAnsi="Arial"/>
          <w:sz w:val="18"/>
          <w:szCs w:val="18"/>
          <w:color w:val="auto"/>
        </w:rPr>
        <w:t>Earnings per share</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ESG: </w:t>
      </w:r>
      <w:r>
        <w:rPr>
          <w:rFonts w:ascii="Arial" w:cs="Arial" w:eastAsia="Arial" w:hAnsi="Arial"/>
          <w:sz w:val="18"/>
          <w:szCs w:val="18"/>
          <w:color w:val="auto"/>
        </w:rPr>
        <w:t>Environmental, social and governance</w:t>
      </w:r>
    </w:p>
    <w:p>
      <w:pPr>
        <w:spacing w:after="0" w:line="104" w:lineRule="exact"/>
        <w:rPr>
          <w:sz w:val="20"/>
          <w:szCs w:val="20"/>
          <w:color w:val="auto"/>
        </w:rPr>
      </w:pPr>
    </w:p>
    <w:p>
      <w:pPr>
        <w:ind w:left="120" w:right="160"/>
        <w:spacing w:after="0" w:line="271" w:lineRule="auto"/>
        <w:rPr>
          <w:sz w:val="20"/>
          <w:szCs w:val="20"/>
          <w:color w:val="auto"/>
        </w:rPr>
      </w:pPr>
      <w:r>
        <w:rPr>
          <w:rFonts w:ascii="Arial" w:cs="Arial" w:eastAsia="Arial" w:hAnsi="Arial"/>
          <w:sz w:val="18"/>
          <w:szCs w:val="18"/>
          <w:b w:val="1"/>
          <w:bCs w:val="1"/>
          <w:color w:val="auto"/>
        </w:rPr>
        <w:t xml:space="preserve">Federal Reserve: </w:t>
      </w:r>
      <w:r>
        <w:rPr>
          <w:rFonts w:ascii="Arial" w:cs="Arial" w:eastAsia="Arial" w:hAnsi="Arial"/>
          <w:sz w:val="18"/>
          <w:szCs w:val="18"/>
          <w:color w:val="auto"/>
        </w:rPr>
        <w:t>Board of Governors of the Federal Reserve</w:t>
      </w:r>
      <w:r>
        <w:rPr>
          <w:rFonts w:ascii="Arial" w:cs="Arial" w:eastAsia="Arial" w:hAnsi="Arial"/>
          <w:sz w:val="18"/>
          <w:szCs w:val="18"/>
          <w:b w:val="1"/>
          <w:bCs w:val="1"/>
          <w:color w:val="auto"/>
        </w:rPr>
        <w:t xml:space="preserve"> </w:t>
      </w:r>
      <w:r>
        <w:rPr>
          <w:rFonts w:ascii="Arial" w:cs="Arial" w:eastAsia="Arial" w:hAnsi="Arial"/>
          <w:sz w:val="18"/>
          <w:szCs w:val="18"/>
          <w:color w:val="auto"/>
        </w:rPr>
        <w:t>System</w:t>
      </w:r>
    </w:p>
    <w:p>
      <w:pPr>
        <w:spacing w:after="0" w:line="46" w:lineRule="exact"/>
        <w:rPr>
          <w:sz w:val="20"/>
          <w:szCs w:val="20"/>
          <w:color w:val="auto"/>
        </w:rPr>
      </w:pPr>
    </w:p>
    <w:p>
      <w:pPr>
        <w:ind w:left="120" w:right="20"/>
        <w:spacing w:after="0" w:line="271" w:lineRule="auto"/>
        <w:rPr>
          <w:sz w:val="20"/>
          <w:szCs w:val="20"/>
          <w:color w:val="auto"/>
        </w:rPr>
      </w:pPr>
      <w:r>
        <w:rPr>
          <w:rFonts w:ascii="Arial" w:cs="Arial" w:eastAsia="Arial" w:hAnsi="Arial"/>
          <w:sz w:val="18"/>
          <w:szCs w:val="18"/>
          <w:b w:val="1"/>
          <w:bCs w:val="1"/>
          <w:color w:val="auto"/>
        </w:rPr>
        <w:t xml:space="preserve">Governance Committee: </w:t>
      </w:r>
      <w:r>
        <w:rPr>
          <w:rFonts w:ascii="Arial" w:cs="Arial" w:eastAsia="Arial" w:hAnsi="Arial"/>
          <w:sz w:val="18"/>
          <w:szCs w:val="18"/>
          <w:color w:val="auto"/>
        </w:rPr>
        <w:t>Corporate Governance &amp; Nominating</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Governance Principles: </w:t>
      </w:r>
      <w:r>
        <w:rPr>
          <w:rFonts w:ascii="Arial" w:cs="Arial" w:eastAsia="Arial" w:hAnsi="Arial"/>
          <w:sz w:val="18"/>
          <w:szCs w:val="18"/>
          <w:color w:val="auto"/>
        </w:rPr>
        <w:t>Corporate Governance Principles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HEF: </w:t>
      </w:r>
      <w:r>
        <w:rPr>
          <w:rFonts w:ascii="Arial" w:cs="Arial" w:eastAsia="Arial" w:hAnsi="Arial"/>
          <w:sz w:val="18"/>
          <w:szCs w:val="18"/>
          <w:color w:val="auto"/>
        </w:rPr>
        <w:t>Hispanic Executive Forum</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HR: </w:t>
      </w:r>
      <w:r>
        <w:rPr>
          <w:rFonts w:ascii="Arial" w:cs="Arial" w:eastAsia="Arial" w:hAnsi="Arial"/>
          <w:sz w:val="18"/>
          <w:szCs w:val="18"/>
          <w:color w:val="auto"/>
        </w:rPr>
        <w:t>Human Resources</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color w:val="auto"/>
        </w:rPr>
        <w:t xml:space="preserve">Identified Staff: </w:t>
      </w:r>
      <w:r>
        <w:rPr>
          <w:rFonts w:ascii="Arial" w:cs="Arial" w:eastAsia="Arial" w:hAnsi="Arial"/>
          <w:sz w:val="18"/>
          <w:szCs w:val="18"/>
          <w:color w:val="auto"/>
        </w:rPr>
        <w:t>Employees who are material risk-takers identified</w:t>
      </w:r>
      <w:r>
        <w:rPr>
          <w:rFonts w:ascii="Arial" w:cs="Arial" w:eastAsia="Arial" w:hAnsi="Arial"/>
          <w:sz w:val="18"/>
          <w:szCs w:val="18"/>
          <w:b w:val="1"/>
          <w:bCs w:val="1"/>
          <w:color w:val="auto"/>
        </w:rPr>
        <w:t xml:space="preserve"> </w:t>
      </w:r>
      <w:r>
        <w:rPr>
          <w:rFonts w:ascii="Arial" w:cs="Arial" w:eastAsia="Arial" w:hAnsi="Arial"/>
          <w:sz w:val="18"/>
          <w:szCs w:val="18"/>
          <w:color w:val="auto"/>
        </w:rPr>
        <w:t>under European Union standards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IB: </w:t>
      </w:r>
      <w:r>
        <w:rPr>
          <w:rFonts w:ascii="Arial" w:cs="Arial" w:eastAsia="Arial" w:hAnsi="Arial"/>
          <w:sz w:val="18"/>
          <w:szCs w:val="18"/>
          <w:color w:val="auto"/>
        </w:rPr>
        <w:t>Investment Banking</w:t>
      </w:r>
    </w:p>
    <w:p>
      <w:pPr>
        <w:spacing w:after="0" w:line="104"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b w:val="1"/>
          <w:bCs w:val="1"/>
          <w:color w:val="auto"/>
        </w:rPr>
        <w:t xml:space="preserve">IHC: </w:t>
      </w:r>
      <w:r>
        <w:rPr>
          <w:rFonts w:ascii="Arial" w:cs="Arial" w:eastAsia="Arial" w:hAnsi="Arial"/>
          <w:sz w:val="18"/>
          <w:szCs w:val="18"/>
          <w:color w:val="auto"/>
        </w:rPr>
        <w:t>JPMorgan Chase Holdings LLC, an intermediate holding</w:t>
      </w:r>
      <w:r>
        <w:rPr>
          <w:rFonts w:ascii="Arial" w:cs="Arial" w:eastAsia="Arial" w:hAnsi="Arial"/>
          <w:sz w:val="18"/>
          <w:szCs w:val="18"/>
          <w:b w:val="1"/>
          <w:bCs w:val="1"/>
          <w:color w:val="auto"/>
        </w:rPr>
        <w:t xml:space="preserve"> </w:t>
      </w:r>
      <w:r>
        <w:rPr>
          <w:rFonts w:ascii="Arial" w:cs="Arial" w:eastAsia="Arial" w:hAnsi="Arial"/>
          <w:sz w:val="18"/>
          <w:szCs w:val="18"/>
          <w:color w:val="auto"/>
        </w:rPr>
        <w:t>company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LeAP: </w:t>
      </w:r>
      <w:r>
        <w:rPr>
          <w:rFonts w:ascii="Arial" w:cs="Arial" w:eastAsia="Arial" w:hAnsi="Arial"/>
          <w:sz w:val="18"/>
          <w:szCs w:val="18"/>
          <w:color w:val="auto"/>
        </w:rPr>
        <w:t>Women’s Leadership Acceleration Program</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LGBT+: </w:t>
      </w:r>
      <w:r>
        <w:rPr>
          <w:rFonts w:ascii="Arial" w:cs="Arial" w:eastAsia="Arial" w:hAnsi="Arial"/>
          <w:sz w:val="18"/>
          <w:szCs w:val="18"/>
          <w:color w:val="auto"/>
        </w:rPr>
        <w:t>Lesbian, Gay, Bisexual, Transgender plus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LOB: </w:t>
      </w:r>
      <w:r>
        <w:rPr>
          <w:rFonts w:ascii="Arial" w:cs="Arial" w:eastAsia="Arial" w:hAnsi="Arial"/>
          <w:sz w:val="18"/>
          <w:szCs w:val="18"/>
          <w:color w:val="auto"/>
        </w:rPr>
        <w:t>Line of business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MMBSI: </w:t>
      </w:r>
      <w:r>
        <w:rPr>
          <w:rFonts w:ascii="Arial" w:cs="Arial" w:eastAsia="Arial" w:hAnsi="Arial"/>
          <w:sz w:val="18"/>
          <w:szCs w:val="18"/>
          <w:color w:val="auto"/>
        </w:rPr>
        <w:t>Middle market banking &amp; specialized industries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NEO: </w:t>
      </w:r>
      <w:r>
        <w:rPr>
          <w:rFonts w:ascii="Arial" w:cs="Arial" w:eastAsia="Arial" w:hAnsi="Arial"/>
          <w:sz w:val="18"/>
          <w:szCs w:val="18"/>
          <w:color w:val="auto"/>
        </w:rPr>
        <w:t>Named Executive Officer</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Notice: </w:t>
      </w:r>
      <w:r>
        <w:rPr>
          <w:rFonts w:ascii="Arial" w:cs="Arial" w:eastAsia="Arial" w:hAnsi="Arial"/>
          <w:sz w:val="18"/>
          <w:szCs w:val="18"/>
          <w:color w:val="auto"/>
        </w:rPr>
        <w:t>Notice of Internet Availability of Proxy Material</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NYSE: </w:t>
      </w:r>
      <w:r>
        <w:rPr>
          <w:rFonts w:ascii="Arial" w:cs="Arial" w:eastAsia="Arial" w:hAnsi="Arial"/>
          <w:sz w:val="18"/>
          <w:szCs w:val="18"/>
          <w:color w:val="auto"/>
        </w:rPr>
        <w:t>New York Stock Exchange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OC: </w:t>
      </w:r>
      <w:r>
        <w:rPr>
          <w:rFonts w:ascii="Arial" w:cs="Arial" w:eastAsia="Arial" w:hAnsi="Arial"/>
          <w:sz w:val="18"/>
          <w:szCs w:val="18"/>
          <w:color w:val="auto"/>
        </w:rPr>
        <w:t>Operating Committee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ODI: </w:t>
      </w:r>
      <w:r>
        <w:rPr>
          <w:rFonts w:ascii="Arial" w:cs="Arial" w:eastAsia="Arial" w:hAnsi="Arial"/>
          <w:sz w:val="18"/>
          <w:szCs w:val="18"/>
          <w:color w:val="auto"/>
        </w:rPr>
        <w:t>Office of Disability Inclusion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PCAOB: </w:t>
      </w:r>
      <w:r>
        <w:rPr>
          <w:rFonts w:ascii="Arial" w:cs="Arial" w:eastAsia="Arial" w:hAnsi="Arial"/>
          <w:sz w:val="18"/>
          <w:szCs w:val="18"/>
          <w:color w:val="auto"/>
        </w:rPr>
        <w:t>Public Company Accounting Oversight Board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PwC: </w:t>
      </w:r>
      <w:r>
        <w:rPr>
          <w:rFonts w:ascii="Arial" w:cs="Arial" w:eastAsia="Arial" w:hAnsi="Arial"/>
          <w:sz w:val="18"/>
          <w:szCs w:val="18"/>
          <w:color w:val="auto"/>
        </w:rPr>
        <w:t>PricewaterhouseCoopers LLP</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PSU: </w:t>
      </w:r>
      <w:r>
        <w:rPr>
          <w:rFonts w:ascii="Arial" w:cs="Arial" w:eastAsia="Arial" w:hAnsi="Arial"/>
          <w:sz w:val="18"/>
          <w:szCs w:val="18"/>
          <w:color w:val="auto"/>
        </w:rPr>
        <w:t>Performance share unit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ROE: </w:t>
      </w:r>
      <w:r>
        <w:rPr>
          <w:rFonts w:ascii="Arial" w:cs="Arial" w:eastAsia="Arial" w:hAnsi="Arial"/>
          <w:sz w:val="18"/>
          <w:szCs w:val="18"/>
          <w:color w:val="auto"/>
        </w:rPr>
        <w:t>Return on equity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ROTCE: </w:t>
      </w:r>
      <w:r>
        <w:rPr>
          <w:rFonts w:ascii="Arial" w:cs="Arial" w:eastAsia="Arial" w:hAnsi="Arial"/>
          <w:sz w:val="18"/>
          <w:szCs w:val="18"/>
          <w:color w:val="auto"/>
        </w:rPr>
        <w:t>Return on tangible common equity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RSU: </w:t>
      </w:r>
      <w:r>
        <w:rPr>
          <w:rFonts w:ascii="Arial" w:cs="Arial" w:eastAsia="Arial" w:hAnsi="Arial"/>
          <w:sz w:val="18"/>
          <w:szCs w:val="18"/>
          <w:color w:val="auto"/>
        </w:rPr>
        <w:t>Restricted stock unit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SAR: </w:t>
      </w:r>
      <w:r>
        <w:rPr>
          <w:rFonts w:ascii="Arial" w:cs="Arial" w:eastAsia="Arial" w:hAnsi="Arial"/>
          <w:sz w:val="18"/>
          <w:szCs w:val="18"/>
          <w:color w:val="auto"/>
        </w:rPr>
        <w:t>Stock appreciation rights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SASB: </w:t>
      </w:r>
      <w:r>
        <w:rPr>
          <w:rFonts w:ascii="Arial" w:cs="Arial" w:eastAsia="Arial" w:hAnsi="Arial"/>
          <w:sz w:val="18"/>
          <w:szCs w:val="18"/>
          <w:color w:val="auto"/>
        </w:rPr>
        <w:t>Sustainability Accounting Standards Board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 </w:t>
      </w:r>
      <w:r>
        <w:rPr>
          <w:rFonts w:ascii="Arial" w:cs="Arial" w:eastAsia="Arial" w:hAnsi="Arial"/>
          <w:sz w:val="18"/>
          <w:szCs w:val="18"/>
          <w:color w:val="auto"/>
        </w:rPr>
        <w:t>United States Securities and Exchange Commission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SCT: </w:t>
      </w:r>
      <w:r>
        <w:rPr>
          <w:rFonts w:ascii="Arial" w:cs="Arial" w:eastAsia="Arial" w:hAnsi="Arial"/>
          <w:sz w:val="18"/>
          <w:szCs w:val="18"/>
          <w:color w:val="auto"/>
        </w:rPr>
        <w:t>Summary compensation table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Stock awards: </w:t>
      </w:r>
      <w:r>
        <w:rPr>
          <w:rFonts w:ascii="Arial" w:cs="Arial" w:eastAsia="Arial" w:hAnsi="Arial"/>
          <w:sz w:val="18"/>
          <w:szCs w:val="18"/>
          <w:color w:val="auto"/>
        </w:rPr>
        <w:t>RSUs and PSUs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TCJA: </w:t>
      </w:r>
      <w:r>
        <w:rPr>
          <w:rFonts w:ascii="Arial" w:cs="Arial" w:eastAsia="Arial" w:hAnsi="Arial"/>
          <w:sz w:val="18"/>
          <w:szCs w:val="18"/>
          <w:color w:val="auto"/>
        </w:rPr>
        <w:t>Tax Cuts and Jobs Act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TBVPS: </w:t>
      </w:r>
      <w:r>
        <w:rPr>
          <w:rFonts w:ascii="Arial" w:cs="Arial" w:eastAsia="Arial" w:hAnsi="Arial"/>
          <w:sz w:val="18"/>
          <w:szCs w:val="18"/>
          <w:color w:val="auto"/>
        </w:rPr>
        <w:t>Tangible book value per share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TCE: </w:t>
      </w:r>
      <w:r>
        <w:rPr>
          <w:rFonts w:ascii="Arial" w:cs="Arial" w:eastAsia="Arial" w:hAnsi="Arial"/>
          <w:sz w:val="18"/>
          <w:szCs w:val="18"/>
          <w:color w:val="auto"/>
        </w:rPr>
        <w:t>Tangible common equity</w:t>
      </w:r>
    </w:p>
    <w:p>
      <w:pPr>
        <w:spacing w:after="0" w:line="104" w:lineRule="exact"/>
        <w:rPr>
          <w:sz w:val="20"/>
          <w:szCs w:val="20"/>
          <w:color w:val="auto"/>
        </w:rPr>
      </w:pPr>
    </w:p>
    <w:p>
      <w:pPr>
        <w:ind w:right="540"/>
        <w:spacing w:after="0" w:line="271" w:lineRule="auto"/>
        <w:rPr>
          <w:sz w:val="20"/>
          <w:szCs w:val="20"/>
          <w:color w:val="auto"/>
        </w:rPr>
      </w:pPr>
      <w:r>
        <w:rPr>
          <w:rFonts w:ascii="Arial" w:cs="Arial" w:eastAsia="Arial" w:hAnsi="Arial"/>
          <w:sz w:val="18"/>
          <w:szCs w:val="18"/>
          <w:b w:val="1"/>
          <w:bCs w:val="1"/>
          <w:color w:val="auto"/>
        </w:rPr>
        <w:t xml:space="preserve">Tier 1 Employees: </w:t>
      </w:r>
      <w:r>
        <w:rPr>
          <w:rFonts w:ascii="Arial" w:cs="Arial" w:eastAsia="Arial" w:hAnsi="Arial"/>
          <w:sz w:val="18"/>
          <w:szCs w:val="18"/>
          <w:color w:val="auto"/>
        </w:rPr>
        <w:t>Employees who are material risk-takers</w:t>
      </w:r>
      <w:r>
        <w:rPr>
          <w:rFonts w:ascii="Arial" w:cs="Arial" w:eastAsia="Arial" w:hAnsi="Arial"/>
          <w:sz w:val="18"/>
          <w:szCs w:val="18"/>
          <w:b w:val="1"/>
          <w:bCs w:val="1"/>
          <w:color w:val="auto"/>
        </w:rPr>
        <w:t xml:space="preserve"> </w:t>
      </w:r>
      <w:r>
        <w:rPr>
          <w:rFonts w:ascii="Arial" w:cs="Arial" w:eastAsia="Arial" w:hAnsi="Arial"/>
          <w:sz w:val="18"/>
          <w:szCs w:val="18"/>
          <w:color w:val="auto"/>
        </w:rPr>
        <w:t>identified under Federal Reserve standards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TSR: </w:t>
      </w:r>
      <w:r>
        <w:rPr>
          <w:rFonts w:ascii="Arial" w:cs="Arial" w:eastAsia="Arial" w:hAnsi="Arial"/>
          <w:sz w:val="18"/>
          <w:szCs w:val="18"/>
          <w:color w:val="auto"/>
        </w:rPr>
        <w:t>Total shareholder return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U.K.: </w:t>
      </w:r>
      <w:r>
        <w:rPr>
          <w:rFonts w:ascii="Arial" w:cs="Arial" w:eastAsia="Arial" w:hAnsi="Arial"/>
          <w:sz w:val="18"/>
          <w:szCs w:val="18"/>
          <w:color w:val="auto"/>
        </w:rPr>
        <w:t>United Kingdom</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U.S.: </w:t>
      </w:r>
      <w:r>
        <w:rPr>
          <w:rFonts w:ascii="Arial" w:cs="Arial" w:eastAsia="Arial" w:hAnsi="Arial"/>
          <w:sz w:val="18"/>
          <w:szCs w:val="18"/>
          <w:color w:val="auto"/>
        </w:rPr>
        <w:t>United States of America</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U.S. GAAP: </w:t>
      </w:r>
      <w:r>
        <w:rPr>
          <w:rFonts w:ascii="Arial" w:cs="Arial" w:eastAsia="Arial" w:hAnsi="Arial"/>
          <w:sz w:val="18"/>
          <w:szCs w:val="18"/>
          <w:color w:val="auto"/>
        </w:rPr>
        <w:t>Accounting principles generally accepted in the U.S.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VETS: </w:t>
      </w:r>
      <w:r>
        <w:rPr>
          <w:rFonts w:ascii="Arial" w:cs="Arial" w:eastAsia="Arial" w:hAnsi="Arial"/>
          <w:sz w:val="18"/>
          <w:szCs w:val="18"/>
          <w:color w:val="auto"/>
        </w:rPr>
        <w:t>Voices for Employees that Served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WOTM: </w:t>
      </w:r>
      <w:r>
        <w:rPr>
          <w:rFonts w:ascii="Arial" w:cs="Arial" w:eastAsia="Arial" w:hAnsi="Arial"/>
          <w:sz w:val="18"/>
          <w:szCs w:val="18"/>
          <w:color w:val="auto"/>
        </w:rPr>
        <w:t>Women on the Move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354330</wp:posOffset>
            </wp:positionV>
            <wp:extent cx="7029450" cy="19685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029450" cy="1968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20" w:space="520"/>
            <w:col w:w="5280"/>
          </w:cols>
          <w:pgMar w:left="320" w:top="459" w:right="559" w:bottom="1440" w:gutter="0" w:footer="0" w:header="0"/>
          <w:type w:val="continuous"/>
        </w:sectPr>
      </w:pPr>
    </w:p>
    <w:p>
      <w:pPr>
        <w:spacing w:after="0" w:line="200" w:lineRule="exact"/>
        <w:rPr>
          <w:sz w:val="20"/>
          <w:szCs w:val="20"/>
          <w:color w:val="auto"/>
        </w:rPr>
      </w:pPr>
    </w:p>
    <w:p>
      <w:pPr>
        <w:spacing w:after="0" w:line="236" w:lineRule="exact"/>
        <w:rPr>
          <w:sz w:val="20"/>
          <w:szCs w:val="20"/>
          <w:color w:val="auto"/>
        </w:rPr>
      </w:pPr>
    </w:p>
    <w:p>
      <w:pPr>
        <w:jc w:val="center"/>
        <w:ind w:right="-239"/>
        <w:spacing w:after="0"/>
        <w:rPr>
          <w:sz w:val="20"/>
          <w:szCs w:val="20"/>
          <w:color w:val="auto"/>
        </w:rPr>
      </w:pPr>
      <w:r>
        <w:rPr>
          <w:rFonts w:ascii="Arial" w:cs="Arial" w:eastAsia="Arial" w:hAnsi="Arial"/>
          <w:sz w:val="13"/>
          <w:szCs w:val="13"/>
          <w:b w:val="1"/>
          <w:bCs w:val="1"/>
          <w:color w:val="004876"/>
        </w:rPr>
        <w:t>116</w:t>
      </w:r>
    </w:p>
    <w:p>
      <w:pPr>
        <w:sectPr>
          <w:pgSz w:w="11900" w:h="16838" w:orient="portrait"/>
          <w:cols w:equalWidth="0" w:num="1">
            <w:col w:w="11020"/>
          </w:cols>
          <w:pgMar w:left="320" w:top="459" w:right="559" w:bottom="1440" w:gutter="0" w:footer="0" w:header="0"/>
          <w:type w:val="continuous"/>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7269480</wp:posOffset>
            </wp:positionV>
            <wp:extent cx="1457325" cy="66865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145732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80" w:hanging="164"/>
        <w:spacing w:after="0"/>
        <w:tabs>
          <w:tab w:leader="none" w:pos="280" w:val="left"/>
        </w:tabs>
        <w:numPr>
          <w:ilvl w:val="0"/>
          <w:numId w:val="253"/>
        </w:numPr>
        <w:rPr>
          <w:rFonts w:ascii="Arial" w:cs="Arial" w:eastAsia="Arial" w:hAnsi="Arial"/>
          <w:sz w:val="15"/>
          <w:szCs w:val="15"/>
          <w:color w:val="auto"/>
        </w:rPr>
      </w:pPr>
      <w:r>
        <w:rPr>
          <w:rFonts w:ascii="Arial" w:cs="Arial" w:eastAsia="Arial" w:hAnsi="Arial"/>
          <w:sz w:val="18"/>
          <w:szCs w:val="18"/>
          <w:color w:val="auto"/>
        </w:rPr>
        <w:t>2020 JPMorgan Chase &amp; Co. All rights reserved.</w:t>
      </w:r>
    </w:p>
    <w:p>
      <w:pPr>
        <w:ind w:left="120"/>
        <w:spacing w:after="0"/>
        <w:rPr>
          <w:sz w:val="20"/>
          <w:szCs w:val="20"/>
          <w:color w:val="auto"/>
        </w:rPr>
      </w:pPr>
      <w:r>
        <w:rPr>
          <w:rFonts w:ascii="Arial" w:cs="Arial" w:eastAsia="Arial" w:hAnsi="Arial"/>
          <w:sz w:val="17"/>
          <w:szCs w:val="17"/>
          <w:color w:val="auto"/>
        </w:rPr>
        <w:t>Printed in U.S.A. on paper that contains recycled fiber with soy ink.</w:t>
      </w:r>
    </w:p>
    <w:p>
      <w:pPr>
        <w:sectPr>
          <w:pgSz w:w="11900" w:h="16838" w:orient="portrait"/>
          <w:cols w:equalWidth="0" w:num="1">
            <w:col w:w="10139"/>
          </w:cols>
          <w:pgMar w:left="320" w:top="459" w:right="1440"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240030</wp:posOffset>
            </wp:positionV>
            <wp:extent cx="2280285" cy="19748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2280285" cy="197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0"/>
        <w:spacing w:after="0"/>
        <w:rPr>
          <w:sz w:val="20"/>
          <w:szCs w:val="20"/>
          <w:color w:val="auto"/>
        </w:rPr>
      </w:pPr>
      <w:r>
        <w:rPr>
          <w:rFonts w:ascii="Arial" w:cs="Arial" w:eastAsia="Arial" w:hAnsi="Arial"/>
          <w:sz w:val="16"/>
          <w:szCs w:val="16"/>
          <w:color w:val="auto"/>
        </w:rPr>
        <w:t>COMPUTERSHARE</w:t>
      </w:r>
    </w:p>
    <w:p>
      <w:pPr>
        <w:spacing w:after="0" w:line="5" w:lineRule="exact"/>
        <w:rPr>
          <w:sz w:val="20"/>
          <w:szCs w:val="20"/>
          <w:color w:val="auto"/>
        </w:rPr>
      </w:pPr>
    </w:p>
    <w:p>
      <w:pPr>
        <w:ind w:left="600"/>
        <w:spacing w:after="0"/>
        <w:rPr>
          <w:sz w:val="20"/>
          <w:szCs w:val="20"/>
          <w:color w:val="auto"/>
        </w:rPr>
      </w:pPr>
      <w:r>
        <w:rPr>
          <w:rFonts w:ascii="Arial" w:cs="Arial" w:eastAsia="Arial" w:hAnsi="Arial"/>
          <w:sz w:val="16"/>
          <w:szCs w:val="16"/>
          <w:color w:val="auto"/>
        </w:rPr>
        <w:t>P.O. BOX 505000</w:t>
      </w:r>
    </w:p>
    <w:p>
      <w:pPr>
        <w:spacing w:after="0" w:line="5" w:lineRule="exact"/>
        <w:rPr>
          <w:sz w:val="20"/>
          <w:szCs w:val="20"/>
          <w:color w:val="auto"/>
        </w:rPr>
      </w:pPr>
    </w:p>
    <w:p>
      <w:pPr>
        <w:ind w:left="600"/>
        <w:spacing w:after="0"/>
        <w:rPr>
          <w:sz w:val="20"/>
          <w:szCs w:val="20"/>
          <w:color w:val="auto"/>
        </w:rPr>
      </w:pPr>
      <w:r>
        <w:rPr>
          <w:rFonts w:ascii="Arial" w:cs="Arial" w:eastAsia="Arial" w:hAnsi="Arial"/>
          <w:sz w:val="16"/>
          <w:szCs w:val="16"/>
          <w:color w:val="auto"/>
        </w:rPr>
        <w:t>LOUISVILLE, KY 40233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VOTE BY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-1149985</wp:posOffset>
            </wp:positionV>
            <wp:extent cx="7149465" cy="2540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column">
              <wp:posOffset>97790</wp:posOffset>
            </wp:positionH>
            <wp:positionV relativeFrom="paragraph">
              <wp:posOffset>-575945</wp:posOffset>
            </wp:positionV>
            <wp:extent cx="1954530" cy="47117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1954530" cy="471170"/>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i w:val="1"/>
          <w:iCs w:val="1"/>
          <w:color w:val="auto"/>
        </w:rPr>
        <w:t xml:space="preserve">Before The Meeting </w:t>
      </w:r>
      <w:r>
        <w:rPr>
          <w:rFonts w:ascii="Arial" w:cs="Arial" w:eastAsia="Arial" w:hAnsi="Arial"/>
          <w:sz w:val="11"/>
          <w:szCs w:val="11"/>
          <w:color w:val="auto"/>
        </w:rPr>
        <w:t>- Go to</w:t>
      </w:r>
      <w:r>
        <w:rPr>
          <w:rFonts w:ascii="Arial" w:cs="Arial" w:eastAsia="Arial" w:hAnsi="Arial"/>
          <w:sz w:val="11"/>
          <w:szCs w:val="11"/>
          <w:i w:val="1"/>
          <w:iCs w:val="1"/>
          <w:color w:val="auto"/>
        </w:rPr>
        <w:t xml:space="preserve"> </w:t>
      </w:r>
      <w:r>
        <w:rPr>
          <w:rFonts w:ascii="Arial" w:cs="Arial" w:eastAsia="Arial" w:hAnsi="Arial"/>
          <w:sz w:val="11"/>
          <w:szCs w:val="11"/>
          <w:b w:val="1"/>
          <w:bCs w:val="1"/>
          <w:u w:val="single" w:color="auto"/>
          <w:color w:val="auto"/>
        </w:rPr>
        <w:t>www.proxyvote.com</w:t>
      </w:r>
      <w:r>
        <w:rPr>
          <w:rFonts w:ascii="Arial" w:cs="Arial" w:eastAsia="Arial" w:hAnsi="Arial"/>
          <w:sz w:val="11"/>
          <w:szCs w:val="11"/>
          <w:i w:val="1"/>
          <w:iCs w:val="1"/>
          <w:color w:val="auto"/>
        </w:rPr>
        <w:t xml:space="preserve"> </w:t>
      </w:r>
      <w:r>
        <w:rPr>
          <w:rFonts w:ascii="Arial" w:cs="Arial" w:eastAsia="Arial" w:hAnsi="Arial"/>
          <w:sz w:val="11"/>
          <w:szCs w:val="11"/>
          <w:b w:val="1"/>
          <w:bCs w:val="1"/>
          <w:color w:val="auto"/>
        </w:rPr>
        <w:t>or scan the QR Barcode above</w:t>
      </w:r>
    </w:p>
    <w:p>
      <w:pPr>
        <w:spacing w:after="0" w:line="211" w:lineRule="exact"/>
        <w:rPr>
          <w:sz w:val="20"/>
          <w:szCs w:val="20"/>
          <w:color w:val="auto"/>
        </w:rPr>
      </w:pPr>
    </w:p>
    <w:p>
      <w:pPr>
        <w:jc w:val="both"/>
        <w:ind w:right="40"/>
        <w:spacing w:after="0" w:line="235" w:lineRule="auto"/>
        <w:rPr>
          <w:sz w:val="20"/>
          <w:szCs w:val="20"/>
          <w:color w:val="auto"/>
        </w:rPr>
      </w:pPr>
      <w:r>
        <w:rPr>
          <w:rFonts w:ascii="Arial" w:cs="Arial" w:eastAsia="Arial" w:hAnsi="Arial"/>
          <w:sz w:val="11"/>
          <w:szCs w:val="11"/>
          <w:color w:val="auto"/>
        </w:rPr>
        <w:t>Use the Internet to transmit your voting instructions and for electronic delivery of information up until 11:59 P.M. Eastern Time the day before the meeting date. Have your proxy card in hand when you access the website and follow the instructions to obtain your records and to create an electronic voting instruction form.</w:t>
      </w:r>
    </w:p>
    <w:p>
      <w:pPr>
        <w:spacing w:after="0" w:line="197"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 xml:space="preserve">During The Meeting </w:t>
      </w:r>
      <w:r>
        <w:rPr>
          <w:rFonts w:ascii="Arial" w:cs="Arial" w:eastAsia="Arial" w:hAnsi="Arial"/>
          <w:sz w:val="11"/>
          <w:szCs w:val="11"/>
          <w:color w:val="auto"/>
        </w:rPr>
        <w:t>- Go to</w:t>
      </w:r>
      <w:r>
        <w:rPr>
          <w:rFonts w:ascii="Arial" w:cs="Arial" w:eastAsia="Arial" w:hAnsi="Arial"/>
          <w:sz w:val="11"/>
          <w:szCs w:val="11"/>
          <w:i w:val="1"/>
          <w:iCs w:val="1"/>
          <w:color w:val="auto"/>
        </w:rPr>
        <w:t xml:space="preserve"> </w:t>
      </w:r>
      <w:r>
        <w:rPr>
          <w:rFonts w:ascii="Arial" w:cs="Arial" w:eastAsia="Arial" w:hAnsi="Arial"/>
          <w:sz w:val="11"/>
          <w:szCs w:val="11"/>
          <w:b w:val="1"/>
          <w:bCs w:val="1"/>
          <w:u w:val="single" w:color="auto"/>
          <w:color w:val="auto"/>
        </w:rPr>
        <w:t>www.virtualshareholdermeeting.com/JPM2020</w:t>
      </w:r>
    </w:p>
    <w:p>
      <w:pPr>
        <w:spacing w:after="0" w:line="223" w:lineRule="exact"/>
        <w:rPr>
          <w:sz w:val="20"/>
          <w:szCs w:val="20"/>
          <w:color w:val="auto"/>
        </w:rPr>
      </w:pPr>
    </w:p>
    <w:p>
      <w:pPr>
        <w:jc w:val="both"/>
        <w:ind w:right="40"/>
        <w:spacing w:after="0" w:line="238" w:lineRule="auto"/>
        <w:rPr>
          <w:sz w:val="20"/>
          <w:szCs w:val="20"/>
          <w:color w:val="auto"/>
        </w:rPr>
      </w:pPr>
      <w:r>
        <w:rPr>
          <w:rFonts w:ascii="Arial" w:cs="Arial" w:eastAsia="Arial" w:hAnsi="Arial"/>
          <w:sz w:val="11"/>
          <w:szCs w:val="11"/>
          <w:color w:val="auto"/>
        </w:rPr>
        <w:t>You may attend the meeting via the Internet and vote during the meeting. Have the information that is printed in the box marked by the arrow available and follow the instructions.</w:t>
      </w:r>
    </w:p>
    <w:p>
      <w:pPr>
        <w:spacing w:after="0" w:line="196"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VOTE BY PHONE - 1-800-690-6903</w:t>
      </w:r>
    </w:p>
    <w:p>
      <w:pPr>
        <w:spacing w:after="0" w:line="7" w:lineRule="exact"/>
        <w:rPr>
          <w:sz w:val="20"/>
          <w:szCs w:val="20"/>
          <w:color w:val="auto"/>
        </w:rPr>
      </w:pPr>
    </w:p>
    <w:p>
      <w:pPr>
        <w:ind w:right="260"/>
        <w:spacing w:after="0" w:line="284" w:lineRule="auto"/>
        <w:rPr>
          <w:sz w:val="20"/>
          <w:szCs w:val="20"/>
          <w:color w:val="auto"/>
        </w:rPr>
      </w:pPr>
      <w:r>
        <w:rPr>
          <w:rFonts w:ascii="Arial" w:cs="Arial" w:eastAsia="Arial" w:hAnsi="Arial"/>
          <w:sz w:val="10"/>
          <w:szCs w:val="10"/>
          <w:color w:val="auto"/>
        </w:rPr>
        <w:t>Use any touch-tone telephone to transmit your voting instructions up until 11:59 P.M. Eastern Time the day before the meeting date. Have your proxy card in hand when you call and then follow the instructions.</w:t>
      </w:r>
    </w:p>
    <w:p>
      <w:pPr>
        <w:spacing w:after="0" w:line="175"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VOTE BY MAIL</w:t>
      </w:r>
    </w:p>
    <w:p>
      <w:pPr>
        <w:spacing w:after="0" w:line="7" w:lineRule="exact"/>
        <w:rPr>
          <w:sz w:val="20"/>
          <w:szCs w:val="20"/>
          <w:color w:val="auto"/>
        </w:rPr>
      </w:pPr>
    </w:p>
    <w:p>
      <w:pPr>
        <w:ind w:right="80"/>
        <w:spacing w:after="0" w:line="238" w:lineRule="auto"/>
        <w:rPr>
          <w:sz w:val="20"/>
          <w:szCs w:val="20"/>
          <w:color w:val="auto"/>
        </w:rPr>
      </w:pPr>
      <w:r>
        <w:rPr>
          <w:rFonts w:ascii="Arial" w:cs="Arial" w:eastAsia="Arial" w:hAnsi="Arial"/>
          <w:sz w:val="11"/>
          <w:szCs w:val="11"/>
          <w:color w:val="auto"/>
        </w:rPr>
        <w:t>Mark, sign and date your proxy card and return it in the postage-paid envelope we have provided or return it to JPMorgan Chase &amp; Co., c/o Broadridge, 51 Mercedes Way, Edgewood, NY 11717.</w:t>
      </w:r>
    </w:p>
    <w:p>
      <w:pPr>
        <w:spacing w:after="0" w:line="88" w:lineRule="exact"/>
        <w:rPr>
          <w:sz w:val="20"/>
          <w:szCs w:val="20"/>
          <w:color w:val="auto"/>
        </w:rPr>
      </w:pPr>
    </w:p>
    <w:p>
      <w:pPr>
        <w:ind w:left="1640"/>
        <w:spacing w:after="0"/>
        <w:rPr>
          <w:sz w:val="20"/>
          <w:szCs w:val="20"/>
          <w:color w:val="auto"/>
        </w:rPr>
      </w:pPr>
      <w:r>
        <w:rPr>
          <w:rFonts w:ascii="Arial" w:cs="Arial" w:eastAsia="Arial" w:hAnsi="Arial"/>
          <w:sz w:val="11"/>
          <w:szCs w:val="11"/>
          <w:b w:val="1"/>
          <w:bCs w:val="1"/>
          <w:color w:val="auto"/>
        </w:rPr>
        <w:t>Your voting instructions are confidential.</w:t>
      </w:r>
    </w:p>
    <w:p>
      <w:pPr>
        <w:spacing w:after="0" w:line="200" w:lineRule="exact"/>
        <w:rPr>
          <w:sz w:val="20"/>
          <w:szCs w:val="20"/>
          <w:color w:val="auto"/>
        </w:rPr>
      </w:pPr>
    </w:p>
    <w:p>
      <w:pPr>
        <w:sectPr>
          <w:pgSz w:w="11900" w:h="16838" w:orient="portrait"/>
          <w:cols w:equalWidth="0" w:num="2">
            <w:col w:w="5020" w:space="720"/>
            <w:col w:w="5340"/>
          </w:cols>
          <w:pgMar w:left="320" w:top="459"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120" w:type="dxa"/>
        <w:tblCellMar>
          <w:top w:w="0" w:type="dxa"/>
          <w:left w:w="0" w:type="dxa"/>
          <w:bottom w:w="0" w:type="dxa"/>
          <w:right w:w="0" w:type="dxa"/>
        </w:tblCellMar>
      </w:tblPr>
      <w:tr>
        <w:trPr>
          <w:trHeight w:val="152"/>
        </w:trPr>
        <w:tc>
          <w:tcPr>
            <w:tcW w:w="5040" w:type="dxa"/>
            <w:vAlign w:val="bottom"/>
          </w:tcPr>
          <w:p>
            <w:pPr>
              <w:spacing w:after="0"/>
              <w:rPr>
                <w:sz w:val="20"/>
                <w:szCs w:val="20"/>
                <w:color w:val="auto"/>
              </w:rPr>
            </w:pPr>
            <w:r>
              <w:rPr>
                <w:rFonts w:ascii="Arial" w:cs="Arial" w:eastAsia="Arial" w:hAnsi="Arial"/>
                <w:sz w:val="13"/>
                <w:szCs w:val="13"/>
                <w:color w:val="auto"/>
              </w:rPr>
              <w:t>TO VOTE, MARK BLOCKS BELOW IN BLUE OR BLACK INK AS FOLLOWS:</w:t>
            </w:r>
          </w:p>
        </w:tc>
        <w:tc>
          <w:tcPr>
            <w:tcW w:w="2680" w:type="dxa"/>
            <w:vAlign w:val="bottom"/>
            <w:vMerge w:val="restart"/>
          </w:tcPr>
          <w:p>
            <w:pPr>
              <w:ind w:left="680"/>
              <w:spacing w:after="0"/>
              <w:rPr>
                <w:sz w:val="20"/>
                <w:szCs w:val="20"/>
                <w:color w:val="auto"/>
              </w:rPr>
            </w:pPr>
            <w:r>
              <w:rPr>
                <w:rFonts w:ascii="Arial" w:cs="Arial" w:eastAsia="Arial" w:hAnsi="Arial"/>
                <w:sz w:val="13"/>
                <w:szCs w:val="13"/>
                <w:color w:val="auto"/>
              </w:rPr>
              <w:t>E96270-P33527-Z76359</w:t>
            </w:r>
          </w:p>
        </w:tc>
        <w:tc>
          <w:tcPr>
            <w:tcW w:w="3240" w:type="dxa"/>
            <w:vAlign w:val="bottom"/>
            <w:vMerge w:val="restart"/>
          </w:tcPr>
          <w:p>
            <w:pPr>
              <w:ind w:left="620"/>
              <w:spacing w:after="0"/>
              <w:rPr>
                <w:sz w:val="20"/>
                <w:szCs w:val="20"/>
                <w:color w:val="auto"/>
              </w:rPr>
            </w:pPr>
            <w:r>
              <w:rPr>
                <w:rFonts w:ascii="Arial" w:cs="Arial" w:eastAsia="Arial" w:hAnsi="Arial"/>
                <w:sz w:val="13"/>
                <w:szCs w:val="13"/>
                <w:color w:val="auto"/>
                <w:w w:val="95"/>
              </w:rPr>
              <w:t>KEEP THIS PORTION FOR YOUR RECORDS</w:t>
            </w:r>
          </w:p>
        </w:tc>
        <w:tc>
          <w:tcPr>
            <w:tcW w:w="0" w:type="dxa"/>
            <w:vAlign w:val="bottom"/>
          </w:tcPr>
          <w:p>
            <w:pPr>
              <w:spacing w:after="0"/>
              <w:rPr>
                <w:sz w:val="1"/>
                <w:szCs w:val="1"/>
                <w:color w:val="auto"/>
              </w:rPr>
            </w:pPr>
          </w:p>
        </w:tc>
      </w:tr>
      <w:tr>
        <w:trPr>
          <w:trHeight w:val="79"/>
        </w:trPr>
        <w:tc>
          <w:tcPr>
            <w:tcW w:w="5040" w:type="dxa"/>
            <w:vAlign w:val="bottom"/>
          </w:tcPr>
          <w:p>
            <w:pPr>
              <w:spacing w:after="0"/>
              <w:rPr>
                <w:sz w:val="6"/>
                <w:szCs w:val="6"/>
                <w:color w:val="auto"/>
              </w:rPr>
            </w:pPr>
          </w:p>
        </w:tc>
        <w:tc>
          <w:tcPr>
            <w:tcW w:w="2680" w:type="dxa"/>
            <w:vAlign w:val="bottom"/>
            <w:vMerge w:val="continue"/>
          </w:tcPr>
          <w:p>
            <w:pPr>
              <w:spacing w:after="0"/>
              <w:rPr>
                <w:sz w:val="6"/>
                <w:szCs w:val="6"/>
                <w:color w:val="auto"/>
              </w:rPr>
            </w:pPr>
          </w:p>
        </w:tc>
        <w:tc>
          <w:tcPr>
            <w:tcW w:w="3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120" w:right="2580"/>
        <w:spacing w:after="0" w:line="215" w:lineRule="auto"/>
        <w:rPr>
          <w:sz w:val="20"/>
          <w:szCs w:val="20"/>
          <w:color w:val="auto"/>
        </w:rPr>
      </w:pPr>
      <w:r>
        <w:rPr>
          <w:rFonts w:ascii="Arial" w:cs="Arial" w:eastAsia="Arial" w:hAnsi="Arial"/>
          <w:sz w:val="13"/>
          <w:szCs w:val="13"/>
          <w:b w:val="1"/>
          <w:bCs w:val="1"/>
          <w:color w:val="auto"/>
        </w:rPr>
        <w:t>————————————— ———————————————————— ———————————————————— —————————————————</w:t>
      </w:r>
    </w:p>
    <w:p>
      <w:pPr>
        <w:jc w:val="right"/>
        <w:spacing w:after="0" w:line="234" w:lineRule="auto"/>
        <w:rPr>
          <w:sz w:val="20"/>
          <w:szCs w:val="20"/>
          <w:color w:val="auto"/>
        </w:rPr>
      </w:pPr>
      <w:r>
        <w:rPr>
          <w:rFonts w:ascii="Arial" w:cs="Arial" w:eastAsia="Arial" w:hAnsi="Arial"/>
          <w:sz w:val="13"/>
          <w:szCs w:val="13"/>
          <w:color w:val="auto"/>
        </w:rPr>
        <w:t>DETACH AND RETURN THIS PORTION ONLY</w:t>
      </w:r>
    </w:p>
    <w:p>
      <w:pPr>
        <w:ind w:left="3640"/>
        <w:spacing w:after="0"/>
        <w:rPr>
          <w:sz w:val="20"/>
          <w:szCs w:val="20"/>
          <w:color w:val="auto"/>
        </w:rPr>
      </w:pPr>
      <w:r>
        <w:rPr>
          <w:rFonts w:ascii="Arial" w:cs="Arial" w:eastAsia="Arial" w:hAnsi="Arial"/>
          <w:sz w:val="14"/>
          <w:szCs w:val="14"/>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23495</wp:posOffset>
            </wp:positionV>
            <wp:extent cx="6994525" cy="344551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6994525" cy="3445510"/>
                    </a:xfrm>
                    <a:prstGeom prst="rect">
                      <a:avLst/>
                    </a:prstGeom>
                    <a:noFill/>
                  </pic:spPr>
                </pic:pic>
              </a:graphicData>
            </a:graphic>
          </wp:anchor>
        </w:drawing>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JPMORGAN CHASE &amp; CO.</w:t>
      </w:r>
    </w:p>
    <w:p>
      <w:pPr>
        <w:spacing w:after="0" w:line="19" w:lineRule="exact"/>
        <w:rPr>
          <w:sz w:val="20"/>
          <w:szCs w:val="20"/>
          <w:color w:val="auto"/>
        </w:rPr>
      </w:pPr>
    </w:p>
    <w:p>
      <w:pPr>
        <w:ind w:left="560"/>
        <w:spacing w:after="0"/>
        <w:rPr>
          <w:sz w:val="20"/>
          <w:szCs w:val="20"/>
          <w:color w:val="auto"/>
        </w:rPr>
      </w:pPr>
      <w:r>
        <w:rPr>
          <w:rFonts w:ascii="Arial" w:cs="Arial" w:eastAsia="Arial" w:hAnsi="Arial"/>
          <w:sz w:val="11"/>
          <w:szCs w:val="11"/>
          <w:b w:val="1"/>
          <w:bCs w:val="1"/>
          <w:color w:val="auto"/>
        </w:rPr>
        <w:t>The Board of Directors recommends you vote FOR the following proposals:</w:t>
      </w:r>
    </w:p>
    <w:p>
      <w:pPr>
        <w:sectPr>
          <w:pgSz w:w="11900" w:h="16838" w:orient="portrait"/>
          <w:cols w:equalWidth="0" w:num="1">
            <w:col w:w="11080"/>
          </w:cols>
          <w:pgMar w:left="320" w:top="459" w:right="499" w:bottom="1440" w:gutter="0" w:footer="0" w:header="0"/>
          <w:type w:val="continuous"/>
        </w:sectPr>
      </w:pPr>
    </w:p>
    <w:p>
      <w:pPr>
        <w:spacing w:after="0" w:line="15" w:lineRule="exact"/>
        <w:rPr>
          <w:sz w:val="20"/>
          <w:szCs w:val="20"/>
          <w:color w:val="auto"/>
        </w:rPr>
      </w:pPr>
    </w:p>
    <w:tbl>
      <w:tblPr>
        <w:tblLayout w:type="fixed"/>
        <w:tblInd w:w="560" w:type="dxa"/>
        <w:tblCellMar>
          <w:top w:w="0" w:type="dxa"/>
          <w:left w:w="0" w:type="dxa"/>
          <w:bottom w:w="0" w:type="dxa"/>
          <w:right w:w="0" w:type="dxa"/>
        </w:tblCellMar>
      </w:tblPr>
      <w:tr>
        <w:trPr>
          <w:trHeight w:val="168"/>
        </w:trPr>
        <w:tc>
          <w:tcPr>
            <w:tcW w:w="3400" w:type="dxa"/>
            <w:vAlign w:val="bottom"/>
            <w:gridSpan w:val="2"/>
            <w:vMerge w:val="restart"/>
          </w:tcPr>
          <w:p>
            <w:pPr>
              <w:spacing w:after="0"/>
              <w:rPr>
                <w:sz w:val="20"/>
                <w:szCs w:val="20"/>
                <w:color w:val="auto"/>
              </w:rPr>
            </w:pPr>
            <w:r>
              <w:rPr>
                <w:rFonts w:ascii="Arial" w:cs="Arial" w:eastAsia="Arial" w:hAnsi="Arial"/>
                <w:sz w:val="11"/>
                <w:szCs w:val="11"/>
                <w:color w:val="auto"/>
              </w:rPr>
              <w:t>1.   Election of Directors</w:t>
            </w:r>
          </w:p>
        </w:tc>
        <w:tc>
          <w:tcPr>
            <w:tcW w:w="740" w:type="dxa"/>
            <w:vAlign w:val="bottom"/>
          </w:tcPr>
          <w:p>
            <w:pPr>
              <w:ind w:left="280"/>
              <w:spacing w:after="0"/>
              <w:rPr>
                <w:sz w:val="20"/>
                <w:szCs w:val="20"/>
                <w:color w:val="auto"/>
              </w:rPr>
            </w:pPr>
            <w:r>
              <w:rPr>
                <w:rFonts w:ascii="Arial" w:cs="Arial" w:eastAsia="Arial" w:hAnsi="Arial"/>
                <w:sz w:val="13"/>
                <w:szCs w:val="13"/>
                <w:b w:val="1"/>
                <w:bCs w:val="1"/>
                <w:color w:val="auto"/>
              </w:rPr>
              <w:t>For</w:t>
            </w:r>
          </w:p>
        </w:tc>
        <w:tc>
          <w:tcPr>
            <w:tcW w:w="720" w:type="dxa"/>
            <w:vAlign w:val="bottom"/>
          </w:tcPr>
          <w:p>
            <w:pPr>
              <w:jc w:val="center"/>
              <w:ind w:left="35"/>
              <w:spacing w:after="0"/>
              <w:rPr>
                <w:sz w:val="20"/>
                <w:szCs w:val="20"/>
                <w:color w:val="auto"/>
              </w:rPr>
            </w:pPr>
            <w:r>
              <w:rPr>
                <w:rFonts w:ascii="Arial" w:cs="Arial" w:eastAsia="Arial" w:hAnsi="Arial"/>
                <w:sz w:val="13"/>
                <w:szCs w:val="13"/>
                <w:b w:val="1"/>
                <w:bCs w:val="1"/>
                <w:color w:val="auto"/>
                <w:w w:val="96"/>
              </w:rPr>
              <w:t>Against</w:t>
            </w:r>
          </w:p>
        </w:tc>
        <w:tc>
          <w:tcPr>
            <w:tcW w:w="600" w:type="dxa"/>
            <w:vAlign w:val="bottom"/>
          </w:tcPr>
          <w:p>
            <w:pPr>
              <w:ind w:left="60"/>
              <w:spacing w:after="0"/>
              <w:rPr>
                <w:sz w:val="20"/>
                <w:szCs w:val="20"/>
                <w:color w:val="auto"/>
              </w:rPr>
            </w:pPr>
            <w:r>
              <w:rPr>
                <w:rFonts w:ascii="Arial" w:cs="Arial" w:eastAsia="Arial" w:hAnsi="Arial"/>
                <w:sz w:val="13"/>
                <w:szCs w:val="13"/>
                <w:b w:val="1"/>
                <w:bCs w:val="1"/>
                <w:color w:val="auto"/>
              </w:rPr>
              <w:t>Abstain</w:t>
            </w:r>
          </w:p>
        </w:tc>
        <w:tc>
          <w:tcPr>
            <w:tcW w:w="2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
        </w:trPr>
        <w:tc>
          <w:tcPr>
            <w:tcW w:w="3400" w:type="dxa"/>
            <w:vAlign w:val="bottom"/>
            <w:gridSpan w:val="2"/>
            <w:vMerge w:val="continue"/>
          </w:tcPr>
          <w:p>
            <w:pPr>
              <w:spacing w:after="0"/>
              <w:rPr>
                <w:sz w:val="3"/>
                <w:szCs w:val="3"/>
                <w:color w:val="auto"/>
              </w:rPr>
            </w:pPr>
          </w:p>
        </w:tc>
        <w:tc>
          <w:tcPr>
            <w:tcW w:w="740" w:type="dxa"/>
            <w:vAlign w:val="bottom"/>
            <w:vMerge w:val="restart"/>
          </w:tcPr>
          <w:p>
            <w:pPr>
              <w:ind w:left="340"/>
              <w:spacing w:after="0" w:line="221" w:lineRule="exact"/>
              <w:rPr>
                <w:sz w:val="20"/>
                <w:szCs w:val="20"/>
                <w:color w:val="auto"/>
              </w:rPr>
            </w:pPr>
            <w:r>
              <w:rPr>
                <w:rFonts w:ascii="MS PGothic" w:cs="MS PGothic" w:eastAsia="MS PGothic" w:hAnsi="MS PGothic"/>
                <w:sz w:val="22"/>
                <w:szCs w:val="22"/>
                <w:color w:val="auto"/>
              </w:rPr>
              <w:t>☐</w:t>
            </w:r>
          </w:p>
        </w:tc>
        <w:tc>
          <w:tcPr>
            <w:tcW w:w="720" w:type="dxa"/>
            <w:vAlign w:val="bottom"/>
            <w:vMerge w:val="restart"/>
          </w:tcPr>
          <w:p>
            <w:pPr>
              <w:jc w:val="center"/>
              <w:ind w:left="55"/>
              <w:spacing w:after="0" w:line="221" w:lineRule="exact"/>
              <w:rPr>
                <w:sz w:val="20"/>
                <w:szCs w:val="20"/>
                <w:color w:val="auto"/>
              </w:rPr>
            </w:pPr>
            <w:r>
              <w:rPr>
                <w:rFonts w:ascii="MS PGothic" w:cs="MS PGothic" w:eastAsia="MS PGothic" w:hAnsi="MS PGothic"/>
                <w:sz w:val="22"/>
                <w:szCs w:val="22"/>
                <w:color w:val="auto"/>
                <w:w w:val="90"/>
              </w:rPr>
              <w:t>☐</w:t>
            </w:r>
          </w:p>
        </w:tc>
        <w:tc>
          <w:tcPr>
            <w:tcW w:w="600" w:type="dxa"/>
            <w:vAlign w:val="bottom"/>
            <w:vMerge w:val="restart"/>
          </w:tcPr>
          <w:p>
            <w:pPr>
              <w:ind w:left="240"/>
              <w:spacing w:after="0" w:line="221" w:lineRule="exact"/>
              <w:rPr>
                <w:sz w:val="20"/>
                <w:szCs w:val="20"/>
                <w:color w:val="auto"/>
              </w:rPr>
            </w:pPr>
            <w:r>
              <w:rPr>
                <w:rFonts w:ascii="MS PGothic" w:cs="MS PGothic" w:eastAsia="MS PGothic" w:hAnsi="MS PGothic"/>
                <w:sz w:val="22"/>
                <w:szCs w:val="22"/>
                <w:color w:val="auto"/>
              </w:rPr>
              <w:t>☐</w:t>
            </w:r>
          </w:p>
        </w:tc>
        <w:tc>
          <w:tcPr>
            <w:tcW w:w="2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5"/>
        </w:trPr>
        <w:tc>
          <w:tcPr>
            <w:tcW w:w="460" w:type="dxa"/>
            <w:vAlign w:val="bottom"/>
          </w:tcPr>
          <w:p>
            <w:pPr>
              <w:ind w:left="240"/>
              <w:spacing w:after="0"/>
              <w:rPr>
                <w:sz w:val="20"/>
                <w:szCs w:val="20"/>
                <w:color w:val="auto"/>
              </w:rPr>
            </w:pPr>
            <w:r>
              <w:rPr>
                <w:rFonts w:ascii="Arial" w:cs="Arial" w:eastAsia="Arial" w:hAnsi="Arial"/>
                <w:sz w:val="11"/>
                <w:szCs w:val="11"/>
                <w:color w:val="auto"/>
              </w:rPr>
              <w:t>1a.</w:t>
            </w:r>
          </w:p>
        </w:tc>
        <w:tc>
          <w:tcPr>
            <w:tcW w:w="2940" w:type="dxa"/>
            <w:vAlign w:val="bottom"/>
          </w:tcPr>
          <w:p>
            <w:pPr>
              <w:ind w:left="100"/>
              <w:spacing w:after="0"/>
              <w:rPr>
                <w:sz w:val="20"/>
                <w:szCs w:val="20"/>
                <w:color w:val="auto"/>
              </w:rPr>
            </w:pPr>
            <w:r>
              <w:rPr>
                <w:rFonts w:ascii="Arial" w:cs="Arial" w:eastAsia="Arial" w:hAnsi="Arial"/>
                <w:sz w:val="11"/>
                <w:szCs w:val="11"/>
                <w:color w:val="auto"/>
              </w:rPr>
              <w:t>Linda B. Bammann</w:t>
            </w:r>
          </w:p>
        </w:tc>
        <w:tc>
          <w:tcPr>
            <w:tcW w:w="740" w:type="dxa"/>
            <w:vAlign w:val="bottom"/>
            <w:vMerge w:val="continue"/>
          </w:tcPr>
          <w:p>
            <w:pPr>
              <w:spacing w:after="0"/>
              <w:rPr>
                <w:sz w:val="19"/>
                <w:szCs w:val="19"/>
                <w:color w:val="auto"/>
              </w:rPr>
            </w:pPr>
          </w:p>
        </w:tc>
        <w:tc>
          <w:tcPr>
            <w:tcW w:w="720" w:type="dxa"/>
            <w:vAlign w:val="bottom"/>
            <w:vMerge w:val="continue"/>
          </w:tcPr>
          <w:p>
            <w:pPr>
              <w:spacing w:after="0"/>
              <w:rPr>
                <w:sz w:val="19"/>
                <w:szCs w:val="19"/>
                <w:color w:val="auto"/>
              </w:rPr>
            </w:pPr>
          </w:p>
        </w:tc>
        <w:tc>
          <w:tcPr>
            <w:tcW w:w="6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460" w:type="dxa"/>
            <w:vAlign w:val="bottom"/>
          </w:tcPr>
          <w:p>
            <w:pPr>
              <w:ind w:left="240"/>
              <w:spacing w:after="0"/>
              <w:rPr>
                <w:sz w:val="20"/>
                <w:szCs w:val="20"/>
                <w:color w:val="auto"/>
              </w:rPr>
            </w:pPr>
            <w:r>
              <w:rPr>
                <w:rFonts w:ascii="Arial" w:cs="Arial" w:eastAsia="Arial" w:hAnsi="Arial"/>
                <w:sz w:val="11"/>
                <w:szCs w:val="11"/>
                <w:color w:val="auto"/>
              </w:rPr>
              <w:t>1b.</w:t>
            </w:r>
          </w:p>
        </w:tc>
        <w:tc>
          <w:tcPr>
            <w:tcW w:w="2940" w:type="dxa"/>
            <w:vAlign w:val="bottom"/>
          </w:tcPr>
          <w:p>
            <w:pPr>
              <w:ind w:left="100"/>
              <w:spacing w:after="0"/>
              <w:rPr>
                <w:sz w:val="20"/>
                <w:szCs w:val="20"/>
                <w:color w:val="auto"/>
              </w:rPr>
            </w:pPr>
            <w:r>
              <w:rPr>
                <w:rFonts w:ascii="Arial" w:cs="Arial" w:eastAsia="Arial" w:hAnsi="Arial"/>
                <w:sz w:val="11"/>
                <w:szCs w:val="11"/>
                <w:color w:val="auto"/>
              </w:rPr>
              <w:t>Stephen B. Burke</w:t>
            </w:r>
          </w:p>
        </w:tc>
        <w:tc>
          <w:tcPr>
            <w:tcW w:w="740" w:type="dxa"/>
            <w:vAlign w:val="bottom"/>
          </w:tcPr>
          <w:p>
            <w:pPr>
              <w:ind w:left="340"/>
              <w:spacing w:after="0" w:line="221" w:lineRule="exact"/>
              <w:rPr>
                <w:sz w:val="20"/>
                <w:szCs w:val="20"/>
                <w:color w:val="auto"/>
              </w:rPr>
            </w:pPr>
            <w:r>
              <w:rPr>
                <w:rFonts w:ascii="MS PGothic" w:cs="MS PGothic" w:eastAsia="MS PGothic" w:hAnsi="MS PGothic"/>
                <w:sz w:val="22"/>
                <w:szCs w:val="22"/>
                <w:color w:val="auto"/>
              </w:rPr>
              <w:t>☐</w:t>
            </w:r>
          </w:p>
        </w:tc>
        <w:tc>
          <w:tcPr>
            <w:tcW w:w="720" w:type="dxa"/>
            <w:vAlign w:val="bottom"/>
          </w:tcPr>
          <w:p>
            <w:pPr>
              <w:jc w:val="center"/>
              <w:ind w:left="55"/>
              <w:spacing w:after="0" w:line="221" w:lineRule="exact"/>
              <w:rPr>
                <w:sz w:val="20"/>
                <w:szCs w:val="20"/>
                <w:color w:val="auto"/>
              </w:rPr>
            </w:pPr>
            <w:r>
              <w:rPr>
                <w:rFonts w:ascii="MS PGothic" w:cs="MS PGothic" w:eastAsia="MS PGothic" w:hAnsi="MS PGothic"/>
                <w:sz w:val="22"/>
                <w:szCs w:val="22"/>
                <w:color w:val="auto"/>
                <w:w w:val="90"/>
              </w:rPr>
              <w:t>☐</w:t>
            </w:r>
          </w:p>
        </w:tc>
        <w:tc>
          <w:tcPr>
            <w:tcW w:w="600" w:type="dxa"/>
            <w:vAlign w:val="bottom"/>
          </w:tcPr>
          <w:p>
            <w:pPr>
              <w:ind w:left="240"/>
              <w:spacing w:after="0" w:line="221" w:lineRule="exact"/>
              <w:rPr>
                <w:sz w:val="20"/>
                <w:szCs w:val="20"/>
                <w:color w:val="auto"/>
              </w:rPr>
            </w:pPr>
            <w:r>
              <w:rPr>
                <w:rFonts w:ascii="MS PGothic" w:cs="MS PGothic" w:eastAsia="MS PGothic" w:hAnsi="MS PGothic"/>
                <w:sz w:val="22"/>
                <w:szCs w:val="22"/>
                <w:color w:val="auto"/>
              </w:rPr>
              <w:t>☐</w:t>
            </w:r>
          </w:p>
        </w:tc>
        <w:tc>
          <w:tcPr>
            <w:tcW w:w="220" w:type="dxa"/>
            <w:vAlign w:val="bottom"/>
          </w:tcPr>
          <w:p>
            <w:pPr>
              <w:spacing w:after="0"/>
              <w:rPr>
                <w:sz w:val="22"/>
                <w:szCs w:val="22"/>
                <w:color w:val="auto"/>
              </w:rPr>
            </w:pPr>
          </w:p>
        </w:tc>
        <w:tc>
          <w:tcPr>
            <w:tcW w:w="2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7"/>
        </w:trPr>
        <w:tc>
          <w:tcPr>
            <w:tcW w:w="46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740" w:type="dxa"/>
            <w:vAlign w:val="bottom"/>
            <w:vMerge w:val="restart"/>
          </w:tcPr>
          <w:p>
            <w:pPr>
              <w:ind w:left="280"/>
              <w:spacing w:after="0" w:line="221" w:lineRule="exact"/>
              <w:rPr>
                <w:sz w:val="20"/>
                <w:szCs w:val="20"/>
                <w:color w:val="auto"/>
              </w:rPr>
            </w:pPr>
            <w:r>
              <w:rPr>
                <w:rFonts w:ascii="MS PGothic" w:cs="MS PGothic" w:eastAsia="MS PGothic" w:hAnsi="MS PGothic"/>
                <w:sz w:val="22"/>
                <w:szCs w:val="22"/>
                <w:color w:val="auto"/>
              </w:rPr>
              <w:t>☐</w:t>
            </w:r>
          </w:p>
        </w:tc>
        <w:tc>
          <w:tcPr>
            <w:tcW w:w="720" w:type="dxa"/>
            <w:vAlign w:val="bottom"/>
            <w:vMerge w:val="restart"/>
          </w:tcPr>
          <w:p>
            <w:pPr>
              <w:jc w:val="center"/>
              <w:ind w:left="55"/>
              <w:spacing w:after="0" w:line="221" w:lineRule="exact"/>
              <w:rPr>
                <w:sz w:val="20"/>
                <w:szCs w:val="20"/>
                <w:color w:val="auto"/>
              </w:rPr>
            </w:pPr>
            <w:r>
              <w:rPr>
                <w:rFonts w:ascii="MS PGothic" w:cs="MS PGothic" w:eastAsia="MS PGothic" w:hAnsi="MS PGothic"/>
                <w:sz w:val="22"/>
                <w:szCs w:val="22"/>
                <w:color w:val="auto"/>
                <w:w w:val="90"/>
              </w:rPr>
              <w:t>☐</w:t>
            </w:r>
          </w:p>
        </w:tc>
        <w:tc>
          <w:tcPr>
            <w:tcW w:w="600" w:type="dxa"/>
            <w:vAlign w:val="bottom"/>
            <w:vMerge w:val="restart"/>
          </w:tcPr>
          <w:p>
            <w:pPr>
              <w:ind w:left="240"/>
              <w:spacing w:after="0" w:line="221" w:lineRule="exact"/>
              <w:rPr>
                <w:sz w:val="20"/>
                <w:szCs w:val="20"/>
                <w:color w:val="auto"/>
              </w:rPr>
            </w:pPr>
            <w:r>
              <w:rPr>
                <w:rFonts w:ascii="MS PGothic" w:cs="MS PGothic" w:eastAsia="MS PGothic" w:hAnsi="MS PGothic"/>
                <w:sz w:val="22"/>
                <w:szCs w:val="22"/>
                <w:color w:val="auto"/>
              </w:rPr>
              <w:t>☐</w:t>
            </w:r>
          </w:p>
        </w:tc>
        <w:tc>
          <w:tcPr>
            <w:tcW w:w="3120" w:type="dxa"/>
            <w:vAlign w:val="bottom"/>
            <w:gridSpan w:val="2"/>
          </w:tcPr>
          <w:p>
            <w:pPr>
              <w:ind w:left="60"/>
              <w:spacing w:after="0"/>
              <w:rPr>
                <w:sz w:val="20"/>
                <w:szCs w:val="20"/>
                <w:color w:val="auto"/>
              </w:rPr>
            </w:pPr>
            <w:r>
              <w:rPr>
                <w:rFonts w:ascii="Arial" w:cs="Arial" w:eastAsia="Arial" w:hAnsi="Arial"/>
                <w:sz w:val="11"/>
                <w:szCs w:val="11"/>
                <w:b w:val="1"/>
                <w:bCs w:val="1"/>
                <w:color w:val="auto"/>
                <w:w w:val="97"/>
              </w:rPr>
              <w:t>The Board of Directors recommends you vote AGAINST the</w:t>
            </w:r>
          </w:p>
        </w:tc>
        <w:tc>
          <w:tcPr>
            <w:tcW w:w="0" w:type="dxa"/>
            <w:vAlign w:val="bottom"/>
          </w:tcPr>
          <w:p>
            <w:pPr>
              <w:spacing w:after="0"/>
              <w:rPr>
                <w:sz w:val="1"/>
                <w:szCs w:val="1"/>
                <w:color w:val="auto"/>
              </w:rPr>
            </w:pPr>
          </w:p>
        </w:tc>
      </w:tr>
      <w:tr>
        <w:trPr>
          <w:trHeight w:val="110"/>
        </w:trPr>
        <w:tc>
          <w:tcPr>
            <w:tcW w:w="460" w:type="dxa"/>
            <w:vAlign w:val="bottom"/>
          </w:tcPr>
          <w:p>
            <w:pPr>
              <w:ind w:left="240"/>
              <w:spacing w:after="0" w:line="110" w:lineRule="exact"/>
              <w:rPr>
                <w:sz w:val="20"/>
                <w:szCs w:val="20"/>
                <w:color w:val="auto"/>
              </w:rPr>
            </w:pPr>
            <w:r>
              <w:rPr>
                <w:rFonts w:ascii="Arial" w:cs="Arial" w:eastAsia="Arial" w:hAnsi="Arial"/>
                <w:sz w:val="11"/>
                <w:szCs w:val="11"/>
                <w:color w:val="auto"/>
              </w:rPr>
              <w:t>1c.</w:t>
            </w:r>
          </w:p>
        </w:tc>
        <w:tc>
          <w:tcPr>
            <w:tcW w:w="2940" w:type="dxa"/>
            <w:vAlign w:val="bottom"/>
          </w:tcPr>
          <w:p>
            <w:pPr>
              <w:ind w:left="100"/>
              <w:spacing w:after="0" w:line="110" w:lineRule="exact"/>
              <w:rPr>
                <w:sz w:val="20"/>
                <w:szCs w:val="20"/>
                <w:color w:val="auto"/>
              </w:rPr>
            </w:pPr>
            <w:r>
              <w:rPr>
                <w:rFonts w:ascii="Arial" w:cs="Arial" w:eastAsia="Arial" w:hAnsi="Arial"/>
                <w:sz w:val="11"/>
                <w:szCs w:val="11"/>
                <w:color w:val="auto"/>
              </w:rPr>
              <w:t>Todd A. Combs</w:t>
            </w:r>
          </w:p>
        </w:tc>
        <w:tc>
          <w:tcPr>
            <w:tcW w:w="7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3120" w:type="dxa"/>
            <w:vAlign w:val="bottom"/>
            <w:gridSpan w:val="2"/>
          </w:tcPr>
          <w:p>
            <w:pPr>
              <w:ind w:left="60"/>
              <w:spacing w:after="0" w:line="110" w:lineRule="exact"/>
              <w:rPr>
                <w:sz w:val="20"/>
                <w:szCs w:val="20"/>
                <w:color w:val="auto"/>
              </w:rPr>
            </w:pPr>
            <w:r>
              <w:rPr>
                <w:rFonts w:ascii="Arial" w:cs="Arial" w:eastAsia="Arial" w:hAnsi="Arial"/>
                <w:sz w:val="11"/>
                <w:szCs w:val="11"/>
                <w:b w:val="1"/>
                <w:bCs w:val="1"/>
                <w:color w:val="auto"/>
              </w:rPr>
              <w:t>following shareholder proposals:</w:t>
            </w:r>
          </w:p>
        </w:tc>
        <w:tc>
          <w:tcPr>
            <w:tcW w:w="0" w:type="dxa"/>
            <w:vAlign w:val="bottom"/>
          </w:tcPr>
          <w:p>
            <w:pPr>
              <w:spacing w:after="0"/>
              <w:rPr>
                <w:sz w:val="1"/>
                <w:szCs w:val="1"/>
                <w:color w:val="auto"/>
              </w:rPr>
            </w:pPr>
          </w:p>
        </w:tc>
      </w:tr>
      <w:tr>
        <w:trPr>
          <w:trHeight w:val="257"/>
        </w:trPr>
        <w:tc>
          <w:tcPr>
            <w:tcW w:w="460" w:type="dxa"/>
            <w:vAlign w:val="bottom"/>
          </w:tcPr>
          <w:p>
            <w:pPr>
              <w:ind w:left="240"/>
              <w:spacing w:after="0"/>
              <w:rPr>
                <w:sz w:val="20"/>
                <w:szCs w:val="20"/>
                <w:color w:val="auto"/>
              </w:rPr>
            </w:pPr>
            <w:r>
              <w:rPr>
                <w:rFonts w:ascii="Arial" w:cs="Arial" w:eastAsia="Arial" w:hAnsi="Arial"/>
                <w:sz w:val="11"/>
                <w:szCs w:val="11"/>
                <w:color w:val="auto"/>
              </w:rPr>
              <w:t>1d.</w:t>
            </w:r>
          </w:p>
        </w:tc>
        <w:tc>
          <w:tcPr>
            <w:tcW w:w="2940" w:type="dxa"/>
            <w:vAlign w:val="bottom"/>
          </w:tcPr>
          <w:p>
            <w:pPr>
              <w:ind w:left="100"/>
              <w:spacing w:after="0"/>
              <w:rPr>
                <w:sz w:val="20"/>
                <w:szCs w:val="20"/>
                <w:color w:val="auto"/>
              </w:rPr>
            </w:pPr>
            <w:r>
              <w:rPr>
                <w:rFonts w:ascii="Arial" w:cs="Arial" w:eastAsia="Arial" w:hAnsi="Arial"/>
                <w:sz w:val="11"/>
                <w:szCs w:val="11"/>
                <w:color w:val="auto"/>
              </w:rPr>
              <w:t>James S. Crown</w:t>
            </w:r>
          </w:p>
        </w:tc>
        <w:tc>
          <w:tcPr>
            <w:tcW w:w="740" w:type="dxa"/>
            <w:vAlign w:val="bottom"/>
          </w:tcPr>
          <w:p>
            <w:pPr>
              <w:ind w:left="280"/>
              <w:spacing w:after="0" w:line="221" w:lineRule="exact"/>
              <w:rPr>
                <w:sz w:val="20"/>
                <w:szCs w:val="20"/>
                <w:color w:val="auto"/>
              </w:rPr>
            </w:pPr>
            <w:r>
              <w:rPr>
                <w:rFonts w:ascii="MS PGothic" w:cs="MS PGothic" w:eastAsia="MS PGothic" w:hAnsi="MS PGothic"/>
                <w:sz w:val="22"/>
                <w:szCs w:val="22"/>
                <w:color w:val="auto"/>
              </w:rPr>
              <w:t>☐</w:t>
            </w:r>
          </w:p>
        </w:tc>
        <w:tc>
          <w:tcPr>
            <w:tcW w:w="720" w:type="dxa"/>
            <w:vAlign w:val="bottom"/>
          </w:tcPr>
          <w:p>
            <w:pPr>
              <w:jc w:val="center"/>
              <w:ind w:left="55"/>
              <w:spacing w:after="0" w:line="221" w:lineRule="exact"/>
              <w:rPr>
                <w:sz w:val="20"/>
                <w:szCs w:val="20"/>
                <w:color w:val="auto"/>
              </w:rPr>
            </w:pPr>
            <w:r>
              <w:rPr>
                <w:rFonts w:ascii="MS PGothic" w:cs="MS PGothic" w:eastAsia="MS PGothic" w:hAnsi="MS PGothic"/>
                <w:sz w:val="22"/>
                <w:szCs w:val="22"/>
                <w:color w:val="auto"/>
                <w:w w:val="90"/>
              </w:rPr>
              <w:t>☐</w:t>
            </w:r>
          </w:p>
        </w:tc>
        <w:tc>
          <w:tcPr>
            <w:tcW w:w="600" w:type="dxa"/>
            <w:vAlign w:val="bottom"/>
          </w:tcPr>
          <w:p>
            <w:pPr>
              <w:ind w:left="240"/>
              <w:spacing w:after="0" w:line="221" w:lineRule="exact"/>
              <w:rPr>
                <w:sz w:val="20"/>
                <w:szCs w:val="20"/>
                <w:color w:val="auto"/>
              </w:rPr>
            </w:pPr>
            <w:r>
              <w:rPr>
                <w:rFonts w:ascii="MS PGothic" w:cs="MS PGothic" w:eastAsia="MS PGothic" w:hAnsi="MS PGothic"/>
                <w:sz w:val="22"/>
                <w:szCs w:val="22"/>
                <w:color w:val="auto"/>
              </w:rPr>
              <w:t>☐</w:t>
            </w:r>
          </w:p>
        </w:tc>
        <w:tc>
          <w:tcPr>
            <w:tcW w:w="220" w:type="dxa"/>
            <w:vAlign w:val="bottom"/>
          </w:tcPr>
          <w:p>
            <w:pPr>
              <w:ind w:left="60"/>
              <w:spacing w:after="0"/>
              <w:rPr>
                <w:sz w:val="20"/>
                <w:szCs w:val="20"/>
                <w:color w:val="auto"/>
              </w:rPr>
            </w:pPr>
            <w:r>
              <w:rPr>
                <w:rFonts w:ascii="Arial" w:cs="Arial" w:eastAsia="Arial" w:hAnsi="Arial"/>
                <w:sz w:val="11"/>
                <w:szCs w:val="11"/>
                <w:color w:val="auto"/>
              </w:rPr>
              <w:t>4.</w:t>
            </w:r>
          </w:p>
        </w:tc>
        <w:tc>
          <w:tcPr>
            <w:tcW w:w="2900" w:type="dxa"/>
            <w:vAlign w:val="bottom"/>
          </w:tcPr>
          <w:p>
            <w:pPr>
              <w:ind w:left="80"/>
              <w:spacing w:after="0"/>
              <w:rPr>
                <w:sz w:val="20"/>
                <w:szCs w:val="20"/>
                <w:color w:val="auto"/>
              </w:rPr>
            </w:pPr>
            <w:r>
              <w:rPr>
                <w:rFonts w:ascii="Arial" w:cs="Arial" w:eastAsia="Arial" w:hAnsi="Arial"/>
                <w:sz w:val="11"/>
                <w:szCs w:val="11"/>
                <w:color w:val="auto"/>
              </w:rPr>
              <w:t>Independent board chairman</w:t>
            </w:r>
          </w:p>
        </w:tc>
        <w:tc>
          <w:tcPr>
            <w:tcW w:w="0" w:type="dxa"/>
            <w:vAlign w:val="bottom"/>
          </w:tcPr>
          <w:p>
            <w:pPr>
              <w:spacing w:after="0"/>
              <w:rPr>
                <w:sz w:val="1"/>
                <w:szCs w:val="1"/>
                <w:color w:val="auto"/>
              </w:rPr>
            </w:pPr>
          </w:p>
        </w:tc>
      </w:tr>
      <w:tr>
        <w:trPr>
          <w:trHeight w:val="145"/>
        </w:trPr>
        <w:tc>
          <w:tcPr>
            <w:tcW w:w="46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740" w:type="dxa"/>
            <w:vAlign w:val="bottom"/>
            <w:vMerge w:val="restart"/>
          </w:tcPr>
          <w:p>
            <w:pPr>
              <w:ind w:left="280"/>
              <w:spacing w:after="0" w:line="221" w:lineRule="exact"/>
              <w:rPr>
                <w:sz w:val="20"/>
                <w:szCs w:val="20"/>
                <w:color w:val="auto"/>
              </w:rPr>
            </w:pPr>
            <w:r>
              <w:rPr>
                <w:rFonts w:ascii="MS PGothic" w:cs="MS PGothic" w:eastAsia="MS PGothic" w:hAnsi="MS PGothic"/>
                <w:sz w:val="22"/>
                <w:szCs w:val="22"/>
                <w:color w:val="auto"/>
              </w:rPr>
              <w:t>☐</w:t>
            </w:r>
          </w:p>
        </w:tc>
        <w:tc>
          <w:tcPr>
            <w:tcW w:w="720" w:type="dxa"/>
            <w:vAlign w:val="bottom"/>
            <w:vMerge w:val="restart"/>
          </w:tcPr>
          <w:p>
            <w:pPr>
              <w:jc w:val="center"/>
              <w:ind w:left="55"/>
              <w:spacing w:after="0" w:line="221" w:lineRule="exact"/>
              <w:rPr>
                <w:sz w:val="20"/>
                <w:szCs w:val="20"/>
                <w:color w:val="auto"/>
              </w:rPr>
            </w:pPr>
            <w:r>
              <w:rPr>
                <w:rFonts w:ascii="MS PGothic" w:cs="MS PGothic" w:eastAsia="MS PGothic" w:hAnsi="MS PGothic"/>
                <w:sz w:val="22"/>
                <w:szCs w:val="22"/>
                <w:color w:val="auto"/>
                <w:w w:val="90"/>
              </w:rPr>
              <w:t>☐</w:t>
            </w:r>
          </w:p>
        </w:tc>
        <w:tc>
          <w:tcPr>
            <w:tcW w:w="600" w:type="dxa"/>
            <w:vAlign w:val="bottom"/>
            <w:vMerge w:val="restart"/>
          </w:tcPr>
          <w:p>
            <w:pPr>
              <w:ind w:left="240"/>
              <w:spacing w:after="0" w:line="221" w:lineRule="exact"/>
              <w:rPr>
                <w:sz w:val="20"/>
                <w:szCs w:val="20"/>
                <w:color w:val="auto"/>
              </w:rPr>
            </w:pPr>
            <w:r>
              <w:rPr>
                <w:rFonts w:ascii="MS PGothic" w:cs="MS PGothic" w:eastAsia="MS PGothic" w:hAnsi="MS PGothic"/>
                <w:sz w:val="22"/>
                <w:szCs w:val="22"/>
                <w:color w:val="auto"/>
              </w:rPr>
              <w:t>☐</w:t>
            </w:r>
          </w:p>
        </w:tc>
        <w:tc>
          <w:tcPr>
            <w:tcW w:w="220" w:type="dxa"/>
            <w:vAlign w:val="bottom"/>
          </w:tcPr>
          <w:p>
            <w:pPr>
              <w:ind w:left="60"/>
              <w:spacing w:after="0"/>
              <w:rPr>
                <w:sz w:val="20"/>
                <w:szCs w:val="20"/>
                <w:color w:val="auto"/>
              </w:rPr>
            </w:pPr>
            <w:r>
              <w:rPr>
                <w:rFonts w:ascii="Arial" w:cs="Arial" w:eastAsia="Arial" w:hAnsi="Arial"/>
                <w:sz w:val="11"/>
                <w:szCs w:val="11"/>
                <w:color w:val="auto"/>
              </w:rPr>
              <w:t>5.</w:t>
            </w:r>
          </w:p>
        </w:tc>
        <w:tc>
          <w:tcPr>
            <w:tcW w:w="2900" w:type="dxa"/>
            <w:vAlign w:val="bottom"/>
          </w:tcPr>
          <w:p>
            <w:pPr>
              <w:ind w:left="80"/>
              <w:spacing w:after="0"/>
              <w:rPr>
                <w:sz w:val="20"/>
                <w:szCs w:val="20"/>
                <w:color w:val="auto"/>
              </w:rPr>
            </w:pPr>
            <w:r>
              <w:rPr>
                <w:rFonts w:ascii="Arial" w:cs="Arial" w:eastAsia="Arial" w:hAnsi="Arial"/>
                <w:sz w:val="11"/>
                <w:szCs w:val="11"/>
                <w:color w:val="auto"/>
              </w:rPr>
              <w:t>Oil and gas company and project financing related to the</w:t>
            </w:r>
          </w:p>
        </w:tc>
        <w:tc>
          <w:tcPr>
            <w:tcW w:w="0" w:type="dxa"/>
            <w:vAlign w:val="bottom"/>
          </w:tcPr>
          <w:p>
            <w:pPr>
              <w:spacing w:after="0"/>
              <w:rPr>
                <w:sz w:val="1"/>
                <w:szCs w:val="1"/>
                <w:color w:val="auto"/>
              </w:rPr>
            </w:pPr>
          </w:p>
        </w:tc>
      </w:tr>
      <w:tr>
        <w:trPr>
          <w:trHeight w:val="111"/>
        </w:trPr>
        <w:tc>
          <w:tcPr>
            <w:tcW w:w="460" w:type="dxa"/>
            <w:vAlign w:val="bottom"/>
          </w:tcPr>
          <w:p>
            <w:pPr>
              <w:ind w:left="240"/>
              <w:spacing w:after="0" w:line="112" w:lineRule="exact"/>
              <w:rPr>
                <w:sz w:val="20"/>
                <w:szCs w:val="20"/>
                <w:color w:val="auto"/>
              </w:rPr>
            </w:pPr>
            <w:r>
              <w:rPr>
                <w:rFonts w:ascii="Arial" w:cs="Arial" w:eastAsia="Arial" w:hAnsi="Arial"/>
                <w:sz w:val="11"/>
                <w:szCs w:val="11"/>
                <w:color w:val="auto"/>
              </w:rPr>
              <w:t>1e.</w:t>
            </w:r>
          </w:p>
        </w:tc>
        <w:tc>
          <w:tcPr>
            <w:tcW w:w="2940" w:type="dxa"/>
            <w:vAlign w:val="bottom"/>
          </w:tcPr>
          <w:p>
            <w:pPr>
              <w:ind w:left="100"/>
              <w:spacing w:after="0" w:line="112" w:lineRule="exact"/>
              <w:rPr>
                <w:sz w:val="20"/>
                <w:szCs w:val="20"/>
                <w:color w:val="auto"/>
              </w:rPr>
            </w:pPr>
            <w:r>
              <w:rPr>
                <w:rFonts w:ascii="Arial" w:cs="Arial" w:eastAsia="Arial" w:hAnsi="Arial"/>
                <w:sz w:val="11"/>
                <w:szCs w:val="11"/>
                <w:color w:val="auto"/>
              </w:rPr>
              <w:t>James Dimon</w:t>
            </w:r>
          </w:p>
        </w:tc>
        <w:tc>
          <w:tcPr>
            <w:tcW w:w="7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900" w:type="dxa"/>
            <w:vAlign w:val="bottom"/>
          </w:tcPr>
          <w:p>
            <w:pPr>
              <w:ind w:left="80"/>
              <w:spacing w:after="0" w:line="112" w:lineRule="exact"/>
              <w:rPr>
                <w:sz w:val="20"/>
                <w:szCs w:val="20"/>
                <w:color w:val="auto"/>
              </w:rPr>
            </w:pPr>
            <w:r>
              <w:rPr>
                <w:rFonts w:ascii="Arial" w:cs="Arial" w:eastAsia="Arial" w:hAnsi="Arial"/>
                <w:sz w:val="11"/>
                <w:szCs w:val="11"/>
                <w:color w:val="auto"/>
              </w:rPr>
              <w:t>Arctic and the Canadian oil sands</w:t>
            </w:r>
          </w:p>
        </w:tc>
        <w:tc>
          <w:tcPr>
            <w:tcW w:w="0" w:type="dxa"/>
            <w:vAlign w:val="bottom"/>
          </w:tcPr>
          <w:p>
            <w:pPr>
              <w:spacing w:after="0"/>
              <w:rPr>
                <w:sz w:val="1"/>
                <w:szCs w:val="1"/>
                <w:color w:val="auto"/>
              </w:rPr>
            </w:pPr>
          </w:p>
        </w:tc>
      </w:tr>
      <w:tr>
        <w:trPr>
          <w:trHeight w:val="257"/>
        </w:trPr>
        <w:tc>
          <w:tcPr>
            <w:tcW w:w="460" w:type="dxa"/>
            <w:vAlign w:val="bottom"/>
          </w:tcPr>
          <w:p>
            <w:pPr>
              <w:ind w:left="240"/>
              <w:spacing w:after="0"/>
              <w:rPr>
                <w:sz w:val="20"/>
                <w:szCs w:val="20"/>
                <w:color w:val="auto"/>
              </w:rPr>
            </w:pPr>
            <w:r>
              <w:rPr>
                <w:rFonts w:ascii="Arial" w:cs="Arial" w:eastAsia="Arial" w:hAnsi="Arial"/>
                <w:sz w:val="11"/>
                <w:szCs w:val="11"/>
                <w:color w:val="auto"/>
              </w:rPr>
              <w:t>1f.</w:t>
            </w:r>
          </w:p>
        </w:tc>
        <w:tc>
          <w:tcPr>
            <w:tcW w:w="2940" w:type="dxa"/>
            <w:vAlign w:val="bottom"/>
          </w:tcPr>
          <w:p>
            <w:pPr>
              <w:ind w:left="100"/>
              <w:spacing w:after="0"/>
              <w:rPr>
                <w:sz w:val="20"/>
                <w:szCs w:val="20"/>
                <w:color w:val="auto"/>
              </w:rPr>
            </w:pPr>
            <w:r>
              <w:rPr>
                <w:rFonts w:ascii="Arial" w:cs="Arial" w:eastAsia="Arial" w:hAnsi="Arial"/>
                <w:sz w:val="11"/>
                <w:szCs w:val="11"/>
                <w:color w:val="auto"/>
              </w:rPr>
              <w:t>Timothy P. Flynn</w:t>
            </w:r>
          </w:p>
        </w:tc>
        <w:tc>
          <w:tcPr>
            <w:tcW w:w="740" w:type="dxa"/>
            <w:vAlign w:val="bottom"/>
          </w:tcPr>
          <w:p>
            <w:pPr>
              <w:ind w:left="280"/>
              <w:spacing w:after="0" w:line="221" w:lineRule="exact"/>
              <w:rPr>
                <w:sz w:val="20"/>
                <w:szCs w:val="20"/>
                <w:color w:val="auto"/>
              </w:rPr>
            </w:pPr>
            <w:r>
              <w:rPr>
                <w:rFonts w:ascii="MS PGothic" w:cs="MS PGothic" w:eastAsia="MS PGothic" w:hAnsi="MS PGothic"/>
                <w:sz w:val="22"/>
                <w:szCs w:val="22"/>
                <w:color w:val="auto"/>
              </w:rPr>
              <w:t>☐</w:t>
            </w:r>
          </w:p>
        </w:tc>
        <w:tc>
          <w:tcPr>
            <w:tcW w:w="720" w:type="dxa"/>
            <w:vAlign w:val="bottom"/>
          </w:tcPr>
          <w:p>
            <w:pPr>
              <w:jc w:val="center"/>
              <w:ind w:left="55"/>
              <w:spacing w:after="0" w:line="221" w:lineRule="exact"/>
              <w:rPr>
                <w:sz w:val="20"/>
                <w:szCs w:val="20"/>
                <w:color w:val="auto"/>
              </w:rPr>
            </w:pPr>
            <w:r>
              <w:rPr>
                <w:rFonts w:ascii="MS PGothic" w:cs="MS PGothic" w:eastAsia="MS PGothic" w:hAnsi="MS PGothic"/>
                <w:sz w:val="22"/>
                <w:szCs w:val="22"/>
                <w:color w:val="auto"/>
                <w:w w:val="90"/>
              </w:rPr>
              <w:t>☐</w:t>
            </w:r>
          </w:p>
        </w:tc>
        <w:tc>
          <w:tcPr>
            <w:tcW w:w="600" w:type="dxa"/>
            <w:vAlign w:val="bottom"/>
          </w:tcPr>
          <w:p>
            <w:pPr>
              <w:ind w:left="240"/>
              <w:spacing w:after="0" w:line="221" w:lineRule="exact"/>
              <w:rPr>
                <w:sz w:val="20"/>
                <w:szCs w:val="20"/>
                <w:color w:val="auto"/>
              </w:rPr>
            </w:pPr>
            <w:r>
              <w:rPr>
                <w:rFonts w:ascii="MS PGothic" w:cs="MS PGothic" w:eastAsia="MS PGothic" w:hAnsi="MS PGothic"/>
                <w:sz w:val="22"/>
                <w:szCs w:val="22"/>
                <w:color w:val="auto"/>
              </w:rPr>
              <w:t>☐</w:t>
            </w:r>
          </w:p>
        </w:tc>
        <w:tc>
          <w:tcPr>
            <w:tcW w:w="220" w:type="dxa"/>
            <w:vAlign w:val="bottom"/>
          </w:tcPr>
          <w:p>
            <w:pPr>
              <w:ind w:left="60"/>
              <w:spacing w:after="0"/>
              <w:rPr>
                <w:sz w:val="20"/>
                <w:szCs w:val="20"/>
                <w:color w:val="auto"/>
              </w:rPr>
            </w:pPr>
            <w:r>
              <w:rPr>
                <w:rFonts w:ascii="Arial" w:cs="Arial" w:eastAsia="Arial" w:hAnsi="Arial"/>
                <w:sz w:val="11"/>
                <w:szCs w:val="11"/>
                <w:color w:val="auto"/>
              </w:rPr>
              <w:t>6.</w:t>
            </w:r>
          </w:p>
        </w:tc>
        <w:tc>
          <w:tcPr>
            <w:tcW w:w="2900" w:type="dxa"/>
            <w:vAlign w:val="bottom"/>
          </w:tcPr>
          <w:p>
            <w:pPr>
              <w:ind w:left="80"/>
              <w:spacing w:after="0"/>
              <w:rPr>
                <w:sz w:val="20"/>
                <w:szCs w:val="20"/>
                <w:color w:val="auto"/>
              </w:rPr>
            </w:pPr>
            <w:r>
              <w:rPr>
                <w:rFonts w:ascii="Arial" w:cs="Arial" w:eastAsia="Arial" w:hAnsi="Arial"/>
                <w:sz w:val="11"/>
                <w:szCs w:val="11"/>
                <w:color w:val="auto"/>
              </w:rPr>
              <w:t>Climate change risk reporting</w:t>
            </w:r>
          </w:p>
        </w:tc>
        <w:tc>
          <w:tcPr>
            <w:tcW w:w="0" w:type="dxa"/>
            <w:vAlign w:val="bottom"/>
          </w:tcPr>
          <w:p>
            <w:pPr>
              <w:spacing w:after="0"/>
              <w:rPr>
                <w:sz w:val="1"/>
                <w:szCs w:val="1"/>
                <w:color w:val="auto"/>
              </w:rPr>
            </w:pPr>
          </w:p>
        </w:tc>
      </w:tr>
      <w:tr>
        <w:trPr>
          <w:trHeight w:val="256"/>
        </w:trPr>
        <w:tc>
          <w:tcPr>
            <w:tcW w:w="460" w:type="dxa"/>
            <w:vAlign w:val="bottom"/>
          </w:tcPr>
          <w:p>
            <w:pPr>
              <w:ind w:left="240"/>
              <w:spacing w:after="0"/>
              <w:rPr>
                <w:sz w:val="20"/>
                <w:szCs w:val="20"/>
                <w:color w:val="auto"/>
              </w:rPr>
            </w:pPr>
            <w:r>
              <w:rPr>
                <w:rFonts w:ascii="Arial" w:cs="Arial" w:eastAsia="Arial" w:hAnsi="Arial"/>
                <w:sz w:val="11"/>
                <w:szCs w:val="11"/>
                <w:color w:val="auto"/>
              </w:rPr>
              <w:t>1g.</w:t>
            </w:r>
          </w:p>
        </w:tc>
        <w:tc>
          <w:tcPr>
            <w:tcW w:w="2940" w:type="dxa"/>
            <w:vAlign w:val="bottom"/>
          </w:tcPr>
          <w:p>
            <w:pPr>
              <w:ind w:left="100"/>
              <w:spacing w:after="0"/>
              <w:rPr>
                <w:sz w:val="20"/>
                <w:szCs w:val="20"/>
                <w:color w:val="auto"/>
              </w:rPr>
            </w:pPr>
            <w:r>
              <w:rPr>
                <w:rFonts w:ascii="Arial" w:cs="Arial" w:eastAsia="Arial" w:hAnsi="Arial"/>
                <w:sz w:val="11"/>
                <w:szCs w:val="11"/>
                <w:color w:val="auto"/>
              </w:rPr>
              <w:t>Mellody Hobson</w:t>
            </w:r>
          </w:p>
        </w:tc>
        <w:tc>
          <w:tcPr>
            <w:tcW w:w="740" w:type="dxa"/>
            <w:vAlign w:val="bottom"/>
          </w:tcPr>
          <w:p>
            <w:pPr>
              <w:ind w:left="280"/>
              <w:spacing w:after="0" w:line="221" w:lineRule="exact"/>
              <w:rPr>
                <w:sz w:val="20"/>
                <w:szCs w:val="20"/>
                <w:color w:val="auto"/>
              </w:rPr>
            </w:pPr>
            <w:r>
              <w:rPr>
                <w:rFonts w:ascii="MS PGothic" w:cs="MS PGothic" w:eastAsia="MS PGothic" w:hAnsi="MS PGothic"/>
                <w:sz w:val="22"/>
                <w:szCs w:val="22"/>
                <w:color w:val="auto"/>
              </w:rPr>
              <w:t>☐</w:t>
            </w:r>
          </w:p>
        </w:tc>
        <w:tc>
          <w:tcPr>
            <w:tcW w:w="720" w:type="dxa"/>
            <w:vAlign w:val="bottom"/>
          </w:tcPr>
          <w:p>
            <w:pPr>
              <w:jc w:val="center"/>
              <w:ind w:left="55"/>
              <w:spacing w:after="0" w:line="221" w:lineRule="exact"/>
              <w:rPr>
                <w:sz w:val="20"/>
                <w:szCs w:val="20"/>
                <w:color w:val="auto"/>
              </w:rPr>
            </w:pPr>
            <w:r>
              <w:rPr>
                <w:rFonts w:ascii="MS PGothic" w:cs="MS PGothic" w:eastAsia="MS PGothic" w:hAnsi="MS PGothic"/>
                <w:sz w:val="22"/>
                <w:szCs w:val="22"/>
                <w:color w:val="auto"/>
                <w:w w:val="90"/>
              </w:rPr>
              <w:t>☐</w:t>
            </w:r>
          </w:p>
        </w:tc>
        <w:tc>
          <w:tcPr>
            <w:tcW w:w="600" w:type="dxa"/>
            <w:vAlign w:val="bottom"/>
          </w:tcPr>
          <w:p>
            <w:pPr>
              <w:ind w:left="240"/>
              <w:spacing w:after="0" w:line="221" w:lineRule="exact"/>
              <w:rPr>
                <w:sz w:val="20"/>
                <w:szCs w:val="20"/>
                <w:color w:val="auto"/>
              </w:rPr>
            </w:pPr>
            <w:r>
              <w:rPr>
                <w:rFonts w:ascii="MS PGothic" w:cs="MS PGothic" w:eastAsia="MS PGothic" w:hAnsi="MS PGothic"/>
                <w:sz w:val="22"/>
                <w:szCs w:val="22"/>
                <w:color w:val="auto"/>
              </w:rPr>
              <w:t>☐</w:t>
            </w:r>
          </w:p>
        </w:tc>
        <w:tc>
          <w:tcPr>
            <w:tcW w:w="220" w:type="dxa"/>
            <w:vAlign w:val="bottom"/>
          </w:tcPr>
          <w:p>
            <w:pPr>
              <w:ind w:left="60"/>
              <w:spacing w:after="0"/>
              <w:rPr>
                <w:sz w:val="20"/>
                <w:szCs w:val="20"/>
                <w:color w:val="auto"/>
              </w:rPr>
            </w:pPr>
            <w:r>
              <w:rPr>
                <w:rFonts w:ascii="Arial" w:cs="Arial" w:eastAsia="Arial" w:hAnsi="Arial"/>
                <w:sz w:val="11"/>
                <w:szCs w:val="11"/>
                <w:color w:val="auto"/>
              </w:rPr>
              <w:t>7.</w:t>
            </w:r>
          </w:p>
        </w:tc>
        <w:tc>
          <w:tcPr>
            <w:tcW w:w="2900" w:type="dxa"/>
            <w:vAlign w:val="bottom"/>
          </w:tcPr>
          <w:p>
            <w:pPr>
              <w:ind w:left="80"/>
              <w:spacing w:after="0"/>
              <w:rPr>
                <w:sz w:val="20"/>
                <w:szCs w:val="20"/>
                <w:color w:val="auto"/>
              </w:rPr>
            </w:pPr>
            <w:r>
              <w:rPr>
                <w:rFonts w:ascii="Arial" w:cs="Arial" w:eastAsia="Arial" w:hAnsi="Arial"/>
                <w:sz w:val="11"/>
                <w:szCs w:val="11"/>
                <w:color w:val="auto"/>
              </w:rPr>
              <w:t>Amend shareholder written consent provisions</w:t>
            </w:r>
          </w:p>
        </w:tc>
        <w:tc>
          <w:tcPr>
            <w:tcW w:w="0" w:type="dxa"/>
            <w:vAlign w:val="bottom"/>
          </w:tcPr>
          <w:p>
            <w:pPr>
              <w:spacing w:after="0"/>
              <w:rPr>
                <w:sz w:val="1"/>
                <w:szCs w:val="1"/>
                <w:color w:val="auto"/>
              </w:rPr>
            </w:pPr>
          </w:p>
        </w:tc>
      </w:tr>
      <w:tr>
        <w:trPr>
          <w:trHeight w:val="257"/>
        </w:trPr>
        <w:tc>
          <w:tcPr>
            <w:tcW w:w="460" w:type="dxa"/>
            <w:vAlign w:val="bottom"/>
          </w:tcPr>
          <w:p>
            <w:pPr>
              <w:ind w:left="240"/>
              <w:spacing w:after="0"/>
              <w:rPr>
                <w:sz w:val="20"/>
                <w:szCs w:val="20"/>
                <w:color w:val="auto"/>
              </w:rPr>
            </w:pPr>
            <w:r>
              <w:rPr>
                <w:rFonts w:ascii="Arial" w:cs="Arial" w:eastAsia="Arial" w:hAnsi="Arial"/>
                <w:sz w:val="11"/>
                <w:szCs w:val="11"/>
                <w:color w:val="auto"/>
              </w:rPr>
              <w:t>1h.</w:t>
            </w:r>
          </w:p>
        </w:tc>
        <w:tc>
          <w:tcPr>
            <w:tcW w:w="2940" w:type="dxa"/>
            <w:vAlign w:val="bottom"/>
          </w:tcPr>
          <w:p>
            <w:pPr>
              <w:ind w:left="100"/>
              <w:spacing w:after="0"/>
              <w:rPr>
                <w:sz w:val="20"/>
                <w:szCs w:val="20"/>
                <w:color w:val="auto"/>
              </w:rPr>
            </w:pPr>
            <w:r>
              <w:rPr>
                <w:rFonts w:ascii="Arial" w:cs="Arial" w:eastAsia="Arial" w:hAnsi="Arial"/>
                <w:sz w:val="11"/>
                <w:szCs w:val="11"/>
                <w:color w:val="auto"/>
              </w:rPr>
              <w:t>Michael A. Neal</w:t>
            </w:r>
          </w:p>
        </w:tc>
        <w:tc>
          <w:tcPr>
            <w:tcW w:w="740" w:type="dxa"/>
            <w:vAlign w:val="bottom"/>
          </w:tcPr>
          <w:p>
            <w:pPr>
              <w:ind w:left="280"/>
              <w:spacing w:after="0" w:line="221" w:lineRule="exact"/>
              <w:rPr>
                <w:sz w:val="20"/>
                <w:szCs w:val="20"/>
                <w:color w:val="auto"/>
              </w:rPr>
            </w:pPr>
            <w:r>
              <w:rPr>
                <w:rFonts w:ascii="MS PGothic" w:cs="MS PGothic" w:eastAsia="MS PGothic" w:hAnsi="MS PGothic"/>
                <w:sz w:val="22"/>
                <w:szCs w:val="22"/>
                <w:color w:val="auto"/>
              </w:rPr>
              <w:t>☐</w:t>
            </w:r>
          </w:p>
        </w:tc>
        <w:tc>
          <w:tcPr>
            <w:tcW w:w="720" w:type="dxa"/>
            <w:vAlign w:val="bottom"/>
          </w:tcPr>
          <w:p>
            <w:pPr>
              <w:jc w:val="center"/>
              <w:ind w:left="55"/>
              <w:spacing w:after="0" w:line="221" w:lineRule="exact"/>
              <w:rPr>
                <w:sz w:val="20"/>
                <w:szCs w:val="20"/>
                <w:color w:val="auto"/>
              </w:rPr>
            </w:pPr>
            <w:r>
              <w:rPr>
                <w:rFonts w:ascii="MS PGothic" w:cs="MS PGothic" w:eastAsia="MS PGothic" w:hAnsi="MS PGothic"/>
                <w:sz w:val="22"/>
                <w:szCs w:val="22"/>
                <w:color w:val="auto"/>
                <w:w w:val="90"/>
              </w:rPr>
              <w:t>☐</w:t>
            </w:r>
          </w:p>
        </w:tc>
        <w:tc>
          <w:tcPr>
            <w:tcW w:w="600" w:type="dxa"/>
            <w:vAlign w:val="bottom"/>
          </w:tcPr>
          <w:p>
            <w:pPr>
              <w:ind w:left="240"/>
              <w:spacing w:after="0" w:line="221" w:lineRule="exact"/>
              <w:rPr>
                <w:sz w:val="20"/>
                <w:szCs w:val="20"/>
                <w:color w:val="auto"/>
              </w:rPr>
            </w:pPr>
            <w:r>
              <w:rPr>
                <w:rFonts w:ascii="MS PGothic" w:cs="MS PGothic" w:eastAsia="MS PGothic" w:hAnsi="MS PGothic"/>
                <w:sz w:val="22"/>
                <w:szCs w:val="22"/>
                <w:color w:val="auto"/>
              </w:rPr>
              <w:t>☐</w:t>
            </w:r>
          </w:p>
        </w:tc>
        <w:tc>
          <w:tcPr>
            <w:tcW w:w="220" w:type="dxa"/>
            <w:vAlign w:val="bottom"/>
          </w:tcPr>
          <w:p>
            <w:pPr>
              <w:ind w:left="60"/>
              <w:spacing w:after="0"/>
              <w:rPr>
                <w:sz w:val="20"/>
                <w:szCs w:val="20"/>
                <w:color w:val="auto"/>
              </w:rPr>
            </w:pPr>
            <w:r>
              <w:rPr>
                <w:rFonts w:ascii="Arial" w:cs="Arial" w:eastAsia="Arial" w:hAnsi="Arial"/>
                <w:sz w:val="11"/>
                <w:szCs w:val="11"/>
                <w:color w:val="auto"/>
              </w:rPr>
              <w:t>8.</w:t>
            </w:r>
          </w:p>
        </w:tc>
        <w:tc>
          <w:tcPr>
            <w:tcW w:w="2900" w:type="dxa"/>
            <w:vAlign w:val="bottom"/>
          </w:tcPr>
          <w:p>
            <w:pPr>
              <w:ind w:left="80"/>
              <w:spacing w:after="0"/>
              <w:rPr>
                <w:sz w:val="20"/>
                <w:szCs w:val="20"/>
                <w:color w:val="auto"/>
              </w:rPr>
            </w:pPr>
            <w:r>
              <w:rPr>
                <w:rFonts w:ascii="Arial" w:cs="Arial" w:eastAsia="Arial" w:hAnsi="Arial"/>
                <w:sz w:val="11"/>
                <w:szCs w:val="11"/>
                <w:color w:val="auto"/>
              </w:rPr>
              <w:t>Charitable contributions disclosure</w:t>
            </w:r>
          </w:p>
        </w:tc>
        <w:tc>
          <w:tcPr>
            <w:tcW w:w="0" w:type="dxa"/>
            <w:vAlign w:val="bottom"/>
          </w:tcPr>
          <w:p>
            <w:pPr>
              <w:spacing w:after="0"/>
              <w:rPr>
                <w:sz w:val="1"/>
                <w:szCs w:val="1"/>
                <w:color w:val="auto"/>
              </w:rPr>
            </w:pPr>
          </w:p>
        </w:tc>
      </w:tr>
      <w:tr>
        <w:trPr>
          <w:trHeight w:val="256"/>
        </w:trPr>
        <w:tc>
          <w:tcPr>
            <w:tcW w:w="460" w:type="dxa"/>
            <w:vAlign w:val="bottom"/>
          </w:tcPr>
          <w:p>
            <w:pPr>
              <w:ind w:left="240"/>
              <w:spacing w:after="0"/>
              <w:rPr>
                <w:sz w:val="20"/>
                <w:szCs w:val="20"/>
                <w:color w:val="auto"/>
              </w:rPr>
            </w:pPr>
            <w:r>
              <w:rPr>
                <w:rFonts w:ascii="Arial" w:cs="Arial" w:eastAsia="Arial" w:hAnsi="Arial"/>
                <w:sz w:val="11"/>
                <w:szCs w:val="11"/>
                <w:color w:val="auto"/>
              </w:rPr>
              <w:t>1i.</w:t>
            </w:r>
          </w:p>
        </w:tc>
        <w:tc>
          <w:tcPr>
            <w:tcW w:w="2940" w:type="dxa"/>
            <w:vAlign w:val="bottom"/>
          </w:tcPr>
          <w:p>
            <w:pPr>
              <w:ind w:left="100"/>
              <w:spacing w:after="0"/>
              <w:rPr>
                <w:sz w:val="20"/>
                <w:szCs w:val="20"/>
                <w:color w:val="auto"/>
              </w:rPr>
            </w:pPr>
            <w:r>
              <w:rPr>
                <w:rFonts w:ascii="Arial" w:cs="Arial" w:eastAsia="Arial" w:hAnsi="Arial"/>
                <w:sz w:val="11"/>
                <w:szCs w:val="11"/>
                <w:color w:val="auto"/>
              </w:rPr>
              <w:t>Lee R. Raymond</w:t>
            </w:r>
          </w:p>
        </w:tc>
        <w:tc>
          <w:tcPr>
            <w:tcW w:w="740" w:type="dxa"/>
            <w:vAlign w:val="bottom"/>
          </w:tcPr>
          <w:p>
            <w:pPr>
              <w:ind w:left="280"/>
              <w:spacing w:after="0" w:line="221" w:lineRule="exact"/>
              <w:rPr>
                <w:sz w:val="20"/>
                <w:szCs w:val="20"/>
                <w:color w:val="auto"/>
              </w:rPr>
            </w:pPr>
            <w:r>
              <w:rPr>
                <w:rFonts w:ascii="MS PGothic" w:cs="MS PGothic" w:eastAsia="MS PGothic" w:hAnsi="MS PGothic"/>
                <w:sz w:val="22"/>
                <w:szCs w:val="22"/>
                <w:color w:val="auto"/>
              </w:rPr>
              <w:t>☐</w:t>
            </w:r>
          </w:p>
        </w:tc>
        <w:tc>
          <w:tcPr>
            <w:tcW w:w="720" w:type="dxa"/>
            <w:vAlign w:val="bottom"/>
          </w:tcPr>
          <w:p>
            <w:pPr>
              <w:jc w:val="center"/>
              <w:ind w:left="55"/>
              <w:spacing w:after="0" w:line="221" w:lineRule="exact"/>
              <w:rPr>
                <w:sz w:val="20"/>
                <w:szCs w:val="20"/>
                <w:color w:val="auto"/>
              </w:rPr>
            </w:pPr>
            <w:r>
              <w:rPr>
                <w:rFonts w:ascii="MS PGothic" w:cs="MS PGothic" w:eastAsia="MS PGothic" w:hAnsi="MS PGothic"/>
                <w:sz w:val="22"/>
                <w:szCs w:val="22"/>
                <w:color w:val="auto"/>
                <w:w w:val="90"/>
              </w:rPr>
              <w:t>☐</w:t>
            </w:r>
          </w:p>
        </w:tc>
        <w:tc>
          <w:tcPr>
            <w:tcW w:w="600" w:type="dxa"/>
            <w:vAlign w:val="bottom"/>
          </w:tcPr>
          <w:p>
            <w:pPr>
              <w:ind w:left="240"/>
              <w:spacing w:after="0" w:line="221" w:lineRule="exact"/>
              <w:rPr>
                <w:sz w:val="20"/>
                <w:szCs w:val="20"/>
                <w:color w:val="auto"/>
              </w:rPr>
            </w:pPr>
            <w:r>
              <w:rPr>
                <w:rFonts w:ascii="MS PGothic" w:cs="MS PGothic" w:eastAsia="MS PGothic" w:hAnsi="MS PGothic"/>
                <w:sz w:val="22"/>
                <w:szCs w:val="22"/>
                <w:color w:val="auto"/>
              </w:rPr>
              <w:t>☐</w:t>
            </w:r>
          </w:p>
        </w:tc>
        <w:tc>
          <w:tcPr>
            <w:tcW w:w="220" w:type="dxa"/>
            <w:vAlign w:val="bottom"/>
          </w:tcPr>
          <w:p>
            <w:pPr>
              <w:ind w:left="60"/>
              <w:spacing w:after="0"/>
              <w:rPr>
                <w:sz w:val="20"/>
                <w:szCs w:val="20"/>
                <w:color w:val="auto"/>
              </w:rPr>
            </w:pPr>
            <w:r>
              <w:rPr>
                <w:rFonts w:ascii="Arial" w:cs="Arial" w:eastAsia="Arial" w:hAnsi="Arial"/>
                <w:sz w:val="11"/>
                <w:szCs w:val="11"/>
                <w:color w:val="auto"/>
              </w:rPr>
              <w:t>9.</w:t>
            </w:r>
          </w:p>
        </w:tc>
        <w:tc>
          <w:tcPr>
            <w:tcW w:w="2900" w:type="dxa"/>
            <w:vAlign w:val="bottom"/>
          </w:tcPr>
          <w:p>
            <w:pPr>
              <w:ind w:left="80"/>
              <w:spacing w:after="0"/>
              <w:rPr>
                <w:sz w:val="20"/>
                <w:szCs w:val="20"/>
                <w:color w:val="auto"/>
              </w:rPr>
            </w:pPr>
            <w:r>
              <w:rPr>
                <w:rFonts w:ascii="Arial" w:cs="Arial" w:eastAsia="Arial" w:hAnsi="Arial"/>
                <w:sz w:val="11"/>
                <w:szCs w:val="11"/>
                <w:color w:val="auto"/>
              </w:rPr>
              <w:t>Gender/Racial pay equity</w:t>
            </w:r>
          </w:p>
        </w:tc>
        <w:tc>
          <w:tcPr>
            <w:tcW w:w="0" w:type="dxa"/>
            <w:vAlign w:val="bottom"/>
          </w:tcPr>
          <w:p>
            <w:pPr>
              <w:spacing w:after="0"/>
              <w:rPr>
                <w:sz w:val="1"/>
                <w:szCs w:val="1"/>
                <w:color w:val="auto"/>
              </w:rPr>
            </w:pPr>
          </w:p>
        </w:tc>
      </w:tr>
      <w:tr>
        <w:trPr>
          <w:trHeight w:val="257"/>
        </w:trPr>
        <w:tc>
          <w:tcPr>
            <w:tcW w:w="460" w:type="dxa"/>
            <w:vAlign w:val="bottom"/>
          </w:tcPr>
          <w:p>
            <w:pPr>
              <w:ind w:left="240"/>
              <w:spacing w:after="0"/>
              <w:rPr>
                <w:sz w:val="20"/>
                <w:szCs w:val="20"/>
                <w:color w:val="auto"/>
              </w:rPr>
            </w:pPr>
            <w:r>
              <w:rPr>
                <w:rFonts w:ascii="Arial" w:cs="Arial" w:eastAsia="Arial" w:hAnsi="Arial"/>
                <w:sz w:val="11"/>
                <w:szCs w:val="11"/>
                <w:color w:val="auto"/>
              </w:rPr>
              <w:t>1j.</w:t>
            </w:r>
          </w:p>
        </w:tc>
        <w:tc>
          <w:tcPr>
            <w:tcW w:w="2940" w:type="dxa"/>
            <w:vAlign w:val="bottom"/>
          </w:tcPr>
          <w:p>
            <w:pPr>
              <w:ind w:left="100"/>
              <w:spacing w:after="0"/>
              <w:rPr>
                <w:sz w:val="20"/>
                <w:szCs w:val="20"/>
                <w:color w:val="auto"/>
              </w:rPr>
            </w:pPr>
            <w:r>
              <w:rPr>
                <w:rFonts w:ascii="Arial" w:cs="Arial" w:eastAsia="Arial" w:hAnsi="Arial"/>
                <w:sz w:val="11"/>
                <w:szCs w:val="11"/>
                <w:color w:val="auto"/>
              </w:rPr>
              <w:t>Virginia M. Rometty</w:t>
            </w:r>
          </w:p>
        </w:tc>
        <w:tc>
          <w:tcPr>
            <w:tcW w:w="740" w:type="dxa"/>
            <w:vAlign w:val="bottom"/>
          </w:tcPr>
          <w:p>
            <w:pPr>
              <w:ind w:left="280"/>
              <w:spacing w:after="0" w:line="221" w:lineRule="exact"/>
              <w:rPr>
                <w:sz w:val="20"/>
                <w:szCs w:val="20"/>
                <w:color w:val="auto"/>
              </w:rPr>
            </w:pPr>
            <w:r>
              <w:rPr>
                <w:rFonts w:ascii="MS PGothic" w:cs="MS PGothic" w:eastAsia="MS PGothic" w:hAnsi="MS PGothic"/>
                <w:sz w:val="22"/>
                <w:szCs w:val="22"/>
                <w:color w:val="auto"/>
              </w:rPr>
              <w:t>☐</w:t>
            </w:r>
          </w:p>
        </w:tc>
        <w:tc>
          <w:tcPr>
            <w:tcW w:w="720" w:type="dxa"/>
            <w:vAlign w:val="bottom"/>
          </w:tcPr>
          <w:p>
            <w:pPr>
              <w:jc w:val="center"/>
              <w:ind w:left="55"/>
              <w:spacing w:after="0" w:line="221" w:lineRule="exact"/>
              <w:rPr>
                <w:sz w:val="20"/>
                <w:szCs w:val="20"/>
                <w:color w:val="auto"/>
              </w:rPr>
            </w:pPr>
            <w:r>
              <w:rPr>
                <w:rFonts w:ascii="MS PGothic" w:cs="MS PGothic" w:eastAsia="MS PGothic" w:hAnsi="MS PGothic"/>
                <w:sz w:val="22"/>
                <w:szCs w:val="22"/>
                <w:color w:val="auto"/>
                <w:w w:val="90"/>
              </w:rPr>
              <w:t>☐</w:t>
            </w:r>
          </w:p>
        </w:tc>
        <w:tc>
          <w:tcPr>
            <w:tcW w:w="600" w:type="dxa"/>
            <w:vAlign w:val="bottom"/>
          </w:tcPr>
          <w:p>
            <w:pPr>
              <w:ind w:left="240"/>
              <w:spacing w:after="0" w:line="221" w:lineRule="exact"/>
              <w:rPr>
                <w:sz w:val="20"/>
                <w:szCs w:val="20"/>
                <w:color w:val="auto"/>
              </w:rPr>
            </w:pPr>
            <w:r>
              <w:rPr>
                <w:rFonts w:ascii="MS PGothic" w:cs="MS PGothic" w:eastAsia="MS PGothic" w:hAnsi="MS PGothic"/>
                <w:sz w:val="22"/>
                <w:szCs w:val="22"/>
                <w:color w:val="auto"/>
              </w:rPr>
              <w:t>☐</w:t>
            </w:r>
          </w:p>
        </w:tc>
        <w:tc>
          <w:tcPr>
            <w:tcW w:w="220" w:type="dxa"/>
            <w:vAlign w:val="bottom"/>
          </w:tcPr>
          <w:p>
            <w:pPr>
              <w:spacing w:after="0"/>
              <w:rPr>
                <w:sz w:val="22"/>
                <w:szCs w:val="22"/>
                <w:color w:val="auto"/>
              </w:rPr>
            </w:pPr>
          </w:p>
        </w:tc>
        <w:tc>
          <w:tcPr>
            <w:tcW w:w="2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400" w:type="dxa"/>
            <w:vAlign w:val="bottom"/>
            <w:gridSpan w:val="2"/>
          </w:tcPr>
          <w:p>
            <w:pPr>
              <w:spacing w:after="0"/>
              <w:rPr>
                <w:sz w:val="20"/>
                <w:szCs w:val="20"/>
                <w:color w:val="auto"/>
              </w:rPr>
            </w:pPr>
            <w:r>
              <w:rPr>
                <w:rFonts w:ascii="Arial" w:cs="Arial" w:eastAsia="Arial" w:hAnsi="Arial"/>
                <w:sz w:val="11"/>
                <w:szCs w:val="11"/>
                <w:color w:val="auto"/>
              </w:rPr>
              <w:t>2.   Advisory resolution to approve executive compensation</w:t>
            </w:r>
          </w:p>
        </w:tc>
        <w:tc>
          <w:tcPr>
            <w:tcW w:w="740" w:type="dxa"/>
            <w:vAlign w:val="bottom"/>
          </w:tcPr>
          <w:p>
            <w:pPr>
              <w:ind w:left="280"/>
              <w:spacing w:after="0" w:line="221" w:lineRule="exact"/>
              <w:rPr>
                <w:sz w:val="20"/>
                <w:szCs w:val="20"/>
                <w:color w:val="auto"/>
              </w:rPr>
            </w:pPr>
            <w:r>
              <w:rPr>
                <w:rFonts w:ascii="MS PGothic" w:cs="MS PGothic" w:eastAsia="MS PGothic" w:hAnsi="MS PGothic"/>
                <w:sz w:val="22"/>
                <w:szCs w:val="22"/>
                <w:color w:val="auto"/>
              </w:rPr>
              <w:t>☐</w:t>
            </w:r>
          </w:p>
        </w:tc>
        <w:tc>
          <w:tcPr>
            <w:tcW w:w="720" w:type="dxa"/>
            <w:vAlign w:val="bottom"/>
          </w:tcPr>
          <w:p>
            <w:pPr>
              <w:jc w:val="center"/>
              <w:ind w:left="55"/>
              <w:spacing w:after="0" w:line="221" w:lineRule="exact"/>
              <w:rPr>
                <w:sz w:val="20"/>
                <w:szCs w:val="20"/>
                <w:color w:val="auto"/>
              </w:rPr>
            </w:pPr>
            <w:r>
              <w:rPr>
                <w:rFonts w:ascii="MS PGothic" w:cs="MS PGothic" w:eastAsia="MS PGothic" w:hAnsi="MS PGothic"/>
                <w:sz w:val="22"/>
                <w:szCs w:val="22"/>
                <w:color w:val="auto"/>
                <w:w w:val="90"/>
              </w:rPr>
              <w:t>☐</w:t>
            </w:r>
          </w:p>
        </w:tc>
        <w:tc>
          <w:tcPr>
            <w:tcW w:w="600" w:type="dxa"/>
            <w:vAlign w:val="bottom"/>
          </w:tcPr>
          <w:p>
            <w:pPr>
              <w:ind w:left="240"/>
              <w:spacing w:after="0" w:line="221" w:lineRule="exact"/>
              <w:rPr>
                <w:sz w:val="20"/>
                <w:szCs w:val="20"/>
                <w:color w:val="auto"/>
              </w:rPr>
            </w:pPr>
            <w:r>
              <w:rPr>
                <w:rFonts w:ascii="MS PGothic" w:cs="MS PGothic" w:eastAsia="MS PGothic" w:hAnsi="MS PGothic"/>
                <w:sz w:val="22"/>
                <w:szCs w:val="22"/>
                <w:color w:val="auto"/>
              </w:rPr>
              <w:t>☐</w:t>
            </w:r>
          </w:p>
        </w:tc>
        <w:tc>
          <w:tcPr>
            <w:tcW w:w="220" w:type="dxa"/>
            <w:vAlign w:val="bottom"/>
          </w:tcPr>
          <w:p>
            <w:pPr>
              <w:spacing w:after="0"/>
              <w:rPr>
                <w:sz w:val="23"/>
                <w:szCs w:val="23"/>
                <w:color w:val="auto"/>
              </w:rPr>
            </w:pPr>
          </w:p>
        </w:tc>
        <w:tc>
          <w:tcPr>
            <w:tcW w:w="2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8"/>
        </w:trPr>
        <w:tc>
          <w:tcPr>
            <w:tcW w:w="3400" w:type="dxa"/>
            <w:vAlign w:val="bottom"/>
            <w:gridSpan w:val="2"/>
          </w:tcPr>
          <w:p>
            <w:pPr>
              <w:spacing w:after="0"/>
              <w:rPr>
                <w:sz w:val="20"/>
                <w:szCs w:val="20"/>
                <w:color w:val="auto"/>
              </w:rPr>
            </w:pPr>
            <w:r>
              <w:rPr>
                <w:rFonts w:ascii="Arial" w:cs="Arial" w:eastAsia="Arial" w:hAnsi="Arial"/>
                <w:sz w:val="11"/>
                <w:szCs w:val="11"/>
                <w:color w:val="auto"/>
              </w:rPr>
              <w:t>3.   Ratification of independent registered public accounting firm</w:t>
            </w:r>
          </w:p>
        </w:tc>
        <w:tc>
          <w:tcPr>
            <w:tcW w:w="740" w:type="dxa"/>
            <w:vAlign w:val="bottom"/>
          </w:tcPr>
          <w:p>
            <w:pPr>
              <w:ind w:left="280"/>
              <w:spacing w:after="0" w:line="221" w:lineRule="exact"/>
              <w:rPr>
                <w:sz w:val="20"/>
                <w:szCs w:val="20"/>
                <w:color w:val="auto"/>
              </w:rPr>
            </w:pPr>
            <w:r>
              <w:rPr>
                <w:rFonts w:ascii="MS PGothic" w:cs="MS PGothic" w:eastAsia="MS PGothic" w:hAnsi="MS PGothic"/>
                <w:sz w:val="22"/>
                <w:szCs w:val="22"/>
                <w:color w:val="auto"/>
              </w:rPr>
              <w:t>☐</w:t>
            </w:r>
          </w:p>
        </w:tc>
        <w:tc>
          <w:tcPr>
            <w:tcW w:w="720" w:type="dxa"/>
            <w:vAlign w:val="bottom"/>
          </w:tcPr>
          <w:p>
            <w:pPr>
              <w:jc w:val="center"/>
              <w:ind w:left="55"/>
              <w:spacing w:after="0" w:line="221" w:lineRule="exact"/>
              <w:rPr>
                <w:sz w:val="20"/>
                <w:szCs w:val="20"/>
                <w:color w:val="auto"/>
              </w:rPr>
            </w:pPr>
            <w:r>
              <w:rPr>
                <w:rFonts w:ascii="MS PGothic" w:cs="MS PGothic" w:eastAsia="MS PGothic" w:hAnsi="MS PGothic"/>
                <w:sz w:val="22"/>
                <w:szCs w:val="22"/>
                <w:color w:val="auto"/>
                <w:w w:val="90"/>
              </w:rPr>
              <w:t>☐</w:t>
            </w:r>
          </w:p>
        </w:tc>
        <w:tc>
          <w:tcPr>
            <w:tcW w:w="600" w:type="dxa"/>
            <w:vAlign w:val="bottom"/>
          </w:tcPr>
          <w:p>
            <w:pPr>
              <w:ind w:left="240"/>
              <w:spacing w:after="0" w:line="221" w:lineRule="exact"/>
              <w:rPr>
                <w:sz w:val="20"/>
                <w:szCs w:val="20"/>
                <w:color w:val="auto"/>
              </w:rPr>
            </w:pPr>
            <w:r>
              <w:rPr>
                <w:rFonts w:ascii="MS PGothic" w:cs="MS PGothic" w:eastAsia="MS PGothic" w:hAnsi="MS PGothic"/>
                <w:sz w:val="22"/>
                <w:szCs w:val="22"/>
                <w:color w:val="auto"/>
              </w:rPr>
              <w:t>☐</w:t>
            </w:r>
          </w:p>
        </w:tc>
        <w:tc>
          <w:tcPr>
            <w:tcW w:w="2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tabs>
          <w:tab w:leader="none" w:pos="320" w:val="left"/>
          <w:tab w:leader="none" w:pos="900" w:val="left"/>
        </w:tabs>
        <w:rPr>
          <w:sz w:val="20"/>
          <w:szCs w:val="20"/>
          <w:color w:val="auto"/>
        </w:rPr>
      </w:pPr>
      <w:r>
        <w:rPr>
          <w:rFonts w:ascii="Arial" w:cs="Arial" w:eastAsia="Arial" w:hAnsi="Arial"/>
          <w:sz w:val="13"/>
          <w:szCs w:val="13"/>
          <w:b w:val="1"/>
          <w:bCs w:val="1"/>
          <w:color w:val="auto"/>
        </w:rPr>
        <w:t>For</w:t>
        <w:tab/>
        <w:t>Against</w:t>
      </w:r>
      <w:r>
        <w:rPr>
          <w:sz w:val="20"/>
          <w:szCs w:val="20"/>
          <w:color w:val="auto"/>
        </w:rPr>
        <w:tab/>
      </w:r>
      <w:r>
        <w:rPr>
          <w:rFonts w:ascii="Arial" w:cs="Arial" w:eastAsia="Arial" w:hAnsi="Arial"/>
          <w:sz w:val="12"/>
          <w:szCs w:val="12"/>
          <w:b w:val="1"/>
          <w:bCs w:val="1"/>
          <w:color w:val="auto"/>
        </w:rPr>
        <w:t>Abstain</w:t>
      </w:r>
    </w:p>
    <w:p>
      <w:pPr>
        <w:spacing w:after="0" w:line="81" w:lineRule="exact"/>
        <w:rPr>
          <w:sz w:val="20"/>
          <w:szCs w:val="20"/>
          <w:color w:val="auto"/>
        </w:rPr>
      </w:pPr>
    </w:p>
    <w:p>
      <w:pPr>
        <w:spacing w:after="0" w:line="221" w:lineRule="exact"/>
        <w:tabs>
          <w:tab w:leader="none" w:pos="540" w:val="left"/>
          <w:tab w:leader="none" w:pos="1080" w:val="left"/>
        </w:tabs>
        <w:rPr>
          <w:sz w:val="20"/>
          <w:szCs w:val="20"/>
          <w:color w:val="auto"/>
        </w:rPr>
      </w:pPr>
      <w:r>
        <w:rPr>
          <w:rFonts w:ascii="MS PGothic" w:cs="MS PGothic" w:eastAsia="MS PGothic" w:hAnsi="MS PGothic"/>
          <w:sz w:val="22"/>
          <w:szCs w:val="22"/>
          <w:color w:val="auto"/>
        </w:rPr>
        <w:t>☐</w:t>
        <w:tab/>
        <w:t>☐</w:t>
      </w:r>
      <w:r>
        <w:rPr>
          <w:sz w:val="20"/>
          <w:szCs w:val="20"/>
          <w:color w:val="auto"/>
        </w:rPr>
        <w:tab/>
      </w:r>
      <w:r>
        <w:rPr>
          <w:rFonts w:ascii="MS PGothic" w:cs="MS PGothic" w:eastAsia="MS PGothic" w:hAnsi="MS PGothic"/>
          <w:sz w:val="19"/>
          <w:szCs w:val="19"/>
          <w:color w:val="auto"/>
        </w:rPr>
        <w:t>☐</w:t>
      </w:r>
    </w:p>
    <w:p>
      <w:pPr>
        <w:spacing w:after="0" w:line="86" w:lineRule="exact"/>
        <w:rPr>
          <w:sz w:val="20"/>
          <w:szCs w:val="20"/>
          <w:color w:val="auto"/>
        </w:rPr>
      </w:pPr>
    </w:p>
    <w:p>
      <w:pPr>
        <w:spacing w:after="0" w:line="221" w:lineRule="exact"/>
        <w:tabs>
          <w:tab w:leader="none" w:pos="540" w:val="left"/>
          <w:tab w:leader="none" w:pos="1080" w:val="left"/>
        </w:tabs>
        <w:rPr>
          <w:sz w:val="20"/>
          <w:szCs w:val="20"/>
          <w:color w:val="auto"/>
        </w:rPr>
      </w:pPr>
      <w:r>
        <w:rPr>
          <w:rFonts w:ascii="MS PGothic" w:cs="MS PGothic" w:eastAsia="MS PGothic" w:hAnsi="MS PGothic"/>
          <w:sz w:val="22"/>
          <w:szCs w:val="22"/>
          <w:color w:val="auto"/>
        </w:rPr>
        <w:t>☐</w:t>
        <w:tab/>
        <w:t>☐</w:t>
      </w:r>
      <w:r>
        <w:rPr>
          <w:sz w:val="20"/>
          <w:szCs w:val="20"/>
          <w:color w:val="auto"/>
        </w:rPr>
        <w:tab/>
      </w:r>
      <w:r>
        <w:rPr>
          <w:rFonts w:ascii="MS PGothic" w:cs="MS PGothic" w:eastAsia="MS PGothic" w:hAnsi="MS PGothic"/>
          <w:sz w:val="19"/>
          <w:szCs w:val="19"/>
          <w:color w:val="auto"/>
        </w:rPr>
        <w:t>☐</w:t>
      </w:r>
    </w:p>
    <w:p>
      <w:pPr>
        <w:spacing w:after="0" w:line="37" w:lineRule="exact"/>
        <w:rPr>
          <w:sz w:val="20"/>
          <w:szCs w:val="20"/>
          <w:color w:val="auto"/>
        </w:rPr>
      </w:pPr>
    </w:p>
    <w:p>
      <w:pPr>
        <w:spacing w:after="0" w:line="221" w:lineRule="exact"/>
        <w:tabs>
          <w:tab w:leader="none" w:pos="540" w:val="left"/>
          <w:tab w:leader="none" w:pos="1080" w:val="left"/>
        </w:tabs>
        <w:rPr>
          <w:sz w:val="20"/>
          <w:szCs w:val="20"/>
          <w:color w:val="auto"/>
        </w:rPr>
      </w:pPr>
      <w:r>
        <w:rPr>
          <w:rFonts w:ascii="MS PGothic" w:cs="MS PGothic" w:eastAsia="MS PGothic" w:hAnsi="MS PGothic"/>
          <w:sz w:val="22"/>
          <w:szCs w:val="22"/>
          <w:color w:val="auto"/>
        </w:rPr>
        <w:t>☐</w:t>
        <w:tab/>
        <w:t>☐</w:t>
      </w:r>
      <w:r>
        <w:rPr>
          <w:sz w:val="20"/>
          <w:szCs w:val="20"/>
          <w:color w:val="auto"/>
        </w:rPr>
        <w:tab/>
      </w:r>
      <w:r>
        <w:rPr>
          <w:rFonts w:ascii="MS PGothic" w:cs="MS PGothic" w:eastAsia="MS PGothic" w:hAnsi="MS PGothic"/>
          <w:sz w:val="19"/>
          <w:szCs w:val="19"/>
          <w:color w:val="auto"/>
        </w:rPr>
        <w:t>☐</w:t>
      </w:r>
    </w:p>
    <w:p>
      <w:pPr>
        <w:spacing w:after="0" w:line="36" w:lineRule="exact"/>
        <w:rPr>
          <w:sz w:val="20"/>
          <w:szCs w:val="20"/>
          <w:color w:val="auto"/>
        </w:rPr>
      </w:pPr>
    </w:p>
    <w:p>
      <w:pPr>
        <w:spacing w:after="0" w:line="221" w:lineRule="exact"/>
        <w:tabs>
          <w:tab w:leader="none" w:pos="540" w:val="left"/>
          <w:tab w:leader="none" w:pos="1080" w:val="left"/>
        </w:tabs>
        <w:rPr>
          <w:sz w:val="20"/>
          <w:szCs w:val="20"/>
          <w:color w:val="auto"/>
        </w:rPr>
      </w:pPr>
      <w:r>
        <w:rPr>
          <w:rFonts w:ascii="MS PGothic" w:cs="MS PGothic" w:eastAsia="MS PGothic" w:hAnsi="MS PGothic"/>
          <w:sz w:val="22"/>
          <w:szCs w:val="22"/>
          <w:color w:val="auto"/>
        </w:rPr>
        <w:t>☐</w:t>
        <w:tab/>
        <w:t>☐</w:t>
      </w:r>
      <w:r>
        <w:rPr>
          <w:sz w:val="20"/>
          <w:szCs w:val="20"/>
          <w:color w:val="auto"/>
        </w:rPr>
        <w:tab/>
      </w:r>
      <w:r>
        <w:rPr>
          <w:rFonts w:ascii="MS PGothic" w:cs="MS PGothic" w:eastAsia="MS PGothic" w:hAnsi="MS PGothic"/>
          <w:sz w:val="19"/>
          <w:szCs w:val="19"/>
          <w:color w:val="auto"/>
        </w:rPr>
        <w:t>☐</w:t>
      </w:r>
    </w:p>
    <w:p>
      <w:pPr>
        <w:spacing w:after="0" w:line="37" w:lineRule="exact"/>
        <w:rPr>
          <w:sz w:val="20"/>
          <w:szCs w:val="20"/>
          <w:color w:val="auto"/>
        </w:rPr>
      </w:pPr>
    </w:p>
    <w:p>
      <w:pPr>
        <w:spacing w:after="0" w:line="221" w:lineRule="exact"/>
        <w:tabs>
          <w:tab w:leader="none" w:pos="540" w:val="left"/>
          <w:tab w:leader="none" w:pos="1080" w:val="left"/>
        </w:tabs>
        <w:rPr>
          <w:sz w:val="20"/>
          <w:szCs w:val="20"/>
          <w:color w:val="auto"/>
        </w:rPr>
      </w:pPr>
      <w:r>
        <w:rPr>
          <w:rFonts w:ascii="MS PGothic" w:cs="MS PGothic" w:eastAsia="MS PGothic" w:hAnsi="MS PGothic"/>
          <w:sz w:val="22"/>
          <w:szCs w:val="22"/>
          <w:color w:val="auto"/>
        </w:rPr>
        <w:t>☐</w:t>
        <w:tab/>
        <w:t>☐</w:t>
      </w:r>
      <w:r>
        <w:rPr>
          <w:sz w:val="20"/>
          <w:szCs w:val="20"/>
          <w:color w:val="auto"/>
        </w:rPr>
        <w:tab/>
      </w:r>
      <w:r>
        <w:rPr>
          <w:rFonts w:ascii="MS PGothic" w:cs="MS PGothic" w:eastAsia="MS PGothic" w:hAnsi="MS PGothic"/>
          <w:sz w:val="19"/>
          <w:szCs w:val="19"/>
          <w:color w:val="auto"/>
        </w:rPr>
        <w:t>☐</w:t>
      </w:r>
    </w:p>
    <w:p>
      <w:pPr>
        <w:spacing w:after="0" w:line="37" w:lineRule="exact"/>
        <w:rPr>
          <w:sz w:val="20"/>
          <w:szCs w:val="20"/>
          <w:color w:val="auto"/>
        </w:rPr>
      </w:pPr>
    </w:p>
    <w:p>
      <w:pPr>
        <w:spacing w:after="0" w:line="221" w:lineRule="exact"/>
        <w:tabs>
          <w:tab w:leader="none" w:pos="540" w:val="left"/>
          <w:tab w:leader="none" w:pos="1080" w:val="left"/>
        </w:tabs>
        <w:rPr>
          <w:sz w:val="20"/>
          <w:szCs w:val="20"/>
          <w:color w:val="auto"/>
        </w:rPr>
      </w:pPr>
      <w:r>
        <w:rPr>
          <w:rFonts w:ascii="MS PGothic" w:cs="MS PGothic" w:eastAsia="MS PGothic" w:hAnsi="MS PGothic"/>
          <w:sz w:val="22"/>
          <w:szCs w:val="22"/>
          <w:color w:val="auto"/>
        </w:rPr>
        <w:t>☐</w:t>
        <w:tab/>
        <w:t>☐</w:t>
      </w:r>
      <w:r>
        <w:rPr>
          <w:sz w:val="20"/>
          <w:szCs w:val="20"/>
          <w:color w:val="auto"/>
        </w:rPr>
        <w:tab/>
      </w:r>
      <w:r>
        <w:rPr>
          <w:rFonts w:ascii="MS PGothic" w:cs="MS PGothic" w:eastAsia="MS PGothic" w:hAnsi="MS PGothic"/>
          <w:sz w:val="19"/>
          <w:szCs w:val="19"/>
          <w:color w:val="auto"/>
        </w:rPr>
        <w:t>☐</w:t>
      </w:r>
    </w:p>
    <w:p>
      <w:pPr>
        <w:spacing w:after="0" w:line="1072" w:lineRule="exact"/>
        <w:rPr>
          <w:sz w:val="20"/>
          <w:szCs w:val="20"/>
          <w:color w:val="auto"/>
        </w:rPr>
      </w:pPr>
    </w:p>
    <w:p>
      <w:pPr>
        <w:sectPr>
          <w:pgSz w:w="11900" w:h="16838" w:orient="portrait"/>
          <w:cols w:equalWidth="0" w:num="2">
            <w:col w:w="9140" w:space="240"/>
            <w:col w:w="1700"/>
          </w:cols>
          <w:pgMar w:left="320" w:top="459"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80"/>
        <w:spacing w:after="0"/>
        <w:rPr>
          <w:sz w:val="20"/>
          <w:szCs w:val="20"/>
          <w:color w:val="auto"/>
        </w:rPr>
      </w:pPr>
      <w:r>
        <w:rPr>
          <w:rFonts w:ascii="Arial" w:cs="Arial" w:eastAsia="Arial" w:hAnsi="Arial"/>
          <w:sz w:val="12"/>
          <w:szCs w:val="12"/>
          <w:color w:val="auto"/>
        </w:rPr>
        <w:t>Signature [PLEASE SIGN WITHIN BOX]</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2"/>
          <w:szCs w:val="12"/>
          <w:color w:val="auto"/>
        </w:rPr>
        <w:t>Signature (Joint Owners)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2"/>
          <w:szCs w:val="12"/>
          <w:color w:val="auto"/>
        </w:rPr>
        <w:t>Date</w:t>
      </w:r>
    </w:p>
    <w:p>
      <w:pPr>
        <w:sectPr>
          <w:pgSz w:w="11900" w:h="16838" w:orient="portrait"/>
          <w:cols w:equalWidth="0" w:num="4">
            <w:col w:w="2640" w:space="720"/>
            <w:col w:w="1840" w:space="720"/>
            <w:col w:w="2000" w:space="720"/>
            <w:col w:w="2440"/>
          </w:cols>
          <w:pgMar w:left="320" w:top="459" w:right="499" w:bottom="1440" w:gutter="0" w:footer="0" w:header="0"/>
          <w:type w:val="continuous"/>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2087880</wp:posOffset>
            </wp:positionH>
            <wp:positionV relativeFrom="paragraph">
              <wp:posOffset>205740</wp:posOffset>
            </wp:positionV>
            <wp:extent cx="2966085" cy="22288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296608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59"/>
        <w:spacing w:after="0"/>
        <w:rPr>
          <w:sz w:val="20"/>
          <w:szCs w:val="20"/>
          <w:color w:val="auto"/>
        </w:rPr>
      </w:pPr>
      <w:r>
        <w:rPr>
          <w:rFonts w:ascii="Arial" w:cs="Arial" w:eastAsia="Arial" w:hAnsi="Arial"/>
          <w:sz w:val="20"/>
          <w:szCs w:val="20"/>
          <w:color w:val="auto"/>
        </w:rPr>
        <w:t>2020 Annual Meeting of Shareholders</w:t>
      </w:r>
    </w:p>
    <w:p>
      <w:pPr>
        <w:spacing w:after="0" w:line="202" w:lineRule="exact"/>
        <w:rPr>
          <w:sz w:val="20"/>
          <w:szCs w:val="20"/>
          <w:color w:val="auto"/>
        </w:rPr>
      </w:pPr>
    </w:p>
    <w:p>
      <w:pPr>
        <w:jc w:val="center"/>
        <w:ind w:right="-159"/>
        <w:spacing w:after="0"/>
        <w:rPr>
          <w:sz w:val="20"/>
          <w:szCs w:val="20"/>
          <w:color w:val="auto"/>
        </w:rPr>
      </w:pPr>
      <w:r>
        <w:rPr>
          <w:rFonts w:ascii="Arial" w:cs="Arial" w:eastAsia="Arial" w:hAnsi="Arial"/>
          <w:sz w:val="20"/>
          <w:szCs w:val="20"/>
          <w:color w:val="auto"/>
        </w:rPr>
        <w:t>Tuesday, May 19, 2020 10:00 a.m. Eastern Daylight Time</w:t>
      </w:r>
    </w:p>
    <w:p>
      <w:pPr>
        <w:spacing w:after="0" w:line="202" w:lineRule="exact"/>
        <w:rPr>
          <w:sz w:val="20"/>
          <w:szCs w:val="20"/>
          <w:color w:val="auto"/>
        </w:rPr>
      </w:pPr>
    </w:p>
    <w:p>
      <w:pPr>
        <w:jc w:val="center"/>
        <w:ind w:right="-159"/>
        <w:spacing w:after="0"/>
        <w:rPr>
          <w:sz w:val="20"/>
          <w:szCs w:val="20"/>
          <w:color w:val="auto"/>
        </w:rPr>
      </w:pPr>
      <w:r>
        <w:rPr>
          <w:rFonts w:ascii="Arial" w:cs="Arial" w:eastAsia="Arial" w:hAnsi="Arial"/>
          <w:sz w:val="20"/>
          <w:szCs w:val="20"/>
          <w:color w:val="auto"/>
        </w:rPr>
        <w:t>www.virtualshareholdermeeting.com/JPM2020</w:t>
      </w:r>
    </w:p>
    <w:p>
      <w:pPr>
        <w:spacing w:after="0" w:line="183" w:lineRule="exact"/>
        <w:rPr>
          <w:sz w:val="20"/>
          <w:szCs w:val="20"/>
          <w:color w:val="auto"/>
        </w:rPr>
      </w:pPr>
    </w:p>
    <w:p>
      <w:pPr>
        <w:jc w:val="both"/>
        <w:ind w:left="1100" w:right="940"/>
        <w:spacing w:after="0"/>
        <w:rPr>
          <w:sz w:val="20"/>
          <w:szCs w:val="20"/>
          <w:color w:val="auto"/>
        </w:rPr>
      </w:pPr>
      <w:r>
        <w:rPr>
          <w:rFonts w:ascii="Arial" w:cs="Arial" w:eastAsia="Arial" w:hAnsi="Arial"/>
          <w:sz w:val="18"/>
          <w:szCs w:val="18"/>
          <w:b w:val="1"/>
          <w:bCs w:val="1"/>
          <w:color w:val="auto"/>
        </w:rPr>
        <w:t xml:space="preserve">If you plan to attend the meeting at </w:t>
      </w:r>
      <w:r>
        <w:rPr>
          <w:rFonts w:ascii="Arial" w:cs="Arial" w:eastAsia="Arial" w:hAnsi="Arial"/>
          <w:sz w:val="18"/>
          <w:szCs w:val="18"/>
          <w:color w:val="auto"/>
        </w:rPr>
        <w:t>www.virtualshareholdermeeting.com/JPM2020, you will be required to</w:t>
      </w:r>
      <w:r>
        <w:rPr>
          <w:rFonts w:ascii="Arial" w:cs="Arial" w:eastAsia="Arial" w:hAnsi="Arial"/>
          <w:sz w:val="18"/>
          <w:szCs w:val="18"/>
          <w:b w:val="1"/>
          <w:bCs w:val="1"/>
          <w:color w:val="auto"/>
        </w:rPr>
        <w:t xml:space="preserve"> </w:t>
      </w:r>
      <w:r>
        <w:rPr>
          <w:rFonts w:ascii="Arial" w:cs="Arial" w:eastAsia="Arial" w:hAnsi="Arial"/>
          <w:sz w:val="18"/>
          <w:szCs w:val="18"/>
          <w:color w:val="auto"/>
        </w:rPr>
        <w:t>enter the control number found on your proxy card, voting instruction form or Notice you previously received. In light of public health concerns regarding the coronavirus (COVID-19) outbreak, the Annual Meeting will be held in a virtual meeting format only. There will be no physical location for shareholders to attend as we are sensitive to the public health and travel concerns our shareholders may have and the protocols that federal, state, and local governments may impose. For more information see “Information about the annual shareholder meeting” in the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Important Notice Regarding the Availability of Proxy Materials for the 2020 Annual Meeting:</w:t>
      </w:r>
    </w:p>
    <w:p>
      <w:pPr>
        <w:spacing w:after="0" w:line="1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The Notice and Proxy Statement and Annual Report are available at</w:t>
      </w:r>
    </w:p>
    <w:p>
      <w:pPr>
        <w:jc w:val="center"/>
        <w:ind w:right="-159"/>
        <w:spacing w:after="0"/>
        <w:rPr>
          <w:sz w:val="20"/>
          <w:szCs w:val="20"/>
          <w:color w:val="auto"/>
        </w:rPr>
      </w:pPr>
      <w:r>
        <w:rPr>
          <w:rFonts w:ascii="Arial" w:cs="Arial" w:eastAsia="Arial" w:hAnsi="Arial"/>
          <w:sz w:val="18"/>
          <w:szCs w:val="18"/>
          <w:color w:val="auto"/>
        </w:rPr>
        <w:t>jpmorganchase.com/annual-report-proxy</w:t>
      </w:r>
    </w:p>
    <w:p>
      <w:pPr>
        <w:spacing w:after="0" w:line="90"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 ———————————————————— —————————————————</w:t>
      </w:r>
    </w:p>
    <w:p>
      <w:pPr>
        <w:spacing w:after="0" w:line="220" w:lineRule="exact"/>
        <w:rPr>
          <w:sz w:val="20"/>
          <w:szCs w:val="20"/>
          <w:color w:val="auto"/>
        </w:rPr>
      </w:pPr>
    </w:p>
    <w:p>
      <w:pPr>
        <w:ind w:left="9420"/>
        <w:spacing w:after="0"/>
        <w:rPr>
          <w:sz w:val="20"/>
          <w:szCs w:val="20"/>
          <w:color w:val="auto"/>
        </w:rPr>
      </w:pPr>
      <w:r>
        <w:rPr>
          <w:rFonts w:ascii="Arial" w:cs="Arial" w:eastAsia="Arial" w:hAnsi="Arial"/>
          <w:sz w:val="13"/>
          <w:szCs w:val="13"/>
          <w:color w:val="auto"/>
        </w:rPr>
        <w:t>E96271-P33527-Z76359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37465</wp:posOffset>
            </wp:positionV>
            <wp:extent cx="6994525" cy="431990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6994525" cy="4319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59"/>
        <w:spacing w:after="0"/>
        <w:rPr>
          <w:sz w:val="20"/>
          <w:szCs w:val="20"/>
          <w:color w:val="auto"/>
        </w:rPr>
      </w:pPr>
      <w:r>
        <w:rPr>
          <w:rFonts w:ascii="Arial" w:cs="Arial" w:eastAsia="Arial" w:hAnsi="Arial"/>
          <w:sz w:val="29"/>
          <w:szCs w:val="29"/>
          <w:b w:val="1"/>
          <w:bCs w:val="1"/>
          <w:color w:val="auto"/>
        </w:rPr>
        <w:t>JPMORGAN CHASE &amp; CO.</w:t>
      </w:r>
    </w:p>
    <w:p>
      <w:pPr>
        <w:spacing w:after="0" w:line="233" w:lineRule="exact"/>
        <w:rPr>
          <w:sz w:val="20"/>
          <w:szCs w:val="20"/>
          <w:color w:val="auto"/>
        </w:rPr>
      </w:pPr>
    </w:p>
    <w:p>
      <w:pPr>
        <w:ind w:left="580" w:right="420"/>
        <w:spacing w:after="0" w:line="257" w:lineRule="auto"/>
        <w:rPr>
          <w:sz w:val="20"/>
          <w:szCs w:val="20"/>
          <w:color w:val="auto"/>
        </w:rPr>
      </w:pPr>
      <w:r>
        <w:rPr>
          <w:rFonts w:ascii="Arial" w:cs="Arial" w:eastAsia="Arial" w:hAnsi="Arial"/>
          <w:sz w:val="20"/>
          <w:szCs w:val="20"/>
          <w:b w:val="1"/>
          <w:bCs w:val="1"/>
          <w:color w:val="auto"/>
        </w:rPr>
        <w:t>This proxy is solicited from you by the Board of Directors for use at the Annual Meeting of Shareholders of JPMorgan Chase &amp; Co. on May 19, 2020.</w:t>
      </w:r>
    </w:p>
    <w:p>
      <w:pPr>
        <w:spacing w:after="0" w:line="290" w:lineRule="exact"/>
        <w:rPr>
          <w:sz w:val="20"/>
          <w:szCs w:val="20"/>
          <w:color w:val="auto"/>
        </w:rPr>
      </w:pPr>
    </w:p>
    <w:p>
      <w:pPr>
        <w:jc w:val="both"/>
        <w:ind w:left="480" w:right="320"/>
        <w:spacing w:after="0" w:line="237" w:lineRule="auto"/>
        <w:rPr>
          <w:sz w:val="20"/>
          <w:szCs w:val="20"/>
          <w:color w:val="auto"/>
        </w:rPr>
      </w:pPr>
      <w:r>
        <w:rPr>
          <w:rFonts w:ascii="Arial" w:cs="Arial" w:eastAsia="Arial" w:hAnsi="Arial"/>
          <w:sz w:val="18"/>
          <w:szCs w:val="18"/>
          <w:color w:val="auto"/>
        </w:rPr>
        <w:t xml:space="preserve">You, the undersigned shareholder, appoint each of Molly Carpenter and Jennifer Piepszak, your attorney-in-fact and proxy, with full power of substitution, to vote on your behalf shares of JPMorgan Chase common stock that you would be entitled to vote at the 2020 Annual Meeting, and any adjournment of the meeting, with all powers that you would have if you were present at the meeting. </w:t>
      </w:r>
      <w:r>
        <w:rPr>
          <w:rFonts w:ascii="Arial" w:cs="Arial" w:eastAsia="Arial" w:hAnsi="Arial"/>
          <w:sz w:val="18"/>
          <w:szCs w:val="18"/>
          <w:b w:val="1"/>
          <w:bCs w:val="1"/>
          <w:color w:val="auto"/>
        </w:rPr>
        <w:t>The shares represented by this proxy will be voted as instructed by you on the reverse side of this card with</w:t>
      </w:r>
      <w:r>
        <w:rPr>
          <w:rFonts w:ascii="Arial" w:cs="Arial" w:eastAsia="Arial" w:hAnsi="Arial"/>
          <w:sz w:val="18"/>
          <w:szCs w:val="18"/>
          <w:color w:val="auto"/>
        </w:rPr>
        <w:t xml:space="preserve"> </w:t>
      </w:r>
      <w:r>
        <w:rPr>
          <w:rFonts w:ascii="Arial" w:cs="Arial" w:eastAsia="Arial" w:hAnsi="Arial"/>
          <w:sz w:val="18"/>
          <w:szCs w:val="18"/>
          <w:b w:val="1"/>
          <w:bCs w:val="1"/>
          <w:color w:val="auto"/>
        </w:rPr>
        <w:t>respect to the proposals set forth in the proxy statement, and in the discretion of the proxies on all other matters which may properly come before the 2020 Annual Meeting and any adjournment thereof. If the card is signed but no instructions are given, shares will be voted in accordance with the recommendations of the Board of Directors.</w:t>
      </w:r>
    </w:p>
    <w:p>
      <w:pPr>
        <w:spacing w:after="0" w:line="203" w:lineRule="exact"/>
        <w:rPr>
          <w:sz w:val="20"/>
          <w:szCs w:val="20"/>
          <w:color w:val="auto"/>
        </w:rPr>
      </w:pPr>
    </w:p>
    <w:p>
      <w:pPr>
        <w:jc w:val="both"/>
        <w:ind w:left="480" w:right="320"/>
        <w:spacing w:after="0" w:line="238" w:lineRule="auto"/>
        <w:rPr>
          <w:sz w:val="20"/>
          <w:szCs w:val="20"/>
          <w:color w:val="auto"/>
        </w:rPr>
      </w:pPr>
      <w:r>
        <w:rPr>
          <w:rFonts w:ascii="Arial" w:cs="Arial" w:eastAsia="Arial" w:hAnsi="Arial"/>
          <w:sz w:val="18"/>
          <w:szCs w:val="18"/>
          <w:color w:val="auto"/>
        </w:rPr>
        <w:t>Participants in the 401(k) Savings Plan: If you have an interest in JPMorgan Chase common stock through an investment in the JPMorgan Chase Common Stock Fund within the 401(k) Savings Plan, your vote will provide voting instructions to the trustee of the plan to vote the proportionate interest as of the record date. If no instructions are given, the trustee will vote unvoted shares in the same proportion as voted shares.</w:t>
      </w:r>
    </w:p>
    <w:p>
      <w:pPr>
        <w:spacing w:after="0" w:line="183" w:lineRule="exact"/>
        <w:rPr>
          <w:sz w:val="20"/>
          <w:szCs w:val="20"/>
          <w:color w:val="auto"/>
        </w:rPr>
      </w:pPr>
    </w:p>
    <w:p>
      <w:pPr>
        <w:jc w:val="both"/>
        <w:ind w:left="480" w:right="320"/>
        <w:spacing w:after="0" w:line="271" w:lineRule="auto"/>
        <w:rPr>
          <w:sz w:val="20"/>
          <w:szCs w:val="20"/>
          <w:color w:val="auto"/>
        </w:rPr>
      </w:pPr>
      <w:r>
        <w:rPr>
          <w:rFonts w:ascii="Arial" w:cs="Arial" w:eastAsia="Arial" w:hAnsi="Arial"/>
          <w:sz w:val="18"/>
          <w:szCs w:val="18"/>
          <w:b w:val="1"/>
          <w:bCs w:val="1"/>
          <w:color w:val="auto"/>
        </w:rPr>
        <w:t xml:space="preserve">Voting Methods: </w:t>
      </w:r>
      <w:r>
        <w:rPr>
          <w:rFonts w:ascii="Arial" w:cs="Arial" w:eastAsia="Arial" w:hAnsi="Arial"/>
          <w:sz w:val="18"/>
          <w:szCs w:val="18"/>
          <w:color w:val="auto"/>
        </w:rPr>
        <w:t>If you wish to vote by mail, please sign your name exactly as it appears on this proxy and mark, date and</w:t>
      </w:r>
      <w:r>
        <w:rPr>
          <w:rFonts w:ascii="Arial" w:cs="Arial" w:eastAsia="Arial" w:hAnsi="Arial"/>
          <w:sz w:val="18"/>
          <w:szCs w:val="18"/>
          <w:b w:val="1"/>
          <w:bCs w:val="1"/>
          <w:color w:val="auto"/>
        </w:rPr>
        <w:t xml:space="preserve"> </w:t>
      </w:r>
      <w:r>
        <w:rPr>
          <w:rFonts w:ascii="Arial" w:cs="Arial" w:eastAsia="Arial" w:hAnsi="Arial"/>
          <w:sz w:val="18"/>
          <w:szCs w:val="18"/>
          <w:color w:val="auto"/>
        </w:rPr>
        <w:t>return it in the enclosed envelope. If you wish to vote by Internet or telephone, please follow the instructions on the reverse side.</w:t>
      </w:r>
    </w:p>
    <w:p>
      <w:pPr>
        <w:spacing w:after="0" w:line="15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Continued and to be signed on reverse side</w:t>
      </w:r>
    </w:p>
    <w:sectPr>
      <w:pgSz w:w="11900" w:h="16838" w:orient="portrait"/>
      <w:cols w:equalWidth="0" w:num="1">
        <w:col w:w="11080"/>
      </w:cols>
      <w:pgMar w:left="320" w:top="459"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7A1B582"/>
    <w:multiLevelType w:val="hybridMultilevel"/>
    <w:lvl w:ilvl="0">
      <w:lvlJc w:val="left"/>
      <w:lvlText w:val="☐"/>
      <w:numFmt w:val="bullet"/>
      <w:start w:val="1"/>
    </w:lvl>
  </w:abstractNum>
  <w:abstractNum w:abstractNumId="1">
    <w:nsid w:val="4DF72E4E"/>
    <w:multiLevelType w:val="hybridMultilevel"/>
    <w:lvl w:ilvl="0">
      <w:lvlJc w:val="left"/>
      <w:lvlText w:val="☒"/>
      <w:numFmt w:val="bullet"/>
      <w:start w:val="1"/>
    </w:lvl>
  </w:abstractNum>
  <w:abstractNum w:abstractNumId="2">
    <w:nsid w:val="5046B5A9"/>
    <w:multiLevelType w:val="hybridMultilevel"/>
    <w:lvl w:ilvl="0">
      <w:lvlJc w:val="left"/>
      <w:lvlText w:val="☐"/>
      <w:numFmt w:val="bullet"/>
      <w:start w:val="1"/>
    </w:lvl>
  </w:abstractNum>
  <w:abstractNum w:abstractNumId="3">
    <w:nsid w:val="5D888A08"/>
    <w:multiLevelType w:val="hybridMultilevel"/>
    <w:lvl w:ilvl="0">
      <w:lvlJc w:val="left"/>
      <w:lvlText w:val="☒"/>
      <w:numFmt w:val="bullet"/>
      <w:start w:val="1"/>
    </w:lvl>
  </w:abstractNum>
  <w:abstractNum w:abstractNumId="4">
    <w:nsid w:val="2A082C70"/>
    <w:multiLevelType w:val="hybridMultilevel"/>
    <w:lvl w:ilvl="0">
      <w:lvlJc w:val="left"/>
      <w:lvlText w:val="☐"/>
      <w:numFmt w:val="bullet"/>
      <w:start w:val="1"/>
    </w:lvl>
    <w:lvl w:ilvl="1">
      <w:lvlJc w:val="left"/>
      <w:lvlText w:val="(%2)"/>
      <w:numFmt w:val="decimal"/>
      <w:start w:val="1"/>
    </w:lvl>
  </w:abstractNum>
  <w:abstractNum w:abstractNumId="5">
    <w:nsid w:val="5EC6AFD4"/>
    <w:multiLevelType w:val="hybridMultilevel"/>
    <w:lvl w:ilvl="0">
      <w:lvlJc w:val="left"/>
      <w:lvlText w:val="-"/>
      <w:numFmt w:val="bullet"/>
      <w:start w:val="1"/>
    </w:lvl>
  </w:abstractNum>
  <w:abstractNum w:abstractNumId="6">
    <w:nsid w:val="19E21BB2"/>
    <w:multiLevelType w:val="hybridMultilevel"/>
    <w:lvl w:ilvl="0">
      <w:lvlJc w:val="left"/>
      <w:lvlText w:val="%1."/>
      <w:numFmt w:val="decimal"/>
      <w:start w:val="1"/>
    </w:lvl>
  </w:abstractNum>
  <w:abstractNum w:abstractNumId="7">
    <w:nsid w:val="75E0858A"/>
    <w:multiLevelType w:val="hybridMultilevel"/>
    <w:lvl w:ilvl="0">
      <w:lvlJc w:val="left"/>
      <w:lvlText w:val="%1."/>
      <w:numFmt w:val="upperLetter"/>
      <w:start w:val="61"/>
    </w:lvl>
  </w:abstractNum>
  <w:abstractNum w:abstractNumId="8">
    <w:nsid w:val="57A61A29"/>
    <w:multiLevelType w:val="hybridMultilevel"/>
    <w:lvl w:ilvl="0">
      <w:lvlJc w:val="left"/>
      <w:lvlText w:val="•"/>
      <w:numFmt w:val="bullet"/>
      <w:start w:val="1"/>
    </w:lvl>
  </w:abstractNum>
  <w:abstractNum w:abstractNumId="9">
    <w:nsid w:val="5399C654"/>
    <w:multiLevelType w:val="hybridMultilevel"/>
    <w:lvl w:ilvl="0">
      <w:lvlJc w:val="left"/>
      <w:lvlText w:val="•"/>
      <w:numFmt w:val="bullet"/>
      <w:start w:val="1"/>
    </w:lvl>
  </w:abstractNum>
  <w:abstractNum w:abstractNumId="10">
    <w:nsid w:val="20EE1348"/>
    <w:multiLevelType w:val="hybridMultilevel"/>
    <w:lvl w:ilvl="0">
      <w:lvlJc w:val="left"/>
      <w:lvlText w:val="•"/>
      <w:numFmt w:val="bullet"/>
      <w:start w:val="1"/>
    </w:lvl>
  </w:abstractNum>
  <w:abstractNum w:abstractNumId="11">
    <w:nsid w:val="4427069A"/>
    <w:multiLevelType w:val="hybridMultilevel"/>
    <w:lvl w:ilvl="0">
      <w:lvlJc w:val="left"/>
      <w:lvlText w:val="•"/>
      <w:numFmt w:val="bullet"/>
      <w:start w:val="1"/>
    </w:lvl>
  </w:abstractNum>
  <w:abstractNum w:abstractNumId="12">
    <w:nsid w:val="B37E80A"/>
    <w:multiLevelType w:val="hybridMultilevel"/>
    <w:lvl w:ilvl="0">
      <w:lvlJc w:val="left"/>
      <w:lvlText w:val="1"/>
      <w:numFmt w:val="bullet"/>
      <w:start w:val="1"/>
    </w:lvl>
  </w:abstractNum>
  <w:abstractNum w:abstractNumId="13">
    <w:nsid w:val="2157F6BC"/>
    <w:multiLevelType w:val="hybridMultilevel"/>
    <w:lvl w:ilvl="0">
      <w:lvlJc w:val="left"/>
      <w:lvlText w:val="1"/>
      <w:numFmt w:val="bullet"/>
      <w:start w:val="1"/>
    </w:lvl>
  </w:abstractNum>
  <w:abstractNum w:abstractNumId="14">
    <w:nsid w:val="704E1DD5"/>
    <w:multiLevelType w:val="hybridMultilevel"/>
    <w:lvl w:ilvl="0">
      <w:lvlJc w:val="left"/>
      <w:lvlText w:val="2"/>
      <w:numFmt w:val="bullet"/>
      <w:start w:val="1"/>
    </w:lvl>
  </w:abstractNum>
  <w:abstractNum w:abstractNumId="15">
    <w:nsid w:val="57D2F10E"/>
    <w:multiLevelType w:val="hybridMultilevel"/>
    <w:lvl w:ilvl="0">
      <w:lvlJc w:val="left"/>
      <w:lvlText w:val="1"/>
      <w:numFmt w:val="bullet"/>
      <w:start w:val="1"/>
    </w:lvl>
  </w:abstractNum>
  <w:abstractNum w:abstractNumId="16">
    <w:nsid w:val="BFFAE18"/>
    <w:multiLevelType w:val="hybridMultilevel"/>
    <w:lvl w:ilvl="0">
      <w:lvlJc w:val="left"/>
      <w:lvlText w:val="•"/>
      <w:numFmt w:val="bullet"/>
      <w:start w:val="1"/>
    </w:lvl>
  </w:abstractNum>
  <w:abstractNum w:abstractNumId="17">
    <w:nsid w:val="E3E47A8"/>
    <w:multiLevelType w:val="hybridMultilevel"/>
    <w:lvl w:ilvl="0">
      <w:lvlJc w:val="left"/>
      <w:lvlText w:val="•"/>
      <w:numFmt w:val="bullet"/>
      <w:start w:val="1"/>
    </w:lvl>
  </w:abstractNum>
  <w:abstractNum w:abstractNumId="18">
    <w:nsid w:val="2E48F044"/>
    <w:multiLevelType w:val="hybridMultilevel"/>
    <w:lvl w:ilvl="0">
      <w:lvlJc w:val="left"/>
      <w:lvlText w:val="•"/>
      <w:numFmt w:val="bullet"/>
      <w:start w:val="1"/>
    </w:lvl>
  </w:abstractNum>
  <w:abstractNum w:abstractNumId="19">
    <w:nsid w:val="49D0FEAC"/>
    <w:multiLevelType w:val="hybridMultilevel"/>
    <w:lvl w:ilvl="0">
      <w:lvlJc w:val="left"/>
      <w:lvlText w:val="•"/>
      <w:numFmt w:val="bullet"/>
      <w:start w:val="1"/>
    </w:lvl>
  </w:abstractNum>
  <w:abstractNum w:abstractNumId="20">
    <w:nsid w:val="4BEE5A5B"/>
    <w:multiLevelType w:val="hybridMultilevel"/>
    <w:lvl w:ilvl="0">
      <w:lvlJc w:val="left"/>
      <w:lvlText w:val="•"/>
      <w:numFmt w:val="bullet"/>
      <w:start w:val="1"/>
    </w:lvl>
  </w:abstractNum>
  <w:abstractNum w:abstractNumId="21">
    <w:nsid w:val="5551B9F3"/>
    <w:multiLevelType w:val="hybridMultilevel"/>
    <w:lvl w:ilvl="0">
      <w:lvlJc w:val="left"/>
      <w:lvlText w:val="•"/>
      <w:numFmt w:val="bullet"/>
      <w:start w:val="1"/>
    </w:lvl>
    <w:lvl w:ilvl="1">
      <w:lvlJc w:val="left"/>
      <w:lvlText w:val="-"/>
      <w:numFmt w:val="bullet"/>
      <w:start w:val="1"/>
    </w:lvl>
  </w:abstractNum>
  <w:abstractNum w:abstractNumId="22">
    <w:nsid w:val="24F6AB8E"/>
    <w:multiLevelType w:val="hybridMultilevel"/>
    <w:lvl w:ilvl="0">
      <w:lvlJc w:val="left"/>
      <w:lvlText w:val="1"/>
      <w:numFmt w:val="bullet"/>
      <w:start w:val="1"/>
    </w:lvl>
  </w:abstractNum>
  <w:abstractNum w:abstractNumId="23">
    <w:nsid w:val="634C574C"/>
    <w:multiLevelType w:val="hybridMultilevel"/>
    <w:lvl w:ilvl="0">
      <w:lvlJc w:val="left"/>
      <w:lvlText w:val="2"/>
      <w:numFmt w:val="bullet"/>
      <w:start w:val="1"/>
    </w:lvl>
  </w:abstractNum>
  <w:abstractNum w:abstractNumId="24">
    <w:nsid w:val="24E99DD7"/>
    <w:multiLevelType w:val="hybridMultilevel"/>
    <w:lvl w:ilvl="0">
      <w:lvlJc w:val="left"/>
      <w:lvlText w:val="3"/>
      <w:numFmt w:val="bullet"/>
      <w:start w:val="1"/>
    </w:lvl>
  </w:abstractNum>
  <w:abstractNum w:abstractNumId="25">
    <w:nsid w:val="2A31B62D"/>
    <w:multiLevelType w:val="hybridMultilevel"/>
    <w:lvl w:ilvl="0">
      <w:lvlJc w:val="left"/>
      <w:lvlText w:val="1"/>
      <w:numFmt w:val="bullet"/>
      <w:start w:val="1"/>
    </w:lvl>
  </w:abstractNum>
  <w:abstractNum w:abstractNumId="26">
    <w:nsid w:val="1849C29B"/>
    <w:multiLevelType w:val="hybridMultilevel"/>
    <w:lvl w:ilvl="0">
      <w:lvlJc w:val="left"/>
      <w:lvlText w:val="•"/>
      <w:numFmt w:val="bullet"/>
      <w:start w:val="1"/>
    </w:lvl>
  </w:abstractNum>
  <w:abstractNum w:abstractNumId="27">
    <w:nsid w:val="7DFF9D09"/>
    <w:multiLevelType w:val="hybridMultilevel"/>
    <w:lvl w:ilvl="0">
      <w:lvlJc w:val="left"/>
      <w:lvlText w:val="%1"/>
      <w:numFmt w:val="decimal"/>
      <w:start w:val="10"/>
    </w:lvl>
  </w:abstractNum>
  <w:abstractNum w:abstractNumId="28">
    <w:nsid w:val="754342"/>
    <w:multiLevelType w:val="hybridMultilevel"/>
    <w:lvl w:ilvl="0">
      <w:lvlJc w:val="left"/>
      <w:lvlText w:val="•"/>
      <w:numFmt w:val="bullet"/>
      <w:start w:val="1"/>
    </w:lvl>
  </w:abstractNum>
  <w:abstractNum w:abstractNumId="29">
    <w:nsid w:val="69E7F3E5"/>
    <w:multiLevelType w:val="hybridMultilevel"/>
    <w:lvl w:ilvl="0">
      <w:lvlJc w:val="left"/>
      <w:lvlText w:val="•"/>
      <w:numFmt w:val="bullet"/>
      <w:start w:val="1"/>
    </w:lvl>
  </w:abstractNum>
  <w:abstractNum w:abstractNumId="30">
    <w:nsid w:val="2A6DE806"/>
    <w:multiLevelType w:val="hybridMultilevel"/>
    <w:lvl w:ilvl="0">
      <w:lvlJc w:val="left"/>
      <w:lvlText w:val="•"/>
      <w:numFmt w:val="bullet"/>
      <w:start w:val="1"/>
    </w:lvl>
  </w:abstractNum>
  <w:abstractNum w:abstractNumId="31">
    <w:nsid w:val="1816F8C4"/>
    <w:multiLevelType w:val="hybridMultilevel"/>
    <w:lvl w:ilvl="0">
      <w:lvlJc w:val="left"/>
      <w:lvlText w:val="•"/>
      <w:numFmt w:val="bullet"/>
      <w:start w:val="1"/>
    </w:lvl>
  </w:abstractNum>
  <w:abstractNum w:abstractNumId="32">
    <w:nsid w:val="37DF2233"/>
    <w:multiLevelType w:val="hybridMultilevel"/>
    <w:lvl w:ilvl="0">
      <w:lvlJc w:val="left"/>
      <w:lvlText w:val="•"/>
      <w:numFmt w:val="bullet"/>
      <w:start w:val="1"/>
    </w:lvl>
  </w:abstractNum>
  <w:abstractNum w:abstractNumId="33">
    <w:nsid w:val="7AB49DAF"/>
    <w:multiLevelType w:val="hybridMultilevel"/>
    <w:lvl w:ilvl="0">
      <w:lvlJc w:val="left"/>
      <w:lvlText w:val="•"/>
      <w:numFmt w:val="bullet"/>
      <w:start w:val="1"/>
    </w:lvl>
  </w:abstractNum>
  <w:abstractNum w:abstractNumId="34">
    <w:nsid w:val="759F82CD"/>
    <w:multiLevelType w:val="hybridMultilevel"/>
    <w:lvl w:ilvl="0">
      <w:lvlJc w:val="left"/>
      <w:lvlText w:val="•"/>
      <w:numFmt w:val="bullet"/>
      <w:start w:val="1"/>
    </w:lvl>
  </w:abstractNum>
  <w:abstractNum w:abstractNumId="35">
    <w:nsid w:val="61E74EA3"/>
    <w:multiLevelType w:val="hybridMultilevel"/>
    <w:lvl w:ilvl="0">
      <w:lvlJc w:val="left"/>
      <w:lvlText w:val="•"/>
      <w:numFmt w:val="bullet"/>
      <w:start w:val="1"/>
    </w:lvl>
  </w:abstractNum>
  <w:abstractNum w:abstractNumId="36">
    <w:nsid w:val="597B4D84"/>
    <w:multiLevelType w:val="hybridMultilevel"/>
    <w:lvl w:ilvl="0">
      <w:lvlJc w:val="left"/>
      <w:lvlText w:val="•"/>
      <w:numFmt w:val="bullet"/>
      <w:start w:val="1"/>
    </w:lvl>
  </w:abstractNum>
  <w:abstractNum w:abstractNumId="37">
    <w:nsid w:val="F819E7F"/>
    <w:multiLevelType w:val="hybridMultilevel"/>
    <w:lvl w:ilvl="0">
      <w:lvlJc w:val="left"/>
      <w:lvlText w:val="•"/>
      <w:numFmt w:val="bullet"/>
      <w:start w:val="1"/>
    </w:lvl>
  </w:abstractNum>
  <w:abstractNum w:abstractNumId="38">
    <w:nsid w:val="57C7D42D"/>
    <w:multiLevelType w:val="hybridMultilevel"/>
    <w:lvl w:ilvl="0">
      <w:lvlJc w:val="left"/>
      <w:lvlText w:val="•"/>
      <w:numFmt w:val="bullet"/>
      <w:start w:val="1"/>
    </w:lvl>
  </w:abstractNum>
  <w:abstractNum w:abstractNumId="39">
    <w:nsid w:val="312167AD"/>
    <w:multiLevelType w:val="hybridMultilevel"/>
    <w:lvl w:ilvl="0">
      <w:lvlJc w:val="left"/>
      <w:lvlText w:val="•"/>
      <w:numFmt w:val="bullet"/>
      <w:start w:val="1"/>
    </w:lvl>
  </w:abstractNum>
  <w:abstractNum w:abstractNumId="40">
    <w:nsid w:val="631B64D4"/>
    <w:multiLevelType w:val="hybridMultilevel"/>
    <w:lvl w:ilvl="0">
      <w:lvlJc w:val="left"/>
      <w:lvlText w:val="•"/>
      <w:numFmt w:val="bullet"/>
      <w:start w:val="1"/>
    </w:lvl>
  </w:abstractNum>
  <w:abstractNum w:abstractNumId="41">
    <w:nsid w:val="78B5E776"/>
    <w:multiLevelType w:val="hybridMultilevel"/>
    <w:lvl w:ilvl="0">
      <w:lvlJc w:val="left"/>
      <w:lvlText w:val="•"/>
      <w:numFmt w:val="bullet"/>
      <w:start w:val="1"/>
    </w:lvl>
  </w:abstractNum>
  <w:abstractNum w:abstractNumId="42">
    <w:nsid w:val="75486E47"/>
    <w:multiLevelType w:val="hybridMultilevel"/>
    <w:lvl w:ilvl="0">
      <w:lvlJc w:val="left"/>
      <w:lvlText w:val="•"/>
      <w:numFmt w:val="bullet"/>
      <w:start w:val="1"/>
    </w:lvl>
  </w:abstractNum>
  <w:abstractNum w:abstractNumId="43">
    <w:nsid w:val="6E534CDE"/>
    <w:multiLevelType w:val="hybridMultilevel"/>
    <w:lvl w:ilvl="0">
      <w:lvlJc w:val="left"/>
      <w:lvlText w:val="•"/>
      <w:numFmt w:val="bullet"/>
      <w:start w:val="1"/>
    </w:lvl>
  </w:abstractNum>
  <w:abstractNum w:abstractNumId="44">
    <w:nsid w:val="1A0DDE32"/>
    <w:multiLevelType w:val="hybridMultilevel"/>
    <w:lvl w:ilvl="0">
      <w:lvlJc w:val="left"/>
      <w:lvlText w:val="•"/>
      <w:numFmt w:val="bullet"/>
      <w:start w:val="1"/>
    </w:lvl>
  </w:abstractNum>
  <w:abstractNum w:abstractNumId="45">
    <w:nsid w:val="65968C1C"/>
    <w:multiLevelType w:val="hybridMultilevel"/>
    <w:lvl w:ilvl="0">
      <w:lvlJc w:val="left"/>
      <w:lvlText w:val="•"/>
      <w:numFmt w:val="bullet"/>
      <w:start w:val="1"/>
    </w:lvl>
  </w:abstractNum>
  <w:abstractNum w:abstractNumId="46">
    <w:nsid w:val="46263DEC"/>
    <w:multiLevelType w:val="hybridMultilevel"/>
    <w:lvl w:ilvl="0">
      <w:lvlJc w:val="left"/>
      <w:lvlText w:val="•"/>
      <w:numFmt w:val="bullet"/>
      <w:start w:val="1"/>
    </w:lvl>
  </w:abstractNum>
  <w:abstractNum w:abstractNumId="47">
    <w:nsid w:val="260D8C4A"/>
    <w:multiLevelType w:val="hybridMultilevel"/>
    <w:lvl w:ilvl="0">
      <w:lvlJc w:val="left"/>
      <w:lvlText w:val="•"/>
      <w:numFmt w:val="bullet"/>
      <w:start w:val="1"/>
    </w:lvl>
  </w:abstractNum>
  <w:abstractNum w:abstractNumId="48">
    <w:nsid w:val="73D4D3C4"/>
    <w:multiLevelType w:val="hybridMultilevel"/>
    <w:lvl w:ilvl="0">
      <w:lvlJc w:val="left"/>
      <w:lvlText w:val="•"/>
      <w:numFmt w:val="bullet"/>
      <w:start w:val="1"/>
    </w:lvl>
  </w:abstractNum>
  <w:abstractNum w:abstractNumId="49">
    <w:nsid w:val="746F2E30"/>
    <w:multiLevelType w:val="hybridMultilevel"/>
    <w:lvl w:ilvl="0">
      <w:lvlJc w:val="left"/>
      <w:lvlText w:val="•"/>
      <w:numFmt w:val="bullet"/>
      <w:start w:val="1"/>
    </w:lvl>
  </w:abstractNum>
  <w:abstractNum w:abstractNumId="50">
    <w:nsid w:val="6FDE8AF6"/>
    <w:multiLevelType w:val="hybridMultilevel"/>
    <w:lvl w:ilvl="0">
      <w:lvlJc w:val="left"/>
      <w:lvlText w:val="•"/>
      <w:numFmt w:val="bullet"/>
      <w:start w:val="1"/>
    </w:lvl>
  </w:abstractNum>
  <w:abstractNum w:abstractNumId="51">
    <w:nsid w:val="3FC32E20"/>
    <w:multiLevelType w:val="hybridMultilevel"/>
    <w:lvl w:ilvl="0">
      <w:lvlJc w:val="left"/>
      <w:lvlText w:val="•"/>
      <w:numFmt w:val="bullet"/>
      <w:start w:val="1"/>
    </w:lvl>
  </w:abstractNum>
  <w:abstractNum w:abstractNumId="52">
    <w:nsid w:val="49C0E823"/>
    <w:multiLevelType w:val="hybridMultilevel"/>
    <w:lvl w:ilvl="0">
      <w:lvlJc w:val="left"/>
      <w:lvlText w:val="•"/>
      <w:numFmt w:val="bullet"/>
      <w:start w:val="1"/>
    </w:lvl>
  </w:abstractNum>
  <w:abstractNum w:abstractNumId="53">
    <w:nsid w:val="14D53685"/>
    <w:multiLevelType w:val="hybridMultilevel"/>
    <w:lvl w:ilvl="0">
      <w:lvlJc w:val="left"/>
      <w:lvlText w:val="•"/>
      <w:numFmt w:val="bullet"/>
      <w:start w:val="1"/>
    </w:lvl>
  </w:abstractNum>
  <w:abstractNum w:abstractNumId="54">
    <w:nsid w:val="230F856C"/>
    <w:multiLevelType w:val="hybridMultilevel"/>
    <w:lvl w:ilvl="0">
      <w:lvlJc w:val="left"/>
      <w:lvlText w:val="•"/>
      <w:numFmt w:val="bullet"/>
      <w:start w:val="1"/>
    </w:lvl>
  </w:abstractNum>
  <w:abstractNum w:abstractNumId="55">
    <w:nsid w:val="6EAA85FB"/>
    <w:multiLevelType w:val="hybridMultilevel"/>
    <w:lvl w:ilvl="0">
      <w:lvlJc w:val="left"/>
      <w:lvlText w:val="•"/>
      <w:numFmt w:val="bullet"/>
      <w:start w:val="1"/>
    </w:lvl>
  </w:abstractNum>
  <w:abstractNum w:abstractNumId="56">
    <w:nsid w:val="3F06ECB2"/>
    <w:multiLevelType w:val="hybridMultilevel"/>
    <w:lvl w:ilvl="0">
      <w:lvlJc w:val="left"/>
      <w:lvlText w:val="•"/>
      <w:numFmt w:val="bullet"/>
      <w:start w:val="1"/>
    </w:lvl>
  </w:abstractNum>
  <w:abstractNum w:abstractNumId="57">
    <w:nsid w:val="3B594807"/>
    <w:multiLevelType w:val="hybridMultilevel"/>
    <w:lvl w:ilvl="0">
      <w:lvlJc w:val="left"/>
      <w:lvlText w:val="•"/>
      <w:numFmt w:val="bullet"/>
      <w:start w:val="1"/>
    </w:lvl>
  </w:abstractNum>
  <w:abstractNum w:abstractNumId="58">
    <w:nsid w:val="6CAA2304"/>
    <w:multiLevelType w:val="hybridMultilevel"/>
    <w:lvl w:ilvl="0">
      <w:lvlJc w:val="left"/>
      <w:lvlText w:val="•"/>
      <w:numFmt w:val="bullet"/>
      <w:start w:val="1"/>
    </w:lvl>
  </w:abstractNum>
  <w:abstractNum w:abstractNumId="59">
    <w:nsid w:val="3F7C2FF4"/>
    <w:multiLevelType w:val="hybridMultilevel"/>
    <w:lvl w:ilvl="0">
      <w:lvlJc w:val="left"/>
      <w:lvlText w:val="•"/>
      <w:numFmt w:val="bullet"/>
      <w:start w:val="1"/>
    </w:lvl>
  </w:abstractNum>
  <w:abstractNum w:abstractNumId="60">
    <w:nsid w:val="25413BEC"/>
    <w:multiLevelType w:val="hybridMultilevel"/>
    <w:lvl w:ilvl="0">
      <w:lvlJc w:val="left"/>
      <w:lvlText w:val="•"/>
      <w:numFmt w:val="bullet"/>
      <w:start w:val="1"/>
    </w:lvl>
  </w:abstractNum>
  <w:abstractNum w:abstractNumId="61">
    <w:nsid w:val="17180B0B"/>
    <w:multiLevelType w:val="hybridMultilevel"/>
    <w:lvl w:ilvl="0">
      <w:lvlJc w:val="left"/>
      <w:lvlText w:val="•"/>
      <w:numFmt w:val="bullet"/>
      <w:start w:val="1"/>
    </w:lvl>
  </w:abstractNum>
  <w:abstractNum w:abstractNumId="62">
    <w:nsid w:val="579328B9"/>
    <w:multiLevelType w:val="hybridMultilevel"/>
    <w:lvl w:ilvl="0">
      <w:lvlJc w:val="left"/>
      <w:lvlText w:val="•"/>
      <w:numFmt w:val="bullet"/>
      <w:start w:val="1"/>
    </w:lvl>
  </w:abstractNum>
  <w:abstractNum w:abstractNumId="63">
    <w:nsid w:val="5D205E20"/>
    <w:multiLevelType w:val="hybridMultilevel"/>
    <w:lvl w:ilvl="0">
      <w:lvlJc w:val="left"/>
      <w:lvlText w:val="•"/>
      <w:numFmt w:val="bullet"/>
      <w:start w:val="1"/>
    </w:lvl>
  </w:abstractNum>
  <w:abstractNum w:abstractNumId="64">
    <w:nsid w:val="11CCA8BA"/>
    <w:multiLevelType w:val="hybridMultilevel"/>
    <w:lvl w:ilvl="0">
      <w:lvlJc w:val="left"/>
      <w:lvlText w:val="•"/>
      <w:numFmt w:val="bullet"/>
      <w:start w:val="1"/>
    </w:lvl>
  </w:abstractNum>
  <w:abstractNum w:abstractNumId="65">
    <w:nsid w:val="4D32AB86"/>
    <w:multiLevelType w:val="hybridMultilevel"/>
    <w:lvl w:ilvl="0">
      <w:lvlJc w:val="left"/>
      <w:lvlText w:val="•"/>
      <w:numFmt w:val="bullet"/>
      <w:start w:val="1"/>
    </w:lvl>
  </w:abstractNum>
  <w:abstractNum w:abstractNumId="66">
    <w:nsid w:val="3F07ACC3"/>
    <w:multiLevelType w:val="hybridMultilevel"/>
    <w:lvl w:ilvl="0">
      <w:lvlJc w:val="left"/>
      <w:lvlText w:val="-"/>
      <w:numFmt w:val="bullet"/>
      <w:start w:val="1"/>
    </w:lvl>
  </w:abstractNum>
  <w:abstractNum w:abstractNumId="67">
    <w:nsid w:val="6B47F63E"/>
    <w:multiLevelType w:val="hybridMultilevel"/>
    <w:lvl w:ilvl="0">
      <w:lvlJc w:val="left"/>
      <w:lvlText w:val="•"/>
      <w:numFmt w:val="bullet"/>
      <w:start w:val="1"/>
    </w:lvl>
  </w:abstractNum>
  <w:abstractNum w:abstractNumId="68">
    <w:nsid w:val="5CB44A05"/>
    <w:multiLevelType w:val="hybridMultilevel"/>
    <w:lvl w:ilvl="0">
      <w:lvlJc w:val="left"/>
      <w:lvlText w:val="•"/>
      <w:numFmt w:val="bullet"/>
      <w:start w:val="1"/>
    </w:lvl>
  </w:abstractNum>
  <w:abstractNum w:abstractNumId="69">
    <w:nsid w:val="16CF80F1"/>
    <w:multiLevelType w:val="hybridMultilevel"/>
    <w:lvl w:ilvl="0">
      <w:lvlJc w:val="left"/>
      <w:lvlText w:val="•"/>
      <w:numFmt w:val="bullet"/>
      <w:start w:val="1"/>
    </w:lvl>
  </w:abstractNum>
  <w:abstractNum w:abstractNumId="70">
    <w:nsid w:val="1C695DEC"/>
    <w:multiLevelType w:val="hybridMultilevel"/>
    <w:lvl w:ilvl="0">
      <w:lvlJc w:val="left"/>
      <w:lvlText w:val="•"/>
      <w:numFmt w:val="bullet"/>
      <w:start w:val="1"/>
    </w:lvl>
  </w:abstractNum>
  <w:abstractNum w:abstractNumId="71">
    <w:nsid w:val="3FCFAED9"/>
    <w:multiLevelType w:val="hybridMultilevel"/>
    <w:lvl w:ilvl="0">
      <w:lvlJc w:val="left"/>
      <w:lvlText w:val="•"/>
      <w:numFmt w:val="bullet"/>
      <w:start w:val="1"/>
    </w:lvl>
  </w:abstractNum>
  <w:abstractNum w:abstractNumId="72">
    <w:nsid w:val="F856867"/>
    <w:multiLevelType w:val="hybridMultilevel"/>
    <w:lvl w:ilvl="0">
      <w:lvlJc w:val="left"/>
      <w:lvlText w:val="1"/>
      <w:numFmt w:val="bullet"/>
      <w:start w:val="1"/>
    </w:lvl>
  </w:abstractNum>
  <w:abstractNum w:abstractNumId="73">
    <w:nsid w:val="11B1CC33"/>
    <w:multiLevelType w:val="hybridMultilevel"/>
    <w:lvl w:ilvl="0">
      <w:lvlJc w:val="left"/>
      <w:lvlText w:val="2"/>
      <w:numFmt w:val="bullet"/>
      <w:start w:val="1"/>
    </w:lvl>
  </w:abstractNum>
  <w:abstractNum w:abstractNumId="74">
    <w:nsid w:val="2E22FBB7"/>
    <w:multiLevelType w:val="hybridMultilevel"/>
    <w:lvl w:ilvl="0">
      <w:lvlJc w:val="left"/>
      <w:lvlText w:val="3"/>
      <w:numFmt w:val="bullet"/>
      <w:start w:val="1"/>
    </w:lvl>
  </w:abstractNum>
  <w:abstractNum w:abstractNumId="75">
    <w:nsid w:val="29934699"/>
    <w:multiLevelType w:val="hybridMultilevel"/>
    <w:lvl w:ilvl="0">
      <w:lvlJc w:val="left"/>
      <w:lvlText w:val="4"/>
      <w:numFmt w:val="bullet"/>
      <w:start w:val="1"/>
    </w:lvl>
  </w:abstractNum>
  <w:abstractNum w:abstractNumId="76">
    <w:nsid w:val="77485850"/>
    <w:multiLevelType w:val="hybridMultilevel"/>
    <w:lvl w:ilvl="0">
      <w:lvlJc w:val="left"/>
      <w:lvlText w:val="1"/>
      <w:numFmt w:val="bullet"/>
      <w:start w:val="1"/>
    </w:lvl>
  </w:abstractNum>
  <w:abstractNum w:abstractNumId="77">
    <w:nsid w:val="744939A3"/>
    <w:multiLevelType w:val="hybridMultilevel"/>
    <w:lvl w:ilvl="0">
      <w:lvlJc w:val="left"/>
      <w:lvlText w:val="2"/>
      <w:numFmt w:val="bullet"/>
      <w:start w:val="1"/>
    </w:lvl>
  </w:abstractNum>
  <w:abstractNum w:abstractNumId="78">
    <w:nsid w:val="4FA0D2E3"/>
    <w:multiLevelType w:val="hybridMultilevel"/>
    <w:lvl w:ilvl="0">
      <w:lvlJc w:val="left"/>
      <w:lvlText w:val="3"/>
      <w:numFmt w:val="bullet"/>
      <w:start w:val="1"/>
    </w:lvl>
  </w:abstractNum>
  <w:abstractNum w:abstractNumId="79">
    <w:nsid w:val="6B1D2C14"/>
    <w:multiLevelType w:val="hybridMultilevel"/>
    <w:lvl w:ilvl="0">
      <w:lvlJc w:val="left"/>
      <w:lvlText w:val="4"/>
      <w:numFmt w:val="bullet"/>
      <w:start w:val="1"/>
    </w:lvl>
  </w:abstractNum>
  <w:abstractNum w:abstractNumId="80">
    <w:nsid w:val="68B867D3"/>
    <w:multiLevelType w:val="hybridMultilevel"/>
    <w:lvl w:ilvl="0">
      <w:lvlJc w:val="left"/>
      <w:lvlText w:val="•"/>
      <w:numFmt w:val="bullet"/>
      <w:start w:val="1"/>
    </w:lvl>
  </w:abstractNum>
  <w:abstractNum w:abstractNumId="81">
    <w:nsid w:val="3F7F5DD9"/>
    <w:multiLevelType w:val="hybridMultilevel"/>
    <w:lvl w:ilvl="0">
      <w:lvlJc w:val="left"/>
      <w:lvlText w:val="•"/>
      <w:numFmt w:val="bullet"/>
      <w:start w:val="1"/>
    </w:lvl>
  </w:abstractNum>
  <w:abstractNum w:abstractNumId="82">
    <w:nsid w:val="2AE05A34"/>
    <w:multiLevelType w:val="hybridMultilevel"/>
    <w:lvl w:ilvl="0">
      <w:lvlJc w:val="left"/>
      <w:lvlText w:val="1"/>
      <w:numFmt w:val="bullet"/>
      <w:start w:val="1"/>
    </w:lvl>
  </w:abstractNum>
  <w:abstractNum w:abstractNumId="83">
    <w:nsid w:val="32794FF7"/>
    <w:multiLevelType w:val="hybridMultilevel"/>
    <w:lvl w:ilvl="0">
      <w:lvlJc w:val="left"/>
      <w:lvlText w:val="•"/>
      <w:numFmt w:val="bullet"/>
      <w:start w:val="1"/>
    </w:lvl>
  </w:abstractNum>
  <w:abstractNum w:abstractNumId="84">
    <w:nsid w:val="5454945E"/>
    <w:multiLevelType w:val="hybridMultilevel"/>
    <w:lvl w:ilvl="0">
      <w:lvlJc w:val="left"/>
      <w:lvlText w:val="•"/>
      <w:numFmt w:val="bullet"/>
      <w:start w:val="1"/>
    </w:lvl>
  </w:abstractNum>
  <w:abstractNum w:abstractNumId="85">
    <w:nsid w:val="4DEFDFA0"/>
    <w:multiLevelType w:val="hybridMultilevel"/>
    <w:lvl w:ilvl="0">
      <w:lvlJc w:val="left"/>
      <w:lvlText w:val="•"/>
      <w:numFmt w:val="bullet"/>
      <w:start w:val="1"/>
    </w:lvl>
  </w:abstractNum>
  <w:abstractNum w:abstractNumId="86">
    <w:nsid w:val="2123D5F2"/>
    <w:multiLevelType w:val="hybridMultilevel"/>
    <w:lvl w:ilvl="0">
      <w:lvlJc w:val="left"/>
      <w:lvlText w:val="•"/>
      <w:numFmt w:val="bullet"/>
      <w:start w:val="1"/>
    </w:lvl>
  </w:abstractNum>
  <w:abstractNum w:abstractNumId="87">
    <w:nsid w:val="135B8110"/>
    <w:multiLevelType w:val="hybridMultilevel"/>
    <w:lvl w:ilvl="0">
      <w:lvlJc w:val="left"/>
      <w:lvlText w:val="•"/>
      <w:numFmt w:val="bullet"/>
      <w:start w:val="1"/>
    </w:lvl>
  </w:abstractNum>
  <w:abstractNum w:abstractNumId="88">
    <w:nsid w:val="94927A8"/>
    <w:multiLevelType w:val="hybridMultilevel"/>
    <w:lvl w:ilvl="0">
      <w:lvlJc w:val="left"/>
      <w:lvlText w:val="•"/>
      <w:numFmt w:val="bullet"/>
      <w:start w:val="1"/>
    </w:lvl>
  </w:abstractNum>
  <w:abstractNum w:abstractNumId="89">
    <w:nsid w:val="DCDF8F6"/>
    <w:multiLevelType w:val="hybridMultilevel"/>
    <w:lvl w:ilvl="0">
      <w:lvlJc w:val="left"/>
      <w:lvlText w:val="•"/>
      <w:numFmt w:val="bullet"/>
      <w:start w:val="1"/>
    </w:lvl>
  </w:abstractNum>
  <w:abstractNum w:abstractNumId="90">
    <w:nsid w:val="52D7B105"/>
    <w:multiLevelType w:val="hybridMultilevel"/>
    <w:lvl w:ilvl="0">
      <w:lvlJc w:val="left"/>
      <w:lvlText w:val="•"/>
      <w:numFmt w:val="bullet"/>
      <w:start w:val="1"/>
    </w:lvl>
  </w:abstractNum>
  <w:abstractNum w:abstractNumId="91">
    <w:nsid w:val="2E8A6394"/>
    <w:multiLevelType w:val="hybridMultilevel"/>
    <w:lvl w:ilvl="0">
      <w:lvlJc w:val="left"/>
      <w:lvlText w:val="•"/>
      <w:numFmt w:val="bullet"/>
      <w:start w:val="1"/>
    </w:lvl>
  </w:abstractNum>
  <w:abstractNum w:abstractNumId="92">
    <w:nsid w:val="24E60401"/>
    <w:multiLevelType w:val="hybridMultilevel"/>
    <w:lvl w:ilvl="0">
      <w:lvlJc w:val="left"/>
      <w:lvlText w:val="•"/>
      <w:numFmt w:val="bullet"/>
      <w:start w:val="1"/>
    </w:lvl>
  </w:abstractNum>
  <w:abstractNum w:abstractNumId="93">
    <w:nsid w:val="2A6AD9BE"/>
    <w:multiLevelType w:val="hybridMultilevel"/>
    <w:lvl w:ilvl="0">
      <w:lvlJc w:val="left"/>
      <w:lvlText w:val="1"/>
      <w:numFmt w:val="bullet"/>
      <w:start w:val="1"/>
    </w:lvl>
  </w:abstractNum>
  <w:abstractNum w:abstractNumId="94">
    <w:nsid w:val="BAAC1B4"/>
    <w:multiLevelType w:val="hybridMultilevel"/>
    <w:lvl w:ilvl="0">
      <w:lvlJc w:val="left"/>
      <w:lvlText w:val="•"/>
      <w:numFmt w:val="bullet"/>
      <w:start w:val="1"/>
    </w:lvl>
  </w:abstractNum>
  <w:abstractNum w:abstractNumId="95">
    <w:nsid w:val="36B2ACBC"/>
    <w:multiLevelType w:val="hybridMultilevel"/>
    <w:lvl w:ilvl="0">
      <w:lvlJc w:val="left"/>
      <w:lvlText w:val="•"/>
      <w:numFmt w:val="bullet"/>
      <w:start w:val="1"/>
    </w:lvl>
  </w:abstractNum>
  <w:abstractNum w:abstractNumId="96">
    <w:nsid w:val="779D8544"/>
    <w:multiLevelType w:val="hybridMultilevel"/>
    <w:lvl w:ilvl="0">
      <w:lvlJc w:val="left"/>
      <w:lvlText w:val="•"/>
      <w:numFmt w:val="bullet"/>
      <w:start w:val="1"/>
    </w:lvl>
  </w:abstractNum>
  <w:abstractNum w:abstractNumId="97">
    <w:nsid w:val="4AB26E78"/>
    <w:multiLevelType w:val="hybridMultilevel"/>
    <w:lvl w:ilvl="0">
      <w:lvlJc w:val="left"/>
      <w:lvlText w:val="1"/>
      <w:numFmt w:val="bullet"/>
      <w:start w:val="1"/>
    </w:lvl>
  </w:abstractNum>
  <w:abstractNum w:abstractNumId="98">
    <w:nsid w:val="21FAA2FA"/>
    <w:multiLevelType w:val="hybridMultilevel"/>
    <w:lvl w:ilvl="0">
      <w:lvlJc w:val="left"/>
      <w:lvlText w:val="2"/>
      <w:numFmt w:val="bullet"/>
      <w:start w:val="1"/>
    </w:lvl>
  </w:abstractNum>
  <w:abstractNum w:abstractNumId="99">
    <w:nsid w:val="5451CF49"/>
    <w:multiLevelType w:val="hybridMultilevel"/>
    <w:lvl w:ilvl="0">
      <w:lvlJc w:val="left"/>
      <w:lvlText w:val="•"/>
      <w:numFmt w:val="bullet"/>
      <w:start w:val="1"/>
    </w:lvl>
    <w:lvl w:ilvl="1">
      <w:lvlJc w:val="left"/>
      <w:lvlText w:val="¡"/>
      <w:numFmt w:val="bullet"/>
      <w:start w:val="1"/>
    </w:lvl>
  </w:abstractNum>
  <w:abstractNum w:abstractNumId="100">
    <w:nsid w:val="6181EF69"/>
    <w:multiLevelType w:val="hybridMultilevel"/>
    <w:lvl w:ilvl="0">
      <w:lvlJc w:val="left"/>
      <w:lvlText w:val="1"/>
      <w:numFmt w:val="bullet"/>
      <w:start w:val="1"/>
    </w:lvl>
  </w:abstractNum>
  <w:abstractNum w:abstractNumId="101">
    <w:nsid w:val="3E6400E6"/>
    <w:multiLevelType w:val="hybridMultilevel"/>
    <w:lvl w:ilvl="0">
      <w:lvlJc w:val="left"/>
      <w:lvlText w:val="•"/>
      <w:numFmt w:val="bullet"/>
      <w:start w:val="1"/>
    </w:lvl>
  </w:abstractNum>
  <w:abstractNum w:abstractNumId="102">
    <w:nsid w:val="14217E23"/>
    <w:multiLevelType w:val="hybridMultilevel"/>
    <w:lvl w:ilvl="0">
      <w:lvlJc w:val="left"/>
      <w:lvlText w:val="•"/>
      <w:numFmt w:val="bullet"/>
      <w:start w:val="1"/>
    </w:lvl>
  </w:abstractNum>
  <w:abstractNum w:abstractNumId="103">
    <w:nsid w:val="710757D0"/>
    <w:multiLevelType w:val="hybridMultilevel"/>
    <w:lvl w:ilvl="0">
      <w:lvlJc w:val="left"/>
      <w:lvlText w:val="•"/>
      <w:numFmt w:val="bullet"/>
      <w:start w:val="1"/>
    </w:lvl>
  </w:abstractNum>
  <w:abstractNum w:abstractNumId="104">
    <w:nsid w:val="5015CD1A"/>
    <w:multiLevelType w:val="hybridMultilevel"/>
    <w:lvl w:ilvl="0">
      <w:lvlJc w:val="left"/>
      <w:lvlText w:val="•"/>
      <w:numFmt w:val="bullet"/>
      <w:start w:val="1"/>
    </w:lvl>
  </w:abstractNum>
  <w:abstractNum w:abstractNumId="105">
    <w:nsid w:val="424479DA"/>
    <w:multiLevelType w:val="hybridMultilevel"/>
    <w:lvl w:ilvl="0">
      <w:lvlJc w:val="left"/>
      <w:lvlText w:val="•"/>
      <w:numFmt w:val="bullet"/>
      <w:start w:val="1"/>
    </w:lvl>
  </w:abstractNum>
  <w:abstractNum w:abstractNumId="106">
    <w:nsid w:val="1A9A9E69"/>
    <w:multiLevelType w:val="hybridMultilevel"/>
    <w:lvl w:ilvl="0">
      <w:lvlJc w:val="left"/>
      <w:lvlText w:val="•"/>
      <w:numFmt w:val="bullet"/>
      <w:start w:val="1"/>
    </w:lvl>
  </w:abstractNum>
  <w:abstractNum w:abstractNumId="107">
    <w:nsid w:val="475E256A"/>
    <w:multiLevelType w:val="hybridMultilevel"/>
    <w:lvl w:ilvl="0">
      <w:lvlJc w:val="left"/>
      <w:lvlText w:val="1"/>
      <w:numFmt w:val="bullet"/>
      <w:start w:val="1"/>
    </w:lvl>
  </w:abstractNum>
  <w:abstractNum w:abstractNumId="108">
    <w:nsid w:val="368DB37E"/>
    <w:multiLevelType w:val="hybridMultilevel"/>
    <w:lvl w:ilvl="0">
      <w:lvlJc w:val="left"/>
      <w:lvlText w:val="2"/>
      <w:numFmt w:val="bullet"/>
      <w:start w:val="1"/>
    </w:lvl>
  </w:abstractNum>
  <w:abstractNum w:abstractNumId="109">
    <w:nsid w:val="6A3B714C"/>
    <w:multiLevelType w:val="hybridMultilevel"/>
    <w:lvl w:ilvl="0">
      <w:lvlJc w:val="left"/>
      <w:lvlText w:val="•"/>
      <w:numFmt w:val="bullet"/>
      <w:start w:val="1"/>
    </w:lvl>
  </w:abstractNum>
  <w:abstractNum w:abstractNumId="110">
    <w:nsid w:val="327B517E"/>
    <w:multiLevelType w:val="hybridMultilevel"/>
    <w:lvl w:ilvl="0">
      <w:lvlJc w:val="left"/>
      <w:lvlText w:val="•"/>
      <w:numFmt w:val="bullet"/>
      <w:start w:val="1"/>
    </w:lvl>
  </w:abstractNum>
  <w:abstractNum w:abstractNumId="111">
    <w:nsid w:val="1F461B51"/>
    <w:multiLevelType w:val="hybridMultilevel"/>
    <w:lvl w:ilvl="0">
      <w:lvlJc w:val="left"/>
      <w:lvlText w:val="•"/>
      <w:numFmt w:val="bullet"/>
      <w:start w:val="1"/>
    </w:lvl>
  </w:abstractNum>
  <w:abstractNum w:abstractNumId="112">
    <w:nsid w:val="29BACF25"/>
    <w:multiLevelType w:val="hybridMultilevel"/>
    <w:lvl w:ilvl="0">
      <w:lvlJc w:val="left"/>
      <w:lvlText w:val="•"/>
      <w:numFmt w:val="bullet"/>
      <w:start w:val="1"/>
    </w:lvl>
  </w:abstractNum>
  <w:abstractNum w:abstractNumId="113">
    <w:nsid w:val="5D5BABB3"/>
    <w:multiLevelType w:val="hybridMultilevel"/>
    <w:lvl w:ilvl="0">
      <w:lvlJc w:val="left"/>
      <w:lvlText w:val="1"/>
      <w:numFmt w:val="bullet"/>
      <w:start w:val="1"/>
    </w:lvl>
  </w:abstractNum>
  <w:abstractNum w:abstractNumId="114">
    <w:nsid w:val="51BF6B48"/>
    <w:multiLevelType w:val="hybridMultilevel"/>
    <w:lvl w:ilvl="0">
      <w:lvlJc w:val="left"/>
      <w:lvlText w:val="1"/>
      <w:numFmt w:val="bullet"/>
      <w:start w:val="1"/>
    </w:lvl>
  </w:abstractNum>
  <w:abstractNum w:abstractNumId="115">
    <w:nsid w:val="7E0F6384"/>
    <w:multiLevelType w:val="hybridMultilevel"/>
    <w:lvl w:ilvl="0">
      <w:lvlJc w:val="left"/>
      <w:lvlText w:val="2"/>
      <w:numFmt w:val="bullet"/>
      <w:start w:val="1"/>
    </w:lvl>
  </w:abstractNum>
  <w:abstractNum w:abstractNumId="116">
    <w:nsid w:val="2B4B8B53"/>
    <w:multiLevelType w:val="hybridMultilevel"/>
    <w:lvl w:ilvl="0">
      <w:lvlJc w:val="left"/>
      <w:lvlText w:val="1"/>
      <w:numFmt w:val="bullet"/>
      <w:start w:val="1"/>
    </w:lvl>
  </w:abstractNum>
  <w:abstractNum w:abstractNumId="117">
    <w:nsid w:val="72E3413A"/>
    <w:multiLevelType w:val="hybridMultilevel"/>
    <w:lvl w:ilvl="0">
      <w:lvlJc w:val="left"/>
      <w:lvlText w:val="•"/>
      <w:numFmt w:val="bullet"/>
      <w:start w:val="1"/>
    </w:lvl>
  </w:abstractNum>
  <w:abstractNum w:abstractNumId="118">
    <w:nsid w:val="116AE494"/>
    <w:multiLevelType w:val="hybridMultilevel"/>
    <w:lvl w:ilvl="0">
      <w:lvlJc w:val="left"/>
      <w:lvlText w:val="•"/>
      <w:numFmt w:val="bullet"/>
      <w:start w:val="1"/>
    </w:lvl>
  </w:abstractNum>
  <w:abstractNum w:abstractNumId="119">
    <w:nsid w:val="3494B2FB"/>
    <w:multiLevelType w:val="hybridMultilevel"/>
    <w:lvl w:ilvl="0">
      <w:lvlJc w:val="left"/>
      <w:lvlText w:val="•"/>
      <w:numFmt w:val="bullet"/>
      <w:start w:val="1"/>
    </w:lvl>
  </w:abstractNum>
  <w:abstractNum w:abstractNumId="120">
    <w:nsid w:val="B13A31"/>
    <w:multiLevelType w:val="hybridMultilevel"/>
    <w:lvl w:ilvl="0">
      <w:lvlJc w:val="left"/>
      <w:lvlText w:val="•"/>
      <w:numFmt w:val="bullet"/>
      <w:start w:val="1"/>
    </w:lvl>
  </w:abstractNum>
  <w:abstractNum w:abstractNumId="121">
    <w:nsid w:val="64429599"/>
    <w:multiLevelType w:val="hybridMultilevel"/>
    <w:lvl w:ilvl="0">
      <w:lvlJc w:val="left"/>
      <w:lvlText w:val="•"/>
      <w:numFmt w:val="bullet"/>
      <w:start w:val="1"/>
    </w:lvl>
  </w:abstractNum>
  <w:abstractNum w:abstractNumId="122">
    <w:nsid w:val="631F1690"/>
    <w:multiLevelType w:val="hybridMultilevel"/>
    <w:lvl w:ilvl="0">
      <w:lvlJc w:val="left"/>
      <w:lvlText w:val="•"/>
      <w:numFmt w:val="bullet"/>
      <w:start w:val="1"/>
    </w:lvl>
  </w:abstractNum>
  <w:abstractNum w:abstractNumId="123">
    <w:nsid w:val="25973E32"/>
    <w:multiLevelType w:val="hybridMultilevel"/>
    <w:lvl w:ilvl="0">
      <w:lvlJc w:val="left"/>
      <w:lvlText w:val="•"/>
      <w:numFmt w:val="bullet"/>
      <w:start w:val="1"/>
    </w:lvl>
  </w:abstractNum>
  <w:abstractNum w:abstractNumId="124">
    <w:nsid w:val="EAD6F57"/>
    <w:multiLevelType w:val="hybridMultilevel"/>
    <w:lvl w:ilvl="0">
      <w:lvlJc w:val="left"/>
      <w:lvlText w:val="•"/>
      <w:numFmt w:val="bullet"/>
      <w:start w:val="1"/>
    </w:lvl>
  </w:abstractNum>
  <w:abstractNum w:abstractNumId="125">
    <w:nsid w:val="6EC9D844"/>
    <w:multiLevelType w:val="hybridMultilevel"/>
    <w:lvl w:ilvl="0">
      <w:lvlJc w:val="left"/>
      <w:lvlText w:val="•"/>
      <w:numFmt w:val="bullet"/>
      <w:start w:val="1"/>
    </w:lvl>
  </w:abstractNum>
  <w:abstractNum w:abstractNumId="126">
    <w:nsid w:val="5C49EAEE"/>
    <w:multiLevelType w:val="hybridMultilevel"/>
    <w:lvl w:ilvl="0">
      <w:lvlJc w:val="left"/>
      <w:lvlText w:val="•"/>
      <w:numFmt w:val="bullet"/>
      <w:start w:val="1"/>
    </w:lvl>
  </w:abstractNum>
  <w:abstractNum w:abstractNumId="127">
    <w:nsid w:val="64AF49B"/>
    <w:multiLevelType w:val="hybridMultilevel"/>
    <w:lvl w:ilvl="0">
      <w:lvlJc w:val="left"/>
      <w:lvlText w:val="•"/>
      <w:numFmt w:val="bullet"/>
      <w:start w:val="1"/>
    </w:lvl>
  </w:abstractNum>
  <w:abstractNum w:abstractNumId="128">
    <w:nsid w:val="397C46BC"/>
    <w:multiLevelType w:val="hybridMultilevel"/>
    <w:lvl w:ilvl="0">
      <w:lvlJc w:val="left"/>
      <w:lvlText w:val="•"/>
      <w:numFmt w:val="bullet"/>
      <w:start w:val="1"/>
    </w:lvl>
  </w:abstractNum>
  <w:abstractNum w:abstractNumId="129">
    <w:nsid w:val="7E448DE9"/>
    <w:multiLevelType w:val="hybridMultilevel"/>
    <w:lvl w:ilvl="0">
      <w:lvlJc w:val="left"/>
      <w:lvlText w:val="•"/>
      <w:numFmt w:val="bullet"/>
      <w:start w:val="1"/>
    </w:lvl>
  </w:abstractNum>
  <w:abstractNum w:abstractNumId="130">
    <w:nsid w:val="5A9CC3E5"/>
    <w:multiLevelType w:val="hybridMultilevel"/>
    <w:lvl w:ilvl="0">
      <w:lvlJc w:val="left"/>
      <w:lvlText w:val="•"/>
      <w:numFmt w:val="bullet"/>
      <w:start w:val="1"/>
    </w:lvl>
  </w:abstractNum>
  <w:abstractNum w:abstractNumId="131">
    <w:nsid w:val="1AFE3625"/>
    <w:multiLevelType w:val="hybridMultilevel"/>
    <w:lvl w:ilvl="0">
      <w:lvlJc w:val="left"/>
      <w:lvlText w:val="•"/>
      <w:numFmt w:val="bullet"/>
      <w:start w:val="1"/>
    </w:lvl>
  </w:abstractNum>
  <w:abstractNum w:abstractNumId="132">
    <w:nsid w:val="3CA88ECF"/>
    <w:multiLevelType w:val="hybridMultilevel"/>
    <w:lvl w:ilvl="0">
      <w:lvlJc w:val="left"/>
      <w:lvlText w:val="•"/>
      <w:numFmt w:val="bullet"/>
      <w:start w:val="1"/>
    </w:lvl>
  </w:abstractNum>
  <w:abstractNum w:abstractNumId="133">
    <w:nsid w:val="6EBE4208"/>
    <w:multiLevelType w:val="hybridMultilevel"/>
    <w:lvl w:ilvl="0">
      <w:lvlJc w:val="left"/>
      <w:lvlText w:val="•"/>
      <w:numFmt w:val="bullet"/>
      <w:start w:val="1"/>
    </w:lvl>
  </w:abstractNum>
  <w:abstractNum w:abstractNumId="134">
    <w:nsid w:val="C058DF5"/>
    <w:multiLevelType w:val="hybridMultilevel"/>
    <w:lvl w:ilvl="0">
      <w:lvlJc w:val="left"/>
      <w:lvlText w:val="•"/>
      <w:numFmt w:val="bullet"/>
      <w:start w:val="1"/>
    </w:lvl>
  </w:abstractNum>
  <w:abstractNum w:abstractNumId="135">
    <w:nsid w:val="CBE5BE9"/>
    <w:multiLevelType w:val="hybridMultilevel"/>
    <w:lvl w:ilvl="0">
      <w:lvlJc w:val="left"/>
      <w:lvlText w:val="•"/>
      <w:numFmt w:val="bullet"/>
      <w:start w:val="1"/>
    </w:lvl>
  </w:abstractNum>
  <w:abstractNum w:abstractNumId="136">
    <w:nsid w:val="3102BBE2"/>
    <w:multiLevelType w:val="hybridMultilevel"/>
    <w:lvl w:ilvl="0">
      <w:lvlJc w:val="left"/>
      <w:lvlText w:val="1"/>
      <w:numFmt w:val="bullet"/>
      <w:start w:val="1"/>
    </w:lvl>
  </w:abstractNum>
  <w:abstractNum w:abstractNumId="137">
    <w:nsid w:val="26A02C5E"/>
    <w:multiLevelType w:val="hybridMultilevel"/>
    <w:lvl w:ilvl="0">
      <w:lvlJc w:val="left"/>
      <w:lvlText w:val="2"/>
      <w:numFmt w:val="bullet"/>
      <w:start w:val="1"/>
    </w:lvl>
  </w:abstractNum>
  <w:abstractNum w:abstractNumId="138">
    <w:nsid w:val="541C8153"/>
    <w:multiLevelType w:val="hybridMultilevel"/>
    <w:lvl w:ilvl="0">
      <w:lvlJc w:val="left"/>
      <w:lvlText w:val="3"/>
      <w:numFmt w:val="bullet"/>
      <w:start w:val="1"/>
    </w:lvl>
  </w:abstractNum>
  <w:abstractNum w:abstractNumId="139">
    <w:nsid w:val="67906F60"/>
    <w:multiLevelType w:val="hybridMultilevel"/>
    <w:lvl w:ilvl="0">
      <w:lvlJc w:val="left"/>
      <w:lvlText w:val="%1."/>
      <w:numFmt w:val="decimal"/>
      <w:start w:val="1"/>
    </w:lvl>
  </w:abstractNum>
  <w:abstractNum w:abstractNumId="140">
    <w:nsid w:val="10DB9DAA"/>
    <w:multiLevelType w:val="hybridMultilevel"/>
    <w:lvl w:ilvl="0">
      <w:lvlJc w:val="left"/>
      <w:lvlText w:val="1"/>
      <w:numFmt w:val="bullet"/>
      <w:start w:val="1"/>
    </w:lvl>
  </w:abstractNum>
  <w:abstractNum w:abstractNumId="141">
    <w:nsid w:val="697D2D2"/>
    <w:multiLevelType w:val="hybridMultilevel"/>
    <w:lvl w:ilvl="0">
      <w:lvlJc w:val="left"/>
      <w:lvlText w:val="•"/>
      <w:numFmt w:val="bullet"/>
      <w:start w:val="1"/>
    </w:lvl>
  </w:abstractNum>
  <w:abstractNum w:abstractNumId="142">
    <w:nsid w:val="6D68AB2"/>
    <w:multiLevelType w:val="hybridMultilevel"/>
    <w:lvl w:ilvl="0">
      <w:lvlJc w:val="left"/>
      <w:lvlText w:val="•"/>
      <w:numFmt w:val="bullet"/>
      <w:start w:val="1"/>
    </w:lvl>
  </w:abstractNum>
  <w:abstractNum w:abstractNumId="143">
    <w:nsid w:val="3A966CD0"/>
    <w:multiLevelType w:val="hybridMultilevel"/>
    <w:lvl w:ilvl="0">
      <w:lvlJc w:val="left"/>
      <w:lvlText w:val="•"/>
      <w:numFmt w:val="bullet"/>
      <w:start w:val="1"/>
    </w:lvl>
  </w:abstractNum>
  <w:abstractNum w:abstractNumId="144">
    <w:nsid w:val="63F37E85"/>
    <w:multiLevelType w:val="hybridMultilevel"/>
    <w:lvl w:ilvl="0">
      <w:lvlJc w:val="left"/>
      <w:lvlText w:val="•"/>
      <w:numFmt w:val="bullet"/>
      <w:start w:val="1"/>
    </w:lvl>
  </w:abstractNum>
  <w:abstractNum w:abstractNumId="145">
    <w:nsid w:val="5895F5FA"/>
    <w:multiLevelType w:val="hybridMultilevel"/>
    <w:lvl w:ilvl="0">
      <w:lvlJc w:val="left"/>
      <w:lvlText w:val="1"/>
      <w:numFmt w:val="bullet"/>
      <w:start w:val="1"/>
    </w:lvl>
  </w:abstractNum>
  <w:abstractNum w:abstractNumId="146">
    <w:nsid w:val="38A5D054"/>
    <w:multiLevelType w:val="hybridMultilevel"/>
    <w:lvl w:ilvl="0">
      <w:lvlJc w:val="left"/>
      <w:lvlText w:val="2"/>
      <w:numFmt w:val="bullet"/>
      <w:start w:val="1"/>
    </w:lvl>
  </w:abstractNum>
  <w:abstractNum w:abstractNumId="147">
    <w:nsid w:val="F3F09D8"/>
    <w:multiLevelType w:val="hybridMultilevel"/>
    <w:lvl w:ilvl="0">
      <w:lvlJc w:val="left"/>
      <w:lvlText w:val="3"/>
      <w:numFmt w:val="bullet"/>
      <w:start w:val="1"/>
    </w:lvl>
  </w:abstractNum>
  <w:abstractNum w:abstractNumId="148">
    <w:nsid w:val="4B793735"/>
    <w:multiLevelType w:val="hybridMultilevel"/>
    <w:lvl w:ilvl="0">
      <w:lvlJc w:val="left"/>
      <w:lvlText w:val="4"/>
      <w:numFmt w:val="bullet"/>
      <w:start w:val="1"/>
    </w:lvl>
  </w:abstractNum>
  <w:abstractNum w:abstractNumId="149">
    <w:nsid w:val="4A10B4E8"/>
    <w:multiLevelType w:val="hybridMultilevel"/>
    <w:lvl w:ilvl="0">
      <w:lvlJc w:val="left"/>
      <w:lvlText w:val="•"/>
      <w:numFmt w:val="bullet"/>
      <w:start w:val="1"/>
    </w:lvl>
  </w:abstractNum>
  <w:abstractNum w:abstractNumId="150">
    <w:nsid w:val="43D3BCD4"/>
    <w:multiLevelType w:val="hybridMultilevel"/>
    <w:lvl w:ilvl="0">
      <w:lvlJc w:val="left"/>
      <w:lvlText w:val="•"/>
      <w:numFmt w:val="bullet"/>
      <w:start w:val="1"/>
    </w:lvl>
  </w:abstractNum>
  <w:abstractNum w:abstractNumId="151">
    <w:nsid w:val="4C2A7166"/>
    <w:multiLevelType w:val="hybridMultilevel"/>
    <w:lvl w:ilvl="0">
      <w:lvlJc w:val="left"/>
      <w:lvlText w:val="•"/>
      <w:numFmt w:val="bullet"/>
      <w:start w:val="1"/>
    </w:lvl>
  </w:abstractNum>
  <w:abstractNum w:abstractNumId="152">
    <w:nsid w:val="2E534A82"/>
    <w:multiLevelType w:val="hybridMultilevel"/>
    <w:lvl w:ilvl="0">
      <w:lvlJc w:val="left"/>
      <w:lvlText w:val="•"/>
      <w:numFmt w:val="bullet"/>
      <w:start w:val="1"/>
    </w:lvl>
  </w:abstractNum>
  <w:abstractNum w:abstractNumId="153">
    <w:nsid w:val="26F2D364"/>
    <w:multiLevelType w:val="hybridMultilevel"/>
    <w:lvl w:ilvl="0">
      <w:lvlJc w:val="left"/>
      <w:lvlText w:val="1"/>
      <w:numFmt w:val="bullet"/>
      <w:start w:val="1"/>
    </w:lvl>
  </w:abstractNum>
  <w:abstractNum w:abstractNumId="154">
    <w:nsid w:val="71C1AF98"/>
    <w:multiLevelType w:val="hybridMultilevel"/>
    <w:lvl w:ilvl="0">
      <w:lvlJc w:val="left"/>
      <w:lvlText w:val="4"/>
      <w:numFmt w:val="bullet"/>
      <w:start w:val="1"/>
    </w:lvl>
  </w:abstractNum>
  <w:abstractNum w:abstractNumId="155">
    <w:nsid w:val="3D00B9D9"/>
    <w:multiLevelType w:val="hybridMultilevel"/>
    <w:lvl w:ilvl="0">
      <w:lvlJc w:val="left"/>
      <w:lvlText w:val="•"/>
      <w:numFmt w:val="bullet"/>
      <w:start w:val="1"/>
    </w:lvl>
  </w:abstractNum>
  <w:abstractNum w:abstractNumId="156">
    <w:nsid w:val="15BCABA8"/>
    <w:multiLevelType w:val="hybridMultilevel"/>
    <w:lvl w:ilvl="0">
      <w:lvlJc w:val="left"/>
      <w:lvlText w:val="•"/>
      <w:numFmt w:val="bullet"/>
      <w:start w:val="1"/>
    </w:lvl>
  </w:abstractNum>
  <w:abstractNum w:abstractNumId="157">
    <w:nsid w:val="4E0B9A87"/>
    <w:multiLevelType w:val="hybridMultilevel"/>
    <w:lvl w:ilvl="0">
      <w:lvlJc w:val="left"/>
      <w:lvlText w:val="•"/>
      <w:numFmt w:val="bullet"/>
      <w:start w:val="1"/>
    </w:lvl>
  </w:abstractNum>
  <w:abstractNum w:abstractNumId="158">
    <w:nsid w:val="434BAE75"/>
    <w:multiLevelType w:val="hybridMultilevel"/>
    <w:lvl w:ilvl="0">
      <w:lvlJc w:val="left"/>
      <w:lvlText w:val="•"/>
      <w:numFmt w:val="bullet"/>
      <w:start w:val="1"/>
    </w:lvl>
  </w:abstractNum>
  <w:abstractNum w:abstractNumId="159">
    <w:nsid w:val="4F38F265"/>
    <w:multiLevelType w:val="hybridMultilevel"/>
    <w:lvl w:ilvl="0">
      <w:lvlJc w:val="left"/>
      <w:lvlText w:val="1"/>
      <w:numFmt w:val="bullet"/>
      <w:start w:val="1"/>
    </w:lvl>
  </w:abstractNum>
  <w:abstractNum w:abstractNumId="160">
    <w:nsid w:val="4C502870"/>
    <w:multiLevelType w:val="hybridMultilevel"/>
    <w:lvl w:ilvl="0">
      <w:lvlJc w:val="left"/>
      <w:lvlText w:val="•"/>
      <w:numFmt w:val="bullet"/>
      <w:start w:val="1"/>
    </w:lvl>
  </w:abstractNum>
  <w:abstractNum w:abstractNumId="161">
    <w:nsid w:val="1DE8725A"/>
    <w:multiLevelType w:val="hybridMultilevel"/>
    <w:lvl w:ilvl="0">
      <w:lvlJc w:val="left"/>
      <w:lvlText w:val="•"/>
      <w:numFmt w:val="bullet"/>
      <w:start w:val="1"/>
    </w:lvl>
  </w:abstractNum>
  <w:abstractNum w:abstractNumId="162">
    <w:nsid w:val="6A37288A"/>
    <w:multiLevelType w:val="hybridMultilevel"/>
    <w:lvl w:ilvl="0">
      <w:lvlJc w:val="left"/>
      <w:lvlText w:val="•"/>
      <w:numFmt w:val="bullet"/>
      <w:start w:val="1"/>
    </w:lvl>
  </w:abstractNum>
  <w:abstractNum w:abstractNumId="163">
    <w:nsid w:val="8F8B73F"/>
    <w:multiLevelType w:val="hybridMultilevel"/>
    <w:lvl w:ilvl="0">
      <w:lvlJc w:val="left"/>
      <w:lvlText w:val="1"/>
      <w:numFmt w:val="bullet"/>
      <w:start w:val="1"/>
    </w:lvl>
  </w:abstractNum>
  <w:abstractNum w:abstractNumId="164">
    <w:nsid w:val="CA6B462"/>
    <w:multiLevelType w:val="hybridMultilevel"/>
    <w:lvl w:ilvl="0">
      <w:lvlJc w:val="left"/>
      <w:lvlText w:val="•"/>
      <w:numFmt w:val="bullet"/>
      <w:start w:val="1"/>
    </w:lvl>
  </w:abstractNum>
  <w:abstractNum w:abstractNumId="165">
    <w:nsid w:val="763CB680"/>
    <w:multiLevelType w:val="hybridMultilevel"/>
    <w:lvl w:ilvl="0">
      <w:lvlJc w:val="left"/>
      <w:lvlText w:val="1"/>
      <w:numFmt w:val="bullet"/>
      <w:start w:val="1"/>
    </w:lvl>
  </w:abstractNum>
  <w:abstractNum w:abstractNumId="166">
    <w:nsid w:val="15B71329"/>
    <w:multiLevelType w:val="hybridMultilevel"/>
    <w:lvl w:ilvl="0">
      <w:lvlJc w:val="left"/>
      <w:lvlText w:val="2"/>
      <w:numFmt w:val="bullet"/>
      <w:start w:val="1"/>
    </w:lvl>
  </w:abstractNum>
  <w:abstractNum w:abstractNumId="167">
    <w:nsid w:val="3DA97044"/>
    <w:multiLevelType w:val="hybridMultilevel"/>
    <w:lvl w:ilvl="0">
      <w:lvlJc w:val="left"/>
      <w:lvlText w:val="3"/>
      <w:numFmt w:val="bullet"/>
      <w:start w:val="1"/>
    </w:lvl>
  </w:abstractNum>
  <w:abstractNum w:abstractNumId="168">
    <w:nsid w:val="1CDCE2DE"/>
    <w:multiLevelType w:val="hybridMultilevel"/>
    <w:lvl w:ilvl="0">
      <w:lvlJc w:val="left"/>
      <w:lvlText w:val="4"/>
      <w:numFmt w:val="bullet"/>
      <w:start w:val="1"/>
    </w:lvl>
  </w:abstractNum>
  <w:abstractNum w:abstractNumId="169">
    <w:nsid w:val="69D3947C"/>
    <w:multiLevelType w:val="hybridMultilevel"/>
    <w:lvl w:ilvl="0">
      <w:lvlJc w:val="left"/>
      <w:lvlText w:val="5"/>
      <w:numFmt w:val="bullet"/>
      <w:start w:val="1"/>
    </w:lvl>
  </w:abstractNum>
  <w:abstractNum w:abstractNumId="170">
    <w:nsid w:val="2539DFA5"/>
    <w:multiLevelType w:val="hybridMultilevel"/>
    <w:lvl w:ilvl="0">
      <w:lvlJc w:val="left"/>
      <w:lvlText w:val="6"/>
      <w:numFmt w:val="bullet"/>
      <w:start w:val="1"/>
    </w:lvl>
  </w:abstractNum>
  <w:abstractNum w:abstractNumId="171">
    <w:nsid w:val="2DB88089"/>
    <w:multiLevelType w:val="hybridMultilevel"/>
    <w:lvl w:ilvl="0">
      <w:lvlJc w:val="left"/>
      <w:lvlText w:val="7"/>
      <w:numFmt w:val="bullet"/>
      <w:start w:val="1"/>
    </w:lvl>
  </w:abstractNum>
  <w:abstractNum w:abstractNumId="172">
    <w:nsid w:val="706B674E"/>
    <w:multiLevelType w:val="hybridMultilevel"/>
    <w:lvl w:ilvl="0">
      <w:lvlJc w:val="left"/>
      <w:lvlText w:val="8"/>
      <w:numFmt w:val="bullet"/>
      <w:start w:val="1"/>
    </w:lvl>
  </w:abstractNum>
  <w:abstractNum w:abstractNumId="173">
    <w:nsid w:val="2C106A57"/>
    <w:multiLevelType w:val="hybridMultilevel"/>
    <w:lvl w:ilvl="0">
      <w:lvlJc w:val="left"/>
      <w:lvlText w:val="9"/>
      <w:numFmt w:val="bullet"/>
      <w:start w:val="1"/>
    </w:lvl>
  </w:abstractNum>
  <w:abstractNum w:abstractNumId="174">
    <w:nsid w:val="684EED59"/>
    <w:multiLevelType w:val="hybridMultilevel"/>
    <w:lvl w:ilvl="0">
      <w:lvlJc w:val="left"/>
      <w:lvlText w:val="%1"/>
      <w:numFmt w:val="decimal"/>
      <w:start w:val="10"/>
    </w:lvl>
  </w:abstractNum>
  <w:abstractNum w:abstractNumId="175">
    <w:nsid w:val="545EE5D3"/>
    <w:multiLevelType w:val="hybridMultilevel"/>
    <w:lvl w:ilvl="0">
      <w:lvlJc w:val="left"/>
      <w:lvlText w:val="1"/>
      <w:numFmt w:val="bullet"/>
      <w:start w:val="1"/>
    </w:lvl>
  </w:abstractNum>
  <w:abstractNum w:abstractNumId="176">
    <w:nsid w:val="4A66051"/>
    <w:multiLevelType w:val="hybridMultilevel"/>
    <w:lvl w:ilvl="0">
      <w:lvlJc w:val="left"/>
      <w:lvlText w:val="2"/>
      <w:numFmt w:val="bullet"/>
      <w:start w:val="1"/>
    </w:lvl>
  </w:abstractNum>
  <w:abstractNum w:abstractNumId="177">
    <w:nsid w:val="20F4BDAD"/>
    <w:multiLevelType w:val="hybridMultilevel"/>
    <w:lvl w:ilvl="0">
      <w:lvlJc w:val="left"/>
      <w:lvlText w:val="3"/>
      <w:numFmt w:val="bullet"/>
      <w:start w:val="1"/>
    </w:lvl>
  </w:abstractNum>
  <w:abstractNum w:abstractNumId="178">
    <w:nsid w:val="639DEFAC"/>
    <w:multiLevelType w:val="hybridMultilevel"/>
    <w:lvl w:ilvl="0">
      <w:lvlJc w:val="left"/>
      <w:lvlText w:val="4"/>
      <w:numFmt w:val="bullet"/>
      <w:start w:val="1"/>
    </w:lvl>
  </w:abstractNum>
  <w:abstractNum w:abstractNumId="179">
    <w:nsid w:val="501F9786"/>
    <w:multiLevelType w:val="hybridMultilevel"/>
    <w:lvl w:ilvl="0">
      <w:lvlJc w:val="left"/>
      <w:lvlText w:val="1"/>
      <w:numFmt w:val="bullet"/>
      <w:start w:val="1"/>
    </w:lvl>
  </w:abstractNum>
  <w:abstractNum w:abstractNumId="180">
    <w:nsid w:val="6B057295"/>
    <w:multiLevelType w:val="hybridMultilevel"/>
    <w:lvl w:ilvl="0">
      <w:lvlJc w:val="left"/>
      <w:lvlText w:val="d"/>
      <w:numFmt w:val="bullet"/>
      <w:start w:val="1"/>
    </w:lvl>
  </w:abstractNum>
  <w:abstractNum w:abstractNumId="181">
    <w:nsid w:val="2771AC80"/>
    <w:multiLevelType w:val="hybridMultilevel"/>
    <w:lvl w:ilvl="0">
      <w:lvlJc w:val="left"/>
      <w:lvlText w:val="2"/>
      <w:numFmt w:val="bullet"/>
      <w:start w:val="1"/>
    </w:lvl>
  </w:abstractNum>
  <w:abstractNum w:abstractNumId="182">
    <w:nsid w:val="1C4A08EC"/>
    <w:multiLevelType w:val="hybridMultilevel"/>
    <w:lvl w:ilvl="0">
      <w:lvlJc w:val="left"/>
      <w:lvlText w:val="3"/>
      <w:numFmt w:val="bullet"/>
      <w:start w:val="1"/>
    </w:lvl>
  </w:abstractNum>
  <w:abstractNum w:abstractNumId="183">
    <w:nsid w:val="1958BD17"/>
    <w:multiLevelType w:val="hybridMultilevel"/>
    <w:lvl w:ilvl="0">
      <w:lvlJc w:val="left"/>
      <w:lvlText w:val="4"/>
      <w:numFmt w:val="bullet"/>
      <w:start w:val="1"/>
    </w:lvl>
  </w:abstractNum>
  <w:abstractNum w:abstractNumId="184">
    <w:nsid w:val="4E647FE4"/>
    <w:multiLevelType w:val="hybridMultilevel"/>
    <w:lvl w:ilvl="0">
      <w:lvlJc w:val="left"/>
      <w:lvlText w:val="5"/>
      <w:numFmt w:val="bullet"/>
      <w:start w:val="1"/>
    </w:lvl>
  </w:abstractNum>
  <w:abstractNum w:abstractNumId="185">
    <w:nsid w:val="E0BB885"/>
    <w:multiLevelType w:val="hybridMultilevel"/>
    <w:lvl w:ilvl="0">
      <w:lvlJc w:val="left"/>
      <w:lvlText w:val="6"/>
      <w:numFmt w:val="bullet"/>
      <w:start w:val="1"/>
    </w:lvl>
  </w:abstractNum>
  <w:abstractNum w:abstractNumId="186">
    <w:nsid w:val="565976F1"/>
    <w:multiLevelType w:val="hybridMultilevel"/>
    <w:lvl w:ilvl="0">
      <w:lvlJc w:val="left"/>
      <w:lvlText w:val="1"/>
      <w:numFmt w:val="bullet"/>
      <w:start w:val="1"/>
    </w:lvl>
  </w:abstractNum>
  <w:abstractNum w:abstractNumId="187">
    <w:nsid w:val="64212B8C"/>
    <w:multiLevelType w:val="hybridMultilevel"/>
    <w:lvl w:ilvl="0">
      <w:lvlJc w:val="left"/>
      <w:lvlText w:val="2"/>
      <w:numFmt w:val="bullet"/>
      <w:start w:val="1"/>
    </w:lvl>
  </w:abstractNum>
  <w:abstractNum w:abstractNumId="188">
    <w:nsid w:val="5C17530C"/>
    <w:multiLevelType w:val="hybridMultilevel"/>
    <w:lvl w:ilvl="0">
      <w:lvlJc w:val="left"/>
      <w:lvlText w:val="1"/>
      <w:numFmt w:val="bullet"/>
      <w:start w:val="1"/>
    </w:lvl>
  </w:abstractNum>
  <w:abstractNum w:abstractNumId="189">
    <w:nsid w:val="19A52566"/>
    <w:multiLevelType w:val="hybridMultilevel"/>
    <w:lvl w:ilvl="0">
      <w:lvlJc w:val="left"/>
      <w:lvlText w:val="•"/>
      <w:numFmt w:val="bullet"/>
      <w:start w:val="1"/>
    </w:lvl>
  </w:abstractNum>
  <w:abstractNum w:abstractNumId="190">
    <w:nsid w:val="335A1DF1"/>
    <w:multiLevelType w:val="hybridMultilevel"/>
    <w:lvl w:ilvl="0">
      <w:lvlJc w:val="left"/>
      <w:lvlText w:val="1"/>
      <w:numFmt w:val="bullet"/>
      <w:start w:val="1"/>
    </w:lvl>
  </w:abstractNum>
  <w:abstractNum w:abstractNumId="191">
    <w:nsid w:val="28677B7C"/>
    <w:multiLevelType w:val="hybridMultilevel"/>
    <w:lvl w:ilvl="0">
      <w:lvlJc w:val="left"/>
      <w:lvlText w:val="1"/>
      <w:numFmt w:val="bullet"/>
      <w:start w:val="1"/>
    </w:lvl>
  </w:abstractNum>
  <w:abstractNum w:abstractNumId="192">
    <w:nsid w:val="378D97C0"/>
    <w:multiLevelType w:val="hybridMultilevel"/>
    <w:lvl w:ilvl="0">
      <w:lvlJc w:val="left"/>
      <w:lvlText w:val="2"/>
      <w:numFmt w:val="bullet"/>
      <w:start w:val="1"/>
    </w:lvl>
  </w:abstractNum>
  <w:abstractNum w:abstractNumId="193">
    <w:nsid w:val="1D91467C"/>
    <w:multiLevelType w:val="hybridMultilevel"/>
    <w:lvl w:ilvl="0">
      <w:lvlJc w:val="left"/>
      <w:lvlText w:val="3"/>
      <w:numFmt w:val="bullet"/>
      <w:start w:val="1"/>
    </w:lvl>
  </w:abstractNum>
  <w:abstractNum w:abstractNumId="194">
    <w:nsid w:val="316032BB"/>
    <w:multiLevelType w:val="hybridMultilevel"/>
    <w:lvl w:ilvl="0">
      <w:lvlJc w:val="left"/>
      <w:lvlText w:val="4"/>
      <w:numFmt w:val="bullet"/>
      <w:start w:val="1"/>
    </w:lvl>
  </w:abstractNum>
  <w:abstractNum w:abstractNumId="195">
    <w:nsid w:val="44344C22"/>
    <w:multiLevelType w:val="hybridMultilevel"/>
    <w:lvl w:ilvl="0">
      <w:lvlJc w:val="left"/>
      <w:lvlText w:val="5"/>
      <w:numFmt w:val="bullet"/>
      <w:start w:val="1"/>
    </w:lvl>
  </w:abstractNum>
  <w:abstractNum w:abstractNumId="196">
    <w:nsid w:val="13CDFCFC"/>
    <w:multiLevelType w:val="hybridMultilevel"/>
    <w:lvl w:ilvl="0">
      <w:lvlJc w:val="left"/>
      <w:lvlText w:val="6"/>
      <w:numFmt w:val="bullet"/>
      <w:start w:val="1"/>
    </w:lvl>
  </w:abstractNum>
  <w:abstractNum w:abstractNumId="197">
    <w:nsid w:val="471745E4"/>
    <w:multiLevelType w:val="hybridMultilevel"/>
    <w:lvl w:ilvl="0">
      <w:lvlJc w:val="left"/>
      <w:lvlText w:val="•"/>
      <w:numFmt w:val="bullet"/>
      <w:start w:val="1"/>
    </w:lvl>
  </w:abstractNum>
  <w:abstractNum w:abstractNumId="198">
    <w:nsid w:val="1DDBC66"/>
    <w:multiLevelType w:val="hybridMultilevel"/>
    <w:lvl w:ilvl="0">
      <w:lvlJc w:val="left"/>
      <w:lvlText w:val="1"/>
      <w:numFmt w:val="bullet"/>
      <w:start w:val="1"/>
    </w:lvl>
  </w:abstractNum>
  <w:abstractNum w:abstractNumId="199">
    <w:nsid w:val="30AADFDA"/>
    <w:multiLevelType w:val="hybridMultilevel"/>
    <w:lvl w:ilvl="0">
      <w:lvlJc w:val="left"/>
      <w:lvlText w:val="2"/>
      <w:numFmt w:val="bullet"/>
      <w:start w:val="1"/>
    </w:lvl>
  </w:abstractNum>
  <w:abstractNum w:abstractNumId="200">
    <w:nsid w:val="30EADA61"/>
    <w:multiLevelType w:val="hybridMultilevel"/>
    <w:lvl w:ilvl="0">
      <w:lvlJc w:val="left"/>
      <w:lvlText w:val="3"/>
      <w:numFmt w:val="bullet"/>
      <w:start w:val="1"/>
    </w:lvl>
  </w:abstractNum>
  <w:abstractNum w:abstractNumId="201">
    <w:nsid w:val="27179C0B"/>
    <w:multiLevelType w:val="hybridMultilevel"/>
    <w:lvl w:ilvl="0">
      <w:lvlJc w:val="left"/>
      <w:lvlText w:val="1"/>
      <w:numFmt w:val="bullet"/>
      <w:start w:val="1"/>
    </w:lvl>
  </w:abstractNum>
  <w:abstractNum w:abstractNumId="202">
    <w:nsid w:val="5E636063"/>
    <w:multiLevelType w:val="hybridMultilevel"/>
    <w:lvl w:ilvl="0">
      <w:lvlJc w:val="left"/>
      <w:lvlText w:val="2"/>
      <w:numFmt w:val="bullet"/>
      <w:start w:val="1"/>
    </w:lvl>
  </w:abstractNum>
  <w:abstractNum w:abstractNumId="203">
    <w:nsid w:val="215641AF"/>
    <w:multiLevelType w:val="hybridMultilevel"/>
    <w:lvl w:ilvl="0">
      <w:lvlJc w:val="left"/>
      <w:lvlText w:val="3"/>
      <w:numFmt w:val="bullet"/>
      <w:start w:val="1"/>
    </w:lvl>
  </w:abstractNum>
  <w:abstractNum w:abstractNumId="204">
    <w:nsid w:val="53280662"/>
    <w:multiLevelType w:val="hybridMultilevel"/>
    <w:lvl w:ilvl="0">
      <w:lvlJc w:val="left"/>
      <w:lvlText w:val="4"/>
      <w:numFmt w:val="bullet"/>
      <w:start w:val="1"/>
    </w:lvl>
  </w:abstractNum>
  <w:abstractNum w:abstractNumId="205">
    <w:nsid w:val="46B24DBC"/>
    <w:multiLevelType w:val="hybridMultilevel"/>
    <w:lvl w:ilvl="0">
      <w:lvlJc w:val="left"/>
      <w:lvlText w:val="5"/>
      <w:numFmt w:val="bullet"/>
      <w:start w:val="1"/>
    </w:lvl>
  </w:abstractNum>
  <w:abstractNum w:abstractNumId="206">
    <w:nsid w:val="75B52783"/>
    <w:multiLevelType w:val="hybridMultilevel"/>
    <w:lvl w:ilvl="0">
      <w:lvlJc w:val="left"/>
      <w:lvlText w:val="6"/>
      <w:numFmt w:val="bullet"/>
      <w:start w:val="1"/>
    </w:lvl>
  </w:abstractNum>
  <w:abstractNum w:abstractNumId="207">
    <w:nsid w:val="57CE66B4"/>
    <w:multiLevelType w:val="hybridMultilevel"/>
    <w:lvl w:ilvl="0">
      <w:lvlJc w:val="left"/>
      <w:lvlText w:val="1"/>
      <w:numFmt w:val="bullet"/>
      <w:start w:val="1"/>
    </w:lvl>
  </w:abstractNum>
  <w:abstractNum w:abstractNumId="208">
    <w:nsid w:val="67A70B69"/>
    <w:multiLevelType w:val="hybridMultilevel"/>
    <w:lvl w:ilvl="0">
      <w:lvlJc w:val="left"/>
      <w:lvlText w:val="2"/>
      <w:numFmt w:val="bullet"/>
      <w:start w:val="1"/>
    </w:lvl>
  </w:abstractNum>
  <w:abstractNum w:abstractNumId="209">
    <w:nsid w:val="5953172F"/>
    <w:multiLevelType w:val="hybridMultilevel"/>
    <w:lvl w:ilvl="0">
      <w:lvlJc w:val="left"/>
      <w:lvlText w:val="•"/>
      <w:numFmt w:val="bullet"/>
      <w:start w:val="1"/>
    </w:lvl>
  </w:abstractNum>
  <w:abstractNum w:abstractNumId="210">
    <w:nsid w:val="27EDFE3A"/>
    <w:multiLevelType w:val="hybridMultilevel"/>
    <w:lvl w:ilvl="0">
      <w:lvlJc w:val="left"/>
      <w:lvlText w:val="•"/>
      <w:numFmt w:val="bullet"/>
      <w:start w:val="1"/>
    </w:lvl>
  </w:abstractNum>
  <w:abstractNum w:abstractNumId="211">
    <w:nsid w:val="52AC7DFF"/>
    <w:multiLevelType w:val="hybridMultilevel"/>
    <w:lvl w:ilvl="0">
      <w:lvlJc w:val="left"/>
      <w:lvlText w:val="•"/>
      <w:numFmt w:val="bullet"/>
      <w:start w:val="1"/>
    </w:lvl>
  </w:abstractNum>
  <w:abstractNum w:abstractNumId="212">
    <w:nsid w:val="C4C3AF"/>
    <w:multiLevelType w:val="hybridMultilevel"/>
    <w:lvl w:ilvl="0">
      <w:lvlJc w:val="left"/>
      <w:lvlText w:val="1"/>
      <w:numFmt w:val="bullet"/>
      <w:start w:val="1"/>
    </w:lvl>
  </w:abstractNum>
  <w:abstractNum w:abstractNumId="213">
    <w:nsid w:val="44380727"/>
    <w:multiLevelType w:val="hybridMultilevel"/>
    <w:lvl w:ilvl="0">
      <w:lvlJc w:val="left"/>
      <w:lvlText w:val="•"/>
      <w:numFmt w:val="bullet"/>
      <w:start w:val="1"/>
    </w:lvl>
  </w:abstractNum>
  <w:abstractNum w:abstractNumId="214">
    <w:nsid w:val="6C053B16"/>
    <w:multiLevelType w:val="hybridMultilevel"/>
    <w:lvl w:ilvl="0">
      <w:lvlJc w:val="left"/>
      <w:lvlText w:val="[%1]"/>
      <w:numFmt w:val="decimal"/>
      <w:start w:val="2"/>
    </w:lvl>
  </w:abstractNum>
  <w:abstractNum w:abstractNumId="215">
    <w:nsid w:val="4F294393"/>
    <w:multiLevelType w:val="hybridMultilevel"/>
    <w:lvl w:ilvl="0">
      <w:lvlJc w:val="left"/>
      <w:lvlText w:val="[%1]"/>
      <w:numFmt w:val="decimal"/>
      <w:start w:val="1"/>
    </w:lvl>
  </w:abstractNum>
  <w:abstractNum w:abstractNumId="216">
    <w:nsid w:val="5243BFAC"/>
    <w:multiLevelType w:val="hybridMultilevel"/>
    <w:lvl w:ilvl="0">
      <w:lvlJc w:val="left"/>
      <w:lvlText w:val="[%1]"/>
      <w:numFmt w:val="decimal"/>
      <w:start w:val="4"/>
    </w:lvl>
  </w:abstractNum>
  <w:abstractNum w:abstractNumId="217">
    <w:nsid w:val="425EB207"/>
    <w:multiLevelType w:val="hybridMultilevel"/>
    <w:lvl w:ilvl="0">
      <w:lvlJc w:val="left"/>
      <w:lvlText w:val="•"/>
      <w:numFmt w:val="bullet"/>
      <w:start w:val="1"/>
    </w:lvl>
  </w:abstractNum>
  <w:abstractNum w:abstractNumId="218">
    <w:nsid w:val="334A6F1F"/>
    <w:multiLevelType w:val="hybridMultilevel"/>
    <w:lvl w:ilvl="0">
      <w:lvlJc w:val="left"/>
      <w:lvlText w:val="•"/>
      <w:numFmt w:val="bullet"/>
      <w:start w:val="1"/>
    </w:lvl>
  </w:abstractNum>
  <w:abstractNum w:abstractNumId="219">
    <w:nsid w:val="2E5B12B8"/>
    <w:multiLevelType w:val="hybridMultilevel"/>
    <w:lvl w:ilvl="0">
      <w:lvlJc w:val="left"/>
      <w:lvlText w:val="•"/>
      <w:numFmt w:val="bullet"/>
      <w:start w:val="1"/>
    </w:lvl>
  </w:abstractNum>
  <w:abstractNum w:abstractNumId="220">
    <w:nsid w:val="5C03D76D"/>
    <w:multiLevelType w:val="hybridMultilevel"/>
    <w:lvl w:ilvl="0">
      <w:lvlJc w:val="left"/>
      <w:lvlText w:val="1"/>
      <w:numFmt w:val="bullet"/>
      <w:start w:val="1"/>
    </w:lvl>
  </w:abstractNum>
  <w:abstractNum w:abstractNumId="221">
    <w:nsid w:val="66A48D11"/>
    <w:multiLevelType w:val="hybridMultilevel"/>
    <w:lvl w:ilvl="0">
      <w:lvlJc w:val="left"/>
      <w:lvlText w:val="2"/>
      <w:numFmt w:val="bullet"/>
      <w:start w:val="1"/>
    </w:lvl>
  </w:abstractNum>
  <w:abstractNum w:abstractNumId="222">
    <w:nsid w:val="56C28E34"/>
    <w:multiLevelType w:val="hybridMultilevel"/>
    <w:lvl w:ilvl="0">
      <w:lvlJc w:val="left"/>
      <w:lvlText w:val="3"/>
      <w:numFmt w:val="bullet"/>
      <w:start w:val="1"/>
    </w:lvl>
  </w:abstractNum>
  <w:abstractNum w:abstractNumId="223">
    <w:nsid w:val="13916F2D"/>
    <w:multiLevelType w:val="hybridMultilevel"/>
    <w:lvl w:ilvl="0">
      <w:lvlJc w:val="left"/>
      <w:lvlText w:val="4"/>
      <w:numFmt w:val="bullet"/>
      <w:start w:val="1"/>
    </w:lvl>
  </w:abstractNum>
  <w:abstractNum w:abstractNumId="224">
    <w:nsid w:val="435D38D"/>
    <w:multiLevelType w:val="hybridMultilevel"/>
    <w:lvl w:ilvl="0">
      <w:lvlJc w:val="left"/>
      <w:lvlText w:val="5"/>
      <w:numFmt w:val="bullet"/>
      <w:start w:val="1"/>
    </w:lvl>
  </w:abstractNum>
  <w:abstractNum w:abstractNumId="225">
    <w:nsid w:val="822C0EF"/>
    <w:multiLevelType w:val="hybridMultilevel"/>
    <w:lvl w:ilvl="0">
      <w:lvlJc w:val="left"/>
      <w:lvlText w:val="6"/>
      <w:numFmt w:val="bullet"/>
      <w:start w:val="1"/>
    </w:lvl>
  </w:abstractNum>
  <w:abstractNum w:abstractNumId="226">
    <w:nsid w:val="57C5BB4F"/>
    <w:multiLevelType w:val="hybridMultilevel"/>
    <w:lvl w:ilvl="0">
      <w:lvlJc w:val="left"/>
      <w:lvlText w:val="7"/>
      <w:numFmt w:val="bullet"/>
      <w:start w:val="1"/>
    </w:lvl>
  </w:abstractNum>
  <w:abstractNum w:abstractNumId="227">
    <w:nsid w:val="1803D089"/>
    <w:multiLevelType w:val="hybridMultilevel"/>
    <w:lvl w:ilvl="0">
      <w:lvlJc w:val="left"/>
      <w:lvlText w:val="8"/>
      <w:numFmt w:val="bullet"/>
      <w:start w:val="1"/>
    </w:lvl>
  </w:abstractNum>
  <w:abstractNum w:abstractNumId="228">
    <w:nsid w:val="4F3A06D4"/>
    <w:multiLevelType w:val="hybridMultilevel"/>
    <w:lvl w:ilvl="0">
      <w:lvlJc w:val="left"/>
      <w:lvlText w:val="9"/>
      <w:numFmt w:val="bullet"/>
      <w:start w:val="1"/>
    </w:lvl>
  </w:abstractNum>
  <w:abstractNum w:abstractNumId="229">
    <w:nsid w:val="59A377B6"/>
    <w:multiLevelType w:val="hybridMultilevel"/>
    <w:lvl w:ilvl="0">
      <w:lvlJc w:val="left"/>
      <w:lvlText w:val="%1"/>
      <w:numFmt w:val="decimal"/>
      <w:start w:val="10"/>
    </w:lvl>
  </w:abstractNum>
  <w:abstractNum w:abstractNumId="230">
    <w:nsid w:val="48AEB063"/>
    <w:multiLevelType w:val="hybridMultilevel"/>
    <w:lvl w:ilvl="0">
      <w:lvlJc w:val="left"/>
      <w:lvlText w:val="•"/>
      <w:numFmt w:val="bullet"/>
      <w:start w:val="1"/>
    </w:lvl>
  </w:abstractNum>
  <w:abstractNum w:abstractNumId="231">
    <w:nsid w:val="24E135"/>
    <w:multiLevelType w:val="hybridMultilevel"/>
    <w:lvl w:ilvl="0">
      <w:lvlJc w:val="left"/>
      <w:lvlText w:val="•"/>
      <w:numFmt w:val="bullet"/>
      <w:start w:val="1"/>
    </w:lvl>
  </w:abstractNum>
  <w:abstractNum w:abstractNumId="232">
    <w:nsid w:val="BB13C1"/>
    <w:multiLevelType w:val="hybridMultilevel"/>
    <w:lvl w:ilvl="0">
      <w:lvlJc w:val="left"/>
      <w:lvlText w:val="•"/>
      <w:numFmt w:val="bullet"/>
      <w:start w:val="1"/>
    </w:lvl>
  </w:abstractNum>
  <w:abstractNum w:abstractNumId="233">
    <w:nsid w:val="271210C7"/>
    <w:multiLevelType w:val="hybridMultilevel"/>
    <w:lvl w:ilvl="0">
      <w:lvlJc w:val="left"/>
      <w:lvlText w:val="•"/>
      <w:numFmt w:val="bullet"/>
      <w:start w:val="1"/>
    </w:lvl>
  </w:abstractNum>
  <w:abstractNum w:abstractNumId="234">
    <w:nsid w:val="217B22E4"/>
    <w:multiLevelType w:val="hybridMultilevel"/>
    <w:lvl w:ilvl="0">
      <w:lvlJc w:val="left"/>
      <w:lvlText w:val="&amp;"/>
      <w:numFmt w:val="bullet"/>
      <w:start w:val="1"/>
    </w:lvl>
  </w:abstractNum>
  <w:abstractNum w:abstractNumId="235">
    <w:nsid w:val="53E31A24"/>
    <w:multiLevelType w:val="hybridMultilevel"/>
    <w:lvl w:ilvl="0">
      <w:lvlJc w:val="left"/>
      <w:lvlText w:val="•"/>
      <w:numFmt w:val="bullet"/>
      <w:start w:val="1"/>
    </w:lvl>
  </w:abstractNum>
  <w:abstractNum w:abstractNumId="236">
    <w:nsid w:val="6DC45E83"/>
    <w:multiLevelType w:val="hybridMultilevel"/>
    <w:lvl w:ilvl="0">
      <w:lvlJc w:val="left"/>
      <w:lvlText w:val="•"/>
      <w:numFmt w:val="bullet"/>
      <w:start w:val="1"/>
    </w:lvl>
  </w:abstractNum>
  <w:abstractNum w:abstractNumId="237">
    <w:nsid w:val="17304A67"/>
    <w:multiLevelType w:val="hybridMultilevel"/>
    <w:lvl w:ilvl="0">
      <w:lvlJc w:val="left"/>
      <w:lvlText w:val="•"/>
      <w:numFmt w:val="bullet"/>
      <w:start w:val="1"/>
    </w:lvl>
  </w:abstractNum>
  <w:abstractNum w:abstractNumId="238">
    <w:nsid w:val="2BB180D8"/>
    <w:multiLevelType w:val="hybridMultilevel"/>
    <w:lvl w:ilvl="0">
      <w:lvlJc w:val="left"/>
      <w:lvlText w:val="•"/>
      <w:numFmt w:val="bullet"/>
      <w:start w:val="1"/>
    </w:lvl>
  </w:abstractNum>
  <w:abstractNum w:abstractNumId="239">
    <w:nsid w:val="556B69ED"/>
    <w:multiLevelType w:val="hybridMultilevel"/>
    <w:lvl w:ilvl="0">
      <w:lvlJc w:val="left"/>
      <w:lvlText w:val="•"/>
      <w:numFmt w:val="bullet"/>
      <w:start w:val="1"/>
    </w:lvl>
  </w:abstractNum>
  <w:abstractNum w:abstractNumId="240">
    <w:nsid w:val="70836196"/>
    <w:multiLevelType w:val="hybridMultilevel"/>
    <w:lvl w:ilvl="0">
      <w:lvlJc w:val="left"/>
      <w:lvlText w:val="-"/>
      <w:numFmt w:val="bullet"/>
      <w:start w:val="1"/>
    </w:lvl>
  </w:abstractNum>
  <w:abstractNum w:abstractNumId="241">
    <w:nsid w:val="539F7F12"/>
    <w:multiLevelType w:val="hybridMultilevel"/>
    <w:lvl w:ilvl="0">
      <w:lvlJc w:val="left"/>
      <w:lvlText w:val="1"/>
      <w:numFmt w:val="bullet"/>
      <w:start w:val="1"/>
    </w:lvl>
  </w:abstractNum>
  <w:abstractNum w:abstractNumId="242">
    <w:nsid w:val="2817E7EC"/>
    <w:multiLevelType w:val="hybridMultilevel"/>
    <w:lvl w:ilvl="0">
      <w:lvlJc w:val="left"/>
      <w:lvlText w:val="2"/>
      <w:numFmt w:val="bullet"/>
      <w:start w:val="1"/>
    </w:lvl>
  </w:abstractNum>
  <w:abstractNum w:abstractNumId="243">
    <w:nsid w:val="71482545"/>
    <w:multiLevelType w:val="hybridMultilevel"/>
    <w:lvl w:ilvl="0">
      <w:lvlJc w:val="left"/>
      <w:lvlText w:val="3"/>
      <w:numFmt w:val="bullet"/>
      <w:start w:val="1"/>
    </w:lvl>
  </w:abstractNum>
  <w:abstractNum w:abstractNumId="244">
    <w:nsid w:val="17D78639"/>
    <w:multiLevelType w:val="hybridMultilevel"/>
    <w:lvl w:ilvl="0">
      <w:lvlJc w:val="left"/>
      <w:lvlText w:val="4"/>
      <w:numFmt w:val="bullet"/>
      <w:start w:val="1"/>
    </w:lvl>
  </w:abstractNum>
  <w:abstractNum w:abstractNumId="245">
    <w:nsid w:val="141D2302"/>
    <w:multiLevelType w:val="hybridMultilevel"/>
    <w:lvl w:ilvl="0">
      <w:lvlJc w:val="left"/>
      <w:lvlText w:val="•"/>
      <w:numFmt w:val="bullet"/>
      <w:start w:val="1"/>
    </w:lvl>
  </w:abstractNum>
  <w:abstractNum w:abstractNumId="246">
    <w:nsid w:val="407168D8"/>
    <w:multiLevelType w:val="hybridMultilevel"/>
    <w:lvl w:ilvl="0">
      <w:lvlJc w:val="left"/>
      <w:lvlText w:val="•"/>
      <w:numFmt w:val="bullet"/>
      <w:start w:val="1"/>
    </w:lvl>
  </w:abstractNum>
  <w:abstractNum w:abstractNumId="247">
    <w:nsid w:val="6A1B45E5"/>
    <w:multiLevelType w:val="hybridMultilevel"/>
    <w:lvl w:ilvl="0">
      <w:lvlJc w:val="left"/>
      <w:lvlText w:val="\endash "/>
      <w:numFmt w:val="bullet"/>
      <w:start w:val="1"/>
    </w:lvl>
  </w:abstractNum>
  <w:abstractNum w:abstractNumId="248">
    <w:nsid w:val="567BD50A"/>
    <w:multiLevelType w:val="hybridMultilevel"/>
    <w:lvl w:ilvl="0">
      <w:lvlJc w:val="left"/>
      <w:lvlText w:val="%1."/>
      <w:numFmt w:val="decimal"/>
      <w:start w:val="1"/>
    </w:lvl>
  </w:abstractNum>
  <w:abstractNum w:abstractNumId="249">
    <w:nsid w:val="73BBD7F8"/>
    <w:multiLevelType w:val="hybridMultilevel"/>
    <w:lvl w:ilvl="0">
      <w:lvlJc w:val="left"/>
      <w:lvlText w:val="(%1)"/>
      <w:numFmt w:val="lowerLetter"/>
      <w:start w:val="1"/>
    </w:lvl>
  </w:abstractNum>
  <w:abstractNum w:abstractNumId="250">
    <w:nsid w:val="1876589D"/>
    <w:multiLevelType w:val="hybridMultilevel"/>
    <w:lvl w:ilvl="0">
      <w:lvlJc w:val="left"/>
      <w:lvlText w:val="%1."/>
      <w:numFmt w:val="decimal"/>
      <w:start w:val="2"/>
    </w:lvl>
  </w:abstractNum>
  <w:abstractNum w:abstractNumId="251">
    <w:nsid w:val="327FAC77"/>
    <w:multiLevelType w:val="hybridMultilevel"/>
    <w:lvl w:ilvl="0">
      <w:lvlJc w:val="left"/>
      <w:lvlText w:val="%1."/>
      <w:numFmt w:val="decimal"/>
      <w:start w:val="1"/>
    </w:lvl>
  </w:abstractNum>
  <w:abstractNum w:abstractNumId="252">
    <w:nsid w:val="5A60650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jpe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jpe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jpeg"/><Relationship Id="rId223" Type="http://schemas.openxmlformats.org/officeDocument/2006/relationships/image" Target="media/image216.jpe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png"/><Relationship Id="rId233" Type="http://schemas.openxmlformats.org/officeDocument/2006/relationships/image" Target="media/image226.jpe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jpe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jpeg"/><Relationship Id="rId246" Type="http://schemas.openxmlformats.org/officeDocument/2006/relationships/image" Target="media/image239.png"/><Relationship Id="rId247" Type="http://schemas.openxmlformats.org/officeDocument/2006/relationships/image" Target="media/image240.jpeg"/><Relationship Id="rId248" Type="http://schemas.openxmlformats.org/officeDocument/2006/relationships/image" Target="media/image241.pn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jpeg"/><Relationship Id="rId252" Type="http://schemas.openxmlformats.org/officeDocument/2006/relationships/image" Target="media/image245.png"/><Relationship Id="rId253" Type="http://schemas.openxmlformats.org/officeDocument/2006/relationships/image" Target="media/image246.jpeg"/><Relationship Id="rId254" Type="http://schemas.openxmlformats.org/officeDocument/2006/relationships/image" Target="media/image247.jpe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jpeg"/><Relationship Id="rId258" Type="http://schemas.openxmlformats.org/officeDocument/2006/relationships/image" Target="media/image251.png"/><Relationship Id="rId259" Type="http://schemas.openxmlformats.org/officeDocument/2006/relationships/image" Target="media/image252.jpe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jpeg"/><Relationship Id="rId263" Type="http://schemas.openxmlformats.org/officeDocument/2006/relationships/image" Target="media/image256.png"/><Relationship Id="rId264" Type="http://schemas.openxmlformats.org/officeDocument/2006/relationships/image" Target="media/image257.jpe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jpeg"/><Relationship Id="rId268" Type="http://schemas.openxmlformats.org/officeDocument/2006/relationships/image" Target="media/image261.jpe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jpeg"/><Relationship Id="rId272" Type="http://schemas.openxmlformats.org/officeDocument/2006/relationships/image" Target="media/image265.jpeg"/><Relationship Id="rId273" Type="http://schemas.openxmlformats.org/officeDocument/2006/relationships/image" Target="media/image266.jpe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jpeg"/><Relationship Id="rId277" Type="http://schemas.openxmlformats.org/officeDocument/2006/relationships/image" Target="media/image270.jpe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jpeg"/><Relationship Id="rId281" Type="http://schemas.openxmlformats.org/officeDocument/2006/relationships/image" Target="media/image274.jpe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jpeg"/><Relationship Id="rId285" Type="http://schemas.openxmlformats.org/officeDocument/2006/relationships/image" Target="media/image278.jpeg"/><Relationship Id="rId286" Type="http://schemas.openxmlformats.org/officeDocument/2006/relationships/image" Target="media/image279.jpe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jpeg"/><Relationship Id="rId290" Type="http://schemas.openxmlformats.org/officeDocument/2006/relationships/image" Target="media/image283.jpe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jpe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jpe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jpe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jpe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jpe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jpeg"/><Relationship Id="rId309" Type="http://schemas.openxmlformats.org/officeDocument/2006/relationships/image" Target="media/image302.png"/><Relationship Id="rId310" Type="http://schemas.openxmlformats.org/officeDocument/2006/relationships/image" Target="media/image303.jpe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jpe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jpe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jpe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jpe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jpe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jpe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jpeg"/><Relationship Id="rId351" Type="http://schemas.openxmlformats.org/officeDocument/2006/relationships/image" Target="media/image344.png"/><Relationship Id="rId352" Type="http://schemas.openxmlformats.org/officeDocument/2006/relationships/image" Target="media/image345.jpeg"/><Relationship Id="rId353" Type="http://schemas.openxmlformats.org/officeDocument/2006/relationships/image" Target="media/image346.jpeg"/><Relationship Id="rId354" Type="http://schemas.openxmlformats.org/officeDocument/2006/relationships/image" Target="media/image347.jpeg"/><Relationship Id="rId355" Type="http://schemas.openxmlformats.org/officeDocument/2006/relationships/image" Target="media/image348.jpeg"/><Relationship Id="rId356" Type="http://schemas.openxmlformats.org/officeDocument/2006/relationships/image" Target="media/image349.jpe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jpeg"/><Relationship Id="rId360" Type="http://schemas.openxmlformats.org/officeDocument/2006/relationships/image" Target="media/image353.jpeg"/><Relationship Id="rId361" Type="http://schemas.openxmlformats.org/officeDocument/2006/relationships/image" Target="media/image354.jpe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jpeg"/><Relationship Id="rId365" Type="http://schemas.openxmlformats.org/officeDocument/2006/relationships/image" Target="media/image358.jpe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jpe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jpeg"/><Relationship Id="rId376" Type="http://schemas.openxmlformats.org/officeDocument/2006/relationships/image" Target="media/image369.jpeg"/><Relationship Id="rId377" Type="http://schemas.openxmlformats.org/officeDocument/2006/relationships/image" Target="media/image370.jpeg"/><Relationship Id="rId378" Type="http://schemas.openxmlformats.org/officeDocument/2006/relationships/image" Target="media/image371.jpe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jpeg"/><Relationship Id="rId382" Type="http://schemas.openxmlformats.org/officeDocument/2006/relationships/image" Target="media/image375.jpeg"/><Relationship Id="rId383" Type="http://schemas.openxmlformats.org/officeDocument/2006/relationships/image" Target="media/image376.jpe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jpeg"/><Relationship Id="rId387" Type="http://schemas.openxmlformats.org/officeDocument/2006/relationships/image" Target="media/image380.png"/><Relationship Id="rId388" Type="http://schemas.openxmlformats.org/officeDocument/2006/relationships/image" Target="media/image381.jpeg"/><Relationship Id="rId389" Type="http://schemas.openxmlformats.org/officeDocument/2006/relationships/image" Target="media/image382.jpe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jpeg"/><Relationship Id="rId393" Type="http://schemas.openxmlformats.org/officeDocument/2006/relationships/image" Target="media/image386.jpe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jpeg"/><Relationship Id="rId397" Type="http://schemas.openxmlformats.org/officeDocument/2006/relationships/image" Target="media/image390.png"/><Relationship Id="rId398" Type="http://schemas.openxmlformats.org/officeDocument/2006/relationships/image" Target="media/image391.jpe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jpeg"/><Relationship Id="rId402" Type="http://schemas.openxmlformats.org/officeDocument/2006/relationships/image" Target="media/image395.png"/><Relationship Id="rId403" Type="http://schemas.openxmlformats.org/officeDocument/2006/relationships/image" Target="media/image396.jpe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jpeg"/><Relationship Id="rId407" Type="http://schemas.openxmlformats.org/officeDocument/2006/relationships/image" Target="media/image400.jpeg"/><Relationship Id="rId408" Type="http://schemas.openxmlformats.org/officeDocument/2006/relationships/image" Target="media/image401.jpeg"/><Relationship Id="rId409" Type="http://schemas.openxmlformats.org/officeDocument/2006/relationships/image" Target="media/image402.jpeg"/><Relationship Id="rId410" Type="http://schemas.openxmlformats.org/officeDocument/2006/relationships/image" Target="media/image403.jpeg"/><Relationship Id="rId411" Type="http://schemas.openxmlformats.org/officeDocument/2006/relationships/image" Target="media/image404.jpeg"/><Relationship Id="rId412" Type="http://schemas.openxmlformats.org/officeDocument/2006/relationships/image" Target="media/image405.jpeg"/><Relationship Id="rId413" Type="http://schemas.openxmlformats.org/officeDocument/2006/relationships/image" Target="media/image406.jpeg"/><Relationship Id="rId414" Type="http://schemas.openxmlformats.org/officeDocument/2006/relationships/image" Target="media/image407.jpeg"/><Relationship Id="rId415" Type="http://schemas.openxmlformats.org/officeDocument/2006/relationships/image" Target="media/image408.jpeg"/><Relationship Id="rId416" Type="http://schemas.openxmlformats.org/officeDocument/2006/relationships/image" Target="media/image409.jpeg"/><Relationship Id="rId417" Type="http://schemas.openxmlformats.org/officeDocument/2006/relationships/image" Target="media/image410.jpeg"/><Relationship Id="rId418" Type="http://schemas.openxmlformats.org/officeDocument/2006/relationships/image" Target="media/image411.jpeg"/><Relationship Id="rId419" Type="http://schemas.openxmlformats.org/officeDocument/2006/relationships/image" Target="media/image412.jpeg"/><Relationship Id="rId420" Type="http://schemas.openxmlformats.org/officeDocument/2006/relationships/image" Target="media/image413.jpeg"/><Relationship Id="rId421" Type="http://schemas.openxmlformats.org/officeDocument/2006/relationships/image" Target="media/image414.jpeg"/><Relationship Id="rId422" Type="http://schemas.openxmlformats.org/officeDocument/2006/relationships/image" Target="media/image415.jpeg"/><Relationship Id="rId423" Type="http://schemas.openxmlformats.org/officeDocument/2006/relationships/image" Target="media/image416.jpe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jpe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jpeg"/><Relationship Id="rId438" Type="http://schemas.openxmlformats.org/officeDocument/2006/relationships/image" Target="media/image431.png"/><Relationship Id="rId439" Type="http://schemas.openxmlformats.org/officeDocument/2006/relationships/image" Target="media/image432.jpeg"/><Relationship Id="rId440" Type="http://schemas.openxmlformats.org/officeDocument/2006/relationships/image" Target="media/image433.jpe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jpeg"/><Relationship Id="rId444" Type="http://schemas.openxmlformats.org/officeDocument/2006/relationships/image" Target="media/image437.jpeg"/><Relationship Id="rId445" Type="http://schemas.openxmlformats.org/officeDocument/2006/relationships/image" Target="media/image438.jpe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jpeg"/><Relationship Id="rId449" Type="http://schemas.openxmlformats.org/officeDocument/2006/relationships/image" Target="media/image442.jpe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jpeg"/><Relationship Id="rId453" Type="http://schemas.openxmlformats.org/officeDocument/2006/relationships/image" Target="media/image446.jpe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jpeg"/><Relationship Id="rId457" Type="http://schemas.openxmlformats.org/officeDocument/2006/relationships/image" Target="media/image450.jpe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jpeg"/><Relationship Id="rId461" Type="http://schemas.openxmlformats.org/officeDocument/2006/relationships/image" Target="media/image454.jpe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jpe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jpe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jpe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jpe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jpe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jpe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jpe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jpe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jpe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jpe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jpe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jpe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jpe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jpe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jpe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jpe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jpe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jpe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jpe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jpe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jpe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jpeg"/><Relationship Id="rId577" Type="http://schemas.openxmlformats.org/officeDocument/2006/relationships/image" Target="media/image570.png"/><Relationship Id="rId578" Type="http://schemas.openxmlformats.org/officeDocument/2006/relationships/image" Target="media/image571.jpe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jpe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jpe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jpe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jpe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jpe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jpe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jpe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jpe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jpe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jpe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jpe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jpe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jpe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jpeg"/><Relationship Id="rId624" Type="http://schemas.openxmlformats.org/officeDocument/2006/relationships/image" Target="media/image617.jpe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jpe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jpe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jpe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jpe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jpe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jpeg"/><Relationship Id="rId644" Type="http://schemas.openxmlformats.org/officeDocument/2006/relationships/image" Target="media/image637.jpe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jpe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jpeg"/><Relationship Id="rId653" Type="http://schemas.openxmlformats.org/officeDocument/2006/relationships/image" Target="media/image646.jpe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jpe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jpeg"/><Relationship Id="rId662" Type="http://schemas.openxmlformats.org/officeDocument/2006/relationships/image" Target="media/image655.jpe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jpe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jpe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jpeg"/><Relationship Id="rId674" Type="http://schemas.openxmlformats.org/officeDocument/2006/relationships/image" Target="media/image667.jpe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jpe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jpeg"/><Relationship Id="rId683" Type="http://schemas.openxmlformats.org/officeDocument/2006/relationships/image" Target="media/image676.jpe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jpe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jpeg"/><Relationship Id="rId692" Type="http://schemas.openxmlformats.org/officeDocument/2006/relationships/image" Target="media/image685.jpe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jpe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jpe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jpeg"/><Relationship Id="rId704" Type="http://schemas.openxmlformats.org/officeDocument/2006/relationships/image" Target="media/image697.jpe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jpe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jpe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jpe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jpe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jpe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jpe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jpe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jpe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jpeg"/><Relationship Id="rId737" Type="http://schemas.openxmlformats.org/officeDocument/2006/relationships/image" Target="media/image730.png"/><Relationship Id="rId738" Type="http://schemas.openxmlformats.org/officeDocument/2006/relationships/image" Target="media/image731.jpeg"/><Relationship Id="rId739" Type="http://schemas.openxmlformats.org/officeDocument/2006/relationships/image" Target="media/image732.png"/><Relationship Id="rId740" Type="http://schemas.openxmlformats.org/officeDocument/2006/relationships/image" Target="media/image733.jpeg"/><Relationship Id="rId741" Type="http://schemas.openxmlformats.org/officeDocument/2006/relationships/image" Target="media/image734.jpeg"/><Relationship Id="rId742" Type="http://schemas.openxmlformats.org/officeDocument/2006/relationships/image" Target="media/image735.png"/><Relationship Id="rId743" Type="http://schemas.openxmlformats.org/officeDocument/2006/relationships/image" Target="media/image736.jpe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jpeg"/><Relationship Id="rId747" Type="http://schemas.openxmlformats.org/officeDocument/2006/relationships/image" Target="media/image7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2020-04-06T05:52:23Z</dcterms:created>
  <dcterms:modified xsi:type="dcterms:W3CDTF">2020-04-06T05:52:23Z</dcterms:modified>
</cp:coreProperties>
</file>