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170-01_fwp.htm"/>
      <w:bookmarkStart w:id="1" w:name="ksea030517001_fwp"/>
      <w:bookmarkStart w:id="2" w:name="ea0305170-01_fwp.htm"/>
      <w:bookmarkStart w:id="3" w:name="ksea030517001_fwp"/>
      <w:bookmarkEnd w:id="2"/>
      <w:bookmarkEnd w:id="3"/>
    </w:p>
    <w:tbl>
      <w:tblPr>
        <w:tblW w:w="9610" w:type="dxa"/>
        <w:jc w:val="left"/>
        <w:tblInd w:w="0" w:type="dxa"/>
        <w:tblLayout w:type="fixed"/>
        <w:tblCellMar>
          <w:top w:w="0" w:type="dxa"/>
          <w:left w:w="0" w:type="dxa"/>
          <w:bottom w:w="0" w:type="dxa"/>
          <w:right w:w="0" w:type="dxa"/>
        </w:tblCellMar>
      </w:tblPr>
      <w:tblGrid>
        <w:gridCol w:w="6740"/>
        <w:gridCol w:w="2870"/>
      </w:tblGrid>
      <w:tr>
        <w:trPr/>
        <w:tc>
          <w:tcPr>
            <w:tcW w:w="6740"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left"/>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287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w:t>
              <w:br/>
              <w:t>and 333-293684-01</w:t>
            </w:r>
          </w:p>
        </w:tc>
      </w:tr>
      <w:tr>
        <w:trPr/>
        <w:tc>
          <w:tcPr>
            <w:tcW w:w="6740" w:type="dxa"/>
            <w:vMerge w:val="continue"/>
            <w:tcBorders/>
            <w:vAlign w:val="center"/>
          </w:tcPr>
          <w:p>
            <w:pPr>
              <w:pStyle w:val="Normal"/>
              <w:bidi w:val="0"/>
              <w:jc w:val="left"/>
              <w:rPr/>
            </w:pPr>
            <w:r>
              <w:rPr/>
            </w:r>
          </w:p>
        </w:tc>
        <w:tc>
          <w:tcPr>
            <w:tcW w:w="2870" w:type="dxa"/>
            <w:tcBorders/>
            <w:vAlign w:val="center"/>
          </w:tcPr>
          <w:p>
            <w:pPr>
              <w:pStyle w:val="TableContents"/>
              <w:bidi w:val="0"/>
              <w:spacing w:before="0" w:after="283"/>
              <w:jc w:val="right"/>
              <w:rPr/>
            </w:pPr>
            <w:r>
              <w:rPr/>
              <w:drawing>
                <wp:inline distT="0" distB="0" distL="0" distR="0">
                  <wp:extent cx="17430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619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and Contingent Downside</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S&amp;P 500</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Index and the Dow Jones Industrial Average</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w:t>
              <w:br/>
              <w:t>due September 27,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September 10, 2026 to Preliminary Pricing Supplement dated September 10,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2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and Dow Jones Industrial Average</w:t>
                                  </w:r>
                                  <w:r>
                                    <w:rPr>
                                      <w:rFonts w:ascii="Georgia;Times;Serif" w:hAnsi="Georgia;Times;Serif"/>
                                      <w:b w:val="false"/>
                                      <w:i w:val="false"/>
                                      <w:caps w:val="false"/>
                                      <w:smallCaps w:val="false"/>
                                      <w:position w:val="5"/>
                                      <w:sz w:val="13"/>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September 27, 2029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the call date is greater than or equal to its starting level,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10.55%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caps w:val="false"/>
                                      <w:smallCaps w:val="false"/>
                                      <w:position w:val="5"/>
                                      <w:sz w:val="13"/>
                                      <w:sz w:val="16"/>
                                    </w:rPr>
                                    <w:t>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greater than its starting level:</w:t>
                                  </w:r>
                                </w:p>
                                <w:p>
                                  <w:pPr>
                                    <w:pStyle w:val="TableContents"/>
                                    <w:bidi w:val="0"/>
                                    <w:ind w:left="273"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 × upside participation rate);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or equal to its starting level, but greater than or equal to its threshold level: $1,000; or</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0" w:after="283"/>
                                    <w:ind w:left="273"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the call date or the final calculation day, the Index with the lowest index return on that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125.00%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Index, 75% of its starting level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the call date or the final calculation day and for each Index: (closing level on that day – starting level) / starting level</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46661MU51</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2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and Dow Jones Industrial Average</w:t>
                            </w:r>
                            <w:r>
                              <w:rPr>
                                <w:rFonts w:ascii="Georgia;Times;Serif" w:hAnsi="Georgia;Times;Serif"/>
                                <w:b w:val="false"/>
                                <w:i w:val="false"/>
                                <w:caps w:val="false"/>
                                <w:smallCaps w:val="false"/>
                                <w:position w:val="5"/>
                                <w:sz w:val="13"/>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24,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September 27, 2029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the call date is greater than or equal to its starting level,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10.55%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caps w:val="false"/>
                                <w:smallCaps w:val="false"/>
                                <w:position w:val="5"/>
                                <w:sz w:val="13"/>
                                <w:sz w:val="16"/>
                              </w:rPr>
                              <w:t>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greater than its starting level:</w:t>
                            </w:r>
                          </w:p>
                          <w:p>
                            <w:pPr>
                              <w:pStyle w:val="TableContents"/>
                              <w:bidi w:val="0"/>
                              <w:ind w:left="273"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 × upside participation rate);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or equal to its starting level, but greater than or equal to its threshold level: $1,000; or</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0" w:after="283"/>
                              <w:ind w:left="273"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the call date or the final calculation day, the Index with the lowest index return on that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125.00%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Index, 75% of its starting level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the call date or the final calculation day and for each Index: (closing level on that day – starting level) / starting level</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46661MU51</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436485"/>
                <wp:effectExtent l="0" t="0" r="0" b="0"/>
                <wp:wrapSquare wrapText="left"/>
                <wp:docPr id="3" name="Frame2"/>
                <a:graphic xmlns:a="http://schemas.openxmlformats.org/drawingml/2006/main">
                  <a:graphicData uri="http://schemas.microsoft.com/office/word/2010/wordprocessingShape">
                    <wps:wsp>
                      <wps:cNvSpPr txBox="1"/>
                      <wps:spPr>
                        <a:xfrm>
                          <a:off x="0" y="0"/>
                          <a:ext cx="3175000" cy="743648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524250" cy="2219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24250" cy="22193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closing level of the lowest performing Index on the call date significantly exceeds its starting level. If the securities are automatically called, you will not have the opportunity to participate in any appreciation of the lowest performing Index on the final calculation day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$952.80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w:t>
                                <w:br/>
                                <w:t>000121390026098712/ea0305146-01_424b2.htm.</w:t>
                              </w:r>
                            </w:hyperlink>
                          </w:p>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5.5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524250" cy="2219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24250" cy="22193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closing level of the lowest performing Index on the call date significantly exceeds its starting level. If the securities are automatically called, you will not have the opportunity to participate in any appreciation of the lowest performing Index on the final calculation day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$952.80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w:t>
                          <w:br/>
                          <w:t>000121390026098712/ea0305146-01_424b2.htm.</w:t>
                        </w:r>
                      </w:hyperlink>
                    </w:p>
                    <w:p>
                      <w:pPr>
                        <w:pStyle w:val="TextBody"/>
                        <w:bidi w:val="0"/>
                        <w:spacing w:before="0" w:after="283"/>
                        <w:jc w:val="left"/>
                        <w:rPr>
                          <w:caps w:val="false"/>
                          <w:smallCaps w:val="false"/>
                        </w:rPr>
                      </w:pPr>
                      <w:r>
                        <w:rPr>
                          <w:caps w:val="false"/>
                          <w:smallCaps w:val="false"/>
                        </w:rPr>
                        <w:t> </w:t>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18"/>
        <w:gridCol w:w="5187"/>
      </w:tblGrid>
      <w:tr>
        <w:trPr/>
        <w:tc>
          <w:tcPr>
            <w:tcW w:w="501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Payment at Maturity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Between the Indices.</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18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Each of JPMorgan Chase &amp; Co. and Wells Fargo &amp; Company (the Parent Company of WFS) Is Currently One of the Companies that Make Up the S&amp;P 500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 and JPMorgan Chase &amp; Co. Is Currently One of the Companies that Make Up the Dow Jones Industrial Average</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Index and Therefore the Securities Are Subject to the Risks Associated with Each Index,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8712/ea0305146-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8712/ea0305146-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1638</Words>
  <Characters>8688</Characters>
  <CharactersWithSpaces>10350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