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4"/>
          <w:szCs w:val="14"/>
          <w:b w:val="1"/>
          <w:bCs w:val="1"/>
          <w:color w:val="FF0000"/>
        </w:rPr>
        <w:t>The information in this preliminary pricing supplement is not complete and may be changed. This preliminary pricing supplement is not</w:t>
      </w:r>
    </w:p>
    <w:p>
      <w:pPr>
        <w:spacing w:after="0" w:line="51" w:lineRule="exact"/>
        <w:rPr>
          <w:sz w:val="24"/>
          <w:szCs w:val="24"/>
          <w:color w:val="auto"/>
        </w:rPr>
      </w:pPr>
    </w:p>
    <w:p>
      <w:pPr>
        <w:ind w:left="520"/>
        <w:spacing w:after="0"/>
        <w:rPr>
          <w:sz w:val="20"/>
          <w:szCs w:val="20"/>
          <w:color w:val="auto"/>
        </w:rPr>
      </w:pPr>
      <w:r>
        <w:rPr>
          <w:rFonts w:ascii="Arial" w:cs="Arial" w:eastAsia="Arial" w:hAnsi="Arial"/>
          <w:sz w:val="15"/>
          <w:szCs w:val="15"/>
          <w:b w:val="1"/>
          <w:bCs w:val="1"/>
          <w:color w:val="FF0000"/>
        </w:rPr>
        <w:t>an offer to sell nor does it seek an offer to buy these securities in any jurisdiction where the offer or sale is not permitted.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-554355</wp:posOffset>
            </wp:positionH>
            <wp:positionV relativeFrom="paragraph">
              <wp:posOffset>-6350</wp:posOffset>
            </wp:positionV>
            <wp:extent cx="7197090" cy="63620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97090" cy="6362065"/>
                    </a:xfrm>
                    <a:prstGeom prst="rect">
                      <a:avLst/>
                    </a:prstGeom>
                    <a:noFill/>
                  </pic:spPr>
                </pic:pic>
              </a:graphicData>
            </a:graphic>
          </wp:anchor>
        </w:drawing>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FF0000"/>
        </w:rPr>
        <w:t>Subject to completion dated June 9, 2026</w:t>
      </w:r>
    </w:p>
    <w:p>
      <w:pPr>
        <w:spacing w:after="0" w:line="26" w:lineRule="exact"/>
        <w:rPr>
          <w:sz w:val="24"/>
          <w:szCs w:val="24"/>
          <w:color w:val="auto"/>
        </w:rPr>
      </w:pPr>
    </w:p>
    <w:p>
      <w:pPr>
        <w:spacing w:after="0"/>
        <w:tabs>
          <w:tab w:leader="none" w:pos="460" w:val="left"/>
          <w:tab w:leader="none" w:pos="4500" w:val="left"/>
        </w:tabs>
        <w:rPr>
          <w:sz w:val="20"/>
          <w:szCs w:val="20"/>
          <w:color w:val="auto"/>
        </w:rPr>
      </w:pPr>
      <w:r>
        <w:rPr>
          <w:rFonts w:ascii="Arial" w:cs="Arial" w:eastAsia="Arial" w:hAnsi="Arial"/>
          <w:sz w:val="15"/>
          <w:szCs w:val="15"/>
          <w:color w:val="auto"/>
        </w:rPr>
        <w:t>June</w:t>
        <w:tab/>
        <w:t>, 2026</w:t>
      </w:r>
      <w:r>
        <w:rPr>
          <w:sz w:val="20"/>
          <w:szCs w:val="20"/>
          <w:color w:val="auto"/>
        </w:rPr>
        <w:tab/>
      </w:r>
      <w:r>
        <w:rPr>
          <w:rFonts w:ascii="Arial" w:cs="Arial" w:eastAsia="Arial" w:hAnsi="Arial"/>
          <w:sz w:val="14"/>
          <w:szCs w:val="14"/>
          <w:color w:val="auto"/>
        </w:rPr>
        <w:t>Registration Statement Nos. 333-293684 and 333-293684-01; Rule 424(b)(2)</w:t>
      </w:r>
    </w:p>
    <w:p>
      <w:pPr>
        <w:spacing w:after="0" w:line="200" w:lineRule="exact"/>
        <w:rPr>
          <w:sz w:val="24"/>
          <w:szCs w:val="24"/>
          <w:color w:val="auto"/>
        </w:rPr>
      </w:pPr>
    </w:p>
    <w:p>
      <w:pPr>
        <w:spacing w:after="0" w:line="200" w:lineRule="exact"/>
        <w:rPr>
          <w:sz w:val="24"/>
          <w:szCs w:val="24"/>
          <w:color w:val="auto"/>
        </w:rPr>
      </w:pPr>
    </w:p>
    <w:p>
      <w:pPr>
        <w:spacing w:after="0" w:line="225" w:lineRule="exact"/>
        <w:rPr>
          <w:sz w:val="24"/>
          <w:szCs w:val="24"/>
          <w:color w:val="auto"/>
        </w:rPr>
      </w:pPr>
    </w:p>
    <w:p>
      <w:pPr>
        <w:ind w:right="4760"/>
        <w:spacing w:after="0" w:line="268" w:lineRule="auto"/>
        <w:rPr>
          <w:sz w:val="20"/>
          <w:szCs w:val="20"/>
          <w:color w:val="auto"/>
        </w:rPr>
      </w:pPr>
      <w:r>
        <w:rPr>
          <w:rFonts w:ascii="Arial" w:cs="Arial" w:eastAsia="Arial" w:hAnsi="Arial"/>
          <w:sz w:val="26"/>
          <w:szCs w:val="26"/>
          <w:color w:val="404040"/>
        </w:rPr>
        <w:t>JPMorgan Chase Financial Company LLC Structured Investments</w:t>
      </w:r>
    </w:p>
    <w:p>
      <w:pPr>
        <w:spacing w:after="0" w:line="34" w:lineRule="exact"/>
        <w:rPr>
          <w:sz w:val="24"/>
          <w:szCs w:val="24"/>
          <w:color w:val="auto"/>
        </w:rPr>
      </w:pPr>
    </w:p>
    <w:p>
      <w:pPr>
        <w:ind w:right="320"/>
        <w:spacing w:after="0" w:line="221" w:lineRule="auto"/>
        <w:rPr>
          <w:sz w:val="20"/>
          <w:szCs w:val="20"/>
          <w:color w:val="auto"/>
        </w:rPr>
      </w:pPr>
      <w:r>
        <w:rPr>
          <w:rFonts w:ascii="Arial" w:cs="Arial" w:eastAsia="Arial" w:hAnsi="Arial"/>
          <w:sz w:val="35"/>
          <w:szCs w:val="35"/>
          <w:color w:val="54301A"/>
        </w:rPr>
        <w:t>Contingent Interest Notes Linked to the Least Performing of the S&amp;P 500</w:t>
      </w:r>
      <w:r>
        <w:rPr>
          <w:rFonts w:ascii="Arial" w:cs="Arial" w:eastAsia="Arial" w:hAnsi="Arial"/>
          <w:sz w:val="46"/>
          <w:szCs w:val="46"/>
          <w:color w:val="54301A"/>
          <w:vertAlign w:val="superscript"/>
        </w:rPr>
        <w:t>®</w:t>
      </w:r>
      <w:r>
        <w:rPr>
          <w:rFonts w:ascii="Arial" w:cs="Arial" w:eastAsia="Arial" w:hAnsi="Arial"/>
          <w:sz w:val="35"/>
          <w:szCs w:val="35"/>
          <w:color w:val="54301A"/>
        </w:rPr>
        <w:t xml:space="preserve"> Index, the Nasdaq-100</w:t>
      </w:r>
      <w:r>
        <w:rPr>
          <w:rFonts w:ascii="Arial" w:cs="Arial" w:eastAsia="Arial" w:hAnsi="Arial"/>
          <w:sz w:val="46"/>
          <w:szCs w:val="46"/>
          <w:color w:val="54301A"/>
          <w:vertAlign w:val="superscript"/>
        </w:rPr>
        <w:t>®</w:t>
      </w:r>
      <w:r>
        <w:rPr>
          <w:rFonts w:ascii="Arial" w:cs="Arial" w:eastAsia="Arial" w:hAnsi="Arial"/>
          <w:sz w:val="35"/>
          <w:szCs w:val="35"/>
          <w:color w:val="54301A"/>
        </w:rPr>
        <w:t xml:space="preserve"> Technology Sector Index</w:t>
      </w:r>
      <w:r>
        <w:rPr>
          <w:rFonts w:ascii="Arial" w:cs="Arial" w:eastAsia="Arial" w:hAnsi="Arial"/>
          <w:sz w:val="46"/>
          <w:szCs w:val="46"/>
          <w:color w:val="54301A"/>
          <w:vertAlign w:val="superscript"/>
        </w:rPr>
        <w:t>SM</w:t>
      </w:r>
      <w:r>
        <w:rPr>
          <w:rFonts w:ascii="Arial" w:cs="Arial" w:eastAsia="Arial" w:hAnsi="Arial"/>
          <w:sz w:val="35"/>
          <w:szCs w:val="35"/>
          <w:color w:val="54301A"/>
        </w:rPr>
        <w:t xml:space="preserve"> and the Russell 2000</w:t>
      </w:r>
      <w:r>
        <w:rPr>
          <w:rFonts w:ascii="Arial" w:cs="Arial" w:eastAsia="Arial" w:hAnsi="Arial"/>
          <w:sz w:val="46"/>
          <w:szCs w:val="46"/>
          <w:color w:val="54301A"/>
          <w:vertAlign w:val="superscript"/>
        </w:rPr>
        <w:t>®</w:t>
      </w:r>
      <w:r>
        <w:rPr>
          <w:rFonts w:ascii="Arial" w:cs="Arial" w:eastAsia="Arial" w:hAnsi="Arial"/>
          <w:sz w:val="35"/>
          <w:szCs w:val="35"/>
          <w:color w:val="54301A"/>
        </w:rPr>
        <w:t xml:space="preserve"> Index due June 22, 2029</w:t>
      </w:r>
    </w:p>
    <w:p>
      <w:pPr>
        <w:spacing w:after="0" w:line="5" w:lineRule="exact"/>
        <w:rPr>
          <w:sz w:val="24"/>
          <w:szCs w:val="24"/>
          <w:color w:val="auto"/>
        </w:rPr>
      </w:pPr>
    </w:p>
    <w:p>
      <w:pPr>
        <w:spacing w:after="0"/>
        <w:rPr>
          <w:sz w:val="20"/>
          <w:szCs w:val="20"/>
          <w:color w:val="auto"/>
        </w:rPr>
      </w:pPr>
      <w:r>
        <w:rPr>
          <w:rFonts w:ascii="Arial" w:cs="Arial" w:eastAsia="Arial" w:hAnsi="Arial"/>
          <w:sz w:val="26"/>
          <w:szCs w:val="26"/>
          <w:color w:val="54301A"/>
        </w:rPr>
        <w:t>Fully and Unconditionally Guaranteed by JPMorgan Chase &amp; Co.</w:t>
      </w:r>
    </w:p>
    <w:p>
      <w:pPr>
        <w:spacing w:after="0" w:line="99" w:lineRule="exact"/>
        <w:rPr>
          <w:sz w:val="24"/>
          <w:szCs w:val="24"/>
          <w:color w:val="auto"/>
        </w:rPr>
      </w:pPr>
    </w:p>
    <w:p>
      <w:pPr>
        <w:jc w:val="both"/>
        <w:ind w:left="660" w:right="380" w:hanging="333"/>
        <w:spacing w:after="0" w:line="263" w:lineRule="auto"/>
        <w:tabs>
          <w:tab w:leader="none" w:pos="674" w:val="left"/>
        </w:tabs>
        <w:numPr>
          <w:ilvl w:val="0"/>
          <w:numId w:val="1"/>
        </w:numPr>
        <w:rPr>
          <w:rFonts w:ascii="Verdana" w:cs="Verdana" w:eastAsia="Verdana" w:hAnsi="Verdana"/>
          <w:sz w:val="16"/>
          <w:szCs w:val="16"/>
          <w:color w:val="262626"/>
        </w:rPr>
      </w:pPr>
      <w:r>
        <w:rPr>
          <w:rFonts w:ascii="Arial" w:cs="Arial" w:eastAsia="Arial" w:hAnsi="Arial"/>
          <w:sz w:val="16"/>
          <w:szCs w:val="16"/>
          <w:color w:val="262626"/>
        </w:rPr>
        <w:t>The notes are designed for investors who seek a Contingent Interest Payment with respect to each Review Date for which the closing level of each of the S&amp;P 500</w:t>
      </w:r>
      <w:r>
        <w:rPr>
          <w:rFonts w:ascii="Arial" w:cs="Arial" w:eastAsia="Arial" w:hAnsi="Arial"/>
          <w:sz w:val="21"/>
          <w:szCs w:val="21"/>
          <w:color w:val="262626"/>
          <w:vertAlign w:val="superscript"/>
        </w:rPr>
        <w:t>®</w:t>
      </w:r>
      <w:r>
        <w:rPr>
          <w:rFonts w:ascii="Arial" w:cs="Arial" w:eastAsia="Arial" w:hAnsi="Arial"/>
          <w:sz w:val="16"/>
          <w:szCs w:val="16"/>
          <w:color w:val="262626"/>
        </w:rPr>
        <w:t xml:space="preserve"> Index, the Nasdaq-100</w:t>
      </w:r>
      <w:r>
        <w:rPr>
          <w:rFonts w:ascii="Arial" w:cs="Arial" w:eastAsia="Arial" w:hAnsi="Arial"/>
          <w:sz w:val="21"/>
          <w:szCs w:val="21"/>
          <w:color w:val="262626"/>
          <w:vertAlign w:val="superscript"/>
        </w:rPr>
        <w:t>®</w:t>
      </w:r>
      <w:r>
        <w:rPr>
          <w:rFonts w:ascii="Arial" w:cs="Arial" w:eastAsia="Arial" w:hAnsi="Arial"/>
          <w:sz w:val="16"/>
          <w:szCs w:val="16"/>
          <w:color w:val="262626"/>
        </w:rPr>
        <w:t xml:space="preserve"> Technology Sector Index</w:t>
      </w:r>
      <w:r>
        <w:rPr>
          <w:rFonts w:ascii="Arial" w:cs="Arial" w:eastAsia="Arial" w:hAnsi="Arial"/>
          <w:sz w:val="21"/>
          <w:szCs w:val="21"/>
          <w:color w:val="262626"/>
          <w:vertAlign w:val="superscript"/>
        </w:rPr>
        <w:t>SM</w:t>
      </w:r>
      <w:r>
        <w:rPr>
          <w:rFonts w:ascii="Arial" w:cs="Arial" w:eastAsia="Arial" w:hAnsi="Arial"/>
          <w:sz w:val="16"/>
          <w:szCs w:val="16"/>
          <w:color w:val="262626"/>
        </w:rPr>
        <w:t xml:space="preserve"> and the Russell</w:t>
      </w:r>
    </w:p>
    <w:p>
      <w:pPr>
        <w:spacing w:after="0" w:line="1" w:lineRule="exact"/>
        <w:rPr>
          <w:rFonts w:ascii="Verdana" w:cs="Verdana" w:eastAsia="Verdana" w:hAnsi="Verdana"/>
          <w:sz w:val="16"/>
          <w:szCs w:val="16"/>
          <w:color w:val="262626"/>
        </w:rPr>
      </w:pPr>
    </w:p>
    <w:p>
      <w:pPr>
        <w:ind w:left="660" w:right="120"/>
        <w:spacing w:after="0" w:line="230" w:lineRule="auto"/>
        <w:rPr>
          <w:rFonts w:ascii="Verdana" w:cs="Verdana" w:eastAsia="Verdana" w:hAnsi="Verdana"/>
          <w:sz w:val="16"/>
          <w:szCs w:val="16"/>
          <w:color w:val="262626"/>
        </w:rPr>
      </w:pPr>
      <w:r>
        <w:rPr>
          <w:rFonts w:ascii="Arial" w:cs="Arial" w:eastAsia="Arial" w:hAnsi="Arial"/>
          <w:sz w:val="17"/>
          <w:szCs w:val="17"/>
          <w:color w:val="262626"/>
        </w:rPr>
        <w:t>2000</w:t>
      </w:r>
      <w:r>
        <w:rPr>
          <w:rFonts w:ascii="Arial" w:cs="Arial" w:eastAsia="Arial" w:hAnsi="Arial"/>
          <w:sz w:val="22"/>
          <w:szCs w:val="22"/>
          <w:color w:val="262626"/>
          <w:vertAlign w:val="superscript"/>
        </w:rPr>
        <w:t>®</w:t>
      </w:r>
      <w:r>
        <w:rPr>
          <w:rFonts w:ascii="Arial" w:cs="Arial" w:eastAsia="Arial" w:hAnsi="Arial"/>
          <w:sz w:val="17"/>
          <w:szCs w:val="17"/>
          <w:color w:val="262626"/>
        </w:rPr>
        <w:t xml:space="preserve"> Index, which we refer to as the Indices, is greater than or equal to 70.00% of its Initial Value, which we refer to as an Interest Barrier.</w:t>
      </w:r>
    </w:p>
    <w:p>
      <w:pPr>
        <w:spacing w:after="0" w:line="96" w:lineRule="exact"/>
        <w:rPr>
          <w:rFonts w:ascii="Verdana" w:cs="Verdana" w:eastAsia="Verdana" w:hAnsi="Verdana"/>
          <w:sz w:val="16"/>
          <w:szCs w:val="16"/>
          <w:color w:val="262626"/>
        </w:rPr>
      </w:pPr>
    </w:p>
    <w:p>
      <w:pPr>
        <w:ind w:left="660" w:right="420" w:hanging="333"/>
        <w:spacing w:after="0" w:line="260" w:lineRule="auto"/>
        <w:tabs>
          <w:tab w:leader="none" w:pos="674" w:val="left"/>
        </w:tabs>
        <w:numPr>
          <w:ilvl w:val="0"/>
          <w:numId w:val="1"/>
        </w:numPr>
        <w:rPr>
          <w:rFonts w:ascii="Verdana" w:cs="Verdana" w:eastAsia="Verdana" w:hAnsi="Verdana"/>
          <w:sz w:val="17"/>
          <w:szCs w:val="17"/>
          <w:color w:val="262626"/>
        </w:rPr>
      </w:pPr>
      <w:r>
        <w:rPr>
          <w:rFonts w:ascii="Arial" w:cs="Arial" w:eastAsia="Arial" w:hAnsi="Arial"/>
          <w:sz w:val="17"/>
          <w:szCs w:val="17"/>
          <w:color w:val="262626"/>
        </w:rPr>
        <w:t>Investors should be willing to accept the risk of losing a significant portion or all of their principal and the risk that no Contingent Interest Payment may be made with respect to some or all Review Dates.</w:t>
      </w:r>
    </w:p>
    <w:p>
      <w:pPr>
        <w:spacing w:after="0" w:line="27" w:lineRule="exact"/>
        <w:rPr>
          <w:rFonts w:ascii="Verdana" w:cs="Verdana" w:eastAsia="Verdana" w:hAnsi="Verdana"/>
          <w:sz w:val="17"/>
          <w:szCs w:val="17"/>
          <w:color w:val="262626"/>
        </w:rPr>
      </w:pPr>
    </w:p>
    <w:p>
      <w:pPr>
        <w:ind w:left="660" w:right="100" w:hanging="333"/>
        <w:spacing w:after="0" w:line="260" w:lineRule="auto"/>
        <w:tabs>
          <w:tab w:leader="none" w:pos="674" w:val="left"/>
        </w:tabs>
        <w:numPr>
          <w:ilvl w:val="0"/>
          <w:numId w:val="1"/>
        </w:numPr>
        <w:rPr>
          <w:rFonts w:ascii="Verdana" w:cs="Verdana" w:eastAsia="Verdana" w:hAnsi="Verdana"/>
          <w:sz w:val="17"/>
          <w:szCs w:val="17"/>
          <w:color w:val="262626"/>
        </w:rPr>
      </w:pPr>
      <w:r>
        <w:rPr>
          <w:rFonts w:ascii="Arial" w:cs="Arial" w:eastAsia="Arial" w:hAnsi="Arial"/>
          <w:sz w:val="17"/>
          <w:szCs w:val="17"/>
          <w:color w:val="262626"/>
        </w:rPr>
        <w:t>Investors should also be willing to forgo fixed interest and dividend payments, in exchange for the opportunity to receive Contingent Interest Payments.</w:t>
      </w:r>
    </w:p>
    <w:p>
      <w:pPr>
        <w:spacing w:after="0" w:line="40" w:lineRule="exact"/>
        <w:rPr>
          <w:rFonts w:ascii="Verdana" w:cs="Verdana" w:eastAsia="Verdana" w:hAnsi="Verdana"/>
          <w:sz w:val="17"/>
          <w:szCs w:val="17"/>
          <w:color w:val="262626"/>
        </w:rPr>
      </w:pPr>
    </w:p>
    <w:p>
      <w:pPr>
        <w:ind w:left="660" w:hanging="333"/>
        <w:spacing w:after="0" w:line="241" w:lineRule="auto"/>
        <w:tabs>
          <w:tab w:leader="none" w:pos="674" w:val="left"/>
        </w:tabs>
        <w:numPr>
          <w:ilvl w:val="0"/>
          <w:numId w:val="1"/>
        </w:numPr>
        <w:rPr>
          <w:rFonts w:ascii="Verdana" w:cs="Verdana" w:eastAsia="Verdana" w:hAnsi="Verdana"/>
          <w:sz w:val="17"/>
          <w:szCs w:val="17"/>
          <w:color w:val="262626"/>
        </w:rPr>
      </w:pPr>
      <w:r>
        <w:rPr>
          <w:rFonts w:ascii="Arial" w:cs="Arial" w:eastAsia="Arial" w:hAnsi="Arial"/>
          <w:sz w:val="17"/>
          <w:szCs w:val="17"/>
          <w:color w:val="262626"/>
        </w:rPr>
        <w:t xml:space="preserve">The notes are unsecured and unsubordinated obligations of JPMorgan Chase Financial Company LLC, which we refer to as JPMorgan Financial, the payment on which is fully and unconditionally guaranteed by JPMorgan Chase &amp; Co. </w:t>
      </w:r>
      <w:r>
        <w:rPr>
          <w:rFonts w:ascii="Arial" w:cs="Arial" w:eastAsia="Arial" w:hAnsi="Arial"/>
          <w:sz w:val="17"/>
          <w:szCs w:val="17"/>
          <w:b w:val="1"/>
          <w:bCs w:val="1"/>
          <w:color w:val="262626"/>
        </w:rPr>
        <w:t>Any</w:t>
      </w:r>
      <w:r>
        <w:rPr>
          <w:rFonts w:ascii="Arial" w:cs="Arial" w:eastAsia="Arial" w:hAnsi="Arial"/>
          <w:sz w:val="17"/>
          <w:szCs w:val="17"/>
          <w:color w:val="262626"/>
        </w:rPr>
        <w:t xml:space="preserve"> </w:t>
      </w:r>
      <w:r>
        <w:rPr>
          <w:rFonts w:ascii="Arial" w:cs="Arial" w:eastAsia="Arial" w:hAnsi="Arial"/>
          <w:sz w:val="17"/>
          <w:szCs w:val="17"/>
          <w:b w:val="1"/>
          <w:bCs w:val="1"/>
          <w:color w:val="262626"/>
        </w:rPr>
        <w:t>payment on the notes is subject to the credit risk of JPMorgan Financial, as issuer of the notes, and the credit risk of JPMorgan Chase &amp; Co., as guarantor of the notes.</w:t>
      </w:r>
    </w:p>
    <w:p>
      <w:pPr>
        <w:spacing w:after="0" w:line="50" w:lineRule="exact"/>
        <w:rPr>
          <w:rFonts w:ascii="Verdana" w:cs="Verdana" w:eastAsia="Verdana" w:hAnsi="Verdana"/>
          <w:sz w:val="17"/>
          <w:szCs w:val="17"/>
          <w:color w:val="262626"/>
        </w:rPr>
      </w:pPr>
    </w:p>
    <w:p>
      <w:pPr>
        <w:ind w:left="660" w:right="380" w:hanging="333"/>
        <w:spacing w:after="0" w:line="260" w:lineRule="auto"/>
        <w:tabs>
          <w:tab w:leader="none" w:pos="674" w:val="left"/>
        </w:tabs>
        <w:numPr>
          <w:ilvl w:val="0"/>
          <w:numId w:val="1"/>
        </w:numPr>
        <w:rPr>
          <w:rFonts w:ascii="Verdana" w:cs="Verdana" w:eastAsia="Verdana" w:hAnsi="Verdana"/>
          <w:sz w:val="17"/>
          <w:szCs w:val="17"/>
          <w:color w:val="262626"/>
        </w:rPr>
      </w:pPr>
      <w:r>
        <w:rPr>
          <w:rFonts w:ascii="Arial" w:cs="Arial" w:eastAsia="Arial" w:hAnsi="Arial"/>
          <w:sz w:val="17"/>
          <w:szCs w:val="17"/>
          <w:color w:val="262626"/>
        </w:rPr>
        <w:t>Payments on the notes are not linked to a basket composed of the Indices. Payments on the notes are linked to the performance of each of the Indices individually, as described below.</w:t>
      </w:r>
    </w:p>
    <w:p>
      <w:pPr>
        <w:spacing w:after="0" w:line="40" w:lineRule="exact"/>
        <w:rPr>
          <w:rFonts w:ascii="Verdana" w:cs="Verdana" w:eastAsia="Verdana" w:hAnsi="Verdana"/>
          <w:sz w:val="17"/>
          <w:szCs w:val="17"/>
          <w:color w:val="262626"/>
        </w:rPr>
      </w:pPr>
    </w:p>
    <w:p>
      <w:pPr>
        <w:ind w:left="680" w:hanging="353"/>
        <w:spacing w:after="0"/>
        <w:tabs>
          <w:tab w:leader="none" w:pos="680" w:val="left"/>
        </w:tabs>
        <w:numPr>
          <w:ilvl w:val="0"/>
          <w:numId w:val="1"/>
        </w:numPr>
        <w:rPr>
          <w:rFonts w:ascii="Verdana" w:cs="Verdana" w:eastAsia="Verdana" w:hAnsi="Verdana"/>
          <w:sz w:val="17"/>
          <w:szCs w:val="17"/>
          <w:color w:val="262626"/>
        </w:rPr>
      </w:pPr>
      <w:r>
        <w:rPr>
          <w:rFonts w:ascii="Arial" w:cs="Arial" w:eastAsia="Arial" w:hAnsi="Arial"/>
          <w:sz w:val="17"/>
          <w:szCs w:val="17"/>
          <w:color w:val="262626"/>
        </w:rPr>
        <w:t>Minimum denominations of $1,000 and integral multiples thereof</w:t>
      </w:r>
    </w:p>
    <w:p>
      <w:pPr>
        <w:spacing w:after="0" w:line="70" w:lineRule="exact"/>
        <w:rPr>
          <w:rFonts w:ascii="Verdana" w:cs="Verdana" w:eastAsia="Verdana" w:hAnsi="Verdana"/>
          <w:sz w:val="17"/>
          <w:szCs w:val="17"/>
          <w:color w:val="262626"/>
        </w:rPr>
      </w:pPr>
    </w:p>
    <w:p>
      <w:pPr>
        <w:ind w:left="680" w:hanging="353"/>
        <w:spacing w:after="0"/>
        <w:tabs>
          <w:tab w:leader="none" w:pos="680" w:val="left"/>
        </w:tabs>
        <w:numPr>
          <w:ilvl w:val="0"/>
          <w:numId w:val="1"/>
        </w:numPr>
        <w:rPr>
          <w:rFonts w:ascii="Verdana" w:cs="Verdana" w:eastAsia="Verdana" w:hAnsi="Verdana"/>
          <w:sz w:val="17"/>
          <w:szCs w:val="17"/>
          <w:color w:val="262626"/>
        </w:rPr>
      </w:pPr>
      <w:r>
        <w:rPr>
          <w:rFonts w:ascii="Arial" w:cs="Arial" w:eastAsia="Arial" w:hAnsi="Arial"/>
          <w:sz w:val="17"/>
          <w:szCs w:val="17"/>
          <w:color w:val="262626"/>
        </w:rPr>
        <w:t>The notes are expected to price on or about June 18, 2026 and are expected to settle on or about June 24, 2026.</w:t>
      </w:r>
    </w:p>
    <w:p>
      <w:pPr>
        <w:spacing w:after="0" w:line="70" w:lineRule="exact"/>
        <w:rPr>
          <w:rFonts w:ascii="Verdana" w:cs="Verdana" w:eastAsia="Verdana" w:hAnsi="Verdana"/>
          <w:sz w:val="17"/>
          <w:szCs w:val="17"/>
          <w:color w:val="262626"/>
        </w:rPr>
      </w:pPr>
    </w:p>
    <w:p>
      <w:pPr>
        <w:ind w:left="680" w:hanging="353"/>
        <w:spacing w:after="0"/>
        <w:tabs>
          <w:tab w:leader="none" w:pos="680" w:val="left"/>
        </w:tabs>
        <w:numPr>
          <w:ilvl w:val="0"/>
          <w:numId w:val="1"/>
        </w:numPr>
        <w:rPr>
          <w:rFonts w:ascii="Verdana" w:cs="Verdana" w:eastAsia="Verdana" w:hAnsi="Verdana"/>
          <w:sz w:val="17"/>
          <w:szCs w:val="17"/>
          <w:color w:val="262626"/>
        </w:rPr>
      </w:pPr>
      <w:r>
        <w:rPr>
          <w:rFonts w:ascii="Arial" w:cs="Arial" w:eastAsia="Arial" w:hAnsi="Arial"/>
          <w:sz w:val="17"/>
          <w:szCs w:val="17"/>
          <w:color w:val="262626"/>
        </w:rPr>
        <w:t>CUSIP: 46661AWU0</w:t>
      </w:r>
    </w:p>
    <w:p>
      <w:pPr>
        <w:spacing w:after="0" w:line="283" w:lineRule="exact"/>
        <w:rPr>
          <w:sz w:val="24"/>
          <w:szCs w:val="24"/>
          <w:color w:val="auto"/>
        </w:rPr>
      </w:pPr>
    </w:p>
    <w:p>
      <w:pPr>
        <w:ind w:right="540"/>
        <w:spacing w:after="0" w:line="256" w:lineRule="auto"/>
        <w:rPr>
          <w:sz w:val="20"/>
          <w:szCs w:val="20"/>
          <w:color w:val="auto"/>
        </w:rPr>
      </w:pPr>
      <w:r>
        <w:rPr>
          <w:rFonts w:ascii="Arial" w:cs="Arial" w:eastAsia="Arial" w:hAnsi="Arial"/>
          <w:sz w:val="17"/>
          <w:szCs w:val="17"/>
          <w:b w:val="1"/>
          <w:bCs w:val="1"/>
          <w:color w:val="auto"/>
        </w:rPr>
        <w:t>Investing in the notes involves a number of risks. See “Risk Factors” beginning on page S-2 of the accompanying prospectus supplement, “Risk Factors” beginning on page PS-12 of the accompanying product supplement and “Selected Risk Considerations” beginning on page PS-5 of this pricing supplement.</w:t>
      </w:r>
    </w:p>
    <w:p>
      <w:pPr>
        <w:spacing w:after="0" w:line="23" w:lineRule="exact"/>
        <w:rPr>
          <w:sz w:val="24"/>
          <w:szCs w:val="24"/>
          <w:color w:val="auto"/>
        </w:rPr>
      </w:pPr>
    </w:p>
    <w:p>
      <w:pPr>
        <w:jc w:val="both"/>
        <w:ind w:right="140"/>
        <w:spacing w:after="0" w:line="274" w:lineRule="auto"/>
        <w:rPr>
          <w:sz w:val="20"/>
          <w:szCs w:val="20"/>
          <w:color w:val="auto"/>
        </w:rPr>
      </w:pPr>
      <w:r>
        <w:rPr>
          <w:rFonts w:ascii="Arial" w:cs="Arial" w:eastAsia="Arial" w:hAnsi="Arial"/>
          <w:sz w:val="16"/>
          <w:szCs w:val="16"/>
          <w:color w:val="auto"/>
        </w:rPr>
        <w:t>Neither the Securities and Exchange Commission (the “SEC”) nor any state securities commission has approved or disapproved of the notes or passed upon the accuracy or the adequacy of this pricing supplement or the accompanying product supplement, underlying supplement, prospectus supplement and prospectus. Any representation to the contrary is a criminal offense.</w:t>
      </w:r>
    </w:p>
    <w:p>
      <w:pPr>
        <w:spacing w:after="0" w:line="32" w:lineRule="exact"/>
        <w:rPr>
          <w:sz w:val="24"/>
          <w:szCs w:val="24"/>
          <w:color w:val="auto"/>
        </w:rPr>
      </w:pPr>
    </w:p>
    <w:tbl>
      <w:tblPr>
        <w:tblLayout w:type="fixed"/>
        <w:tblInd w:w="420" w:type="dxa"/>
        <w:tblCellMar>
          <w:top w:w="0" w:type="dxa"/>
          <w:left w:w="0" w:type="dxa"/>
          <w:bottom w:w="0" w:type="dxa"/>
          <w:right w:w="0" w:type="dxa"/>
        </w:tblCellMar>
      </w:tblPr>
      <w:tr>
        <w:trPr>
          <w:trHeight w:val="221"/>
        </w:trPr>
        <w:tc>
          <w:tcPr>
            <w:tcW w:w="1060" w:type="dxa"/>
            <w:vAlign w:val="bottom"/>
          </w:tcPr>
          <w:p>
            <w:pPr>
              <w:spacing w:after="0"/>
              <w:rPr>
                <w:sz w:val="19"/>
                <w:szCs w:val="19"/>
                <w:color w:val="auto"/>
              </w:rPr>
            </w:pPr>
          </w:p>
        </w:tc>
        <w:tc>
          <w:tcPr>
            <w:tcW w:w="2420" w:type="dxa"/>
            <w:vAlign w:val="bottom"/>
          </w:tcPr>
          <w:p>
            <w:pPr>
              <w:ind w:left="440"/>
              <w:spacing w:after="0"/>
              <w:rPr>
                <w:sz w:val="20"/>
                <w:szCs w:val="20"/>
                <w:color w:val="auto"/>
              </w:rPr>
            </w:pPr>
            <w:r>
              <w:rPr>
                <w:rFonts w:ascii="Arial" w:cs="Arial" w:eastAsia="Arial" w:hAnsi="Arial"/>
                <w:sz w:val="17"/>
                <w:szCs w:val="17"/>
                <w:color w:val="auto"/>
              </w:rPr>
              <w:t>Price to Public (1)</w:t>
            </w:r>
          </w:p>
        </w:tc>
        <w:tc>
          <w:tcPr>
            <w:tcW w:w="3020" w:type="dxa"/>
            <w:vAlign w:val="bottom"/>
          </w:tcPr>
          <w:p>
            <w:pPr>
              <w:ind w:left="660"/>
              <w:spacing w:after="0"/>
              <w:rPr>
                <w:sz w:val="20"/>
                <w:szCs w:val="20"/>
                <w:color w:val="auto"/>
              </w:rPr>
            </w:pPr>
            <w:r>
              <w:rPr>
                <w:rFonts w:ascii="Arial" w:cs="Arial" w:eastAsia="Arial" w:hAnsi="Arial"/>
                <w:sz w:val="17"/>
                <w:szCs w:val="17"/>
                <w:color w:val="auto"/>
              </w:rPr>
              <w:t>Fees and Commissions (2)</w:t>
            </w:r>
          </w:p>
        </w:tc>
        <w:tc>
          <w:tcPr>
            <w:tcW w:w="1760" w:type="dxa"/>
            <w:vAlign w:val="bottom"/>
          </w:tcPr>
          <w:p>
            <w:pPr>
              <w:ind w:left="360"/>
              <w:spacing w:after="0"/>
              <w:rPr>
                <w:sz w:val="20"/>
                <w:szCs w:val="20"/>
                <w:color w:val="auto"/>
              </w:rPr>
            </w:pPr>
            <w:r>
              <w:rPr>
                <w:rFonts w:ascii="Arial" w:cs="Arial" w:eastAsia="Arial" w:hAnsi="Arial"/>
                <w:sz w:val="17"/>
                <w:szCs w:val="17"/>
                <w:color w:val="auto"/>
                <w:w w:val="97"/>
              </w:rPr>
              <w:t>Proceeds to Issuer</w:t>
            </w:r>
          </w:p>
        </w:tc>
      </w:tr>
      <w:tr>
        <w:trPr>
          <w:trHeight w:val="291"/>
        </w:trPr>
        <w:tc>
          <w:tcPr>
            <w:tcW w:w="1060" w:type="dxa"/>
            <w:vAlign w:val="bottom"/>
          </w:tcPr>
          <w:p>
            <w:pPr>
              <w:spacing w:after="0"/>
              <w:rPr>
                <w:sz w:val="20"/>
                <w:szCs w:val="20"/>
                <w:color w:val="auto"/>
              </w:rPr>
            </w:pPr>
            <w:r>
              <w:rPr>
                <w:rFonts w:ascii="Arial" w:cs="Arial" w:eastAsia="Arial" w:hAnsi="Arial"/>
                <w:sz w:val="17"/>
                <w:szCs w:val="17"/>
                <w:color w:val="404040"/>
              </w:rPr>
              <w:t>Per note</w:t>
            </w:r>
          </w:p>
        </w:tc>
        <w:tc>
          <w:tcPr>
            <w:tcW w:w="2420" w:type="dxa"/>
            <w:vAlign w:val="bottom"/>
          </w:tcPr>
          <w:p>
            <w:pPr>
              <w:ind w:left="440"/>
              <w:spacing w:after="0"/>
              <w:rPr>
                <w:sz w:val="20"/>
                <w:szCs w:val="20"/>
                <w:color w:val="auto"/>
              </w:rPr>
            </w:pPr>
            <w:r>
              <w:rPr>
                <w:rFonts w:ascii="Arial" w:cs="Arial" w:eastAsia="Arial" w:hAnsi="Arial"/>
                <w:sz w:val="17"/>
                <w:szCs w:val="17"/>
                <w:color w:val="404040"/>
              </w:rPr>
              <w:t>$1,000</w:t>
            </w:r>
          </w:p>
        </w:tc>
        <w:tc>
          <w:tcPr>
            <w:tcW w:w="3020" w:type="dxa"/>
            <w:vAlign w:val="bottom"/>
          </w:tcPr>
          <w:p>
            <w:pPr>
              <w:ind w:left="660"/>
              <w:spacing w:after="0"/>
              <w:rPr>
                <w:sz w:val="20"/>
                <w:szCs w:val="20"/>
                <w:color w:val="auto"/>
              </w:rPr>
            </w:pPr>
            <w:r>
              <w:rPr>
                <w:rFonts w:ascii="Arial" w:cs="Arial" w:eastAsia="Arial" w:hAnsi="Arial"/>
                <w:sz w:val="17"/>
                <w:szCs w:val="17"/>
                <w:color w:val="404040"/>
              </w:rPr>
              <w:t>$</w:t>
            </w:r>
          </w:p>
        </w:tc>
        <w:tc>
          <w:tcPr>
            <w:tcW w:w="1760" w:type="dxa"/>
            <w:vAlign w:val="bottom"/>
          </w:tcPr>
          <w:p>
            <w:pPr>
              <w:ind w:left="360"/>
              <w:spacing w:after="0"/>
              <w:rPr>
                <w:sz w:val="20"/>
                <w:szCs w:val="20"/>
                <w:color w:val="auto"/>
              </w:rPr>
            </w:pPr>
            <w:r>
              <w:rPr>
                <w:rFonts w:ascii="Arial" w:cs="Arial" w:eastAsia="Arial" w:hAnsi="Arial"/>
                <w:sz w:val="17"/>
                <w:szCs w:val="17"/>
                <w:color w:val="404040"/>
              </w:rPr>
              <w:t>$</w:t>
            </w:r>
          </w:p>
        </w:tc>
      </w:tr>
      <w:tr>
        <w:trPr>
          <w:trHeight w:val="331"/>
        </w:trPr>
        <w:tc>
          <w:tcPr>
            <w:tcW w:w="1060" w:type="dxa"/>
            <w:vAlign w:val="bottom"/>
          </w:tcPr>
          <w:p>
            <w:pPr>
              <w:spacing w:after="0"/>
              <w:rPr>
                <w:sz w:val="20"/>
                <w:szCs w:val="20"/>
                <w:color w:val="auto"/>
              </w:rPr>
            </w:pPr>
            <w:r>
              <w:rPr>
                <w:rFonts w:ascii="Arial" w:cs="Arial" w:eastAsia="Arial" w:hAnsi="Arial"/>
                <w:sz w:val="17"/>
                <w:szCs w:val="17"/>
                <w:color w:val="404040"/>
              </w:rPr>
              <w:t>Total</w:t>
            </w:r>
          </w:p>
        </w:tc>
        <w:tc>
          <w:tcPr>
            <w:tcW w:w="2420" w:type="dxa"/>
            <w:vAlign w:val="bottom"/>
          </w:tcPr>
          <w:p>
            <w:pPr>
              <w:ind w:left="440"/>
              <w:spacing w:after="0"/>
              <w:rPr>
                <w:sz w:val="20"/>
                <w:szCs w:val="20"/>
                <w:color w:val="auto"/>
              </w:rPr>
            </w:pPr>
            <w:r>
              <w:rPr>
                <w:rFonts w:ascii="Arial" w:cs="Arial" w:eastAsia="Arial" w:hAnsi="Arial"/>
                <w:sz w:val="17"/>
                <w:szCs w:val="17"/>
                <w:color w:val="404040"/>
              </w:rPr>
              <w:t>$</w:t>
            </w:r>
          </w:p>
        </w:tc>
        <w:tc>
          <w:tcPr>
            <w:tcW w:w="3020" w:type="dxa"/>
            <w:vAlign w:val="bottom"/>
          </w:tcPr>
          <w:p>
            <w:pPr>
              <w:ind w:left="660"/>
              <w:spacing w:after="0"/>
              <w:rPr>
                <w:sz w:val="20"/>
                <w:szCs w:val="20"/>
                <w:color w:val="auto"/>
              </w:rPr>
            </w:pPr>
            <w:r>
              <w:rPr>
                <w:rFonts w:ascii="Arial" w:cs="Arial" w:eastAsia="Arial" w:hAnsi="Arial"/>
                <w:sz w:val="17"/>
                <w:szCs w:val="17"/>
                <w:color w:val="404040"/>
              </w:rPr>
              <w:t>$</w:t>
            </w:r>
          </w:p>
        </w:tc>
        <w:tc>
          <w:tcPr>
            <w:tcW w:w="1760" w:type="dxa"/>
            <w:vAlign w:val="bottom"/>
          </w:tcPr>
          <w:p>
            <w:pPr>
              <w:ind w:left="360"/>
              <w:spacing w:after="0"/>
              <w:rPr>
                <w:sz w:val="20"/>
                <w:szCs w:val="20"/>
                <w:color w:val="auto"/>
              </w:rPr>
            </w:pPr>
            <w:r>
              <w:rPr>
                <w:rFonts w:ascii="Arial" w:cs="Arial" w:eastAsia="Arial" w:hAnsi="Arial"/>
                <w:sz w:val="17"/>
                <w:szCs w:val="17"/>
                <w:color w:val="404040"/>
              </w:rPr>
              <w:t>$</w:t>
            </w:r>
          </w:p>
        </w:tc>
      </w:tr>
    </w:tbl>
    <w:p>
      <w:pPr>
        <w:spacing w:after="0" w:line="156" w:lineRule="exact"/>
        <w:rPr>
          <w:sz w:val="24"/>
          <w:szCs w:val="24"/>
          <w:color w:val="auto"/>
        </w:rPr>
      </w:pPr>
    </w:p>
    <w:p>
      <w:pPr>
        <w:ind w:left="380" w:right="580" w:hanging="10"/>
        <w:spacing w:after="0" w:line="245" w:lineRule="auto"/>
        <w:tabs>
          <w:tab w:leader="none" w:pos="597" w:val="left"/>
        </w:tabs>
        <w:numPr>
          <w:ilvl w:val="0"/>
          <w:numId w:val="2"/>
        </w:numPr>
        <w:rPr>
          <w:rFonts w:ascii="Arial" w:cs="Arial" w:eastAsia="Arial" w:hAnsi="Arial"/>
          <w:sz w:val="15"/>
          <w:szCs w:val="15"/>
          <w:color w:val="404040"/>
        </w:rPr>
      </w:pPr>
      <w:r>
        <w:rPr>
          <w:rFonts w:ascii="Arial" w:cs="Arial" w:eastAsia="Arial" w:hAnsi="Arial"/>
          <w:sz w:val="15"/>
          <w:szCs w:val="15"/>
          <w:color w:val="404040"/>
        </w:rPr>
        <w:t>See “Supplemental Use of Proceeds” in this pricing supplement for information about the components of the price to public of the notes.</w:t>
      </w:r>
    </w:p>
    <w:p>
      <w:pPr>
        <w:ind w:left="380" w:right="500" w:hanging="10"/>
        <w:spacing w:after="0" w:line="227" w:lineRule="auto"/>
        <w:tabs>
          <w:tab w:leader="none" w:pos="597" w:val="left"/>
        </w:tabs>
        <w:numPr>
          <w:ilvl w:val="0"/>
          <w:numId w:val="2"/>
        </w:numPr>
        <w:rPr>
          <w:rFonts w:ascii="Arial" w:cs="Arial" w:eastAsia="Arial" w:hAnsi="Arial"/>
          <w:sz w:val="15"/>
          <w:szCs w:val="15"/>
          <w:color w:val="404040"/>
        </w:rPr>
      </w:pPr>
      <w:r>
        <w:rPr>
          <w:rFonts w:ascii="Arial" w:cs="Arial" w:eastAsia="Arial" w:hAnsi="Arial"/>
          <w:sz w:val="15"/>
          <w:szCs w:val="15"/>
          <w:color w:val="404040"/>
        </w:rPr>
        <w:t>J.P. Morgan Securities LLC, which we refer to as JPMS, acting as agent for JPMorgan Financial, will pay all of the selling commissions it receives from us to other affiliated or unaffiliated dealers. In no event will these selling commissions exceed $5.00 per $1,000 principal amount note. See “Plan of Distribution (Conflicts of Interest)” in the accompanying product supplement.</w:t>
      </w:r>
    </w:p>
    <w:p>
      <w:pPr>
        <w:spacing w:after="0" w:line="39" w:lineRule="exact"/>
        <w:rPr>
          <w:sz w:val="24"/>
          <w:szCs w:val="24"/>
          <w:color w:val="auto"/>
        </w:rPr>
      </w:pPr>
    </w:p>
    <w:p>
      <w:pPr>
        <w:ind w:right="200"/>
        <w:spacing w:after="0" w:line="228" w:lineRule="auto"/>
        <w:rPr>
          <w:sz w:val="20"/>
          <w:szCs w:val="20"/>
          <w:color w:val="auto"/>
        </w:rPr>
      </w:pPr>
      <w:r>
        <w:rPr>
          <w:rFonts w:ascii="Arial" w:cs="Arial" w:eastAsia="Arial" w:hAnsi="Arial"/>
          <w:sz w:val="17"/>
          <w:szCs w:val="17"/>
          <w:b w:val="1"/>
          <w:bCs w:val="1"/>
          <w:color w:val="auto"/>
        </w:rPr>
        <w:t>If the notes priced today, the estimated value of the notes would be approximately $980.40 per $1,000 principal amount note. The estimated value of the notes, when the terms of the notes are set, will be provided in the pricing supplement and will not be less than $950.00 per $1,000 principal amount note. See “The Estimated Value of the Notes” in this pricing supplement for additional information.</w:t>
      </w:r>
    </w:p>
    <w:p>
      <w:pPr>
        <w:spacing w:after="0" w:line="14" w:lineRule="exact"/>
        <w:rPr>
          <w:sz w:val="24"/>
          <w:szCs w:val="24"/>
          <w:color w:val="auto"/>
        </w:rPr>
      </w:pPr>
    </w:p>
    <w:p>
      <w:pPr>
        <w:spacing w:after="0"/>
        <w:rPr>
          <w:sz w:val="20"/>
          <w:szCs w:val="20"/>
          <w:color w:val="auto"/>
        </w:rPr>
      </w:pPr>
      <w:r>
        <w:rPr>
          <w:rFonts w:ascii="Arial" w:cs="Arial" w:eastAsia="Arial" w:hAnsi="Arial"/>
          <w:sz w:val="17"/>
          <w:szCs w:val="17"/>
          <w:i w:val="1"/>
          <w:iCs w:val="1"/>
          <w:color w:val="auto"/>
        </w:rPr>
        <w:t>The notes are not bank deposits, are not insured by the Federal Deposit Insurance Corporation or any other governmental agency and are not obligations of, or guaranteed by, a bank.</w:t>
      </w:r>
    </w:p>
    <w:p>
      <w:pPr>
        <w:sectPr>
          <w:pgSz w:w="11900" w:h="16838" w:orient="portrait"/>
          <w:cols w:equalWidth="0" w:num="1">
            <w:col w:w="9580"/>
          </w:cols>
          <w:pgMar w:left="1200" w:top="574" w:right="111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1" w:lineRule="exact"/>
        <w:rPr>
          <w:sz w:val="24"/>
          <w:szCs w:val="24"/>
          <w:color w:val="auto"/>
        </w:rPr>
      </w:pPr>
    </w:p>
    <w:p>
      <w:pPr>
        <w:ind w:right="280" w:firstLine="41"/>
        <w:spacing w:after="0" w:line="269" w:lineRule="auto"/>
        <w:rPr>
          <w:sz w:val="20"/>
          <w:szCs w:val="20"/>
          <w:color w:val="auto"/>
        </w:rPr>
      </w:pPr>
      <w:r>
        <w:rPr>
          <w:rFonts w:ascii="Arial" w:cs="Arial" w:eastAsia="Arial" w:hAnsi="Arial"/>
          <w:sz w:val="15"/>
          <w:szCs w:val="15"/>
          <w:color w:val="595959"/>
        </w:rPr>
        <w:t>Pricing supplement to product supplement no. 3-I dated April 17, 2026, underlying supplement no. 1-I dated April 17, 2026 and the prospectus and prospectus supplement, each dated April 17, 2026</w:t>
      </w:r>
    </w:p>
    <w:p>
      <w:pPr>
        <w:sectPr>
          <w:pgSz w:w="11900" w:h="16838" w:orient="portrait"/>
          <w:cols w:equalWidth="0" w:num="1">
            <w:col w:w="9580"/>
          </w:cols>
          <w:pgMar w:left="1200" w:top="574" w:right="111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9"/>
          <w:szCs w:val="19"/>
          <w:b w:val="1"/>
          <w:bCs w:val="1"/>
          <w:color w:val="4E8ABE"/>
        </w:rPr>
        <w:t>Key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29845</wp:posOffset>
            </wp:positionV>
            <wp:extent cx="6437630" cy="83369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37630" cy="8336915"/>
                    </a:xfrm>
                    <a:prstGeom prst="rect">
                      <a:avLst/>
                    </a:prstGeom>
                    <a:noFill/>
                  </pic:spPr>
                </pic:pic>
              </a:graphicData>
            </a:graphic>
          </wp:anchor>
        </w:drawing>
      </w:r>
    </w:p>
    <w:p>
      <w:pPr>
        <w:spacing w:after="0" w:line="164" w:lineRule="exact"/>
        <w:rPr>
          <w:sz w:val="20"/>
          <w:szCs w:val="20"/>
          <w:color w:val="auto"/>
        </w:rPr>
      </w:pPr>
    </w:p>
    <w:p>
      <w:pPr>
        <w:jc w:val="both"/>
        <w:ind w:right="480"/>
        <w:spacing w:after="0" w:line="307" w:lineRule="auto"/>
        <w:rPr>
          <w:sz w:val="20"/>
          <w:szCs w:val="20"/>
          <w:color w:val="auto"/>
        </w:rPr>
      </w:pPr>
      <w:r>
        <w:rPr>
          <w:rFonts w:ascii="Arial" w:cs="Arial" w:eastAsia="Arial" w:hAnsi="Arial"/>
          <w:sz w:val="16"/>
          <w:szCs w:val="16"/>
          <w:b w:val="1"/>
          <w:bCs w:val="1"/>
          <w:color w:val="54301A"/>
        </w:rPr>
        <w:t xml:space="preserve">Issuer: </w:t>
      </w:r>
      <w:r>
        <w:rPr>
          <w:rFonts w:ascii="Arial" w:cs="Arial" w:eastAsia="Arial" w:hAnsi="Arial"/>
          <w:sz w:val="16"/>
          <w:szCs w:val="16"/>
          <w:color w:val="000000"/>
        </w:rPr>
        <w:t>JPMorgan Chase Financial Company LLC, a direct,</w:t>
      </w:r>
      <w:r>
        <w:rPr>
          <w:rFonts w:ascii="Arial" w:cs="Arial" w:eastAsia="Arial" w:hAnsi="Arial"/>
          <w:sz w:val="16"/>
          <w:szCs w:val="16"/>
          <w:b w:val="1"/>
          <w:bCs w:val="1"/>
          <w:color w:val="54301A"/>
        </w:rPr>
        <w:t xml:space="preserve"> </w:t>
      </w:r>
      <w:r>
        <w:rPr>
          <w:rFonts w:ascii="Arial" w:cs="Arial" w:eastAsia="Arial" w:hAnsi="Arial"/>
          <w:sz w:val="16"/>
          <w:szCs w:val="16"/>
          <w:color w:val="000000"/>
        </w:rPr>
        <w:t>wholly owned finance subsidiary of JPMorgan Chase &amp; Co.</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b w:val="1"/>
          <w:bCs w:val="1"/>
          <w:color w:val="54301A"/>
        </w:rPr>
        <w:t xml:space="preserve">Guarantor: </w:t>
      </w:r>
      <w:r>
        <w:rPr>
          <w:rFonts w:ascii="Arial" w:cs="Arial" w:eastAsia="Arial" w:hAnsi="Arial"/>
          <w:sz w:val="17"/>
          <w:szCs w:val="17"/>
          <w:color w:val="000000"/>
        </w:rPr>
        <w:t>JPMorgan Chase &amp; Co.</w:t>
      </w:r>
    </w:p>
    <w:p>
      <w:pPr>
        <w:spacing w:after="0" w:line="96" w:lineRule="exact"/>
        <w:rPr>
          <w:sz w:val="20"/>
          <w:szCs w:val="20"/>
          <w:color w:val="auto"/>
        </w:rPr>
      </w:pPr>
    </w:p>
    <w:p>
      <w:pPr>
        <w:ind w:right="380"/>
        <w:spacing w:after="0" w:line="237" w:lineRule="auto"/>
        <w:rPr>
          <w:sz w:val="20"/>
          <w:szCs w:val="20"/>
          <w:color w:val="auto"/>
        </w:rPr>
      </w:pPr>
      <w:r>
        <w:rPr>
          <w:rFonts w:ascii="Arial" w:cs="Arial" w:eastAsia="Arial" w:hAnsi="Arial"/>
          <w:sz w:val="16"/>
          <w:szCs w:val="16"/>
          <w:b w:val="1"/>
          <w:bCs w:val="1"/>
          <w:color w:val="54301A"/>
        </w:rPr>
        <w:t xml:space="preserve">Indices: </w:t>
      </w:r>
      <w:r>
        <w:rPr>
          <w:rFonts w:ascii="Arial" w:cs="Arial" w:eastAsia="Arial" w:hAnsi="Arial"/>
          <w:sz w:val="16"/>
          <w:szCs w:val="16"/>
          <w:color w:val="000000"/>
        </w:rPr>
        <w:t>The S&amp;P 500</w:t>
      </w:r>
      <w:r>
        <w:rPr>
          <w:rFonts w:ascii="Arial" w:cs="Arial" w:eastAsia="Arial" w:hAnsi="Arial"/>
          <w:sz w:val="21"/>
          <w:szCs w:val="21"/>
          <w:color w:val="000000"/>
          <w:vertAlign w:val="superscript"/>
        </w:rPr>
        <w:t>®</w:t>
      </w:r>
      <w:r>
        <w:rPr>
          <w:rFonts w:ascii="Arial" w:cs="Arial" w:eastAsia="Arial" w:hAnsi="Arial"/>
          <w:sz w:val="16"/>
          <w:szCs w:val="16"/>
          <w:b w:val="1"/>
          <w:bCs w:val="1"/>
          <w:color w:val="54301A"/>
        </w:rPr>
        <w:t xml:space="preserve"> </w:t>
      </w:r>
      <w:r>
        <w:rPr>
          <w:rFonts w:ascii="Arial" w:cs="Arial" w:eastAsia="Arial" w:hAnsi="Arial"/>
          <w:sz w:val="16"/>
          <w:szCs w:val="16"/>
          <w:color w:val="000000"/>
        </w:rPr>
        <w:t>Index (Bloomberg ticker: SPX), the</w:t>
      </w:r>
      <w:r>
        <w:rPr>
          <w:rFonts w:ascii="Arial" w:cs="Arial" w:eastAsia="Arial" w:hAnsi="Arial"/>
          <w:sz w:val="16"/>
          <w:szCs w:val="16"/>
          <w:b w:val="1"/>
          <w:bCs w:val="1"/>
          <w:color w:val="54301A"/>
        </w:rPr>
        <w:t xml:space="preserve"> </w:t>
      </w:r>
      <w:r>
        <w:rPr>
          <w:rFonts w:ascii="Arial" w:cs="Arial" w:eastAsia="Arial" w:hAnsi="Arial"/>
          <w:sz w:val="16"/>
          <w:szCs w:val="16"/>
          <w:color w:val="000000"/>
        </w:rPr>
        <w:t>Nasdaq-100</w:t>
      </w:r>
      <w:r>
        <w:rPr>
          <w:rFonts w:ascii="Arial" w:cs="Arial" w:eastAsia="Arial" w:hAnsi="Arial"/>
          <w:sz w:val="21"/>
          <w:szCs w:val="21"/>
          <w:color w:val="000000"/>
          <w:vertAlign w:val="superscript"/>
        </w:rPr>
        <w:t>®</w:t>
      </w:r>
      <w:r>
        <w:rPr>
          <w:rFonts w:ascii="Arial" w:cs="Arial" w:eastAsia="Arial" w:hAnsi="Arial"/>
          <w:sz w:val="16"/>
          <w:szCs w:val="16"/>
          <w:color w:val="000000"/>
        </w:rPr>
        <w:t xml:space="preserve"> Technology Sector Index</w:t>
      </w:r>
      <w:r>
        <w:rPr>
          <w:rFonts w:ascii="Arial" w:cs="Arial" w:eastAsia="Arial" w:hAnsi="Arial"/>
          <w:sz w:val="21"/>
          <w:szCs w:val="21"/>
          <w:color w:val="000000"/>
          <w:vertAlign w:val="superscript"/>
        </w:rPr>
        <w:t>SM</w:t>
      </w:r>
      <w:r>
        <w:rPr>
          <w:rFonts w:ascii="Arial" w:cs="Arial" w:eastAsia="Arial" w:hAnsi="Arial"/>
          <w:sz w:val="16"/>
          <w:szCs w:val="16"/>
          <w:color w:val="000000"/>
        </w:rPr>
        <w:t xml:space="preserve"> (Bloomberg ticker: NDXT) and the Russell 2000</w:t>
      </w:r>
      <w:r>
        <w:rPr>
          <w:rFonts w:ascii="Arial" w:cs="Arial" w:eastAsia="Arial" w:hAnsi="Arial"/>
          <w:sz w:val="21"/>
          <w:szCs w:val="21"/>
          <w:color w:val="000000"/>
          <w:vertAlign w:val="superscript"/>
        </w:rPr>
        <w:t>®</w:t>
      </w:r>
      <w:r>
        <w:rPr>
          <w:rFonts w:ascii="Arial" w:cs="Arial" w:eastAsia="Arial" w:hAnsi="Arial"/>
          <w:sz w:val="16"/>
          <w:szCs w:val="16"/>
          <w:color w:val="000000"/>
        </w:rPr>
        <w:t xml:space="preserve"> Index (Bloomberg ticker: RTY)</w:t>
      </w:r>
    </w:p>
    <w:p>
      <w:pPr>
        <w:spacing w:after="0" w:line="2" w:lineRule="exact"/>
        <w:rPr>
          <w:sz w:val="20"/>
          <w:szCs w:val="20"/>
          <w:color w:val="auto"/>
        </w:rPr>
      </w:pPr>
    </w:p>
    <w:p>
      <w:pPr>
        <w:ind w:right="160"/>
        <w:spacing w:after="0" w:line="261" w:lineRule="auto"/>
        <w:rPr>
          <w:sz w:val="20"/>
          <w:szCs w:val="20"/>
          <w:color w:val="auto"/>
        </w:rPr>
      </w:pPr>
      <w:r>
        <w:rPr>
          <w:rFonts w:ascii="Arial" w:cs="Arial" w:eastAsia="Arial" w:hAnsi="Arial"/>
          <w:sz w:val="17"/>
          <w:szCs w:val="17"/>
          <w:b w:val="1"/>
          <w:bCs w:val="1"/>
          <w:color w:val="54301A"/>
        </w:rPr>
        <w:t xml:space="preserve">Contingent Interest Payments: </w:t>
      </w:r>
      <w:r>
        <w:rPr>
          <w:rFonts w:ascii="Arial" w:cs="Arial" w:eastAsia="Arial" w:hAnsi="Arial"/>
          <w:sz w:val="17"/>
          <w:szCs w:val="17"/>
          <w:color w:val="000000"/>
        </w:rPr>
        <w:t>If the closing level of each</w:t>
      </w:r>
      <w:r>
        <w:rPr>
          <w:rFonts w:ascii="Arial" w:cs="Arial" w:eastAsia="Arial" w:hAnsi="Arial"/>
          <w:sz w:val="17"/>
          <w:szCs w:val="17"/>
          <w:b w:val="1"/>
          <w:bCs w:val="1"/>
          <w:color w:val="54301A"/>
        </w:rPr>
        <w:t xml:space="preserve"> </w:t>
      </w:r>
      <w:r>
        <w:rPr>
          <w:rFonts w:ascii="Arial" w:cs="Arial" w:eastAsia="Arial" w:hAnsi="Arial"/>
          <w:sz w:val="17"/>
          <w:szCs w:val="17"/>
          <w:color w:val="000000"/>
        </w:rPr>
        <w:t>Index on any Review Date is greater than or equal to its Interest Barrier, you will receive on the applicable Interest Payment Date for each $1,000 principal amount note a Contingent Interest Payment equal to at least $8.4167 (equivalent to a Contingent Interest Rate of at least 10.10% per annum, payable at a rate of at least 0.84167% per month) (to be provided in the pricing supplement).</w:t>
      </w:r>
    </w:p>
    <w:p>
      <w:pPr>
        <w:spacing w:after="0" w:line="46" w:lineRule="exact"/>
        <w:rPr>
          <w:sz w:val="20"/>
          <w:szCs w:val="20"/>
          <w:color w:val="auto"/>
        </w:rPr>
      </w:pPr>
    </w:p>
    <w:p>
      <w:pPr>
        <w:jc w:val="both"/>
        <w:ind w:right="160"/>
        <w:spacing w:after="0" w:line="274" w:lineRule="auto"/>
        <w:rPr>
          <w:sz w:val="20"/>
          <w:szCs w:val="20"/>
          <w:color w:val="auto"/>
        </w:rPr>
      </w:pPr>
      <w:r>
        <w:rPr>
          <w:rFonts w:ascii="Arial" w:cs="Arial" w:eastAsia="Arial" w:hAnsi="Arial"/>
          <w:sz w:val="17"/>
          <w:szCs w:val="17"/>
          <w:i w:val="1"/>
          <w:iCs w:val="1"/>
          <w:color w:val="auto"/>
        </w:rPr>
        <w:t>If the closing level of any Index on any Review Date is less than its Interest Barrier, no Contingent Interest Payment will be made with respect to that Review Date.</w:t>
      </w:r>
    </w:p>
    <w:p>
      <w:pPr>
        <w:spacing w:after="0" w:line="30"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b w:val="1"/>
          <w:bCs w:val="1"/>
          <w:color w:val="54301A"/>
        </w:rPr>
        <w:t xml:space="preserve">Contingent Interest Rate: </w:t>
      </w:r>
      <w:r>
        <w:rPr>
          <w:rFonts w:ascii="Arial" w:cs="Arial" w:eastAsia="Arial" w:hAnsi="Arial"/>
          <w:sz w:val="17"/>
          <w:szCs w:val="17"/>
          <w:color w:val="000000"/>
        </w:rPr>
        <w:t>At least 10.10% per annum, payable</w:t>
      </w:r>
      <w:r>
        <w:rPr>
          <w:rFonts w:ascii="Arial" w:cs="Arial" w:eastAsia="Arial" w:hAnsi="Arial"/>
          <w:sz w:val="17"/>
          <w:szCs w:val="17"/>
          <w:b w:val="1"/>
          <w:bCs w:val="1"/>
          <w:color w:val="54301A"/>
        </w:rPr>
        <w:t xml:space="preserve"> </w:t>
      </w:r>
      <w:r>
        <w:rPr>
          <w:rFonts w:ascii="Arial" w:cs="Arial" w:eastAsia="Arial" w:hAnsi="Arial"/>
          <w:sz w:val="17"/>
          <w:szCs w:val="17"/>
          <w:color w:val="000000"/>
        </w:rPr>
        <w:t>at a rate of at least 0.84167% per month (to be provided in the pricing supplement)</w:t>
      </w:r>
    </w:p>
    <w:p>
      <w:pPr>
        <w:spacing w:after="0" w:line="43" w:lineRule="exact"/>
        <w:rPr>
          <w:sz w:val="20"/>
          <w:szCs w:val="20"/>
          <w:color w:val="auto"/>
        </w:rPr>
      </w:pPr>
    </w:p>
    <w:p>
      <w:pPr>
        <w:ind w:right="360"/>
        <w:spacing w:after="0" w:line="291" w:lineRule="auto"/>
        <w:rPr>
          <w:sz w:val="20"/>
          <w:szCs w:val="20"/>
          <w:color w:val="auto"/>
        </w:rPr>
      </w:pPr>
      <w:r>
        <w:rPr>
          <w:rFonts w:ascii="Arial" w:cs="Arial" w:eastAsia="Arial" w:hAnsi="Arial"/>
          <w:sz w:val="17"/>
          <w:szCs w:val="17"/>
          <w:b w:val="1"/>
          <w:bCs w:val="1"/>
          <w:color w:val="54301A"/>
        </w:rPr>
        <w:t xml:space="preserve">Interest Barrier / Trigger Value: </w:t>
      </w:r>
      <w:r>
        <w:rPr>
          <w:rFonts w:ascii="Arial" w:cs="Arial" w:eastAsia="Arial" w:hAnsi="Arial"/>
          <w:sz w:val="17"/>
          <w:szCs w:val="17"/>
          <w:color w:val="000000"/>
        </w:rPr>
        <w:t>With respect to each Index,</w:t>
      </w:r>
      <w:r>
        <w:rPr>
          <w:rFonts w:ascii="Arial" w:cs="Arial" w:eastAsia="Arial" w:hAnsi="Arial"/>
          <w:sz w:val="17"/>
          <w:szCs w:val="17"/>
          <w:b w:val="1"/>
          <w:bCs w:val="1"/>
          <w:color w:val="54301A"/>
        </w:rPr>
        <w:t xml:space="preserve"> </w:t>
      </w:r>
      <w:r>
        <w:rPr>
          <w:rFonts w:ascii="Arial" w:cs="Arial" w:eastAsia="Arial" w:hAnsi="Arial"/>
          <w:sz w:val="17"/>
          <w:szCs w:val="17"/>
          <w:color w:val="000000"/>
        </w:rPr>
        <w:t>70.00% of its Initial Value</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b w:val="1"/>
          <w:bCs w:val="1"/>
          <w:color w:val="54301A"/>
        </w:rPr>
        <w:t xml:space="preserve">Pricing Date: </w:t>
      </w:r>
      <w:r>
        <w:rPr>
          <w:rFonts w:ascii="Arial" w:cs="Arial" w:eastAsia="Arial" w:hAnsi="Arial"/>
          <w:sz w:val="17"/>
          <w:szCs w:val="17"/>
          <w:color w:val="000000"/>
        </w:rPr>
        <w:t>On or about June 18, 2026</w:t>
      </w:r>
    </w:p>
    <w:p>
      <w:pPr>
        <w:spacing w:after="0" w:line="96" w:lineRule="exact"/>
        <w:rPr>
          <w:sz w:val="20"/>
          <w:szCs w:val="20"/>
          <w:color w:val="auto"/>
        </w:rPr>
      </w:pPr>
    </w:p>
    <w:p>
      <w:pPr>
        <w:ind w:right="280"/>
        <w:spacing w:after="0" w:line="291" w:lineRule="auto"/>
        <w:rPr>
          <w:sz w:val="20"/>
          <w:szCs w:val="20"/>
          <w:color w:val="auto"/>
        </w:rPr>
      </w:pPr>
      <w:r>
        <w:rPr>
          <w:rFonts w:ascii="Arial" w:cs="Arial" w:eastAsia="Arial" w:hAnsi="Arial"/>
          <w:sz w:val="17"/>
          <w:szCs w:val="17"/>
          <w:b w:val="1"/>
          <w:bCs w:val="1"/>
          <w:color w:val="54301A"/>
        </w:rPr>
        <w:t xml:space="preserve">Original Issue Date (Settlement Date): </w:t>
      </w:r>
      <w:r>
        <w:rPr>
          <w:rFonts w:ascii="Arial" w:cs="Arial" w:eastAsia="Arial" w:hAnsi="Arial"/>
          <w:sz w:val="17"/>
          <w:szCs w:val="17"/>
          <w:color w:val="000000"/>
        </w:rPr>
        <w:t>On or about June 24,</w:t>
      </w:r>
      <w:r>
        <w:rPr>
          <w:rFonts w:ascii="Arial" w:cs="Arial" w:eastAsia="Arial" w:hAnsi="Arial"/>
          <w:sz w:val="17"/>
          <w:szCs w:val="17"/>
          <w:b w:val="1"/>
          <w:bCs w:val="1"/>
          <w:color w:val="54301A"/>
        </w:rPr>
        <w:t xml:space="preserve"> </w:t>
      </w:r>
      <w:r>
        <w:rPr>
          <w:rFonts w:ascii="Arial" w:cs="Arial" w:eastAsia="Arial" w:hAnsi="Arial"/>
          <w:sz w:val="17"/>
          <w:szCs w:val="17"/>
          <w:color w:val="000000"/>
        </w:rPr>
        <w:t>2026</w:t>
      </w:r>
    </w:p>
    <w:p>
      <w:pPr>
        <w:spacing w:after="0" w:line="16" w:lineRule="exact"/>
        <w:rPr>
          <w:sz w:val="20"/>
          <w:szCs w:val="20"/>
          <w:color w:val="auto"/>
        </w:rPr>
      </w:pPr>
    </w:p>
    <w:p>
      <w:pPr>
        <w:ind w:right="140"/>
        <w:spacing w:after="0" w:line="262" w:lineRule="auto"/>
        <w:rPr>
          <w:sz w:val="20"/>
          <w:szCs w:val="20"/>
          <w:color w:val="auto"/>
        </w:rPr>
      </w:pPr>
      <w:r>
        <w:rPr>
          <w:rFonts w:ascii="Arial" w:cs="Arial" w:eastAsia="Arial" w:hAnsi="Arial"/>
          <w:sz w:val="17"/>
          <w:szCs w:val="17"/>
          <w:b w:val="1"/>
          <w:bCs w:val="1"/>
          <w:color w:val="54301A"/>
        </w:rPr>
        <w:t xml:space="preserve">Review Dates*: </w:t>
      </w:r>
      <w:r>
        <w:rPr>
          <w:rFonts w:ascii="Arial" w:cs="Arial" w:eastAsia="Arial" w:hAnsi="Arial"/>
          <w:sz w:val="17"/>
          <w:szCs w:val="17"/>
          <w:color w:val="000000"/>
        </w:rPr>
        <w:t>July 20, 2026, August 18, 2026, September 18,</w:t>
      </w:r>
      <w:r>
        <w:rPr>
          <w:rFonts w:ascii="Arial" w:cs="Arial" w:eastAsia="Arial" w:hAnsi="Arial"/>
          <w:sz w:val="17"/>
          <w:szCs w:val="17"/>
          <w:b w:val="1"/>
          <w:bCs w:val="1"/>
          <w:color w:val="54301A"/>
        </w:rPr>
        <w:t xml:space="preserve"> </w:t>
      </w:r>
      <w:r>
        <w:rPr>
          <w:rFonts w:ascii="Arial" w:cs="Arial" w:eastAsia="Arial" w:hAnsi="Arial"/>
          <w:sz w:val="17"/>
          <w:szCs w:val="17"/>
          <w:color w:val="000000"/>
        </w:rPr>
        <w:t>2026, October 19, 2026, November 18, 2026, December 18, 2026, January 19, 2027, February 18, 2027, March 18, 2027, April 19, 2027, May 18, 2027, June 21, 2027, July 19, 2027, August 18, 2027, September 20, 2027, October 18, 2027, November 18, 2027, December 20, 2027, January 18, 2028, February 18, 2028, March 20, 2028, April 18, 2028, May 18, 2028, June 20, 2028, July 18, 2028, August 18, 2028, September 18, 2028, October 18, 2028, November 20, 2028, December 18, 2028, January 18, 2029, February 20, 2029, March 19, 2029, April 18, 2029, May 18, 2029 and June 18, 2029 (final Review Date)</w:t>
      </w:r>
    </w:p>
    <w:p>
      <w:pPr>
        <w:spacing w:after="0" w:line="47" w:lineRule="exact"/>
        <w:rPr>
          <w:sz w:val="20"/>
          <w:szCs w:val="20"/>
          <w:color w:val="auto"/>
        </w:rPr>
      </w:pPr>
    </w:p>
    <w:p>
      <w:pPr>
        <w:ind w:right="140"/>
        <w:spacing w:after="0" w:line="262" w:lineRule="auto"/>
        <w:rPr>
          <w:sz w:val="20"/>
          <w:szCs w:val="20"/>
          <w:color w:val="auto"/>
        </w:rPr>
      </w:pPr>
      <w:r>
        <w:rPr>
          <w:rFonts w:ascii="Arial" w:cs="Arial" w:eastAsia="Arial" w:hAnsi="Arial"/>
          <w:sz w:val="17"/>
          <w:szCs w:val="17"/>
          <w:b w:val="1"/>
          <w:bCs w:val="1"/>
          <w:color w:val="54301A"/>
        </w:rPr>
        <w:t xml:space="preserve">Interest Payment Dates*: </w:t>
      </w:r>
      <w:r>
        <w:rPr>
          <w:rFonts w:ascii="Arial" w:cs="Arial" w:eastAsia="Arial" w:hAnsi="Arial"/>
          <w:sz w:val="17"/>
          <w:szCs w:val="17"/>
          <w:color w:val="000000"/>
        </w:rPr>
        <w:t>July 23, 2026, August 21, 2026,</w:t>
      </w:r>
      <w:r>
        <w:rPr>
          <w:rFonts w:ascii="Arial" w:cs="Arial" w:eastAsia="Arial" w:hAnsi="Arial"/>
          <w:sz w:val="17"/>
          <w:szCs w:val="17"/>
          <w:b w:val="1"/>
          <w:bCs w:val="1"/>
          <w:color w:val="54301A"/>
        </w:rPr>
        <w:t xml:space="preserve"> </w:t>
      </w:r>
      <w:r>
        <w:rPr>
          <w:rFonts w:ascii="Arial" w:cs="Arial" w:eastAsia="Arial" w:hAnsi="Arial"/>
          <w:sz w:val="17"/>
          <w:szCs w:val="17"/>
          <w:color w:val="000000"/>
        </w:rPr>
        <w:t>September 23, 2026, October 22, 2026, November 23, 2026, December 23, 2026, January 22, 2027, February 23, 2027, March 23, 2027, April 22, 2027, May 21, 2027, June 24, 2027, July 22, 2027, August 23, 2027, September 23, 2027, October 21, 2027, November 23, 2027, December 23, 2027, January 21, 2028, February 24, 2028, March 23, 2028, April 21, 2028, May 23, 2028, June 23, 2028, July 21, 2028, August 23, 2028, September 21, 2028, October 23, 2028, November 24, 2028, December 21, 2028, January 23, 2029, February 23, 2029, March 22, 2029, April 23, 2029, May 23, 2029 and the Maturity Date</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b w:val="1"/>
          <w:bCs w:val="1"/>
          <w:color w:val="54301A"/>
        </w:rPr>
        <w:t xml:space="preserve">Maturity Date*: </w:t>
      </w:r>
      <w:r>
        <w:rPr>
          <w:rFonts w:ascii="Arial" w:cs="Arial" w:eastAsia="Arial" w:hAnsi="Arial"/>
          <w:sz w:val="17"/>
          <w:szCs w:val="17"/>
          <w:color w:val="000000"/>
        </w:rPr>
        <w:t>June 22, 2029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7F7F7F"/>
        </w:rPr>
        <w:t>PS-1 | Structured Investments</w:t>
      </w:r>
    </w:p>
    <w:p>
      <w:pPr>
        <w:jc w:val="both"/>
        <w:spacing w:after="0" w:line="220" w:lineRule="auto"/>
        <w:rPr>
          <w:sz w:val="20"/>
          <w:szCs w:val="20"/>
          <w:color w:val="auto"/>
        </w:rPr>
      </w:pPr>
      <w:r>
        <w:rPr>
          <w:rFonts w:ascii="Arial" w:cs="Arial" w:eastAsia="Arial" w:hAnsi="Arial"/>
          <w:sz w:val="15"/>
          <w:szCs w:val="15"/>
          <w:color w:val="808080"/>
        </w:rPr>
        <w:t>Contingent Interest Notes Linked to the Least Performing of the S&amp;P 500</w:t>
      </w:r>
      <w:r>
        <w:rPr>
          <w:rFonts w:ascii="Arial" w:cs="Arial" w:eastAsia="Arial" w:hAnsi="Arial"/>
          <w:sz w:val="18"/>
          <w:szCs w:val="18"/>
          <w:color w:val="808080"/>
          <w:vertAlign w:val="superscript"/>
        </w:rPr>
        <w:t>®</w:t>
      </w:r>
      <w:r>
        <w:rPr>
          <w:rFonts w:ascii="Arial" w:cs="Arial" w:eastAsia="Arial" w:hAnsi="Arial"/>
          <w:sz w:val="15"/>
          <w:szCs w:val="15"/>
          <w:color w:val="808080"/>
        </w:rPr>
        <w:t xml:space="preserve"> Index, the Nasdaq-100</w:t>
      </w:r>
      <w:r>
        <w:rPr>
          <w:rFonts w:ascii="Arial" w:cs="Arial" w:eastAsia="Arial" w:hAnsi="Arial"/>
          <w:sz w:val="18"/>
          <w:szCs w:val="18"/>
          <w:color w:val="808080"/>
          <w:vertAlign w:val="superscript"/>
        </w:rPr>
        <w:t>®</w:t>
      </w:r>
      <w:r>
        <w:rPr>
          <w:rFonts w:ascii="Arial" w:cs="Arial" w:eastAsia="Arial" w:hAnsi="Arial"/>
          <w:sz w:val="15"/>
          <w:szCs w:val="15"/>
          <w:color w:val="808080"/>
        </w:rPr>
        <w:t xml:space="preserve"> Technology Sector Index</w:t>
      </w:r>
      <w:r>
        <w:rPr>
          <w:rFonts w:ascii="Arial" w:cs="Arial" w:eastAsia="Arial" w:hAnsi="Arial"/>
          <w:sz w:val="18"/>
          <w:szCs w:val="18"/>
          <w:color w:val="808080"/>
          <w:vertAlign w:val="superscript"/>
        </w:rPr>
        <w:t>SM</w:t>
      </w:r>
      <w:r>
        <w:rPr>
          <w:rFonts w:ascii="Arial" w:cs="Arial" w:eastAsia="Arial" w:hAnsi="Arial"/>
          <w:sz w:val="15"/>
          <w:szCs w:val="15"/>
          <w:color w:val="808080"/>
        </w:rPr>
        <w:t xml:space="preserve"> and the Russell 2000</w:t>
      </w:r>
      <w:r>
        <w:rPr>
          <w:rFonts w:ascii="Arial" w:cs="Arial" w:eastAsia="Arial" w:hAnsi="Arial"/>
          <w:sz w:val="18"/>
          <w:szCs w:val="18"/>
          <w:color w:val="808080"/>
          <w:vertAlign w:val="superscript"/>
        </w:rPr>
        <w:t>®</w:t>
      </w:r>
      <w:r>
        <w:rPr>
          <w:rFonts w:ascii="Arial" w:cs="Arial" w:eastAsia="Arial" w:hAnsi="Arial"/>
          <w:sz w:val="15"/>
          <w:szCs w:val="15"/>
          <w:color w:val="808080"/>
        </w:rPr>
        <w:t xml:space="preserve"> Index</w:t>
      </w:r>
    </w:p>
    <w:p>
      <w:pPr>
        <w:spacing w:after="0" w:line="20" w:lineRule="exact"/>
        <w:rPr>
          <w:sz w:val="20"/>
          <w:szCs w:val="20"/>
          <w:color w:val="auto"/>
        </w:rPr>
      </w:pPr>
      <w:r>
        <w:rPr>
          <w:sz w:val="20"/>
          <w:szCs w:val="20"/>
          <w:color w:val="auto"/>
        </w:rPr>
        <w:br w:type="column"/>
      </w:r>
    </w:p>
    <w:p>
      <w:pPr>
        <w:spacing w:after="0" w:line="383" w:lineRule="exact"/>
        <w:rPr>
          <w:sz w:val="20"/>
          <w:szCs w:val="20"/>
          <w:color w:val="auto"/>
        </w:rPr>
      </w:pPr>
    </w:p>
    <w:p>
      <w:pPr>
        <w:ind w:left="9"/>
        <w:spacing w:after="0"/>
        <w:rPr>
          <w:sz w:val="20"/>
          <w:szCs w:val="20"/>
          <w:color w:val="auto"/>
        </w:rPr>
      </w:pPr>
      <w:r>
        <w:rPr>
          <w:rFonts w:ascii="Arial" w:cs="Arial" w:eastAsia="Arial" w:hAnsi="Arial"/>
          <w:sz w:val="17"/>
          <w:szCs w:val="17"/>
          <w:b w:val="1"/>
          <w:bCs w:val="1"/>
          <w:color w:val="54301A"/>
        </w:rPr>
        <w:t>Payment at Maturity:</w:t>
      </w:r>
    </w:p>
    <w:p>
      <w:pPr>
        <w:spacing w:after="0" w:line="96" w:lineRule="exact"/>
        <w:rPr>
          <w:sz w:val="20"/>
          <w:szCs w:val="20"/>
          <w:color w:val="auto"/>
        </w:rPr>
      </w:pPr>
    </w:p>
    <w:p>
      <w:pPr>
        <w:ind w:left="9" w:right="40"/>
        <w:spacing w:after="0" w:line="292" w:lineRule="auto"/>
        <w:rPr>
          <w:sz w:val="20"/>
          <w:szCs w:val="20"/>
          <w:color w:val="auto"/>
        </w:rPr>
      </w:pPr>
      <w:r>
        <w:rPr>
          <w:rFonts w:ascii="Arial" w:cs="Arial" w:eastAsia="Arial" w:hAnsi="Arial"/>
          <w:sz w:val="17"/>
          <w:szCs w:val="17"/>
          <w:color w:val="auto"/>
        </w:rPr>
        <w:t xml:space="preserve">If the Final Value of each Index is greater than or equal to its Trigger Value, you will receive a cash payment at maturity, for each $1,000 principal amount note, equal to (a) $1,000 </w:t>
      </w:r>
      <w:r>
        <w:rPr>
          <w:rFonts w:ascii="Arial" w:cs="Arial" w:eastAsia="Arial" w:hAnsi="Arial"/>
          <w:sz w:val="17"/>
          <w:szCs w:val="17"/>
          <w:i w:val="1"/>
          <w:iCs w:val="1"/>
          <w:color w:val="auto"/>
        </w:rPr>
        <w:t>plus</w:t>
      </w:r>
      <w:r>
        <w:rPr>
          <w:rFonts w:ascii="Arial" w:cs="Arial" w:eastAsia="Arial" w:hAnsi="Arial"/>
          <w:sz w:val="17"/>
          <w:szCs w:val="17"/>
          <w:color w:val="auto"/>
        </w:rPr>
        <w:t xml:space="preserve"> (b) the Contingent Interest Payment applicable to the final Review Date.</w:t>
      </w:r>
    </w:p>
    <w:p>
      <w:pPr>
        <w:spacing w:after="0" w:line="42" w:lineRule="exact"/>
        <w:rPr>
          <w:sz w:val="20"/>
          <w:szCs w:val="20"/>
          <w:color w:val="auto"/>
        </w:rPr>
      </w:pPr>
    </w:p>
    <w:p>
      <w:pPr>
        <w:ind w:left="9" w:right="100"/>
        <w:spacing w:after="0" w:line="299" w:lineRule="auto"/>
        <w:rPr>
          <w:sz w:val="20"/>
          <w:szCs w:val="20"/>
          <w:color w:val="auto"/>
        </w:rPr>
      </w:pPr>
      <w:r>
        <w:rPr>
          <w:rFonts w:ascii="Arial" w:cs="Arial" w:eastAsia="Arial" w:hAnsi="Arial"/>
          <w:sz w:val="17"/>
          <w:szCs w:val="17"/>
          <w:color w:val="auto"/>
        </w:rPr>
        <w:t>If the Final Value of any Index is less than its Trigger Value, your payment at maturity per $1,000 principal amount note will be calculated as follows:</w:t>
      </w:r>
    </w:p>
    <w:p>
      <w:pPr>
        <w:spacing w:after="0" w:line="37" w:lineRule="exact"/>
        <w:rPr>
          <w:sz w:val="20"/>
          <w:szCs w:val="20"/>
          <w:color w:val="auto"/>
        </w:rPr>
      </w:pPr>
    </w:p>
    <w:p>
      <w:pPr>
        <w:ind w:left="469"/>
        <w:spacing w:after="0"/>
        <w:rPr>
          <w:sz w:val="20"/>
          <w:szCs w:val="20"/>
          <w:color w:val="auto"/>
        </w:rPr>
      </w:pPr>
      <w:r>
        <w:rPr>
          <w:rFonts w:ascii="Arial" w:cs="Arial" w:eastAsia="Arial" w:hAnsi="Arial"/>
          <w:sz w:val="17"/>
          <w:szCs w:val="17"/>
          <w:color w:val="auto"/>
        </w:rPr>
        <w:t>$1,000 + ($1,000 × Least Performing Index Return)</w:t>
      </w:r>
    </w:p>
    <w:p>
      <w:pPr>
        <w:spacing w:after="0" w:line="98" w:lineRule="exact"/>
        <w:rPr>
          <w:sz w:val="20"/>
          <w:szCs w:val="20"/>
          <w:color w:val="auto"/>
        </w:rPr>
      </w:pPr>
    </w:p>
    <w:p>
      <w:pPr>
        <w:jc w:val="both"/>
        <w:ind w:left="9" w:right="20"/>
        <w:spacing w:after="0" w:line="333" w:lineRule="auto"/>
        <w:rPr>
          <w:sz w:val="20"/>
          <w:szCs w:val="20"/>
          <w:color w:val="auto"/>
        </w:rPr>
      </w:pPr>
      <w:r>
        <w:rPr>
          <w:rFonts w:ascii="Arial" w:cs="Arial" w:eastAsia="Arial" w:hAnsi="Arial"/>
          <w:sz w:val="16"/>
          <w:szCs w:val="16"/>
          <w:i w:val="1"/>
          <w:iCs w:val="1"/>
          <w:color w:val="auto"/>
        </w:rPr>
        <w:t>If the Final Value of any Index is less than its Trigger Value, you will lose more than 30.00% of your principal amount at maturity and could lose all of your principal amount at maturity.</w:t>
      </w:r>
    </w:p>
    <w:p>
      <w:pPr>
        <w:spacing w:after="0" w:line="13" w:lineRule="exact"/>
        <w:rPr>
          <w:sz w:val="20"/>
          <w:szCs w:val="20"/>
          <w:color w:val="auto"/>
        </w:rPr>
      </w:pPr>
    </w:p>
    <w:p>
      <w:pPr>
        <w:ind w:left="9" w:right="60"/>
        <w:spacing w:after="0" w:line="307" w:lineRule="auto"/>
        <w:rPr>
          <w:sz w:val="20"/>
          <w:szCs w:val="20"/>
          <w:color w:val="auto"/>
        </w:rPr>
      </w:pPr>
      <w:r>
        <w:rPr>
          <w:rFonts w:ascii="Arial" w:cs="Arial" w:eastAsia="Arial" w:hAnsi="Arial"/>
          <w:sz w:val="17"/>
          <w:szCs w:val="17"/>
          <w:b w:val="1"/>
          <w:bCs w:val="1"/>
          <w:color w:val="54301A"/>
        </w:rPr>
        <w:t>Least Performing Index</w:t>
      </w:r>
      <w:r>
        <w:rPr>
          <w:rFonts w:ascii="Arial" w:cs="Arial" w:eastAsia="Arial" w:hAnsi="Arial"/>
          <w:sz w:val="17"/>
          <w:szCs w:val="17"/>
          <w:color w:val="000000"/>
        </w:rPr>
        <w:t>: The Index with the Least Performing</w:t>
      </w:r>
      <w:r>
        <w:rPr>
          <w:rFonts w:ascii="Arial" w:cs="Arial" w:eastAsia="Arial" w:hAnsi="Arial"/>
          <w:sz w:val="17"/>
          <w:szCs w:val="17"/>
          <w:b w:val="1"/>
          <w:bCs w:val="1"/>
          <w:color w:val="54301A"/>
        </w:rPr>
        <w:t xml:space="preserve"> </w:t>
      </w:r>
      <w:r>
        <w:rPr>
          <w:rFonts w:ascii="Arial" w:cs="Arial" w:eastAsia="Arial" w:hAnsi="Arial"/>
          <w:sz w:val="17"/>
          <w:szCs w:val="17"/>
          <w:color w:val="000000"/>
        </w:rPr>
        <w:t>Index Return</w:t>
      </w:r>
    </w:p>
    <w:p>
      <w:pPr>
        <w:spacing w:after="0" w:line="29" w:lineRule="exact"/>
        <w:rPr>
          <w:sz w:val="20"/>
          <w:szCs w:val="20"/>
          <w:color w:val="auto"/>
        </w:rPr>
      </w:pPr>
    </w:p>
    <w:p>
      <w:pPr>
        <w:ind w:left="9" w:right="420"/>
        <w:spacing w:after="0" w:line="307" w:lineRule="auto"/>
        <w:rPr>
          <w:sz w:val="20"/>
          <w:szCs w:val="20"/>
          <w:color w:val="auto"/>
        </w:rPr>
      </w:pPr>
      <w:r>
        <w:rPr>
          <w:rFonts w:ascii="Arial" w:cs="Arial" w:eastAsia="Arial" w:hAnsi="Arial"/>
          <w:sz w:val="17"/>
          <w:szCs w:val="17"/>
          <w:b w:val="1"/>
          <w:bCs w:val="1"/>
          <w:color w:val="54301A"/>
        </w:rPr>
        <w:t xml:space="preserve">Least Performing Index Return: </w:t>
      </w:r>
      <w:r>
        <w:rPr>
          <w:rFonts w:ascii="Arial" w:cs="Arial" w:eastAsia="Arial" w:hAnsi="Arial"/>
          <w:sz w:val="17"/>
          <w:szCs w:val="17"/>
          <w:color w:val="000000"/>
        </w:rPr>
        <w:t>The lowest of the Index</w:t>
      </w:r>
      <w:r>
        <w:rPr>
          <w:rFonts w:ascii="Arial" w:cs="Arial" w:eastAsia="Arial" w:hAnsi="Arial"/>
          <w:sz w:val="17"/>
          <w:szCs w:val="17"/>
          <w:b w:val="1"/>
          <w:bCs w:val="1"/>
          <w:color w:val="54301A"/>
        </w:rPr>
        <w:t xml:space="preserve"> </w:t>
      </w:r>
      <w:r>
        <w:rPr>
          <w:rFonts w:ascii="Arial" w:cs="Arial" w:eastAsia="Arial" w:hAnsi="Arial"/>
          <w:sz w:val="17"/>
          <w:szCs w:val="17"/>
          <w:color w:val="000000"/>
        </w:rPr>
        <w:t>Returns of the Indices</w:t>
      </w:r>
    </w:p>
    <w:p>
      <w:pPr>
        <w:spacing w:after="0" w:line="29" w:lineRule="exact"/>
        <w:rPr>
          <w:sz w:val="20"/>
          <w:szCs w:val="20"/>
          <w:color w:val="auto"/>
        </w:rPr>
      </w:pPr>
    </w:p>
    <w:p>
      <w:pPr>
        <w:ind w:left="9"/>
        <w:spacing w:after="0"/>
        <w:rPr>
          <w:sz w:val="20"/>
          <w:szCs w:val="20"/>
          <w:color w:val="auto"/>
        </w:rPr>
      </w:pPr>
      <w:r>
        <w:rPr>
          <w:rFonts w:ascii="Arial" w:cs="Arial" w:eastAsia="Arial" w:hAnsi="Arial"/>
          <w:sz w:val="17"/>
          <w:szCs w:val="17"/>
          <w:b w:val="1"/>
          <w:bCs w:val="1"/>
          <w:color w:val="54301A"/>
        </w:rPr>
        <w:t>Index Return:</w:t>
      </w:r>
    </w:p>
    <w:p>
      <w:pPr>
        <w:spacing w:after="0" w:line="109" w:lineRule="exact"/>
        <w:rPr>
          <w:sz w:val="20"/>
          <w:szCs w:val="20"/>
          <w:color w:val="auto"/>
        </w:rPr>
      </w:pPr>
    </w:p>
    <w:p>
      <w:pPr>
        <w:ind w:left="9"/>
        <w:spacing w:after="0"/>
        <w:rPr>
          <w:sz w:val="20"/>
          <w:szCs w:val="20"/>
          <w:color w:val="auto"/>
        </w:rPr>
      </w:pPr>
      <w:r>
        <w:rPr>
          <w:rFonts w:ascii="Arial" w:cs="Arial" w:eastAsia="Arial" w:hAnsi="Arial"/>
          <w:sz w:val="17"/>
          <w:szCs w:val="17"/>
          <w:color w:val="auto"/>
        </w:rPr>
        <w:t>With respect to each Index,</w:t>
      </w:r>
    </w:p>
    <w:p>
      <w:pPr>
        <w:spacing w:after="0" w:line="109" w:lineRule="exact"/>
        <w:rPr>
          <w:sz w:val="20"/>
          <w:szCs w:val="20"/>
          <w:color w:val="auto"/>
        </w:rPr>
      </w:pPr>
    </w:p>
    <w:p>
      <w:pPr>
        <w:ind w:left="1369"/>
        <w:spacing w:after="0"/>
        <w:rPr>
          <w:sz w:val="20"/>
          <w:szCs w:val="20"/>
          <w:color w:val="auto"/>
        </w:rPr>
      </w:pPr>
      <w:r>
        <w:rPr>
          <w:rFonts w:ascii="Arial" w:cs="Arial" w:eastAsia="Arial" w:hAnsi="Arial"/>
          <w:sz w:val="17"/>
          <w:szCs w:val="17"/>
          <w:color w:val="auto"/>
        </w:rPr>
        <w:t>(Final Value – Initial Value)</w:t>
      </w:r>
    </w:p>
    <w:p>
      <w:pPr>
        <w:spacing w:after="0" w:line="43" w:lineRule="exact"/>
        <w:rPr>
          <w:sz w:val="20"/>
          <w:szCs w:val="20"/>
          <w:color w:val="auto"/>
        </w:rPr>
      </w:pPr>
    </w:p>
    <w:p>
      <w:pPr>
        <w:ind w:left="1929"/>
        <w:spacing w:after="0"/>
        <w:rPr>
          <w:sz w:val="20"/>
          <w:szCs w:val="20"/>
          <w:color w:val="auto"/>
        </w:rPr>
      </w:pPr>
      <w:r>
        <w:rPr>
          <w:rFonts w:ascii="Arial" w:cs="Arial" w:eastAsia="Arial" w:hAnsi="Arial"/>
          <w:sz w:val="17"/>
          <w:szCs w:val="17"/>
          <w:color w:val="auto"/>
        </w:rPr>
        <w:t>Initial Value</w:t>
      </w:r>
    </w:p>
    <w:p>
      <w:pPr>
        <w:spacing w:after="0" w:line="109" w:lineRule="exact"/>
        <w:rPr>
          <w:sz w:val="20"/>
          <w:szCs w:val="20"/>
          <w:color w:val="auto"/>
        </w:rPr>
      </w:pPr>
    </w:p>
    <w:p>
      <w:pPr>
        <w:ind w:left="9" w:right="240"/>
        <w:spacing w:after="0" w:line="307" w:lineRule="auto"/>
        <w:rPr>
          <w:sz w:val="20"/>
          <w:szCs w:val="20"/>
          <w:color w:val="auto"/>
        </w:rPr>
      </w:pPr>
      <w:r>
        <w:rPr>
          <w:rFonts w:ascii="Arial" w:cs="Arial" w:eastAsia="Arial" w:hAnsi="Arial"/>
          <w:sz w:val="17"/>
          <w:szCs w:val="17"/>
          <w:b w:val="1"/>
          <w:bCs w:val="1"/>
          <w:color w:val="54301A"/>
        </w:rPr>
        <w:t xml:space="preserve">Initial Value: </w:t>
      </w:r>
      <w:r>
        <w:rPr>
          <w:rFonts w:ascii="Arial" w:cs="Arial" w:eastAsia="Arial" w:hAnsi="Arial"/>
          <w:sz w:val="17"/>
          <w:szCs w:val="17"/>
          <w:color w:val="000000"/>
        </w:rPr>
        <w:t>With respect to each Index</w:t>
      </w:r>
      <w:r>
        <w:rPr>
          <w:rFonts w:ascii="Arial" w:cs="Arial" w:eastAsia="Arial" w:hAnsi="Arial"/>
          <w:sz w:val="17"/>
          <w:szCs w:val="17"/>
          <w:color w:val="404040"/>
        </w:rPr>
        <w:t>, t</w:t>
      </w:r>
      <w:r>
        <w:rPr>
          <w:rFonts w:ascii="Arial" w:cs="Arial" w:eastAsia="Arial" w:hAnsi="Arial"/>
          <w:sz w:val="17"/>
          <w:szCs w:val="17"/>
          <w:color w:val="000000"/>
        </w:rPr>
        <w:t>he closing level of</w:t>
      </w:r>
      <w:r>
        <w:rPr>
          <w:rFonts w:ascii="Arial" w:cs="Arial" w:eastAsia="Arial" w:hAnsi="Arial"/>
          <w:sz w:val="17"/>
          <w:szCs w:val="17"/>
          <w:b w:val="1"/>
          <w:bCs w:val="1"/>
          <w:color w:val="54301A"/>
        </w:rPr>
        <w:t xml:space="preserve"> </w:t>
      </w:r>
      <w:r>
        <w:rPr>
          <w:rFonts w:ascii="Arial" w:cs="Arial" w:eastAsia="Arial" w:hAnsi="Arial"/>
          <w:sz w:val="17"/>
          <w:szCs w:val="17"/>
          <w:color w:val="000000"/>
        </w:rPr>
        <w:t>that Index on the Pricing Date</w:t>
      </w:r>
    </w:p>
    <w:p>
      <w:pPr>
        <w:spacing w:after="0" w:line="29" w:lineRule="exact"/>
        <w:rPr>
          <w:sz w:val="20"/>
          <w:szCs w:val="20"/>
          <w:color w:val="auto"/>
        </w:rPr>
      </w:pPr>
    </w:p>
    <w:p>
      <w:pPr>
        <w:ind w:left="9" w:right="280"/>
        <w:spacing w:after="0" w:line="307" w:lineRule="auto"/>
        <w:rPr>
          <w:sz w:val="20"/>
          <w:szCs w:val="20"/>
          <w:color w:val="auto"/>
        </w:rPr>
      </w:pPr>
      <w:r>
        <w:rPr>
          <w:rFonts w:ascii="Arial" w:cs="Arial" w:eastAsia="Arial" w:hAnsi="Arial"/>
          <w:sz w:val="17"/>
          <w:szCs w:val="17"/>
          <w:b w:val="1"/>
          <w:bCs w:val="1"/>
          <w:color w:val="54301A"/>
        </w:rPr>
        <w:t xml:space="preserve">Final Value: </w:t>
      </w:r>
      <w:r>
        <w:rPr>
          <w:rFonts w:ascii="Arial" w:cs="Arial" w:eastAsia="Arial" w:hAnsi="Arial"/>
          <w:sz w:val="17"/>
          <w:szCs w:val="17"/>
          <w:color w:val="000000"/>
        </w:rPr>
        <w:t>With respect to each Index, the closing level of</w:t>
      </w:r>
      <w:r>
        <w:rPr>
          <w:rFonts w:ascii="Arial" w:cs="Arial" w:eastAsia="Arial" w:hAnsi="Arial"/>
          <w:sz w:val="17"/>
          <w:szCs w:val="17"/>
          <w:b w:val="1"/>
          <w:bCs w:val="1"/>
          <w:color w:val="54301A"/>
        </w:rPr>
        <w:t xml:space="preserve"> </w:t>
      </w:r>
      <w:r>
        <w:rPr>
          <w:rFonts w:ascii="Arial" w:cs="Arial" w:eastAsia="Arial" w:hAnsi="Arial"/>
          <w:sz w:val="17"/>
          <w:szCs w:val="17"/>
          <w:color w:val="000000"/>
        </w:rPr>
        <w:t>that Index on the final Review Date</w:t>
      </w:r>
    </w:p>
    <w:p>
      <w:pPr>
        <w:spacing w:after="0" w:line="35" w:lineRule="exact"/>
        <w:rPr>
          <w:sz w:val="20"/>
          <w:szCs w:val="20"/>
          <w:color w:val="auto"/>
        </w:rPr>
      </w:pPr>
    </w:p>
    <w:p>
      <w:pPr>
        <w:ind w:left="89" w:hanging="89"/>
        <w:spacing w:after="0"/>
        <w:tabs>
          <w:tab w:leader="none" w:pos="89" w:val="left"/>
        </w:tabs>
        <w:numPr>
          <w:ilvl w:val="0"/>
          <w:numId w:val="3"/>
        </w:numPr>
        <w:rPr>
          <w:rFonts w:ascii="Arial" w:cs="Arial" w:eastAsia="Arial" w:hAnsi="Arial"/>
          <w:sz w:val="14"/>
          <w:szCs w:val="14"/>
          <w:color w:val="auto"/>
        </w:rPr>
      </w:pPr>
      <w:r>
        <w:rPr>
          <w:rFonts w:ascii="Arial" w:cs="Arial" w:eastAsia="Arial" w:hAnsi="Arial"/>
          <w:sz w:val="14"/>
          <w:szCs w:val="14"/>
          <w:color w:val="auto"/>
        </w:rPr>
        <w:t>Subject to postponement in the event of a market disruption event and</w:t>
      </w:r>
    </w:p>
    <w:p>
      <w:pPr>
        <w:spacing w:after="0" w:line="50" w:lineRule="exact"/>
        <w:rPr>
          <w:rFonts w:ascii="Arial" w:cs="Arial" w:eastAsia="Arial" w:hAnsi="Arial"/>
          <w:sz w:val="14"/>
          <w:szCs w:val="14"/>
          <w:color w:val="auto"/>
        </w:rPr>
      </w:pPr>
    </w:p>
    <w:p>
      <w:pPr>
        <w:ind w:left="9" w:right="320"/>
        <w:spacing w:after="0" w:line="305" w:lineRule="auto"/>
        <w:rPr>
          <w:rFonts w:ascii="Arial" w:cs="Arial" w:eastAsia="Arial" w:hAnsi="Arial"/>
          <w:sz w:val="14"/>
          <w:szCs w:val="14"/>
          <w:color w:val="auto"/>
        </w:rPr>
      </w:pPr>
      <w:r>
        <w:rPr>
          <w:rFonts w:ascii="Arial" w:cs="Arial" w:eastAsia="Arial" w:hAnsi="Arial"/>
          <w:sz w:val="14"/>
          <w:szCs w:val="14"/>
          <w:color w:val="auto"/>
        </w:rPr>
        <w:t>as described under “General Terms of Notes — Postponement of a Determination Date — Notes Linked to Multiple Underlyings” and</w:t>
      </w:r>
    </w:p>
    <w:p>
      <w:pPr>
        <w:spacing w:after="0" w:line="1" w:lineRule="exact"/>
        <w:rPr>
          <w:rFonts w:ascii="Arial" w:cs="Arial" w:eastAsia="Arial" w:hAnsi="Arial"/>
          <w:sz w:val="14"/>
          <w:szCs w:val="14"/>
          <w:color w:val="auto"/>
        </w:rPr>
      </w:pPr>
    </w:p>
    <w:p>
      <w:pPr>
        <w:ind w:left="9" w:right="180"/>
        <w:spacing w:after="0" w:line="305" w:lineRule="auto"/>
        <w:rPr>
          <w:rFonts w:ascii="Arial" w:cs="Arial" w:eastAsia="Arial" w:hAnsi="Arial"/>
          <w:sz w:val="14"/>
          <w:szCs w:val="14"/>
          <w:color w:val="auto"/>
        </w:rPr>
      </w:pPr>
      <w:r>
        <w:rPr>
          <w:rFonts w:ascii="Arial" w:cs="Arial" w:eastAsia="Arial" w:hAnsi="Arial"/>
          <w:sz w:val="15"/>
          <w:szCs w:val="15"/>
          <w:color w:val="auto"/>
        </w:rPr>
        <w:t>“General Terms of Notes — Postponement of a Payment Date” in the accompanying product supplement</w:t>
      </w:r>
    </w:p>
    <w:p>
      <w:pPr>
        <w:sectPr>
          <w:pgSz w:w="11900" w:h="16838" w:orient="portrait"/>
          <w:cols w:equalWidth="0" w:num="2">
            <w:col w:w="4860" w:space="471"/>
            <w:col w:w="4689"/>
          </w:cols>
          <w:pgMar w:left="1000" w:top="1039" w:right="879" w:bottom="1440" w:gutter="0" w:footer="0" w:header="0"/>
        </w:sectPr>
      </w:pPr>
    </w:p>
    <w:bookmarkStart w:id="2" w:name="page3"/>
    <w:bookmarkEnd w:id="2"/>
    <w:p>
      <w:pPr>
        <w:spacing w:after="0"/>
        <w:rPr>
          <w:sz w:val="20"/>
          <w:szCs w:val="20"/>
          <w:color w:val="auto"/>
        </w:rPr>
      </w:pPr>
      <w:r>
        <w:rPr>
          <w:rFonts w:ascii="Arial" w:cs="Arial" w:eastAsia="Arial" w:hAnsi="Arial"/>
          <w:sz w:val="19"/>
          <w:szCs w:val="19"/>
          <w:b w:val="1"/>
          <w:bCs w:val="1"/>
          <w:color w:val="4E8ABE"/>
        </w:rPr>
        <w:t>How the Notes Work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38100</wp:posOffset>
            </wp:positionV>
            <wp:extent cx="6437630" cy="82778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37630" cy="8277860"/>
                    </a:xfrm>
                    <a:prstGeom prst="rect">
                      <a:avLst/>
                    </a:prstGeom>
                    <a:noFill/>
                  </pic:spPr>
                </pic:pic>
              </a:graphicData>
            </a:graphic>
          </wp:anchor>
        </w:drawing>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b w:val="1"/>
          <w:bCs w:val="1"/>
          <w:color w:val="54301A"/>
        </w:rPr>
        <w:t>Payments in Connection with Review Dates Preceding the Final Review Date</w:t>
      </w:r>
    </w:p>
    <w:p>
      <w:pPr>
        <w:spacing w:after="0" w:line="194" w:lineRule="exact"/>
        <w:rPr>
          <w:sz w:val="20"/>
          <w:szCs w:val="20"/>
          <w:color w:val="auto"/>
        </w:rPr>
      </w:pPr>
    </w:p>
    <w:p>
      <w:pPr>
        <w:ind w:left="3400"/>
        <w:spacing w:after="0"/>
        <w:rPr>
          <w:sz w:val="20"/>
          <w:szCs w:val="20"/>
          <w:color w:val="auto"/>
        </w:rPr>
      </w:pPr>
      <w:r>
        <w:rPr>
          <w:rFonts w:ascii="Arial" w:cs="Arial" w:eastAsia="Arial" w:hAnsi="Arial"/>
          <w:sz w:val="15"/>
          <w:szCs w:val="15"/>
          <w:b w:val="1"/>
          <w:bCs w:val="1"/>
          <w:color w:val="auto"/>
        </w:rPr>
        <w:t>Review Dates Preceding the Final Review Date</w:t>
      </w:r>
    </w:p>
    <w:p>
      <w:pPr>
        <w:spacing w:after="0" w:line="190" w:lineRule="exact"/>
        <w:rPr>
          <w:sz w:val="20"/>
          <w:szCs w:val="20"/>
          <w:color w:val="auto"/>
        </w:rPr>
      </w:pPr>
    </w:p>
    <w:p>
      <w:pPr>
        <w:ind w:left="1120"/>
        <w:spacing w:after="0"/>
        <w:rPr>
          <w:sz w:val="20"/>
          <w:szCs w:val="20"/>
          <w:color w:val="auto"/>
        </w:rPr>
      </w:pPr>
      <w:r>
        <w:rPr>
          <w:rFonts w:ascii="Arial" w:cs="Arial" w:eastAsia="Arial" w:hAnsi="Arial"/>
          <w:sz w:val="13"/>
          <w:szCs w:val="13"/>
          <w:color w:val="auto"/>
        </w:rPr>
        <w:t>Compare the closing level of each Index to its Interest Barrier on each Review Date.</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1440" w:type="dxa"/>
        <w:tblCellMar>
          <w:top w:w="0" w:type="dxa"/>
          <w:left w:w="0" w:type="dxa"/>
          <w:bottom w:w="0" w:type="dxa"/>
          <w:right w:w="0" w:type="dxa"/>
        </w:tblCellMar>
      </w:tblPr>
      <w:tr>
        <w:trPr>
          <w:trHeight w:val="149"/>
        </w:trPr>
        <w:tc>
          <w:tcPr>
            <w:tcW w:w="3260" w:type="dxa"/>
            <w:vAlign w:val="bottom"/>
            <w:vMerge w:val="restart"/>
          </w:tcPr>
          <w:p>
            <w:pPr>
              <w:spacing w:after="0"/>
              <w:rPr>
                <w:sz w:val="20"/>
                <w:szCs w:val="20"/>
                <w:color w:val="auto"/>
              </w:rPr>
            </w:pPr>
            <w:r>
              <w:rPr>
                <w:rFonts w:ascii="Arial" w:cs="Arial" w:eastAsia="Arial" w:hAnsi="Arial"/>
                <w:sz w:val="13"/>
                <w:szCs w:val="13"/>
                <w:color w:val="auto"/>
              </w:rPr>
              <w:t xml:space="preserve">The closing level of each Index is </w:t>
            </w:r>
            <w:r>
              <w:rPr>
                <w:rFonts w:ascii="Arial" w:cs="Arial" w:eastAsia="Arial" w:hAnsi="Arial"/>
                <w:sz w:val="13"/>
                <w:szCs w:val="13"/>
                <w:b w:val="1"/>
                <w:bCs w:val="1"/>
                <w:color w:val="auto"/>
              </w:rPr>
              <w:t>greater than</w:t>
            </w:r>
          </w:p>
        </w:tc>
        <w:tc>
          <w:tcPr>
            <w:tcW w:w="3640" w:type="dxa"/>
            <w:vAlign w:val="bottom"/>
          </w:tcPr>
          <w:p>
            <w:pPr>
              <w:ind w:left="580"/>
              <w:spacing w:after="0"/>
              <w:rPr>
                <w:sz w:val="20"/>
                <w:szCs w:val="20"/>
                <w:color w:val="auto"/>
              </w:rPr>
            </w:pPr>
            <w:r>
              <w:rPr>
                <w:rFonts w:ascii="Arial" w:cs="Arial" w:eastAsia="Arial" w:hAnsi="Arial"/>
                <w:sz w:val="13"/>
                <w:szCs w:val="13"/>
                <w:color w:val="auto"/>
                <w:w w:val="98"/>
              </w:rPr>
              <w:t>You will receive a Contingent Interest Payment on the</w:t>
            </w:r>
          </w:p>
        </w:tc>
        <w:tc>
          <w:tcPr>
            <w:tcW w:w="0" w:type="dxa"/>
            <w:vAlign w:val="bottom"/>
          </w:tcPr>
          <w:p>
            <w:pPr>
              <w:spacing w:after="0"/>
              <w:rPr>
                <w:sz w:val="1"/>
                <w:szCs w:val="1"/>
                <w:color w:val="auto"/>
              </w:rPr>
            </w:pPr>
          </w:p>
        </w:tc>
      </w:tr>
      <w:tr>
        <w:trPr>
          <w:trHeight w:val="146"/>
        </w:trPr>
        <w:tc>
          <w:tcPr>
            <w:tcW w:w="3260" w:type="dxa"/>
            <w:vAlign w:val="bottom"/>
            <w:vMerge w:val="continue"/>
          </w:tcPr>
          <w:p>
            <w:pPr>
              <w:spacing w:after="0"/>
              <w:rPr>
                <w:sz w:val="12"/>
                <w:szCs w:val="12"/>
                <w:color w:val="auto"/>
              </w:rPr>
            </w:pPr>
          </w:p>
        </w:tc>
        <w:tc>
          <w:tcPr>
            <w:tcW w:w="3640" w:type="dxa"/>
            <w:vAlign w:val="bottom"/>
          </w:tcPr>
          <w:p>
            <w:pPr>
              <w:ind w:left="1160"/>
              <w:spacing w:after="0" w:line="146" w:lineRule="exact"/>
              <w:rPr>
                <w:sz w:val="20"/>
                <w:szCs w:val="20"/>
                <w:color w:val="auto"/>
              </w:rPr>
            </w:pPr>
            <w:r>
              <w:rPr>
                <w:rFonts w:ascii="Arial" w:cs="Arial" w:eastAsia="Arial" w:hAnsi="Arial"/>
                <w:sz w:val="13"/>
                <w:szCs w:val="13"/>
                <w:color w:val="auto"/>
              </w:rPr>
              <w:t>applicable Interest Payment Date.</w:t>
            </w:r>
          </w:p>
        </w:tc>
        <w:tc>
          <w:tcPr>
            <w:tcW w:w="0" w:type="dxa"/>
            <w:vAlign w:val="bottom"/>
          </w:tcPr>
          <w:p>
            <w:pPr>
              <w:spacing w:after="0"/>
              <w:rPr>
                <w:sz w:val="1"/>
                <w:szCs w:val="1"/>
                <w:color w:val="auto"/>
              </w:rPr>
            </w:pPr>
          </w:p>
        </w:tc>
      </w:tr>
      <w:tr>
        <w:trPr>
          <w:trHeight w:val="178"/>
        </w:trPr>
        <w:tc>
          <w:tcPr>
            <w:tcW w:w="3260" w:type="dxa"/>
            <w:vAlign w:val="bottom"/>
          </w:tcPr>
          <w:p>
            <w:pPr>
              <w:spacing w:after="0"/>
              <w:rPr>
                <w:sz w:val="20"/>
                <w:szCs w:val="20"/>
                <w:color w:val="auto"/>
              </w:rPr>
            </w:pPr>
            <w:r>
              <w:rPr>
                <w:rFonts w:ascii="Arial" w:cs="Arial" w:eastAsia="Arial" w:hAnsi="Arial"/>
                <w:sz w:val="13"/>
                <w:szCs w:val="13"/>
                <w:b w:val="1"/>
                <w:bCs w:val="1"/>
                <w:color w:val="auto"/>
              </w:rPr>
              <w:t xml:space="preserve">or equal to </w:t>
            </w:r>
            <w:r>
              <w:rPr>
                <w:rFonts w:ascii="Arial" w:cs="Arial" w:eastAsia="Arial" w:hAnsi="Arial"/>
                <w:sz w:val="13"/>
                <w:szCs w:val="13"/>
                <w:color w:val="auto"/>
              </w:rPr>
              <w:t>its Interest Barrier.</w:t>
            </w:r>
          </w:p>
        </w:tc>
        <w:tc>
          <w:tcPr>
            <w:tcW w:w="3640" w:type="dxa"/>
            <w:vAlign w:val="bottom"/>
            <w:vMerge w:val="restart"/>
          </w:tcPr>
          <w:p>
            <w:pPr>
              <w:ind w:left="1140"/>
              <w:spacing w:after="0"/>
              <w:rPr>
                <w:sz w:val="20"/>
                <w:szCs w:val="20"/>
                <w:color w:val="auto"/>
              </w:rPr>
            </w:pPr>
            <w:r>
              <w:rPr>
                <w:rFonts w:ascii="Arial" w:cs="Arial" w:eastAsia="Arial" w:hAnsi="Arial"/>
                <w:sz w:val="13"/>
                <w:szCs w:val="13"/>
                <w:color w:val="auto"/>
              </w:rPr>
              <w:t>Proceed to the next Review Date.</w:t>
            </w:r>
          </w:p>
        </w:tc>
        <w:tc>
          <w:tcPr>
            <w:tcW w:w="0" w:type="dxa"/>
            <w:vAlign w:val="bottom"/>
          </w:tcPr>
          <w:p>
            <w:pPr>
              <w:spacing w:after="0"/>
              <w:rPr>
                <w:sz w:val="1"/>
                <w:szCs w:val="1"/>
                <w:color w:val="auto"/>
              </w:rPr>
            </w:pPr>
          </w:p>
        </w:tc>
      </w:tr>
      <w:tr>
        <w:trPr>
          <w:trHeight w:val="126"/>
        </w:trPr>
        <w:tc>
          <w:tcPr>
            <w:tcW w:w="3260" w:type="dxa"/>
            <w:vAlign w:val="bottom"/>
          </w:tcPr>
          <w:p>
            <w:pPr>
              <w:spacing w:after="0"/>
              <w:rPr>
                <w:sz w:val="10"/>
                <w:szCs w:val="10"/>
                <w:color w:val="auto"/>
              </w:rPr>
            </w:pPr>
          </w:p>
        </w:tc>
        <w:tc>
          <w:tcPr>
            <w:tcW w:w="3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5140"/>
        <w:spacing w:after="0"/>
        <w:rPr>
          <w:sz w:val="20"/>
          <w:szCs w:val="20"/>
          <w:color w:val="auto"/>
        </w:rPr>
      </w:pPr>
      <w:r>
        <w:rPr>
          <w:rFonts w:ascii="Arial" w:cs="Arial" w:eastAsia="Arial" w:hAnsi="Arial"/>
          <w:sz w:val="12"/>
          <w:szCs w:val="12"/>
          <w:color w:val="auto"/>
        </w:rPr>
        <w:t>No Contingent Interest Payment will be made with respect to</w:t>
      </w:r>
    </w:p>
    <w:p>
      <w:pPr>
        <w:spacing w:after="0" w:line="16" w:lineRule="exact"/>
        <w:rPr>
          <w:sz w:val="20"/>
          <w:szCs w:val="20"/>
          <w:color w:val="auto"/>
        </w:rPr>
      </w:pPr>
    </w:p>
    <w:p>
      <w:pPr>
        <w:ind w:left="1460"/>
        <w:spacing w:after="0"/>
        <w:tabs>
          <w:tab w:leader="none" w:pos="6080" w:val="left"/>
        </w:tabs>
        <w:rPr>
          <w:sz w:val="20"/>
          <w:szCs w:val="20"/>
          <w:color w:val="auto"/>
        </w:rPr>
      </w:pPr>
      <w:r>
        <w:rPr>
          <w:rFonts w:ascii="Arial" w:cs="Arial" w:eastAsia="Arial" w:hAnsi="Arial"/>
          <w:sz w:val="13"/>
          <w:szCs w:val="13"/>
          <w:color w:val="auto"/>
        </w:rPr>
        <w:t xml:space="preserve">The closing level of any Index is </w:t>
      </w:r>
      <w:r>
        <w:rPr>
          <w:rFonts w:ascii="Arial" w:cs="Arial" w:eastAsia="Arial" w:hAnsi="Arial"/>
          <w:sz w:val="13"/>
          <w:szCs w:val="13"/>
          <w:b w:val="1"/>
          <w:bCs w:val="1"/>
          <w:color w:val="auto"/>
        </w:rPr>
        <w:t>less than</w:t>
      </w:r>
      <w:r>
        <w:rPr>
          <w:rFonts w:ascii="Arial" w:cs="Arial" w:eastAsia="Arial" w:hAnsi="Arial"/>
          <w:sz w:val="13"/>
          <w:szCs w:val="13"/>
          <w:color w:val="auto"/>
        </w:rPr>
        <w:t xml:space="preserve"> its</w:t>
      </w:r>
      <w:r>
        <w:rPr>
          <w:sz w:val="20"/>
          <w:szCs w:val="20"/>
          <w:color w:val="auto"/>
        </w:rPr>
        <w:tab/>
      </w:r>
      <w:r>
        <w:rPr>
          <w:rFonts w:ascii="Arial" w:cs="Arial" w:eastAsia="Arial" w:hAnsi="Arial"/>
          <w:sz w:val="12"/>
          <w:szCs w:val="12"/>
          <w:color w:val="auto"/>
        </w:rPr>
        <w:t>the applicable Review Date.</w:t>
      </w:r>
    </w:p>
    <w:p>
      <w:pPr>
        <w:ind w:left="1460"/>
        <w:spacing w:after="0"/>
        <w:rPr>
          <w:sz w:val="20"/>
          <w:szCs w:val="20"/>
          <w:color w:val="auto"/>
        </w:rPr>
      </w:pPr>
      <w:r>
        <w:rPr>
          <w:rFonts w:ascii="Arial" w:cs="Arial" w:eastAsia="Arial" w:hAnsi="Arial"/>
          <w:sz w:val="13"/>
          <w:szCs w:val="13"/>
          <w:color w:val="auto"/>
        </w:rPr>
        <w:t>Interest Barrier.</w:t>
      </w:r>
    </w:p>
    <w:p>
      <w:pPr>
        <w:spacing w:after="0" w:line="9" w:lineRule="exact"/>
        <w:rPr>
          <w:sz w:val="20"/>
          <w:szCs w:val="20"/>
          <w:color w:val="auto"/>
        </w:rPr>
      </w:pPr>
    </w:p>
    <w:p>
      <w:pPr>
        <w:ind w:left="5920"/>
        <w:spacing w:after="0"/>
        <w:rPr>
          <w:sz w:val="20"/>
          <w:szCs w:val="20"/>
          <w:color w:val="auto"/>
        </w:rPr>
      </w:pPr>
      <w:r>
        <w:rPr>
          <w:rFonts w:ascii="Arial" w:cs="Arial" w:eastAsia="Arial" w:hAnsi="Arial"/>
          <w:sz w:val="13"/>
          <w:szCs w:val="13"/>
          <w:color w:val="auto"/>
        </w:rPr>
        <w:t>Proceed to the next Review Date.</w:t>
      </w:r>
    </w:p>
    <w:p>
      <w:pPr>
        <w:sectPr>
          <w:pgSz w:w="11900" w:h="16838" w:orient="portrait"/>
          <w:cols w:equalWidth="0" w:num="1">
            <w:col w:w="9459"/>
          </w:cols>
          <w:pgMar w:left="1000" w:top="111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7"/>
          <w:szCs w:val="17"/>
          <w:b w:val="1"/>
          <w:bCs w:val="1"/>
          <w:color w:val="54301A"/>
        </w:rPr>
        <w:t>Payment at Maturity</w:t>
      </w:r>
    </w:p>
    <w:p>
      <w:pPr>
        <w:spacing w:after="0" w:line="207" w:lineRule="exact"/>
        <w:rPr>
          <w:sz w:val="20"/>
          <w:szCs w:val="20"/>
          <w:color w:val="auto"/>
        </w:rPr>
      </w:pPr>
    </w:p>
    <w:p>
      <w:pPr>
        <w:ind w:left="3120"/>
        <w:spacing w:after="0"/>
        <w:rPr>
          <w:sz w:val="20"/>
          <w:szCs w:val="20"/>
          <w:color w:val="auto"/>
        </w:rPr>
      </w:pPr>
      <w:r>
        <w:rPr>
          <w:rFonts w:ascii="Arial" w:cs="Arial" w:eastAsia="Arial" w:hAnsi="Arial"/>
          <w:sz w:val="15"/>
          <w:szCs w:val="15"/>
          <w:b w:val="1"/>
          <w:bCs w:val="1"/>
          <w:color w:val="061F3F"/>
        </w:rPr>
        <w:t>Final Review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left="740"/>
        <w:spacing w:after="0"/>
        <w:rPr>
          <w:sz w:val="20"/>
          <w:szCs w:val="20"/>
          <w:color w:val="auto"/>
        </w:rPr>
      </w:pPr>
      <w:r>
        <w:rPr>
          <w:rFonts w:ascii="Arial" w:cs="Arial" w:eastAsia="Arial" w:hAnsi="Arial"/>
          <w:sz w:val="12"/>
          <w:szCs w:val="12"/>
          <w:color w:val="auto"/>
        </w:rPr>
        <w:t xml:space="preserve">The Final Value of each Index is </w:t>
      </w:r>
      <w:r>
        <w:rPr>
          <w:rFonts w:ascii="Arial" w:cs="Arial" w:eastAsia="Arial" w:hAnsi="Arial"/>
          <w:sz w:val="12"/>
          <w:szCs w:val="12"/>
          <w:b w:val="1"/>
          <w:bCs w:val="1"/>
          <w:color w:val="auto"/>
        </w:rPr>
        <w:t>greater than or equal to</w:t>
      </w:r>
      <w:r>
        <w:rPr>
          <w:rFonts w:ascii="Arial" w:cs="Arial" w:eastAsia="Arial" w:hAnsi="Arial"/>
          <w:sz w:val="12"/>
          <w:szCs w:val="12"/>
          <w:color w:val="auto"/>
        </w:rPr>
        <w:t xml:space="preserve"> its Trigger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1220"/>
        <w:spacing w:after="0"/>
        <w:rPr>
          <w:sz w:val="20"/>
          <w:szCs w:val="20"/>
          <w:color w:val="auto"/>
        </w:rPr>
      </w:pPr>
      <w:r>
        <w:rPr>
          <w:rFonts w:ascii="Arial" w:cs="Arial" w:eastAsia="Arial" w:hAnsi="Arial"/>
          <w:sz w:val="13"/>
          <w:szCs w:val="13"/>
          <w:color w:val="auto"/>
        </w:rPr>
        <w:t xml:space="preserve">The Final Value of any Index is </w:t>
      </w:r>
      <w:r>
        <w:rPr>
          <w:rFonts w:ascii="Arial" w:cs="Arial" w:eastAsia="Arial" w:hAnsi="Arial"/>
          <w:sz w:val="13"/>
          <w:szCs w:val="13"/>
          <w:b w:val="1"/>
          <w:bCs w:val="1"/>
          <w:color w:val="auto"/>
        </w:rPr>
        <w:t>less than</w:t>
      </w:r>
      <w:r>
        <w:rPr>
          <w:rFonts w:ascii="Arial" w:cs="Arial" w:eastAsia="Arial" w:hAnsi="Arial"/>
          <w:sz w:val="13"/>
          <w:szCs w:val="13"/>
          <w:color w:val="auto"/>
        </w:rPr>
        <w:t xml:space="preserve"> its Trigger Value.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20"/>
        <w:spacing w:after="0"/>
        <w:rPr>
          <w:sz w:val="20"/>
          <w:szCs w:val="20"/>
          <w:color w:val="auto"/>
        </w:rPr>
      </w:pPr>
      <w:r>
        <w:rPr>
          <w:rFonts w:ascii="Arial" w:cs="Arial" w:eastAsia="Arial" w:hAnsi="Arial"/>
          <w:sz w:val="15"/>
          <w:szCs w:val="15"/>
          <w:b w:val="1"/>
          <w:bCs w:val="1"/>
          <w:color w:val="DCE0E3"/>
        </w:rPr>
        <w:t>Payment at Maturity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left="20" w:right="619"/>
        <w:spacing w:after="0" w:line="293" w:lineRule="auto"/>
        <w:rPr>
          <w:sz w:val="20"/>
          <w:szCs w:val="20"/>
          <w:color w:val="auto"/>
        </w:rPr>
      </w:pPr>
      <w:r>
        <w:rPr>
          <w:rFonts w:ascii="Arial" w:cs="Arial" w:eastAsia="Arial" w:hAnsi="Arial"/>
          <w:sz w:val="12"/>
          <w:szCs w:val="12"/>
          <w:color w:val="061F3F"/>
        </w:rPr>
        <w:t xml:space="preserve">You will receive (a) $1,000 </w:t>
      </w:r>
      <w:r>
        <w:rPr>
          <w:rFonts w:ascii="Arial" w:cs="Arial" w:eastAsia="Arial" w:hAnsi="Arial"/>
          <w:sz w:val="12"/>
          <w:szCs w:val="12"/>
          <w:i w:val="1"/>
          <w:iCs w:val="1"/>
          <w:color w:val="061F3F"/>
        </w:rPr>
        <w:t>plus</w:t>
      </w:r>
      <w:r>
        <w:rPr>
          <w:rFonts w:ascii="Arial" w:cs="Arial" w:eastAsia="Arial" w:hAnsi="Arial"/>
          <w:sz w:val="12"/>
          <w:szCs w:val="12"/>
          <w:color w:val="061F3F"/>
        </w:rPr>
        <w:t xml:space="preserve"> (b) the Contingent Interest Payment applicable to the final Review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619"/>
        <w:spacing w:after="0"/>
        <w:rPr>
          <w:sz w:val="20"/>
          <w:szCs w:val="20"/>
          <w:color w:val="auto"/>
        </w:rPr>
      </w:pPr>
      <w:r>
        <w:rPr>
          <w:rFonts w:ascii="Arial" w:cs="Arial" w:eastAsia="Arial" w:hAnsi="Arial"/>
          <w:sz w:val="13"/>
          <w:szCs w:val="13"/>
          <w:color w:val="auto"/>
        </w:rPr>
        <w:t>You will receive:</w:t>
      </w:r>
    </w:p>
    <w:p>
      <w:pPr>
        <w:spacing w:after="0" w:line="123" w:lineRule="exact"/>
        <w:rPr>
          <w:sz w:val="20"/>
          <w:szCs w:val="20"/>
          <w:color w:val="auto"/>
        </w:rPr>
      </w:pPr>
    </w:p>
    <w:p>
      <w:pPr>
        <w:ind w:left="300"/>
        <w:spacing w:after="0"/>
        <w:rPr>
          <w:sz w:val="20"/>
          <w:szCs w:val="20"/>
          <w:color w:val="auto"/>
        </w:rPr>
      </w:pPr>
      <w:r>
        <w:rPr>
          <w:rFonts w:ascii="Arial" w:cs="Arial" w:eastAsia="Arial" w:hAnsi="Arial"/>
          <w:sz w:val="13"/>
          <w:szCs w:val="13"/>
          <w:color w:val="auto"/>
        </w:rPr>
        <w:t>$1,000 + ($1,000 × Least</w:t>
      </w:r>
    </w:p>
    <w:p>
      <w:pPr>
        <w:ind w:left="300"/>
        <w:spacing w:after="0"/>
        <w:rPr>
          <w:sz w:val="20"/>
          <w:szCs w:val="20"/>
          <w:color w:val="auto"/>
        </w:rPr>
      </w:pPr>
      <w:r>
        <w:rPr>
          <w:rFonts w:ascii="Arial" w:cs="Arial" w:eastAsia="Arial" w:hAnsi="Arial"/>
          <w:sz w:val="13"/>
          <w:szCs w:val="13"/>
          <w:color w:val="auto"/>
        </w:rPr>
        <w:t>Performing Index Return)</w:t>
      </w:r>
    </w:p>
    <w:p>
      <w:pPr>
        <w:spacing w:after="0" w:line="116" w:lineRule="exact"/>
        <w:rPr>
          <w:sz w:val="20"/>
          <w:szCs w:val="20"/>
          <w:color w:val="auto"/>
        </w:rPr>
      </w:pPr>
    </w:p>
    <w:p>
      <w:pPr>
        <w:jc w:val="center"/>
        <w:ind w:right="619"/>
        <w:spacing w:after="0"/>
        <w:rPr>
          <w:sz w:val="20"/>
          <w:szCs w:val="20"/>
          <w:color w:val="auto"/>
        </w:rPr>
      </w:pPr>
      <w:r>
        <w:rPr>
          <w:rFonts w:ascii="Arial" w:cs="Arial" w:eastAsia="Arial" w:hAnsi="Arial"/>
          <w:sz w:val="12"/>
          <w:szCs w:val="12"/>
          <w:i w:val="1"/>
          <w:iCs w:val="1"/>
          <w:color w:val="auto"/>
        </w:rPr>
        <w:t>Under these circumstances, you will</w:t>
      </w:r>
    </w:p>
    <w:p>
      <w:pPr>
        <w:ind w:left="100"/>
        <w:spacing w:after="0" w:line="222" w:lineRule="auto"/>
        <w:rPr>
          <w:sz w:val="20"/>
          <w:szCs w:val="20"/>
          <w:color w:val="auto"/>
        </w:rPr>
      </w:pPr>
      <w:r>
        <w:rPr>
          <w:rFonts w:ascii="Arial" w:cs="Arial" w:eastAsia="Arial" w:hAnsi="Arial"/>
          <w:sz w:val="13"/>
          <w:szCs w:val="13"/>
          <w:i w:val="1"/>
          <w:iCs w:val="1"/>
          <w:color w:val="auto"/>
        </w:rPr>
        <w:t>lose a significant portion or all of</w:t>
      </w:r>
    </w:p>
    <w:p>
      <w:pPr>
        <w:ind w:left="80"/>
        <w:spacing w:after="0"/>
        <w:rPr>
          <w:sz w:val="20"/>
          <w:szCs w:val="20"/>
          <w:color w:val="auto"/>
        </w:rPr>
      </w:pPr>
      <w:r>
        <w:rPr>
          <w:rFonts w:ascii="Arial" w:cs="Arial" w:eastAsia="Arial" w:hAnsi="Arial"/>
          <w:sz w:val="13"/>
          <w:szCs w:val="13"/>
          <w:i w:val="1"/>
          <w:iCs w:val="1"/>
          <w:color w:val="auto"/>
        </w:rPr>
        <w:t>your principal amount at maturity.</w:t>
      </w:r>
    </w:p>
    <w:p>
      <w:pPr>
        <w:spacing w:after="0" w:line="200" w:lineRule="exact"/>
        <w:rPr>
          <w:sz w:val="20"/>
          <w:szCs w:val="20"/>
          <w:color w:val="auto"/>
        </w:rPr>
      </w:pPr>
    </w:p>
    <w:p>
      <w:pPr>
        <w:sectPr>
          <w:pgSz w:w="11900" w:h="16838" w:orient="portrait"/>
          <w:cols w:equalWidth="0" w:num="2">
            <w:col w:w="6060" w:space="720"/>
            <w:col w:w="2679"/>
          </w:cols>
          <w:pgMar w:left="1000" w:top="1118"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7"/>
          <w:szCs w:val="17"/>
          <w:color w:val="7F7F7F"/>
        </w:rPr>
        <w:t>PS-2 | Structured Investments</w:t>
      </w:r>
    </w:p>
    <w:p>
      <w:pPr>
        <w:jc w:val="both"/>
        <w:ind w:right="4599"/>
        <w:spacing w:after="0" w:line="220" w:lineRule="auto"/>
        <w:rPr>
          <w:sz w:val="20"/>
          <w:szCs w:val="20"/>
          <w:color w:val="auto"/>
        </w:rPr>
      </w:pPr>
      <w:r>
        <w:rPr>
          <w:rFonts w:ascii="Arial" w:cs="Arial" w:eastAsia="Arial" w:hAnsi="Arial"/>
          <w:sz w:val="15"/>
          <w:szCs w:val="15"/>
          <w:color w:val="808080"/>
        </w:rPr>
        <w:t>Contingent Interest Notes Linked to the Least Performing of the S&amp;P 500</w:t>
      </w:r>
      <w:r>
        <w:rPr>
          <w:rFonts w:ascii="Arial" w:cs="Arial" w:eastAsia="Arial" w:hAnsi="Arial"/>
          <w:sz w:val="18"/>
          <w:szCs w:val="18"/>
          <w:color w:val="808080"/>
          <w:vertAlign w:val="superscript"/>
        </w:rPr>
        <w:t>®</w:t>
      </w:r>
      <w:r>
        <w:rPr>
          <w:rFonts w:ascii="Arial" w:cs="Arial" w:eastAsia="Arial" w:hAnsi="Arial"/>
          <w:sz w:val="15"/>
          <w:szCs w:val="15"/>
          <w:color w:val="808080"/>
        </w:rPr>
        <w:t xml:space="preserve"> Index, the Nasdaq-100</w:t>
      </w:r>
      <w:r>
        <w:rPr>
          <w:rFonts w:ascii="Arial" w:cs="Arial" w:eastAsia="Arial" w:hAnsi="Arial"/>
          <w:sz w:val="18"/>
          <w:szCs w:val="18"/>
          <w:color w:val="808080"/>
          <w:vertAlign w:val="superscript"/>
        </w:rPr>
        <w:t>®</w:t>
      </w:r>
      <w:r>
        <w:rPr>
          <w:rFonts w:ascii="Arial" w:cs="Arial" w:eastAsia="Arial" w:hAnsi="Arial"/>
          <w:sz w:val="15"/>
          <w:szCs w:val="15"/>
          <w:color w:val="808080"/>
        </w:rPr>
        <w:t xml:space="preserve"> Technology Sector Index</w:t>
      </w:r>
      <w:r>
        <w:rPr>
          <w:rFonts w:ascii="Arial" w:cs="Arial" w:eastAsia="Arial" w:hAnsi="Arial"/>
          <w:sz w:val="18"/>
          <w:szCs w:val="18"/>
          <w:color w:val="808080"/>
          <w:vertAlign w:val="superscript"/>
        </w:rPr>
        <w:t>SM</w:t>
      </w:r>
      <w:r>
        <w:rPr>
          <w:rFonts w:ascii="Arial" w:cs="Arial" w:eastAsia="Arial" w:hAnsi="Arial"/>
          <w:sz w:val="15"/>
          <w:szCs w:val="15"/>
          <w:color w:val="808080"/>
        </w:rPr>
        <w:t xml:space="preserve"> and the Russell 2000</w:t>
      </w:r>
      <w:r>
        <w:rPr>
          <w:rFonts w:ascii="Arial" w:cs="Arial" w:eastAsia="Arial" w:hAnsi="Arial"/>
          <w:sz w:val="18"/>
          <w:szCs w:val="18"/>
          <w:color w:val="808080"/>
          <w:vertAlign w:val="superscript"/>
        </w:rPr>
        <w:t>®</w:t>
      </w:r>
      <w:r>
        <w:rPr>
          <w:rFonts w:ascii="Arial" w:cs="Arial" w:eastAsia="Arial" w:hAnsi="Arial"/>
          <w:sz w:val="15"/>
          <w:szCs w:val="15"/>
          <w:color w:val="808080"/>
        </w:rPr>
        <w:t xml:space="preserve"> Index</w:t>
      </w:r>
    </w:p>
    <w:p>
      <w:pPr>
        <w:sectPr>
          <w:pgSz w:w="11900" w:h="16838" w:orient="portrait"/>
          <w:cols w:equalWidth="0" w:num="1">
            <w:col w:w="9459"/>
          </w:cols>
          <w:pgMar w:left="1000" w:top="1118" w:right="1440" w:bottom="1440" w:gutter="0" w:footer="0" w:header="0"/>
          <w:type w:val="continuous"/>
        </w:sectPr>
      </w:pPr>
    </w:p>
    <w:bookmarkStart w:id="3" w:name="page4"/>
    <w:bookmarkEnd w:id="3"/>
    <w:p>
      <w:pPr>
        <w:spacing w:after="0"/>
        <w:rPr>
          <w:sz w:val="20"/>
          <w:szCs w:val="20"/>
          <w:color w:val="auto"/>
        </w:rPr>
      </w:pPr>
      <w:r>
        <w:rPr>
          <w:rFonts w:ascii="Arial" w:cs="Arial" w:eastAsia="Arial" w:hAnsi="Arial"/>
          <w:sz w:val="17"/>
          <w:szCs w:val="17"/>
          <w:b w:val="1"/>
          <w:bCs w:val="1"/>
          <w:color w:val="54301A"/>
        </w:rPr>
        <w:t>Total Contingent Interest Payments</w:t>
      </w:r>
    </w:p>
    <w:p>
      <w:pPr>
        <w:spacing w:after="0" w:line="33" w:lineRule="exact"/>
        <w:rPr>
          <w:sz w:val="20"/>
          <w:szCs w:val="20"/>
          <w:color w:val="auto"/>
        </w:rPr>
      </w:pPr>
    </w:p>
    <w:p>
      <w:pPr>
        <w:spacing w:after="0" w:line="247" w:lineRule="auto"/>
        <w:rPr>
          <w:sz w:val="20"/>
          <w:szCs w:val="20"/>
          <w:color w:val="auto"/>
        </w:rPr>
      </w:pPr>
      <w:r>
        <w:rPr>
          <w:rFonts w:ascii="Arial" w:cs="Arial" w:eastAsia="Arial" w:hAnsi="Arial"/>
          <w:sz w:val="17"/>
          <w:szCs w:val="17"/>
          <w:color w:val="404040"/>
        </w:rPr>
        <w:t>The table below illustrates the hypothetical total Contingent Interest Payments per $1,000 principal amount note over the term of the notes based on a hypothetical Contingent Interest Rate of 10.10% per annum, depending on how many Contingent Interest Payments are made prior to maturity. The actual Contingent Interest Rate will be provided in the pricing supplement and will be at least 10.10% per annum (payable at a rate of at least 0.84167% per month).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121920</wp:posOffset>
            </wp:positionV>
            <wp:extent cx="6378575" cy="77990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378575" cy="7799070"/>
                    </a:xfrm>
                    <a:prstGeom prst="rect">
                      <a:avLst/>
                    </a:prstGeom>
                    <a:noFill/>
                  </pic:spPr>
                </pic:pic>
              </a:graphicData>
            </a:graphic>
          </wp:anchor>
        </w:drawing>
      </w:r>
    </w:p>
    <w:p>
      <w:pPr>
        <w:spacing w:after="0" w:line="233" w:lineRule="exact"/>
        <w:rPr>
          <w:sz w:val="20"/>
          <w:szCs w:val="20"/>
          <w:color w:val="auto"/>
        </w:rPr>
      </w:pPr>
    </w:p>
    <w:tbl>
      <w:tblPr>
        <w:tblLayout w:type="fixed"/>
        <w:tblInd w:w="3020" w:type="dxa"/>
        <w:tblCellMar>
          <w:top w:w="0" w:type="dxa"/>
          <w:left w:w="0" w:type="dxa"/>
          <w:bottom w:w="0" w:type="dxa"/>
          <w:right w:w="0" w:type="dxa"/>
        </w:tblCellMar>
      </w:tblPr>
      <w:tr>
        <w:trPr>
          <w:trHeight w:val="195"/>
        </w:trPr>
        <w:tc>
          <w:tcPr>
            <w:tcW w:w="1860" w:type="dxa"/>
            <w:vAlign w:val="bottom"/>
          </w:tcPr>
          <w:p>
            <w:pPr>
              <w:spacing w:after="0"/>
              <w:rPr>
                <w:sz w:val="20"/>
                <w:szCs w:val="20"/>
                <w:color w:val="auto"/>
              </w:rPr>
            </w:pPr>
            <w:r>
              <w:rPr>
                <w:rFonts w:ascii="Arial" w:cs="Arial" w:eastAsia="Arial" w:hAnsi="Arial"/>
                <w:sz w:val="17"/>
                <w:szCs w:val="17"/>
                <w:color w:val="333333"/>
              </w:rPr>
              <w:t>Number of Contingent</w:t>
            </w:r>
          </w:p>
        </w:tc>
        <w:tc>
          <w:tcPr>
            <w:tcW w:w="2020" w:type="dxa"/>
            <w:vAlign w:val="bottom"/>
          </w:tcPr>
          <w:p>
            <w:pPr>
              <w:ind w:left="220"/>
              <w:spacing w:after="0"/>
              <w:rPr>
                <w:sz w:val="20"/>
                <w:szCs w:val="20"/>
                <w:color w:val="auto"/>
              </w:rPr>
            </w:pPr>
            <w:r>
              <w:rPr>
                <w:rFonts w:ascii="Arial" w:cs="Arial" w:eastAsia="Arial" w:hAnsi="Arial"/>
                <w:sz w:val="17"/>
                <w:szCs w:val="17"/>
                <w:color w:val="333333"/>
                <w:w w:val="95"/>
              </w:rPr>
              <w:t>Total Contingent Interest</w:t>
            </w:r>
          </w:p>
        </w:tc>
      </w:tr>
      <w:tr>
        <w:trPr>
          <w:trHeight w:val="221"/>
        </w:trPr>
        <w:tc>
          <w:tcPr>
            <w:tcW w:w="1860" w:type="dxa"/>
            <w:vAlign w:val="bottom"/>
          </w:tcPr>
          <w:p>
            <w:pPr>
              <w:spacing w:after="0"/>
              <w:rPr>
                <w:sz w:val="20"/>
                <w:szCs w:val="20"/>
                <w:color w:val="auto"/>
              </w:rPr>
            </w:pPr>
            <w:r>
              <w:rPr>
                <w:rFonts w:ascii="Arial" w:cs="Arial" w:eastAsia="Arial" w:hAnsi="Arial"/>
                <w:sz w:val="17"/>
                <w:szCs w:val="17"/>
                <w:color w:val="333333"/>
              </w:rPr>
              <w:t xml:space="preserve">Interest </w:t>
            </w:r>
            <w:r>
              <w:rPr>
                <w:rFonts w:ascii="Arial" w:cs="Arial" w:eastAsia="Arial" w:hAnsi="Arial"/>
                <w:sz w:val="17"/>
                <w:szCs w:val="17"/>
                <w:color w:val="404040"/>
              </w:rPr>
              <w:t>Payments</w:t>
            </w:r>
          </w:p>
        </w:tc>
        <w:tc>
          <w:tcPr>
            <w:tcW w:w="2020" w:type="dxa"/>
            <w:vAlign w:val="bottom"/>
          </w:tcPr>
          <w:p>
            <w:pPr>
              <w:ind w:left="220"/>
              <w:spacing w:after="0"/>
              <w:rPr>
                <w:sz w:val="20"/>
                <w:szCs w:val="20"/>
                <w:color w:val="auto"/>
              </w:rPr>
            </w:pPr>
            <w:r>
              <w:rPr>
                <w:rFonts w:ascii="Arial" w:cs="Arial" w:eastAsia="Arial" w:hAnsi="Arial"/>
                <w:sz w:val="17"/>
                <w:szCs w:val="17"/>
                <w:color w:val="404040"/>
              </w:rPr>
              <w:t>Payments</w:t>
            </w:r>
          </w:p>
        </w:tc>
      </w:tr>
      <w:tr>
        <w:trPr>
          <w:trHeight w:val="278"/>
        </w:trPr>
        <w:tc>
          <w:tcPr>
            <w:tcW w:w="1860" w:type="dxa"/>
            <w:vAlign w:val="bottom"/>
          </w:tcPr>
          <w:p>
            <w:pPr>
              <w:spacing w:after="0"/>
              <w:rPr>
                <w:sz w:val="20"/>
                <w:szCs w:val="20"/>
                <w:color w:val="auto"/>
              </w:rPr>
            </w:pPr>
            <w:r>
              <w:rPr>
                <w:rFonts w:ascii="Arial" w:cs="Arial" w:eastAsia="Arial" w:hAnsi="Arial"/>
                <w:sz w:val="17"/>
                <w:szCs w:val="17"/>
                <w:color w:val="404040"/>
              </w:rPr>
              <w:t>36</w:t>
            </w:r>
          </w:p>
        </w:tc>
        <w:tc>
          <w:tcPr>
            <w:tcW w:w="2020" w:type="dxa"/>
            <w:vAlign w:val="bottom"/>
          </w:tcPr>
          <w:p>
            <w:pPr>
              <w:ind w:left="220"/>
              <w:spacing w:after="0"/>
              <w:rPr>
                <w:sz w:val="20"/>
                <w:szCs w:val="20"/>
                <w:color w:val="auto"/>
              </w:rPr>
            </w:pPr>
            <w:r>
              <w:rPr>
                <w:rFonts w:ascii="Arial" w:cs="Arial" w:eastAsia="Arial" w:hAnsi="Arial"/>
                <w:sz w:val="17"/>
                <w:szCs w:val="17"/>
                <w:color w:val="404040"/>
              </w:rPr>
              <w:t>$303.0000</w:t>
            </w:r>
          </w:p>
        </w:tc>
      </w:tr>
      <w:tr>
        <w:trPr>
          <w:trHeight w:val="278"/>
        </w:trPr>
        <w:tc>
          <w:tcPr>
            <w:tcW w:w="1860" w:type="dxa"/>
            <w:vAlign w:val="bottom"/>
          </w:tcPr>
          <w:p>
            <w:pPr>
              <w:spacing w:after="0"/>
              <w:rPr>
                <w:sz w:val="20"/>
                <w:szCs w:val="20"/>
                <w:color w:val="auto"/>
              </w:rPr>
            </w:pPr>
            <w:r>
              <w:rPr>
                <w:rFonts w:ascii="Arial" w:cs="Arial" w:eastAsia="Arial" w:hAnsi="Arial"/>
                <w:sz w:val="17"/>
                <w:szCs w:val="17"/>
                <w:color w:val="404040"/>
              </w:rPr>
              <w:t>35</w:t>
            </w:r>
          </w:p>
        </w:tc>
        <w:tc>
          <w:tcPr>
            <w:tcW w:w="2020" w:type="dxa"/>
            <w:vAlign w:val="bottom"/>
          </w:tcPr>
          <w:p>
            <w:pPr>
              <w:ind w:left="220"/>
              <w:spacing w:after="0"/>
              <w:rPr>
                <w:sz w:val="20"/>
                <w:szCs w:val="20"/>
                <w:color w:val="auto"/>
              </w:rPr>
            </w:pPr>
            <w:r>
              <w:rPr>
                <w:rFonts w:ascii="Arial" w:cs="Arial" w:eastAsia="Arial" w:hAnsi="Arial"/>
                <w:sz w:val="17"/>
                <w:szCs w:val="17"/>
                <w:color w:val="404040"/>
              </w:rPr>
              <w:t>$294.5833</w:t>
            </w:r>
          </w:p>
        </w:tc>
      </w:tr>
      <w:tr>
        <w:trPr>
          <w:trHeight w:val="278"/>
        </w:trPr>
        <w:tc>
          <w:tcPr>
            <w:tcW w:w="1860" w:type="dxa"/>
            <w:vAlign w:val="bottom"/>
          </w:tcPr>
          <w:p>
            <w:pPr>
              <w:spacing w:after="0"/>
              <w:rPr>
                <w:sz w:val="20"/>
                <w:szCs w:val="20"/>
                <w:color w:val="auto"/>
              </w:rPr>
            </w:pPr>
            <w:r>
              <w:rPr>
                <w:rFonts w:ascii="Arial" w:cs="Arial" w:eastAsia="Arial" w:hAnsi="Arial"/>
                <w:sz w:val="17"/>
                <w:szCs w:val="17"/>
                <w:color w:val="404040"/>
              </w:rPr>
              <w:t>34</w:t>
            </w:r>
          </w:p>
        </w:tc>
        <w:tc>
          <w:tcPr>
            <w:tcW w:w="2020" w:type="dxa"/>
            <w:vAlign w:val="bottom"/>
          </w:tcPr>
          <w:p>
            <w:pPr>
              <w:ind w:left="220"/>
              <w:spacing w:after="0"/>
              <w:rPr>
                <w:sz w:val="20"/>
                <w:szCs w:val="20"/>
                <w:color w:val="auto"/>
              </w:rPr>
            </w:pPr>
            <w:r>
              <w:rPr>
                <w:rFonts w:ascii="Arial" w:cs="Arial" w:eastAsia="Arial" w:hAnsi="Arial"/>
                <w:sz w:val="17"/>
                <w:szCs w:val="17"/>
                <w:color w:val="404040"/>
              </w:rPr>
              <w:t>$286.1667</w:t>
            </w:r>
          </w:p>
        </w:tc>
      </w:tr>
      <w:tr>
        <w:trPr>
          <w:trHeight w:val="265"/>
        </w:trPr>
        <w:tc>
          <w:tcPr>
            <w:tcW w:w="1860" w:type="dxa"/>
            <w:vAlign w:val="bottom"/>
          </w:tcPr>
          <w:p>
            <w:pPr>
              <w:spacing w:after="0"/>
              <w:rPr>
                <w:sz w:val="20"/>
                <w:szCs w:val="20"/>
                <w:color w:val="auto"/>
              </w:rPr>
            </w:pPr>
            <w:r>
              <w:rPr>
                <w:rFonts w:ascii="Arial" w:cs="Arial" w:eastAsia="Arial" w:hAnsi="Arial"/>
                <w:sz w:val="17"/>
                <w:szCs w:val="17"/>
                <w:color w:val="404040"/>
              </w:rPr>
              <w:t>33</w:t>
            </w:r>
          </w:p>
        </w:tc>
        <w:tc>
          <w:tcPr>
            <w:tcW w:w="2020" w:type="dxa"/>
            <w:vAlign w:val="bottom"/>
          </w:tcPr>
          <w:p>
            <w:pPr>
              <w:ind w:left="220"/>
              <w:spacing w:after="0"/>
              <w:rPr>
                <w:sz w:val="20"/>
                <w:szCs w:val="20"/>
                <w:color w:val="auto"/>
              </w:rPr>
            </w:pPr>
            <w:r>
              <w:rPr>
                <w:rFonts w:ascii="Arial" w:cs="Arial" w:eastAsia="Arial" w:hAnsi="Arial"/>
                <w:sz w:val="17"/>
                <w:szCs w:val="17"/>
                <w:color w:val="404040"/>
              </w:rPr>
              <w:t>$277.7500</w:t>
            </w:r>
          </w:p>
        </w:tc>
      </w:tr>
      <w:tr>
        <w:trPr>
          <w:trHeight w:val="278"/>
        </w:trPr>
        <w:tc>
          <w:tcPr>
            <w:tcW w:w="1860" w:type="dxa"/>
            <w:vAlign w:val="bottom"/>
          </w:tcPr>
          <w:p>
            <w:pPr>
              <w:spacing w:after="0"/>
              <w:rPr>
                <w:sz w:val="20"/>
                <w:szCs w:val="20"/>
                <w:color w:val="auto"/>
              </w:rPr>
            </w:pPr>
            <w:r>
              <w:rPr>
                <w:rFonts w:ascii="Arial" w:cs="Arial" w:eastAsia="Arial" w:hAnsi="Arial"/>
                <w:sz w:val="17"/>
                <w:szCs w:val="17"/>
                <w:color w:val="404040"/>
              </w:rPr>
              <w:t>32</w:t>
            </w:r>
          </w:p>
        </w:tc>
        <w:tc>
          <w:tcPr>
            <w:tcW w:w="2020" w:type="dxa"/>
            <w:vAlign w:val="bottom"/>
          </w:tcPr>
          <w:p>
            <w:pPr>
              <w:ind w:left="220"/>
              <w:spacing w:after="0"/>
              <w:rPr>
                <w:sz w:val="20"/>
                <w:szCs w:val="20"/>
                <w:color w:val="auto"/>
              </w:rPr>
            </w:pPr>
            <w:r>
              <w:rPr>
                <w:rFonts w:ascii="Arial" w:cs="Arial" w:eastAsia="Arial" w:hAnsi="Arial"/>
                <w:sz w:val="17"/>
                <w:szCs w:val="17"/>
                <w:color w:val="404040"/>
              </w:rPr>
              <w:t>$269.3333</w:t>
            </w:r>
          </w:p>
        </w:tc>
      </w:tr>
      <w:tr>
        <w:trPr>
          <w:trHeight w:val="278"/>
        </w:trPr>
        <w:tc>
          <w:tcPr>
            <w:tcW w:w="1860" w:type="dxa"/>
            <w:vAlign w:val="bottom"/>
          </w:tcPr>
          <w:p>
            <w:pPr>
              <w:spacing w:after="0"/>
              <w:rPr>
                <w:sz w:val="20"/>
                <w:szCs w:val="20"/>
                <w:color w:val="auto"/>
              </w:rPr>
            </w:pPr>
            <w:r>
              <w:rPr>
                <w:rFonts w:ascii="Arial" w:cs="Arial" w:eastAsia="Arial" w:hAnsi="Arial"/>
                <w:sz w:val="17"/>
                <w:szCs w:val="17"/>
                <w:color w:val="404040"/>
              </w:rPr>
              <w:t>31</w:t>
            </w:r>
          </w:p>
        </w:tc>
        <w:tc>
          <w:tcPr>
            <w:tcW w:w="2020" w:type="dxa"/>
            <w:vAlign w:val="bottom"/>
          </w:tcPr>
          <w:p>
            <w:pPr>
              <w:ind w:left="220"/>
              <w:spacing w:after="0"/>
              <w:rPr>
                <w:sz w:val="20"/>
                <w:szCs w:val="20"/>
                <w:color w:val="auto"/>
              </w:rPr>
            </w:pPr>
            <w:r>
              <w:rPr>
                <w:rFonts w:ascii="Arial" w:cs="Arial" w:eastAsia="Arial" w:hAnsi="Arial"/>
                <w:sz w:val="17"/>
                <w:szCs w:val="17"/>
                <w:color w:val="404040"/>
              </w:rPr>
              <w:t>$260.9167</w:t>
            </w:r>
          </w:p>
        </w:tc>
      </w:tr>
      <w:tr>
        <w:trPr>
          <w:trHeight w:val="278"/>
        </w:trPr>
        <w:tc>
          <w:tcPr>
            <w:tcW w:w="1860" w:type="dxa"/>
            <w:vAlign w:val="bottom"/>
          </w:tcPr>
          <w:p>
            <w:pPr>
              <w:spacing w:after="0"/>
              <w:rPr>
                <w:sz w:val="20"/>
                <w:szCs w:val="20"/>
                <w:color w:val="auto"/>
              </w:rPr>
            </w:pPr>
            <w:r>
              <w:rPr>
                <w:rFonts w:ascii="Arial" w:cs="Arial" w:eastAsia="Arial" w:hAnsi="Arial"/>
                <w:sz w:val="17"/>
                <w:szCs w:val="17"/>
                <w:color w:val="404040"/>
              </w:rPr>
              <w:t>30</w:t>
            </w:r>
          </w:p>
        </w:tc>
        <w:tc>
          <w:tcPr>
            <w:tcW w:w="2020" w:type="dxa"/>
            <w:vAlign w:val="bottom"/>
          </w:tcPr>
          <w:p>
            <w:pPr>
              <w:ind w:left="220"/>
              <w:spacing w:after="0"/>
              <w:rPr>
                <w:sz w:val="20"/>
                <w:szCs w:val="20"/>
                <w:color w:val="auto"/>
              </w:rPr>
            </w:pPr>
            <w:r>
              <w:rPr>
                <w:rFonts w:ascii="Arial" w:cs="Arial" w:eastAsia="Arial" w:hAnsi="Arial"/>
                <w:sz w:val="17"/>
                <w:szCs w:val="17"/>
                <w:color w:val="404040"/>
              </w:rPr>
              <w:t>$252.5000</w:t>
            </w:r>
          </w:p>
        </w:tc>
      </w:tr>
      <w:tr>
        <w:trPr>
          <w:trHeight w:val="278"/>
        </w:trPr>
        <w:tc>
          <w:tcPr>
            <w:tcW w:w="1860" w:type="dxa"/>
            <w:vAlign w:val="bottom"/>
          </w:tcPr>
          <w:p>
            <w:pPr>
              <w:spacing w:after="0"/>
              <w:rPr>
                <w:sz w:val="20"/>
                <w:szCs w:val="20"/>
                <w:color w:val="auto"/>
              </w:rPr>
            </w:pPr>
            <w:r>
              <w:rPr>
                <w:rFonts w:ascii="Arial" w:cs="Arial" w:eastAsia="Arial" w:hAnsi="Arial"/>
                <w:sz w:val="17"/>
                <w:szCs w:val="17"/>
                <w:color w:val="404040"/>
              </w:rPr>
              <w:t>29</w:t>
            </w:r>
          </w:p>
        </w:tc>
        <w:tc>
          <w:tcPr>
            <w:tcW w:w="2020" w:type="dxa"/>
            <w:vAlign w:val="bottom"/>
          </w:tcPr>
          <w:p>
            <w:pPr>
              <w:ind w:left="220"/>
              <w:spacing w:after="0"/>
              <w:rPr>
                <w:sz w:val="20"/>
                <w:szCs w:val="20"/>
                <w:color w:val="auto"/>
              </w:rPr>
            </w:pPr>
            <w:r>
              <w:rPr>
                <w:rFonts w:ascii="Arial" w:cs="Arial" w:eastAsia="Arial" w:hAnsi="Arial"/>
                <w:sz w:val="17"/>
                <w:szCs w:val="17"/>
                <w:color w:val="404040"/>
              </w:rPr>
              <w:t>$244.0833</w:t>
            </w:r>
          </w:p>
        </w:tc>
      </w:tr>
      <w:tr>
        <w:trPr>
          <w:trHeight w:val="265"/>
        </w:trPr>
        <w:tc>
          <w:tcPr>
            <w:tcW w:w="1860" w:type="dxa"/>
            <w:vAlign w:val="bottom"/>
          </w:tcPr>
          <w:p>
            <w:pPr>
              <w:spacing w:after="0"/>
              <w:rPr>
                <w:sz w:val="20"/>
                <w:szCs w:val="20"/>
                <w:color w:val="auto"/>
              </w:rPr>
            </w:pPr>
            <w:r>
              <w:rPr>
                <w:rFonts w:ascii="Arial" w:cs="Arial" w:eastAsia="Arial" w:hAnsi="Arial"/>
                <w:sz w:val="17"/>
                <w:szCs w:val="17"/>
                <w:color w:val="404040"/>
              </w:rPr>
              <w:t>28</w:t>
            </w:r>
          </w:p>
        </w:tc>
        <w:tc>
          <w:tcPr>
            <w:tcW w:w="2020" w:type="dxa"/>
            <w:vAlign w:val="bottom"/>
          </w:tcPr>
          <w:p>
            <w:pPr>
              <w:ind w:left="220"/>
              <w:spacing w:after="0"/>
              <w:rPr>
                <w:sz w:val="20"/>
                <w:szCs w:val="20"/>
                <w:color w:val="auto"/>
              </w:rPr>
            </w:pPr>
            <w:r>
              <w:rPr>
                <w:rFonts w:ascii="Arial" w:cs="Arial" w:eastAsia="Arial" w:hAnsi="Arial"/>
                <w:sz w:val="17"/>
                <w:szCs w:val="17"/>
                <w:color w:val="404040"/>
              </w:rPr>
              <w:t>$235.6667</w:t>
            </w:r>
          </w:p>
        </w:tc>
      </w:tr>
      <w:tr>
        <w:trPr>
          <w:trHeight w:val="278"/>
        </w:trPr>
        <w:tc>
          <w:tcPr>
            <w:tcW w:w="1860" w:type="dxa"/>
            <w:vAlign w:val="bottom"/>
          </w:tcPr>
          <w:p>
            <w:pPr>
              <w:spacing w:after="0"/>
              <w:rPr>
                <w:sz w:val="20"/>
                <w:szCs w:val="20"/>
                <w:color w:val="auto"/>
              </w:rPr>
            </w:pPr>
            <w:r>
              <w:rPr>
                <w:rFonts w:ascii="Arial" w:cs="Arial" w:eastAsia="Arial" w:hAnsi="Arial"/>
                <w:sz w:val="17"/>
                <w:szCs w:val="17"/>
                <w:color w:val="404040"/>
              </w:rPr>
              <w:t>27</w:t>
            </w:r>
          </w:p>
        </w:tc>
        <w:tc>
          <w:tcPr>
            <w:tcW w:w="2020" w:type="dxa"/>
            <w:vAlign w:val="bottom"/>
          </w:tcPr>
          <w:p>
            <w:pPr>
              <w:ind w:left="220"/>
              <w:spacing w:after="0"/>
              <w:rPr>
                <w:sz w:val="20"/>
                <w:szCs w:val="20"/>
                <w:color w:val="auto"/>
              </w:rPr>
            </w:pPr>
            <w:r>
              <w:rPr>
                <w:rFonts w:ascii="Arial" w:cs="Arial" w:eastAsia="Arial" w:hAnsi="Arial"/>
                <w:sz w:val="17"/>
                <w:szCs w:val="17"/>
                <w:color w:val="404040"/>
              </w:rPr>
              <w:t>$227.2500</w:t>
            </w:r>
          </w:p>
        </w:tc>
      </w:tr>
      <w:tr>
        <w:trPr>
          <w:trHeight w:val="278"/>
        </w:trPr>
        <w:tc>
          <w:tcPr>
            <w:tcW w:w="1860" w:type="dxa"/>
            <w:vAlign w:val="bottom"/>
          </w:tcPr>
          <w:p>
            <w:pPr>
              <w:spacing w:after="0"/>
              <w:rPr>
                <w:sz w:val="20"/>
                <w:szCs w:val="20"/>
                <w:color w:val="auto"/>
              </w:rPr>
            </w:pPr>
            <w:r>
              <w:rPr>
                <w:rFonts w:ascii="Arial" w:cs="Arial" w:eastAsia="Arial" w:hAnsi="Arial"/>
                <w:sz w:val="17"/>
                <w:szCs w:val="17"/>
                <w:color w:val="404040"/>
              </w:rPr>
              <w:t>26</w:t>
            </w:r>
          </w:p>
        </w:tc>
        <w:tc>
          <w:tcPr>
            <w:tcW w:w="2020" w:type="dxa"/>
            <w:vAlign w:val="bottom"/>
          </w:tcPr>
          <w:p>
            <w:pPr>
              <w:ind w:left="220"/>
              <w:spacing w:after="0"/>
              <w:rPr>
                <w:sz w:val="20"/>
                <w:szCs w:val="20"/>
                <w:color w:val="auto"/>
              </w:rPr>
            </w:pPr>
            <w:r>
              <w:rPr>
                <w:rFonts w:ascii="Arial" w:cs="Arial" w:eastAsia="Arial" w:hAnsi="Arial"/>
                <w:sz w:val="17"/>
                <w:szCs w:val="17"/>
                <w:color w:val="404040"/>
              </w:rPr>
              <w:t>$218.8333</w:t>
            </w:r>
          </w:p>
        </w:tc>
      </w:tr>
      <w:tr>
        <w:trPr>
          <w:trHeight w:val="278"/>
        </w:trPr>
        <w:tc>
          <w:tcPr>
            <w:tcW w:w="1860" w:type="dxa"/>
            <w:vAlign w:val="bottom"/>
          </w:tcPr>
          <w:p>
            <w:pPr>
              <w:spacing w:after="0"/>
              <w:rPr>
                <w:sz w:val="20"/>
                <w:szCs w:val="20"/>
                <w:color w:val="auto"/>
              </w:rPr>
            </w:pPr>
            <w:r>
              <w:rPr>
                <w:rFonts w:ascii="Arial" w:cs="Arial" w:eastAsia="Arial" w:hAnsi="Arial"/>
                <w:sz w:val="17"/>
                <w:szCs w:val="17"/>
                <w:color w:val="404040"/>
              </w:rPr>
              <w:t>25</w:t>
            </w:r>
          </w:p>
        </w:tc>
        <w:tc>
          <w:tcPr>
            <w:tcW w:w="2020" w:type="dxa"/>
            <w:vAlign w:val="bottom"/>
          </w:tcPr>
          <w:p>
            <w:pPr>
              <w:ind w:left="220"/>
              <w:spacing w:after="0"/>
              <w:rPr>
                <w:sz w:val="20"/>
                <w:szCs w:val="20"/>
                <w:color w:val="auto"/>
              </w:rPr>
            </w:pPr>
            <w:r>
              <w:rPr>
                <w:rFonts w:ascii="Arial" w:cs="Arial" w:eastAsia="Arial" w:hAnsi="Arial"/>
                <w:sz w:val="17"/>
                <w:szCs w:val="17"/>
                <w:color w:val="404040"/>
              </w:rPr>
              <w:t>$210.4167</w:t>
            </w:r>
          </w:p>
        </w:tc>
      </w:tr>
      <w:tr>
        <w:trPr>
          <w:trHeight w:val="278"/>
        </w:trPr>
        <w:tc>
          <w:tcPr>
            <w:tcW w:w="1860" w:type="dxa"/>
            <w:vAlign w:val="bottom"/>
          </w:tcPr>
          <w:p>
            <w:pPr>
              <w:spacing w:after="0"/>
              <w:rPr>
                <w:sz w:val="20"/>
                <w:szCs w:val="20"/>
                <w:color w:val="auto"/>
              </w:rPr>
            </w:pPr>
            <w:r>
              <w:rPr>
                <w:rFonts w:ascii="Arial" w:cs="Arial" w:eastAsia="Arial" w:hAnsi="Arial"/>
                <w:sz w:val="17"/>
                <w:szCs w:val="17"/>
                <w:color w:val="404040"/>
              </w:rPr>
              <w:t>24</w:t>
            </w:r>
          </w:p>
        </w:tc>
        <w:tc>
          <w:tcPr>
            <w:tcW w:w="2020" w:type="dxa"/>
            <w:vAlign w:val="bottom"/>
          </w:tcPr>
          <w:p>
            <w:pPr>
              <w:ind w:left="220"/>
              <w:spacing w:after="0"/>
              <w:rPr>
                <w:sz w:val="20"/>
                <w:szCs w:val="20"/>
                <w:color w:val="auto"/>
              </w:rPr>
            </w:pPr>
            <w:r>
              <w:rPr>
                <w:rFonts w:ascii="Arial" w:cs="Arial" w:eastAsia="Arial" w:hAnsi="Arial"/>
                <w:sz w:val="17"/>
                <w:szCs w:val="17"/>
                <w:color w:val="404040"/>
              </w:rPr>
              <w:t>$202.0000</w:t>
            </w:r>
          </w:p>
        </w:tc>
      </w:tr>
      <w:tr>
        <w:trPr>
          <w:trHeight w:val="265"/>
        </w:trPr>
        <w:tc>
          <w:tcPr>
            <w:tcW w:w="1860" w:type="dxa"/>
            <w:vAlign w:val="bottom"/>
          </w:tcPr>
          <w:p>
            <w:pPr>
              <w:spacing w:after="0"/>
              <w:rPr>
                <w:sz w:val="20"/>
                <w:szCs w:val="20"/>
                <w:color w:val="auto"/>
              </w:rPr>
            </w:pPr>
            <w:r>
              <w:rPr>
                <w:rFonts w:ascii="Arial" w:cs="Arial" w:eastAsia="Arial" w:hAnsi="Arial"/>
                <w:sz w:val="17"/>
                <w:szCs w:val="17"/>
                <w:color w:val="404040"/>
              </w:rPr>
              <w:t>23</w:t>
            </w:r>
          </w:p>
        </w:tc>
        <w:tc>
          <w:tcPr>
            <w:tcW w:w="2020" w:type="dxa"/>
            <w:vAlign w:val="bottom"/>
          </w:tcPr>
          <w:p>
            <w:pPr>
              <w:ind w:left="220"/>
              <w:spacing w:after="0"/>
              <w:rPr>
                <w:sz w:val="20"/>
                <w:szCs w:val="20"/>
                <w:color w:val="auto"/>
              </w:rPr>
            </w:pPr>
            <w:r>
              <w:rPr>
                <w:rFonts w:ascii="Arial" w:cs="Arial" w:eastAsia="Arial" w:hAnsi="Arial"/>
                <w:sz w:val="17"/>
                <w:szCs w:val="17"/>
                <w:color w:val="404040"/>
              </w:rPr>
              <w:t>$193.5833</w:t>
            </w:r>
          </w:p>
        </w:tc>
      </w:tr>
      <w:tr>
        <w:trPr>
          <w:trHeight w:val="278"/>
        </w:trPr>
        <w:tc>
          <w:tcPr>
            <w:tcW w:w="1860" w:type="dxa"/>
            <w:vAlign w:val="bottom"/>
          </w:tcPr>
          <w:p>
            <w:pPr>
              <w:spacing w:after="0"/>
              <w:rPr>
                <w:sz w:val="20"/>
                <w:szCs w:val="20"/>
                <w:color w:val="auto"/>
              </w:rPr>
            </w:pPr>
            <w:r>
              <w:rPr>
                <w:rFonts w:ascii="Arial" w:cs="Arial" w:eastAsia="Arial" w:hAnsi="Arial"/>
                <w:sz w:val="17"/>
                <w:szCs w:val="17"/>
                <w:color w:val="404040"/>
              </w:rPr>
              <w:t>22</w:t>
            </w:r>
          </w:p>
        </w:tc>
        <w:tc>
          <w:tcPr>
            <w:tcW w:w="2020" w:type="dxa"/>
            <w:vAlign w:val="bottom"/>
          </w:tcPr>
          <w:p>
            <w:pPr>
              <w:ind w:left="220"/>
              <w:spacing w:after="0"/>
              <w:rPr>
                <w:sz w:val="20"/>
                <w:szCs w:val="20"/>
                <w:color w:val="auto"/>
              </w:rPr>
            </w:pPr>
            <w:r>
              <w:rPr>
                <w:rFonts w:ascii="Arial" w:cs="Arial" w:eastAsia="Arial" w:hAnsi="Arial"/>
                <w:sz w:val="17"/>
                <w:szCs w:val="17"/>
                <w:color w:val="404040"/>
              </w:rPr>
              <w:t>$185.1667</w:t>
            </w:r>
          </w:p>
        </w:tc>
      </w:tr>
      <w:tr>
        <w:trPr>
          <w:trHeight w:val="278"/>
        </w:trPr>
        <w:tc>
          <w:tcPr>
            <w:tcW w:w="1860" w:type="dxa"/>
            <w:vAlign w:val="bottom"/>
          </w:tcPr>
          <w:p>
            <w:pPr>
              <w:spacing w:after="0"/>
              <w:rPr>
                <w:sz w:val="20"/>
                <w:szCs w:val="20"/>
                <w:color w:val="auto"/>
              </w:rPr>
            </w:pPr>
            <w:r>
              <w:rPr>
                <w:rFonts w:ascii="Arial" w:cs="Arial" w:eastAsia="Arial" w:hAnsi="Arial"/>
                <w:sz w:val="17"/>
                <w:szCs w:val="17"/>
                <w:color w:val="404040"/>
              </w:rPr>
              <w:t>21</w:t>
            </w:r>
          </w:p>
        </w:tc>
        <w:tc>
          <w:tcPr>
            <w:tcW w:w="2020" w:type="dxa"/>
            <w:vAlign w:val="bottom"/>
          </w:tcPr>
          <w:p>
            <w:pPr>
              <w:ind w:left="220"/>
              <w:spacing w:after="0"/>
              <w:rPr>
                <w:sz w:val="20"/>
                <w:szCs w:val="20"/>
                <w:color w:val="auto"/>
              </w:rPr>
            </w:pPr>
            <w:r>
              <w:rPr>
                <w:rFonts w:ascii="Arial" w:cs="Arial" w:eastAsia="Arial" w:hAnsi="Arial"/>
                <w:sz w:val="17"/>
                <w:szCs w:val="17"/>
                <w:color w:val="404040"/>
              </w:rPr>
              <w:t>$176.7500</w:t>
            </w:r>
          </w:p>
        </w:tc>
      </w:tr>
      <w:tr>
        <w:trPr>
          <w:trHeight w:val="278"/>
        </w:trPr>
        <w:tc>
          <w:tcPr>
            <w:tcW w:w="1860" w:type="dxa"/>
            <w:vAlign w:val="bottom"/>
          </w:tcPr>
          <w:p>
            <w:pPr>
              <w:spacing w:after="0"/>
              <w:rPr>
                <w:sz w:val="20"/>
                <w:szCs w:val="20"/>
                <w:color w:val="auto"/>
              </w:rPr>
            </w:pPr>
            <w:r>
              <w:rPr>
                <w:rFonts w:ascii="Arial" w:cs="Arial" w:eastAsia="Arial" w:hAnsi="Arial"/>
                <w:sz w:val="17"/>
                <w:szCs w:val="17"/>
                <w:color w:val="404040"/>
              </w:rPr>
              <w:t>20</w:t>
            </w:r>
          </w:p>
        </w:tc>
        <w:tc>
          <w:tcPr>
            <w:tcW w:w="2020" w:type="dxa"/>
            <w:vAlign w:val="bottom"/>
          </w:tcPr>
          <w:p>
            <w:pPr>
              <w:ind w:left="220"/>
              <w:spacing w:after="0"/>
              <w:rPr>
                <w:sz w:val="20"/>
                <w:szCs w:val="20"/>
                <w:color w:val="auto"/>
              </w:rPr>
            </w:pPr>
            <w:r>
              <w:rPr>
                <w:rFonts w:ascii="Arial" w:cs="Arial" w:eastAsia="Arial" w:hAnsi="Arial"/>
                <w:sz w:val="17"/>
                <w:szCs w:val="17"/>
                <w:color w:val="404040"/>
              </w:rPr>
              <w:t>$168.3333</w:t>
            </w:r>
          </w:p>
        </w:tc>
      </w:tr>
      <w:tr>
        <w:trPr>
          <w:trHeight w:val="265"/>
        </w:trPr>
        <w:tc>
          <w:tcPr>
            <w:tcW w:w="1860" w:type="dxa"/>
            <w:vAlign w:val="bottom"/>
          </w:tcPr>
          <w:p>
            <w:pPr>
              <w:spacing w:after="0"/>
              <w:rPr>
                <w:sz w:val="20"/>
                <w:szCs w:val="20"/>
                <w:color w:val="auto"/>
              </w:rPr>
            </w:pPr>
            <w:r>
              <w:rPr>
                <w:rFonts w:ascii="Arial" w:cs="Arial" w:eastAsia="Arial" w:hAnsi="Arial"/>
                <w:sz w:val="17"/>
                <w:szCs w:val="17"/>
                <w:color w:val="404040"/>
              </w:rPr>
              <w:t>19</w:t>
            </w:r>
          </w:p>
        </w:tc>
        <w:tc>
          <w:tcPr>
            <w:tcW w:w="2020" w:type="dxa"/>
            <w:vAlign w:val="bottom"/>
          </w:tcPr>
          <w:p>
            <w:pPr>
              <w:ind w:left="220"/>
              <w:spacing w:after="0"/>
              <w:rPr>
                <w:sz w:val="20"/>
                <w:szCs w:val="20"/>
                <w:color w:val="auto"/>
              </w:rPr>
            </w:pPr>
            <w:r>
              <w:rPr>
                <w:rFonts w:ascii="Arial" w:cs="Arial" w:eastAsia="Arial" w:hAnsi="Arial"/>
                <w:sz w:val="17"/>
                <w:szCs w:val="17"/>
                <w:color w:val="404040"/>
              </w:rPr>
              <w:t>$159.9167</w:t>
            </w:r>
          </w:p>
        </w:tc>
      </w:tr>
      <w:tr>
        <w:trPr>
          <w:trHeight w:val="278"/>
        </w:trPr>
        <w:tc>
          <w:tcPr>
            <w:tcW w:w="1860" w:type="dxa"/>
            <w:vAlign w:val="bottom"/>
          </w:tcPr>
          <w:p>
            <w:pPr>
              <w:spacing w:after="0"/>
              <w:rPr>
                <w:sz w:val="20"/>
                <w:szCs w:val="20"/>
                <w:color w:val="auto"/>
              </w:rPr>
            </w:pPr>
            <w:r>
              <w:rPr>
                <w:rFonts w:ascii="Arial" w:cs="Arial" w:eastAsia="Arial" w:hAnsi="Arial"/>
                <w:sz w:val="17"/>
                <w:szCs w:val="17"/>
                <w:color w:val="404040"/>
              </w:rPr>
              <w:t>18</w:t>
            </w:r>
          </w:p>
        </w:tc>
        <w:tc>
          <w:tcPr>
            <w:tcW w:w="2020" w:type="dxa"/>
            <w:vAlign w:val="bottom"/>
          </w:tcPr>
          <w:p>
            <w:pPr>
              <w:ind w:left="220"/>
              <w:spacing w:after="0"/>
              <w:rPr>
                <w:sz w:val="20"/>
                <w:szCs w:val="20"/>
                <w:color w:val="auto"/>
              </w:rPr>
            </w:pPr>
            <w:r>
              <w:rPr>
                <w:rFonts w:ascii="Arial" w:cs="Arial" w:eastAsia="Arial" w:hAnsi="Arial"/>
                <w:sz w:val="17"/>
                <w:szCs w:val="17"/>
                <w:color w:val="404040"/>
              </w:rPr>
              <w:t>$151.5000</w:t>
            </w:r>
          </w:p>
        </w:tc>
      </w:tr>
      <w:tr>
        <w:trPr>
          <w:trHeight w:val="278"/>
        </w:trPr>
        <w:tc>
          <w:tcPr>
            <w:tcW w:w="1860" w:type="dxa"/>
            <w:vAlign w:val="bottom"/>
          </w:tcPr>
          <w:p>
            <w:pPr>
              <w:spacing w:after="0"/>
              <w:rPr>
                <w:sz w:val="20"/>
                <w:szCs w:val="20"/>
                <w:color w:val="auto"/>
              </w:rPr>
            </w:pPr>
            <w:r>
              <w:rPr>
                <w:rFonts w:ascii="Arial" w:cs="Arial" w:eastAsia="Arial" w:hAnsi="Arial"/>
                <w:sz w:val="17"/>
                <w:szCs w:val="17"/>
                <w:color w:val="404040"/>
              </w:rPr>
              <w:t>17</w:t>
            </w:r>
          </w:p>
        </w:tc>
        <w:tc>
          <w:tcPr>
            <w:tcW w:w="2020" w:type="dxa"/>
            <w:vAlign w:val="bottom"/>
          </w:tcPr>
          <w:p>
            <w:pPr>
              <w:ind w:left="220"/>
              <w:spacing w:after="0"/>
              <w:rPr>
                <w:sz w:val="20"/>
                <w:szCs w:val="20"/>
                <w:color w:val="auto"/>
              </w:rPr>
            </w:pPr>
            <w:r>
              <w:rPr>
                <w:rFonts w:ascii="Arial" w:cs="Arial" w:eastAsia="Arial" w:hAnsi="Arial"/>
                <w:sz w:val="17"/>
                <w:szCs w:val="17"/>
                <w:color w:val="404040"/>
              </w:rPr>
              <w:t>$143.0833</w:t>
            </w:r>
          </w:p>
        </w:tc>
      </w:tr>
      <w:tr>
        <w:trPr>
          <w:trHeight w:val="278"/>
        </w:trPr>
        <w:tc>
          <w:tcPr>
            <w:tcW w:w="1860" w:type="dxa"/>
            <w:vAlign w:val="bottom"/>
          </w:tcPr>
          <w:p>
            <w:pPr>
              <w:spacing w:after="0"/>
              <w:rPr>
                <w:sz w:val="20"/>
                <w:szCs w:val="20"/>
                <w:color w:val="auto"/>
              </w:rPr>
            </w:pPr>
            <w:r>
              <w:rPr>
                <w:rFonts w:ascii="Arial" w:cs="Arial" w:eastAsia="Arial" w:hAnsi="Arial"/>
                <w:sz w:val="17"/>
                <w:szCs w:val="17"/>
                <w:color w:val="404040"/>
              </w:rPr>
              <w:t>16</w:t>
            </w:r>
          </w:p>
        </w:tc>
        <w:tc>
          <w:tcPr>
            <w:tcW w:w="2020" w:type="dxa"/>
            <w:vAlign w:val="bottom"/>
          </w:tcPr>
          <w:p>
            <w:pPr>
              <w:ind w:left="220"/>
              <w:spacing w:after="0"/>
              <w:rPr>
                <w:sz w:val="20"/>
                <w:szCs w:val="20"/>
                <w:color w:val="auto"/>
              </w:rPr>
            </w:pPr>
            <w:r>
              <w:rPr>
                <w:rFonts w:ascii="Arial" w:cs="Arial" w:eastAsia="Arial" w:hAnsi="Arial"/>
                <w:sz w:val="17"/>
                <w:szCs w:val="17"/>
                <w:color w:val="404040"/>
              </w:rPr>
              <w:t>$134.6667</w:t>
            </w:r>
          </w:p>
        </w:tc>
      </w:tr>
      <w:tr>
        <w:trPr>
          <w:trHeight w:val="278"/>
        </w:trPr>
        <w:tc>
          <w:tcPr>
            <w:tcW w:w="1860" w:type="dxa"/>
            <w:vAlign w:val="bottom"/>
          </w:tcPr>
          <w:p>
            <w:pPr>
              <w:spacing w:after="0"/>
              <w:rPr>
                <w:sz w:val="20"/>
                <w:szCs w:val="20"/>
                <w:color w:val="auto"/>
              </w:rPr>
            </w:pPr>
            <w:r>
              <w:rPr>
                <w:rFonts w:ascii="Arial" w:cs="Arial" w:eastAsia="Arial" w:hAnsi="Arial"/>
                <w:sz w:val="17"/>
                <w:szCs w:val="17"/>
                <w:color w:val="404040"/>
              </w:rPr>
              <w:t>15</w:t>
            </w:r>
          </w:p>
        </w:tc>
        <w:tc>
          <w:tcPr>
            <w:tcW w:w="2020" w:type="dxa"/>
            <w:vAlign w:val="bottom"/>
          </w:tcPr>
          <w:p>
            <w:pPr>
              <w:ind w:left="220"/>
              <w:spacing w:after="0"/>
              <w:rPr>
                <w:sz w:val="20"/>
                <w:szCs w:val="20"/>
                <w:color w:val="auto"/>
              </w:rPr>
            </w:pPr>
            <w:r>
              <w:rPr>
                <w:rFonts w:ascii="Arial" w:cs="Arial" w:eastAsia="Arial" w:hAnsi="Arial"/>
                <w:sz w:val="17"/>
                <w:szCs w:val="17"/>
                <w:color w:val="404040"/>
              </w:rPr>
              <w:t>$126.2500</w:t>
            </w:r>
          </w:p>
        </w:tc>
      </w:tr>
      <w:tr>
        <w:trPr>
          <w:trHeight w:val="265"/>
        </w:trPr>
        <w:tc>
          <w:tcPr>
            <w:tcW w:w="1860" w:type="dxa"/>
            <w:vAlign w:val="bottom"/>
          </w:tcPr>
          <w:p>
            <w:pPr>
              <w:spacing w:after="0"/>
              <w:rPr>
                <w:sz w:val="20"/>
                <w:szCs w:val="20"/>
                <w:color w:val="auto"/>
              </w:rPr>
            </w:pPr>
            <w:r>
              <w:rPr>
                <w:rFonts w:ascii="Arial" w:cs="Arial" w:eastAsia="Arial" w:hAnsi="Arial"/>
                <w:sz w:val="17"/>
                <w:szCs w:val="17"/>
                <w:color w:val="404040"/>
              </w:rPr>
              <w:t>14</w:t>
            </w:r>
          </w:p>
        </w:tc>
        <w:tc>
          <w:tcPr>
            <w:tcW w:w="2020" w:type="dxa"/>
            <w:vAlign w:val="bottom"/>
          </w:tcPr>
          <w:p>
            <w:pPr>
              <w:ind w:left="220"/>
              <w:spacing w:after="0"/>
              <w:rPr>
                <w:sz w:val="20"/>
                <w:szCs w:val="20"/>
                <w:color w:val="auto"/>
              </w:rPr>
            </w:pPr>
            <w:r>
              <w:rPr>
                <w:rFonts w:ascii="Arial" w:cs="Arial" w:eastAsia="Arial" w:hAnsi="Arial"/>
                <w:sz w:val="17"/>
                <w:szCs w:val="17"/>
                <w:color w:val="404040"/>
              </w:rPr>
              <w:t>$117.8333</w:t>
            </w:r>
          </w:p>
        </w:tc>
      </w:tr>
      <w:tr>
        <w:trPr>
          <w:trHeight w:val="278"/>
        </w:trPr>
        <w:tc>
          <w:tcPr>
            <w:tcW w:w="1860" w:type="dxa"/>
            <w:vAlign w:val="bottom"/>
          </w:tcPr>
          <w:p>
            <w:pPr>
              <w:spacing w:after="0"/>
              <w:rPr>
                <w:sz w:val="20"/>
                <w:szCs w:val="20"/>
                <w:color w:val="auto"/>
              </w:rPr>
            </w:pPr>
            <w:r>
              <w:rPr>
                <w:rFonts w:ascii="Arial" w:cs="Arial" w:eastAsia="Arial" w:hAnsi="Arial"/>
                <w:sz w:val="17"/>
                <w:szCs w:val="17"/>
                <w:color w:val="404040"/>
              </w:rPr>
              <w:t>13</w:t>
            </w:r>
          </w:p>
        </w:tc>
        <w:tc>
          <w:tcPr>
            <w:tcW w:w="2020" w:type="dxa"/>
            <w:vAlign w:val="bottom"/>
          </w:tcPr>
          <w:p>
            <w:pPr>
              <w:ind w:left="220"/>
              <w:spacing w:after="0"/>
              <w:rPr>
                <w:sz w:val="20"/>
                <w:szCs w:val="20"/>
                <w:color w:val="auto"/>
              </w:rPr>
            </w:pPr>
            <w:r>
              <w:rPr>
                <w:rFonts w:ascii="Arial" w:cs="Arial" w:eastAsia="Arial" w:hAnsi="Arial"/>
                <w:sz w:val="17"/>
                <w:szCs w:val="17"/>
                <w:color w:val="404040"/>
              </w:rPr>
              <w:t>$109.4167</w:t>
            </w:r>
          </w:p>
        </w:tc>
      </w:tr>
      <w:tr>
        <w:trPr>
          <w:trHeight w:val="278"/>
        </w:trPr>
        <w:tc>
          <w:tcPr>
            <w:tcW w:w="1860" w:type="dxa"/>
            <w:vAlign w:val="bottom"/>
          </w:tcPr>
          <w:p>
            <w:pPr>
              <w:spacing w:after="0"/>
              <w:rPr>
                <w:sz w:val="20"/>
                <w:szCs w:val="20"/>
                <w:color w:val="auto"/>
              </w:rPr>
            </w:pPr>
            <w:r>
              <w:rPr>
                <w:rFonts w:ascii="Arial" w:cs="Arial" w:eastAsia="Arial" w:hAnsi="Arial"/>
                <w:sz w:val="17"/>
                <w:szCs w:val="17"/>
                <w:color w:val="404040"/>
              </w:rPr>
              <w:t>12</w:t>
            </w:r>
          </w:p>
        </w:tc>
        <w:tc>
          <w:tcPr>
            <w:tcW w:w="2020" w:type="dxa"/>
            <w:vAlign w:val="bottom"/>
          </w:tcPr>
          <w:p>
            <w:pPr>
              <w:ind w:left="220"/>
              <w:spacing w:after="0"/>
              <w:rPr>
                <w:sz w:val="20"/>
                <w:szCs w:val="20"/>
                <w:color w:val="auto"/>
              </w:rPr>
            </w:pPr>
            <w:r>
              <w:rPr>
                <w:rFonts w:ascii="Arial" w:cs="Arial" w:eastAsia="Arial" w:hAnsi="Arial"/>
                <w:sz w:val="17"/>
                <w:szCs w:val="17"/>
                <w:color w:val="404040"/>
              </w:rPr>
              <w:t>$101.0000</w:t>
            </w:r>
          </w:p>
        </w:tc>
      </w:tr>
      <w:tr>
        <w:trPr>
          <w:trHeight w:val="278"/>
        </w:trPr>
        <w:tc>
          <w:tcPr>
            <w:tcW w:w="1860" w:type="dxa"/>
            <w:vAlign w:val="bottom"/>
          </w:tcPr>
          <w:p>
            <w:pPr>
              <w:spacing w:after="0"/>
              <w:rPr>
                <w:sz w:val="20"/>
                <w:szCs w:val="20"/>
                <w:color w:val="auto"/>
              </w:rPr>
            </w:pPr>
            <w:r>
              <w:rPr>
                <w:rFonts w:ascii="Arial" w:cs="Arial" w:eastAsia="Arial" w:hAnsi="Arial"/>
                <w:sz w:val="17"/>
                <w:szCs w:val="17"/>
                <w:color w:val="404040"/>
              </w:rPr>
              <w:t>11</w:t>
            </w:r>
          </w:p>
        </w:tc>
        <w:tc>
          <w:tcPr>
            <w:tcW w:w="2020" w:type="dxa"/>
            <w:vAlign w:val="bottom"/>
          </w:tcPr>
          <w:p>
            <w:pPr>
              <w:ind w:left="220"/>
              <w:spacing w:after="0"/>
              <w:rPr>
                <w:sz w:val="20"/>
                <w:szCs w:val="20"/>
                <w:color w:val="auto"/>
              </w:rPr>
            </w:pPr>
            <w:r>
              <w:rPr>
                <w:rFonts w:ascii="Arial" w:cs="Arial" w:eastAsia="Arial" w:hAnsi="Arial"/>
                <w:sz w:val="17"/>
                <w:szCs w:val="17"/>
                <w:color w:val="404040"/>
              </w:rPr>
              <w:t>$92.5833</w:t>
            </w:r>
          </w:p>
        </w:tc>
      </w:tr>
      <w:tr>
        <w:trPr>
          <w:trHeight w:val="278"/>
        </w:trPr>
        <w:tc>
          <w:tcPr>
            <w:tcW w:w="1860" w:type="dxa"/>
            <w:vAlign w:val="bottom"/>
          </w:tcPr>
          <w:p>
            <w:pPr>
              <w:spacing w:after="0"/>
              <w:rPr>
                <w:sz w:val="20"/>
                <w:szCs w:val="20"/>
                <w:color w:val="auto"/>
              </w:rPr>
            </w:pPr>
            <w:r>
              <w:rPr>
                <w:rFonts w:ascii="Arial" w:cs="Arial" w:eastAsia="Arial" w:hAnsi="Arial"/>
                <w:sz w:val="17"/>
                <w:szCs w:val="17"/>
                <w:color w:val="404040"/>
              </w:rPr>
              <w:t>10</w:t>
            </w:r>
          </w:p>
        </w:tc>
        <w:tc>
          <w:tcPr>
            <w:tcW w:w="2020" w:type="dxa"/>
            <w:vAlign w:val="bottom"/>
          </w:tcPr>
          <w:p>
            <w:pPr>
              <w:ind w:left="220"/>
              <w:spacing w:after="0"/>
              <w:rPr>
                <w:sz w:val="20"/>
                <w:szCs w:val="20"/>
                <w:color w:val="auto"/>
              </w:rPr>
            </w:pPr>
            <w:r>
              <w:rPr>
                <w:rFonts w:ascii="Arial" w:cs="Arial" w:eastAsia="Arial" w:hAnsi="Arial"/>
                <w:sz w:val="17"/>
                <w:szCs w:val="17"/>
                <w:color w:val="404040"/>
              </w:rPr>
              <w:t>$84.1667</w:t>
            </w:r>
          </w:p>
        </w:tc>
      </w:tr>
      <w:tr>
        <w:trPr>
          <w:trHeight w:val="265"/>
        </w:trPr>
        <w:tc>
          <w:tcPr>
            <w:tcW w:w="1860" w:type="dxa"/>
            <w:vAlign w:val="bottom"/>
          </w:tcPr>
          <w:p>
            <w:pPr>
              <w:spacing w:after="0"/>
              <w:rPr>
                <w:sz w:val="20"/>
                <w:szCs w:val="20"/>
                <w:color w:val="auto"/>
              </w:rPr>
            </w:pPr>
            <w:r>
              <w:rPr>
                <w:rFonts w:ascii="Arial" w:cs="Arial" w:eastAsia="Arial" w:hAnsi="Arial"/>
                <w:sz w:val="17"/>
                <w:szCs w:val="17"/>
                <w:color w:val="404040"/>
              </w:rPr>
              <w:t>9</w:t>
            </w:r>
          </w:p>
        </w:tc>
        <w:tc>
          <w:tcPr>
            <w:tcW w:w="2020" w:type="dxa"/>
            <w:vAlign w:val="bottom"/>
          </w:tcPr>
          <w:p>
            <w:pPr>
              <w:ind w:left="220"/>
              <w:spacing w:after="0"/>
              <w:rPr>
                <w:sz w:val="20"/>
                <w:szCs w:val="20"/>
                <w:color w:val="auto"/>
              </w:rPr>
            </w:pPr>
            <w:r>
              <w:rPr>
                <w:rFonts w:ascii="Arial" w:cs="Arial" w:eastAsia="Arial" w:hAnsi="Arial"/>
                <w:sz w:val="17"/>
                <w:szCs w:val="17"/>
                <w:color w:val="404040"/>
              </w:rPr>
              <w:t>$75.7500</w:t>
            </w:r>
          </w:p>
        </w:tc>
      </w:tr>
      <w:tr>
        <w:trPr>
          <w:trHeight w:val="278"/>
        </w:trPr>
        <w:tc>
          <w:tcPr>
            <w:tcW w:w="1860" w:type="dxa"/>
            <w:vAlign w:val="bottom"/>
          </w:tcPr>
          <w:p>
            <w:pPr>
              <w:spacing w:after="0"/>
              <w:rPr>
                <w:sz w:val="20"/>
                <w:szCs w:val="20"/>
                <w:color w:val="auto"/>
              </w:rPr>
            </w:pPr>
            <w:r>
              <w:rPr>
                <w:rFonts w:ascii="Arial" w:cs="Arial" w:eastAsia="Arial" w:hAnsi="Arial"/>
                <w:sz w:val="17"/>
                <w:szCs w:val="17"/>
                <w:color w:val="404040"/>
              </w:rPr>
              <w:t>8</w:t>
            </w:r>
          </w:p>
        </w:tc>
        <w:tc>
          <w:tcPr>
            <w:tcW w:w="2020" w:type="dxa"/>
            <w:vAlign w:val="bottom"/>
          </w:tcPr>
          <w:p>
            <w:pPr>
              <w:ind w:left="220"/>
              <w:spacing w:after="0"/>
              <w:rPr>
                <w:sz w:val="20"/>
                <w:szCs w:val="20"/>
                <w:color w:val="auto"/>
              </w:rPr>
            </w:pPr>
            <w:r>
              <w:rPr>
                <w:rFonts w:ascii="Arial" w:cs="Arial" w:eastAsia="Arial" w:hAnsi="Arial"/>
                <w:sz w:val="17"/>
                <w:szCs w:val="17"/>
                <w:color w:val="404040"/>
              </w:rPr>
              <w:t>$67.3333</w:t>
            </w:r>
          </w:p>
        </w:tc>
      </w:tr>
      <w:tr>
        <w:trPr>
          <w:trHeight w:val="278"/>
        </w:trPr>
        <w:tc>
          <w:tcPr>
            <w:tcW w:w="1860" w:type="dxa"/>
            <w:vAlign w:val="bottom"/>
          </w:tcPr>
          <w:p>
            <w:pPr>
              <w:spacing w:after="0"/>
              <w:rPr>
                <w:sz w:val="20"/>
                <w:szCs w:val="20"/>
                <w:color w:val="auto"/>
              </w:rPr>
            </w:pPr>
            <w:r>
              <w:rPr>
                <w:rFonts w:ascii="Arial" w:cs="Arial" w:eastAsia="Arial" w:hAnsi="Arial"/>
                <w:sz w:val="17"/>
                <w:szCs w:val="17"/>
                <w:color w:val="404040"/>
              </w:rPr>
              <w:t>7</w:t>
            </w:r>
          </w:p>
        </w:tc>
        <w:tc>
          <w:tcPr>
            <w:tcW w:w="2020" w:type="dxa"/>
            <w:vAlign w:val="bottom"/>
          </w:tcPr>
          <w:p>
            <w:pPr>
              <w:ind w:left="220"/>
              <w:spacing w:after="0"/>
              <w:rPr>
                <w:sz w:val="20"/>
                <w:szCs w:val="20"/>
                <w:color w:val="auto"/>
              </w:rPr>
            </w:pPr>
            <w:r>
              <w:rPr>
                <w:rFonts w:ascii="Arial" w:cs="Arial" w:eastAsia="Arial" w:hAnsi="Arial"/>
                <w:sz w:val="17"/>
                <w:szCs w:val="17"/>
                <w:color w:val="404040"/>
              </w:rPr>
              <w:t>$58.9167</w:t>
            </w:r>
          </w:p>
        </w:tc>
      </w:tr>
      <w:tr>
        <w:trPr>
          <w:trHeight w:val="278"/>
        </w:trPr>
        <w:tc>
          <w:tcPr>
            <w:tcW w:w="1860" w:type="dxa"/>
            <w:vAlign w:val="bottom"/>
          </w:tcPr>
          <w:p>
            <w:pPr>
              <w:spacing w:after="0"/>
              <w:rPr>
                <w:sz w:val="20"/>
                <w:szCs w:val="20"/>
                <w:color w:val="auto"/>
              </w:rPr>
            </w:pPr>
            <w:r>
              <w:rPr>
                <w:rFonts w:ascii="Arial" w:cs="Arial" w:eastAsia="Arial" w:hAnsi="Arial"/>
                <w:sz w:val="17"/>
                <w:szCs w:val="17"/>
                <w:color w:val="404040"/>
              </w:rPr>
              <w:t>6</w:t>
            </w:r>
          </w:p>
        </w:tc>
        <w:tc>
          <w:tcPr>
            <w:tcW w:w="2020" w:type="dxa"/>
            <w:vAlign w:val="bottom"/>
          </w:tcPr>
          <w:p>
            <w:pPr>
              <w:ind w:left="220"/>
              <w:spacing w:after="0"/>
              <w:rPr>
                <w:sz w:val="20"/>
                <w:szCs w:val="20"/>
                <w:color w:val="auto"/>
              </w:rPr>
            </w:pPr>
            <w:r>
              <w:rPr>
                <w:rFonts w:ascii="Arial" w:cs="Arial" w:eastAsia="Arial" w:hAnsi="Arial"/>
                <w:sz w:val="17"/>
                <w:szCs w:val="17"/>
                <w:color w:val="404040"/>
              </w:rPr>
              <w:t>$50.5000</w:t>
            </w:r>
          </w:p>
        </w:tc>
      </w:tr>
      <w:tr>
        <w:trPr>
          <w:trHeight w:val="278"/>
        </w:trPr>
        <w:tc>
          <w:tcPr>
            <w:tcW w:w="1860" w:type="dxa"/>
            <w:vAlign w:val="bottom"/>
          </w:tcPr>
          <w:p>
            <w:pPr>
              <w:spacing w:after="0"/>
              <w:rPr>
                <w:sz w:val="20"/>
                <w:szCs w:val="20"/>
                <w:color w:val="auto"/>
              </w:rPr>
            </w:pPr>
            <w:r>
              <w:rPr>
                <w:rFonts w:ascii="Arial" w:cs="Arial" w:eastAsia="Arial" w:hAnsi="Arial"/>
                <w:sz w:val="17"/>
                <w:szCs w:val="17"/>
                <w:color w:val="404040"/>
              </w:rPr>
              <w:t>5</w:t>
            </w:r>
          </w:p>
        </w:tc>
        <w:tc>
          <w:tcPr>
            <w:tcW w:w="2020" w:type="dxa"/>
            <w:vAlign w:val="bottom"/>
          </w:tcPr>
          <w:p>
            <w:pPr>
              <w:ind w:left="220"/>
              <w:spacing w:after="0"/>
              <w:rPr>
                <w:sz w:val="20"/>
                <w:szCs w:val="20"/>
                <w:color w:val="auto"/>
              </w:rPr>
            </w:pPr>
            <w:r>
              <w:rPr>
                <w:rFonts w:ascii="Arial" w:cs="Arial" w:eastAsia="Arial" w:hAnsi="Arial"/>
                <w:sz w:val="17"/>
                <w:szCs w:val="17"/>
                <w:color w:val="404040"/>
              </w:rPr>
              <w:t>$42.0833</w:t>
            </w:r>
          </w:p>
        </w:tc>
      </w:tr>
      <w:tr>
        <w:trPr>
          <w:trHeight w:val="265"/>
        </w:trPr>
        <w:tc>
          <w:tcPr>
            <w:tcW w:w="1860" w:type="dxa"/>
            <w:vAlign w:val="bottom"/>
          </w:tcPr>
          <w:p>
            <w:pPr>
              <w:spacing w:after="0"/>
              <w:rPr>
                <w:sz w:val="20"/>
                <w:szCs w:val="20"/>
                <w:color w:val="auto"/>
              </w:rPr>
            </w:pPr>
            <w:r>
              <w:rPr>
                <w:rFonts w:ascii="Arial" w:cs="Arial" w:eastAsia="Arial" w:hAnsi="Arial"/>
                <w:sz w:val="17"/>
                <w:szCs w:val="17"/>
                <w:color w:val="404040"/>
              </w:rPr>
              <w:t>4</w:t>
            </w:r>
          </w:p>
        </w:tc>
        <w:tc>
          <w:tcPr>
            <w:tcW w:w="2020" w:type="dxa"/>
            <w:vAlign w:val="bottom"/>
          </w:tcPr>
          <w:p>
            <w:pPr>
              <w:ind w:left="220"/>
              <w:spacing w:after="0"/>
              <w:rPr>
                <w:sz w:val="20"/>
                <w:szCs w:val="20"/>
                <w:color w:val="auto"/>
              </w:rPr>
            </w:pPr>
            <w:r>
              <w:rPr>
                <w:rFonts w:ascii="Arial" w:cs="Arial" w:eastAsia="Arial" w:hAnsi="Arial"/>
                <w:sz w:val="17"/>
                <w:szCs w:val="17"/>
                <w:color w:val="404040"/>
              </w:rPr>
              <w:t>$33.6667</w:t>
            </w:r>
          </w:p>
        </w:tc>
      </w:tr>
      <w:tr>
        <w:trPr>
          <w:trHeight w:val="278"/>
        </w:trPr>
        <w:tc>
          <w:tcPr>
            <w:tcW w:w="1860" w:type="dxa"/>
            <w:vAlign w:val="bottom"/>
          </w:tcPr>
          <w:p>
            <w:pPr>
              <w:spacing w:after="0"/>
              <w:rPr>
                <w:sz w:val="20"/>
                <w:szCs w:val="20"/>
                <w:color w:val="auto"/>
              </w:rPr>
            </w:pPr>
            <w:r>
              <w:rPr>
                <w:rFonts w:ascii="Arial" w:cs="Arial" w:eastAsia="Arial" w:hAnsi="Arial"/>
                <w:sz w:val="17"/>
                <w:szCs w:val="17"/>
                <w:color w:val="404040"/>
              </w:rPr>
              <w:t>3</w:t>
            </w:r>
          </w:p>
        </w:tc>
        <w:tc>
          <w:tcPr>
            <w:tcW w:w="2020" w:type="dxa"/>
            <w:vAlign w:val="bottom"/>
          </w:tcPr>
          <w:p>
            <w:pPr>
              <w:ind w:left="220"/>
              <w:spacing w:after="0"/>
              <w:rPr>
                <w:sz w:val="20"/>
                <w:szCs w:val="20"/>
                <w:color w:val="auto"/>
              </w:rPr>
            </w:pPr>
            <w:r>
              <w:rPr>
                <w:rFonts w:ascii="Arial" w:cs="Arial" w:eastAsia="Arial" w:hAnsi="Arial"/>
                <w:sz w:val="17"/>
                <w:szCs w:val="17"/>
                <w:color w:val="404040"/>
              </w:rPr>
              <w:t>$25.2500</w:t>
            </w:r>
          </w:p>
        </w:tc>
      </w:tr>
      <w:tr>
        <w:trPr>
          <w:trHeight w:val="278"/>
        </w:trPr>
        <w:tc>
          <w:tcPr>
            <w:tcW w:w="1860" w:type="dxa"/>
            <w:vAlign w:val="bottom"/>
          </w:tcPr>
          <w:p>
            <w:pPr>
              <w:spacing w:after="0"/>
              <w:rPr>
                <w:sz w:val="20"/>
                <w:szCs w:val="20"/>
                <w:color w:val="auto"/>
              </w:rPr>
            </w:pPr>
            <w:r>
              <w:rPr>
                <w:rFonts w:ascii="Arial" w:cs="Arial" w:eastAsia="Arial" w:hAnsi="Arial"/>
                <w:sz w:val="17"/>
                <w:szCs w:val="17"/>
                <w:color w:val="404040"/>
              </w:rPr>
              <w:t>2</w:t>
            </w:r>
          </w:p>
        </w:tc>
        <w:tc>
          <w:tcPr>
            <w:tcW w:w="2020" w:type="dxa"/>
            <w:vAlign w:val="bottom"/>
          </w:tcPr>
          <w:p>
            <w:pPr>
              <w:ind w:left="220"/>
              <w:spacing w:after="0"/>
              <w:rPr>
                <w:sz w:val="20"/>
                <w:szCs w:val="20"/>
                <w:color w:val="auto"/>
              </w:rPr>
            </w:pPr>
            <w:r>
              <w:rPr>
                <w:rFonts w:ascii="Arial" w:cs="Arial" w:eastAsia="Arial" w:hAnsi="Arial"/>
                <w:sz w:val="17"/>
                <w:szCs w:val="17"/>
                <w:color w:val="404040"/>
              </w:rPr>
              <w:t>$16.8333</w:t>
            </w:r>
          </w:p>
        </w:tc>
      </w:tr>
      <w:tr>
        <w:trPr>
          <w:trHeight w:val="278"/>
        </w:trPr>
        <w:tc>
          <w:tcPr>
            <w:tcW w:w="1860" w:type="dxa"/>
            <w:vAlign w:val="bottom"/>
          </w:tcPr>
          <w:p>
            <w:pPr>
              <w:spacing w:after="0"/>
              <w:rPr>
                <w:sz w:val="20"/>
                <w:szCs w:val="20"/>
                <w:color w:val="auto"/>
              </w:rPr>
            </w:pPr>
            <w:r>
              <w:rPr>
                <w:rFonts w:ascii="Arial" w:cs="Arial" w:eastAsia="Arial" w:hAnsi="Arial"/>
                <w:sz w:val="17"/>
                <w:szCs w:val="17"/>
                <w:color w:val="404040"/>
              </w:rPr>
              <w:t>1</w:t>
            </w:r>
          </w:p>
        </w:tc>
        <w:tc>
          <w:tcPr>
            <w:tcW w:w="2020" w:type="dxa"/>
            <w:vAlign w:val="bottom"/>
          </w:tcPr>
          <w:p>
            <w:pPr>
              <w:ind w:left="220"/>
              <w:spacing w:after="0"/>
              <w:rPr>
                <w:sz w:val="20"/>
                <w:szCs w:val="20"/>
                <w:color w:val="auto"/>
              </w:rPr>
            </w:pPr>
            <w:r>
              <w:rPr>
                <w:rFonts w:ascii="Arial" w:cs="Arial" w:eastAsia="Arial" w:hAnsi="Arial"/>
                <w:sz w:val="17"/>
                <w:szCs w:val="17"/>
                <w:color w:val="404040"/>
              </w:rPr>
              <w:t>$8.4167</w:t>
            </w:r>
          </w:p>
        </w:tc>
      </w:tr>
      <w:tr>
        <w:trPr>
          <w:trHeight w:val="265"/>
        </w:trPr>
        <w:tc>
          <w:tcPr>
            <w:tcW w:w="1860" w:type="dxa"/>
            <w:vAlign w:val="bottom"/>
          </w:tcPr>
          <w:p>
            <w:pPr>
              <w:spacing w:after="0"/>
              <w:rPr>
                <w:sz w:val="20"/>
                <w:szCs w:val="20"/>
                <w:color w:val="auto"/>
              </w:rPr>
            </w:pPr>
            <w:r>
              <w:rPr>
                <w:rFonts w:ascii="Arial" w:cs="Arial" w:eastAsia="Arial" w:hAnsi="Arial"/>
                <w:sz w:val="17"/>
                <w:szCs w:val="17"/>
                <w:color w:val="404040"/>
              </w:rPr>
              <w:t>0</w:t>
            </w:r>
          </w:p>
        </w:tc>
        <w:tc>
          <w:tcPr>
            <w:tcW w:w="2020" w:type="dxa"/>
            <w:vAlign w:val="bottom"/>
          </w:tcPr>
          <w:p>
            <w:pPr>
              <w:ind w:left="220"/>
              <w:spacing w:after="0"/>
              <w:rPr>
                <w:sz w:val="20"/>
                <w:szCs w:val="20"/>
                <w:color w:val="auto"/>
              </w:rPr>
            </w:pPr>
            <w:r>
              <w:rPr>
                <w:rFonts w:ascii="Arial" w:cs="Arial" w:eastAsia="Arial" w:hAnsi="Arial"/>
                <w:sz w:val="17"/>
                <w:szCs w:val="17"/>
                <w:color w:val="404040"/>
              </w:rPr>
              <w:t>$0.0000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7F7F7F"/>
        </w:rPr>
        <w:t>PS-3 | Structured Investments</w:t>
      </w:r>
    </w:p>
    <w:p>
      <w:pPr>
        <w:spacing w:after="0" w:line="199" w:lineRule="auto"/>
        <w:rPr>
          <w:sz w:val="20"/>
          <w:szCs w:val="20"/>
          <w:color w:val="auto"/>
        </w:rPr>
      </w:pPr>
      <w:r>
        <w:rPr>
          <w:rFonts w:ascii="Arial" w:cs="Arial" w:eastAsia="Arial" w:hAnsi="Arial"/>
          <w:sz w:val="15"/>
          <w:szCs w:val="15"/>
          <w:color w:val="808080"/>
        </w:rPr>
        <w:t>Contingent Interest Notes Linked to the Least Performing of the S&amp;P 500</w:t>
      </w:r>
      <w:r>
        <w:rPr>
          <w:rFonts w:ascii="Arial" w:cs="Arial" w:eastAsia="Arial" w:hAnsi="Arial"/>
          <w:sz w:val="18"/>
          <w:szCs w:val="18"/>
          <w:color w:val="808080"/>
          <w:vertAlign w:val="superscript"/>
        </w:rPr>
        <w:t>®</w:t>
      </w:r>
    </w:p>
    <w:p>
      <w:pPr>
        <w:spacing w:after="0" w:line="218" w:lineRule="auto"/>
        <w:rPr>
          <w:sz w:val="20"/>
          <w:szCs w:val="20"/>
          <w:color w:val="auto"/>
        </w:rPr>
      </w:pPr>
      <w:r>
        <w:rPr>
          <w:rFonts w:ascii="Arial" w:cs="Arial" w:eastAsia="Arial" w:hAnsi="Arial"/>
          <w:sz w:val="15"/>
          <w:szCs w:val="15"/>
          <w:color w:val="808080"/>
        </w:rPr>
        <w:t>Index, the Nasdaq-100</w:t>
      </w:r>
      <w:r>
        <w:rPr>
          <w:rFonts w:ascii="Arial" w:cs="Arial" w:eastAsia="Arial" w:hAnsi="Arial"/>
          <w:sz w:val="18"/>
          <w:szCs w:val="18"/>
          <w:color w:val="808080"/>
          <w:vertAlign w:val="superscript"/>
        </w:rPr>
        <w:t>®</w:t>
      </w:r>
      <w:r>
        <w:rPr>
          <w:rFonts w:ascii="Arial" w:cs="Arial" w:eastAsia="Arial" w:hAnsi="Arial"/>
          <w:sz w:val="15"/>
          <w:szCs w:val="15"/>
          <w:color w:val="808080"/>
        </w:rPr>
        <w:t xml:space="preserve"> Technology Sector Index</w:t>
      </w:r>
      <w:r>
        <w:rPr>
          <w:rFonts w:ascii="Arial" w:cs="Arial" w:eastAsia="Arial" w:hAnsi="Arial"/>
          <w:sz w:val="18"/>
          <w:szCs w:val="18"/>
          <w:color w:val="808080"/>
          <w:vertAlign w:val="superscript"/>
        </w:rPr>
        <w:t>SM</w:t>
      </w:r>
      <w:r>
        <w:rPr>
          <w:rFonts w:ascii="Arial" w:cs="Arial" w:eastAsia="Arial" w:hAnsi="Arial"/>
          <w:sz w:val="15"/>
          <w:szCs w:val="15"/>
          <w:color w:val="808080"/>
        </w:rPr>
        <w:t xml:space="preserve"> and the Russell 2000</w:t>
      </w:r>
      <w:r>
        <w:rPr>
          <w:rFonts w:ascii="Arial" w:cs="Arial" w:eastAsia="Arial" w:hAnsi="Arial"/>
          <w:sz w:val="18"/>
          <w:szCs w:val="18"/>
          <w:color w:val="808080"/>
          <w:vertAlign w:val="superscript"/>
        </w:rPr>
        <w:t>®</w:t>
      </w:r>
    </w:p>
    <w:p>
      <w:pPr>
        <w:spacing w:after="0"/>
        <w:rPr>
          <w:sz w:val="20"/>
          <w:szCs w:val="20"/>
          <w:color w:val="auto"/>
        </w:rPr>
      </w:pPr>
      <w:r>
        <w:rPr>
          <w:rFonts w:ascii="Arial" w:cs="Arial" w:eastAsia="Arial" w:hAnsi="Arial"/>
          <w:sz w:val="15"/>
          <w:szCs w:val="15"/>
          <w:color w:val="808080"/>
        </w:rPr>
        <w:t>Index</w:t>
      </w:r>
    </w:p>
    <w:p>
      <w:pPr>
        <w:sectPr>
          <w:pgSz w:w="11900" w:h="16838" w:orient="portrait"/>
          <w:cols w:equalWidth="0" w:num="1">
            <w:col w:w="9860"/>
          </w:cols>
          <w:pgMar w:left="1000" w:top="925" w:right="1039" w:bottom="1440" w:gutter="0" w:footer="0" w:header="0"/>
        </w:sectPr>
      </w:pPr>
    </w:p>
    <w:bookmarkStart w:id="4" w:name="page5"/>
    <w:bookmarkEnd w:id="4"/>
    <w:p>
      <w:pPr>
        <w:ind w:left="5"/>
        <w:spacing w:after="0"/>
        <w:rPr>
          <w:sz w:val="20"/>
          <w:szCs w:val="20"/>
          <w:color w:val="auto"/>
        </w:rPr>
      </w:pPr>
      <w:r>
        <w:rPr>
          <w:rFonts w:ascii="Arial" w:cs="Arial" w:eastAsia="Arial" w:hAnsi="Arial"/>
          <w:sz w:val="19"/>
          <w:szCs w:val="19"/>
          <w:b w:val="1"/>
          <w:bCs w:val="1"/>
          <w:color w:val="4E8ABE"/>
        </w:rPr>
        <w:t>Hypothetical Payout Examples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38100</wp:posOffset>
            </wp:positionV>
            <wp:extent cx="6437630" cy="8420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37630" cy="8420735"/>
                    </a:xfrm>
                    <a:prstGeom prst="rect">
                      <a:avLst/>
                    </a:prstGeom>
                    <a:noFill/>
                  </pic:spPr>
                </pic:pic>
              </a:graphicData>
            </a:graphic>
          </wp:anchor>
        </w:drawing>
      </w:r>
    </w:p>
    <w:p>
      <w:pPr>
        <w:spacing w:after="0" w:line="111" w:lineRule="exact"/>
        <w:rPr>
          <w:sz w:val="20"/>
          <w:szCs w:val="20"/>
          <w:color w:val="auto"/>
        </w:rPr>
      </w:pPr>
    </w:p>
    <w:p>
      <w:pPr>
        <w:ind w:left="5"/>
        <w:spacing w:after="0"/>
        <w:rPr>
          <w:sz w:val="20"/>
          <w:szCs w:val="20"/>
          <w:color w:val="auto"/>
        </w:rPr>
      </w:pPr>
      <w:r>
        <w:rPr>
          <w:rFonts w:ascii="Arial" w:cs="Arial" w:eastAsia="Arial" w:hAnsi="Arial"/>
          <w:sz w:val="16"/>
          <w:szCs w:val="16"/>
          <w:color w:val="404040"/>
        </w:rPr>
        <w:t>The following examples illustrate payments on the notes linked to three hypothetical Indices, assuming a range of performances for the</w:t>
      </w:r>
    </w:p>
    <w:p>
      <w:pPr>
        <w:spacing w:after="0" w:line="54" w:lineRule="exact"/>
        <w:rPr>
          <w:sz w:val="20"/>
          <w:szCs w:val="20"/>
          <w:color w:val="auto"/>
        </w:rPr>
      </w:pPr>
    </w:p>
    <w:p>
      <w:pPr>
        <w:ind w:left="5"/>
        <w:spacing w:after="0" w:line="304" w:lineRule="auto"/>
        <w:rPr>
          <w:sz w:val="20"/>
          <w:szCs w:val="20"/>
          <w:color w:val="auto"/>
        </w:rPr>
      </w:pPr>
      <w:r>
        <w:rPr>
          <w:rFonts w:ascii="Arial" w:cs="Arial" w:eastAsia="Arial" w:hAnsi="Arial"/>
          <w:sz w:val="17"/>
          <w:szCs w:val="17"/>
          <w:color w:val="404040"/>
        </w:rPr>
        <w:t xml:space="preserve">hypothetical Least Performing Index on the Review Dates. </w:t>
      </w:r>
      <w:r>
        <w:rPr>
          <w:rFonts w:ascii="Arial" w:cs="Arial" w:eastAsia="Arial" w:hAnsi="Arial"/>
          <w:sz w:val="17"/>
          <w:szCs w:val="17"/>
          <w:b w:val="1"/>
          <w:bCs w:val="1"/>
          <w:color w:val="404040"/>
        </w:rPr>
        <w:t>Solely for purposes of this section, the Least Performing Index with</w:t>
      </w:r>
      <w:r>
        <w:rPr>
          <w:rFonts w:ascii="Arial" w:cs="Arial" w:eastAsia="Arial" w:hAnsi="Arial"/>
          <w:sz w:val="17"/>
          <w:szCs w:val="17"/>
          <w:color w:val="404040"/>
        </w:rPr>
        <w:t xml:space="preserve"> </w:t>
      </w:r>
      <w:r>
        <w:rPr>
          <w:rFonts w:ascii="Arial" w:cs="Arial" w:eastAsia="Arial" w:hAnsi="Arial"/>
          <w:sz w:val="17"/>
          <w:szCs w:val="17"/>
          <w:b w:val="1"/>
          <w:bCs w:val="1"/>
          <w:color w:val="404040"/>
        </w:rPr>
        <w:t>respect to each Review Date is the least performing of the Indices determined based on the closing level of each Index on that Review Date compared with its Initial Value.</w:t>
      </w:r>
    </w:p>
    <w:p>
      <w:pPr>
        <w:spacing w:after="0" w:line="25" w:lineRule="exact"/>
        <w:rPr>
          <w:sz w:val="20"/>
          <w:szCs w:val="20"/>
          <w:color w:val="auto"/>
        </w:rPr>
      </w:pPr>
    </w:p>
    <w:p>
      <w:pPr>
        <w:ind w:left="5"/>
        <w:spacing w:after="0"/>
        <w:rPr>
          <w:sz w:val="20"/>
          <w:szCs w:val="20"/>
          <w:color w:val="auto"/>
        </w:rPr>
      </w:pPr>
      <w:r>
        <w:rPr>
          <w:rFonts w:ascii="Arial" w:cs="Arial" w:eastAsia="Arial" w:hAnsi="Arial"/>
          <w:sz w:val="17"/>
          <w:szCs w:val="17"/>
          <w:color w:val="404040"/>
        </w:rPr>
        <w:t>The hypothetical payments set forth below assume the following:</w:t>
      </w:r>
    </w:p>
    <w:p>
      <w:pPr>
        <w:spacing w:after="0" w:line="149" w:lineRule="exact"/>
        <w:rPr>
          <w:sz w:val="20"/>
          <w:szCs w:val="20"/>
          <w:color w:val="auto"/>
        </w:rPr>
      </w:pPr>
    </w:p>
    <w:p>
      <w:pPr>
        <w:ind w:left="345" w:hanging="345"/>
        <w:spacing w:after="0"/>
        <w:tabs>
          <w:tab w:leader="none" w:pos="345" w:val="left"/>
        </w:tabs>
        <w:numPr>
          <w:ilvl w:val="0"/>
          <w:numId w:val="4"/>
        </w:numPr>
        <w:rPr>
          <w:rFonts w:ascii="Verdana" w:cs="Verdana" w:eastAsia="Verdana" w:hAnsi="Verdana"/>
          <w:sz w:val="17"/>
          <w:szCs w:val="17"/>
          <w:color w:val="404040"/>
        </w:rPr>
      </w:pPr>
      <w:r>
        <w:rPr>
          <w:rFonts w:ascii="Arial" w:cs="Arial" w:eastAsia="Arial" w:hAnsi="Arial"/>
          <w:sz w:val="17"/>
          <w:szCs w:val="17"/>
          <w:color w:val="404040"/>
        </w:rPr>
        <w:t>an Initial Value for each Index of 100.00;</w:t>
      </w:r>
    </w:p>
    <w:p>
      <w:pPr>
        <w:spacing w:after="0" w:line="110" w:lineRule="exact"/>
        <w:rPr>
          <w:rFonts w:ascii="Verdana" w:cs="Verdana" w:eastAsia="Verdana" w:hAnsi="Verdana"/>
          <w:sz w:val="17"/>
          <w:szCs w:val="17"/>
          <w:color w:val="404040"/>
        </w:rPr>
      </w:pPr>
    </w:p>
    <w:p>
      <w:pPr>
        <w:ind w:left="345" w:hanging="345"/>
        <w:spacing w:after="0"/>
        <w:tabs>
          <w:tab w:leader="none" w:pos="345" w:val="left"/>
        </w:tabs>
        <w:numPr>
          <w:ilvl w:val="0"/>
          <w:numId w:val="4"/>
        </w:numPr>
        <w:rPr>
          <w:rFonts w:ascii="Verdana" w:cs="Verdana" w:eastAsia="Verdana" w:hAnsi="Verdana"/>
          <w:sz w:val="17"/>
          <w:szCs w:val="17"/>
          <w:color w:val="404040"/>
        </w:rPr>
      </w:pPr>
      <w:r>
        <w:rPr>
          <w:rFonts w:ascii="Arial" w:cs="Arial" w:eastAsia="Arial" w:hAnsi="Arial"/>
          <w:sz w:val="17"/>
          <w:szCs w:val="17"/>
          <w:color w:val="404040"/>
        </w:rPr>
        <w:t>an Interest Barrier and a Trigger Value for each Index of 70.00 (equal to 70.00% of its hypothetical Initial Value); and</w:t>
      </w:r>
    </w:p>
    <w:p>
      <w:pPr>
        <w:spacing w:after="0" w:line="110" w:lineRule="exact"/>
        <w:rPr>
          <w:rFonts w:ascii="Verdana" w:cs="Verdana" w:eastAsia="Verdana" w:hAnsi="Verdana"/>
          <w:sz w:val="17"/>
          <w:szCs w:val="17"/>
          <w:color w:val="404040"/>
        </w:rPr>
      </w:pPr>
    </w:p>
    <w:p>
      <w:pPr>
        <w:ind w:left="345" w:hanging="345"/>
        <w:spacing w:after="0"/>
        <w:tabs>
          <w:tab w:leader="none" w:pos="345" w:val="left"/>
        </w:tabs>
        <w:numPr>
          <w:ilvl w:val="0"/>
          <w:numId w:val="4"/>
        </w:numPr>
        <w:rPr>
          <w:rFonts w:ascii="Verdana" w:cs="Verdana" w:eastAsia="Verdana" w:hAnsi="Verdana"/>
          <w:sz w:val="17"/>
          <w:szCs w:val="17"/>
          <w:color w:val="404040"/>
        </w:rPr>
      </w:pPr>
      <w:r>
        <w:rPr>
          <w:rFonts w:ascii="Arial" w:cs="Arial" w:eastAsia="Arial" w:hAnsi="Arial"/>
          <w:sz w:val="17"/>
          <w:szCs w:val="17"/>
          <w:color w:val="404040"/>
        </w:rPr>
        <w:t>a Contingent Interest Rate of 10.10% per annum.</w:t>
      </w:r>
    </w:p>
    <w:p>
      <w:pPr>
        <w:spacing w:after="0" w:line="97" w:lineRule="exact"/>
        <w:rPr>
          <w:sz w:val="20"/>
          <w:szCs w:val="20"/>
          <w:color w:val="auto"/>
        </w:rPr>
      </w:pPr>
    </w:p>
    <w:p>
      <w:pPr>
        <w:ind w:left="5" w:right="60"/>
        <w:spacing w:after="0" w:line="292" w:lineRule="auto"/>
        <w:rPr>
          <w:sz w:val="20"/>
          <w:szCs w:val="20"/>
          <w:color w:val="auto"/>
        </w:rPr>
      </w:pPr>
      <w:r>
        <w:rPr>
          <w:rFonts w:ascii="Arial" w:cs="Arial" w:eastAsia="Arial" w:hAnsi="Arial"/>
          <w:sz w:val="17"/>
          <w:szCs w:val="17"/>
          <w:color w:val="404040"/>
        </w:rPr>
        <w:t>The hypothetical Initial Value of each Index of 100.00 has been chosen for illustrative purposes only and may not represent a likely actual Initial Value of any Index. The actual Initial Value of each Index will be the closing level of that Index on the Pricing Date and will be provided in the pricing supplement. For historical data regarding the actual closing levels of each Index, please see the historical information set forth under “The Indices” in this pricing supplement.</w:t>
      </w:r>
    </w:p>
    <w:p>
      <w:pPr>
        <w:spacing w:after="0" w:line="41" w:lineRule="exact"/>
        <w:rPr>
          <w:sz w:val="20"/>
          <w:szCs w:val="20"/>
          <w:color w:val="auto"/>
        </w:rPr>
      </w:pPr>
    </w:p>
    <w:p>
      <w:pPr>
        <w:ind w:left="5" w:right="20"/>
        <w:spacing w:after="0" w:line="307" w:lineRule="auto"/>
        <w:rPr>
          <w:sz w:val="20"/>
          <w:szCs w:val="20"/>
          <w:color w:val="auto"/>
        </w:rPr>
      </w:pPr>
      <w:r>
        <w:rPr>
          <w:rFonts w:ascii="Arial" w:cs="Arial" w:eastAsia="Arial" w:hAnsi="Arial"/>
          <w:sz w:val="17"/>
          <w:szCs w:val="17"/>
          <w:color w:val="404040"/>
        </w:rPr>
        <w:t>Each hypothetical payment set forth below is for illustrative purposes only and may not be the actual payment applicable to a purchaser of the notes. The numbers appearing in the following examples have been rounded for ease of analysis.</w:t>
      </w:r>
    </w:p>
    <w:p>
      <w:pPr>
        <w:spacing w:after="0" w:line="29" w:lineRule="exact"/>
        <w:rPr>
          <w:sz w:val="20"/>
          <w:szCs w:val="20"/>
          <w:color w:val="auto"/>
        </w:rPr>
      </w:pPr>
    </w:p>
    <w:p>
      <w:pPr>
        <w:ind w:left="5"/>
        <w:spacing w:after="0"/>
        <w:rPr>
          <w:sz w:val="20"/>
          <w:szCs w:val="20"/>
          <w:color w:val="auto"/>
        </w:rPr>
      </w:pPr>
      <w:r>
        <w:rPr>
          <w:rFonts w:ascii="Arial" w:cs="Arial" w:eastAsia="Arial" w:hAnsi="Arial"/>
          <w:sz w:val="17"/>
          <w:szCs w:val="17"/>
          <w:b w:val="1"/>
          <w:bCs w:val="1"/>
          <w:color w:val="54301A"/>
        </w:rPr>
        <w:t>Example 1 — The Final Value of the Least Performing Index is greater than or equal to its Trigger Value.</w:t>
      </w:r>
    </w:p>
    <w:p>
      <w:pPr>
        <w:spacing w:after="0" w:line="99" w:lineRule="exact"/>
        <w:rPr>
          <w:sz w:val="20"/>
          <w:szCs w:val="20"/>
          <w:color w:val="auto"/>
        </w:rPr>
      </w:pPr>
    </w:p>
    <w:tbl>
      <w:tblPr>
        <w:tblLayout w:type="fixed"/>
        <w:tblInd w:w="345" w:type="dxa"/>
        <w:tblCellMar>
          <w:top w:w="0" w:type="dxa"/>
          <w:left w:w="0" w:type="dxa"/>
          <w:bottom w:w="0" w:type="dxa"/>
          <w:right w:w="0" w:type="dxa"/>
        </w:tblCellMar>
      </w:tblPr>
      <w:tr>
        <w:trPr>
          <w:trHeight w:val="195"/>
        </w:trPr>
        <w:tc>
          <w:tcPr>
            <w:tcW w:w="1960" w:type="dxa"/>
            <w:vAlign w:val="bottom"/>
          </w:tcPr>
          <w:p>
            <w:pPr>
              <w:spacing w:after="0"/>
              <w:rPr>
                <w:sz w:val="20"/>
                <w:szCs w:val="20"/>
                <w:color w:val="auto"/>
              </w:rPr>
            </w:pPr>
            <w:r>
              <w:rPr>
                <w:rFonts w:ascii="Arial" w:cs="Arial" w:eastAsia="Arial" w:hAnsi="Arial"/>
                <w:sz w:val="17"/>
                <w:szCs w:val="17"/>
                <w:color w:val="404040"/>
              </w:rPr>
              <w:t>Date</w:t>
            </w:r>
          </w:p>
        </w:tc>
        <w:tc>
          <w:tcPr>
            <w:tcW w:w="2300" w:type="dxa"/>
            <w:vAlign w:val="bottom"/>
          </w:tcPr>
          <w:p>
            <w:pPr>
              <w:ind w:left="120"/>
              <w:spacing w:after="0"/>
              <w:rPr>
                <w:sz w:val="20"/>
                <w:szCs w:val="20"/>
                <w:color w:val="auto"/>
              </w:rPr>
            </w:pPr>
            <w:r>
              <w:rPr>
                <w:rFonts w:ascii="Arial" w:cs="Arial" w:eastAsia="Arial" w:hAnsi="Arial"/>
                <w:sz w:val="17"/>
                <w:szCs w:val="17"/>
                <w:color w:val="404040"/>
              </w:rPr>
              <w:t>Closing Level of Least</w:t>
            </w:r>
          </w:p>
        </w:tc>
        <w:tc>
          <w:tcPr>
            <w:tcW w:w="3560" w:type="dxa"/>
            <w:vAlign w:val="bottom"/>
          </w:tcPr>
          <w:p>
            <w:pPr>
              <w:ind w:left="300"/>
              <w:spacing w:after="0"/>
              <w:rPr>
                <w:sz w:val="20"/>
                <w:szCs w:val="20"/>
                <w:color w:val="auto"/>
              </w:rPr>
            </w:pPr>
            <w:r>
              <w:rPr>
                <w:rFonts w:ascii="Arial" w:cs="Arial" w:eastAsia="Arial" w:hAnsi="Arial"/>
                <w:sz w:val="17"/>
                <w:szCs w:val="17"/>
                <w:color w:val="404040"/>
                <w:w w:val="97"/>
              </w:rPr>
              <w:t>Payment (per $1,000 principal amount note)</w:t>
            </w:r>
          </w:p>
        </w:tc>
      </w:tr>
      <w:tr>
        <w:trPr>
          <w:trHeight w:val="221"/>
        </w:trPr>
        <w:tc>
          <w:tcPr>
            <w:tcW w:w="1960" w:type="dxa"/>
            <w:vAlign w:val="bottom"/>
          </w:tcPr>
          <w:p>
            <w:pPr>
              <w:spacing w:after="0"/>
              <w:rPr>
                <w:sz w:val="19"/>
                <w:szCs w:val="19"/>
                <w:color w:val="auto"/>
              </w:rPr>
            </w:pPr>
          </w:p>
        </w:tc>
        <w:tc>
          <w:tcPr>
            <w:tcW w:w="2300" w:type="dxa"/>
            <w:vAlign w:val="bottom"/>
          </w:tcPr>
          <w:p>
            <w:pPr>
              <w:ind w:left="120"/>
              <w:spacing w:after="0"/>
              <w:rPr>
                <w:sz w:val="20"/>
                <w:szCs w:val="20"/>
                <w:color w:val="auto"/>
              </w:rPr>
            </w:pPr>
            <w:r>
              <w:rPr>
                <w:rFonts w:ascii="Arial" w:cs="Arial" w:eastAsia="Arial" w:hAnsi="Arial"/>
                <w:sz w:val="17"/>
                <w:szCs w:val="17"/>
                <w:color w:val="404040"/>
              </w:rPr>
              <w:t>Performing Index</w:t>
            </w:r>
          </w:p>
        </w:tc>
        <w:tc>
          <w:tcPr>
            <w:tcW w:w="3560" w:type="dxa"/>
            <w:vAlign w:val="bottom"/>
          </w:tcPr>
          <w:p>
            <w:pPr>
              <w:spacing w:after="0"/>
              <w:rPr>
                <w:sz w:val="19"/>
                <w:szCs w:val="19"/>
                <w:color w:val="auto"/>
              </w:rPr>
            </w:pPr>
          </w:p>
        </w:tc>
      </w:tr>
      <w:tr>
        <w:trPr>
          <w:trHeight w:val="278"/>
        </w:trPr>
        <w:tc>
          <w:tcPr>
            <w:tcW w:w="1960" w:type="dxa"/>
            <w:vAlign w:val="bottom"/>
          </w:tcPr>
          <w:p>
            <w:pPr>
              <w:spacing w:after="0"/>
              <w:rPr>
                <w:sz w:val="20"/>
                <w:szCs w:val="20"/>
                <w:color w:val="auto"/>
              </w:rPr>
            </w:pPr>
            <w:r>
              <w:rPr>
                <w:rFonts w:ascii="Arial" w:cs="Arial" w:eastAsia="Arial" w:hAnsi="Arial"/>
                <w:sz w:val="17"/>
                <w:szCs w:val="17"/>
                <w:color w:val="404040"/>
              </w:rPr>
              <w:t>First Review Date</w:t>
            </w:r>
          </w:p>
        </w:tc>
        <w:tc>
          <w:tcPr>
            <w:tcW w:w="2300" w:type="dxa"/>
            <w:vAlign w:val="bottom"/>
          </w:tcPr>
          <w:p>
            <w:pPr>
              <w:ind w:left="120"/>
              <w:spacing w:after="0"/>
              <w:rPr>
                <w:sz w:val="20"/>
                <w:szCs w:val="20"/>
                <w:color w:val="auto"/>
              </w:rPr>
            </w:pPr>
            <w:r>
              <w:rPr>
                <w:rFonts w:ascii="Arial" w:cs="Arial" w:eastAsia="Arial" w:hAnsi="Arial"/>
                <w:sz w:val="17"/>
                <w:szCs w:val="17"/>
                <w:color w:val="404040"/>
              </w:rPr>
              <w:t>95.00</w:t>
            </w:r>
          </w:p>
        </w:tc>
        <w:tc>
          <w:tcPr>
            <w:tcW w:w="3560" w:type="dxa"/>
            <w:vAlign w:val="bottom"/>
          </w:tcPr>
          <w:p>
            <w:pPr>
              <w:ind w:left="300"/>
              <w:spacing w:after="0"/>
              <w:rPr>
                <w:sz w:val="20"/>
                <w:szCs w:val="20"/>
                <w:color w:val="auto"/>
              </w:rPr>
            </w:pPr>
            <w:r>
              <w:rPr>
                <w:rFonts w:ascii="Arial" w:cs="Arial" w:eastAsia="Arial" w:hAnsi="Arial"/>
                <w:sz w:val="17"/>
                <w:szCs w:val="17"/>
                <w:color w:val="404040"/>
              </w:rPr>
              <w:t>$8.4167</w:t>
            </w:r>
          </w:p>
        </w:tc>
      </w:tr>
      <w:tr>
        <w:trPr>
          <w:trHeight w:val="291"/>
        </w:trPr>
        <w:tc>
          <w:tcPr>
            <w:tcW w:w="1960" w:type="dxa"/>
            <w:vAlign w:val="bottom"/>
          </w:tcPr>
          <w:p>
            <w:pPr>
              <w:spacing w:after="0"/>
              <w:rPr>
                <w:sz w:val="20"/>
                <w:szCs w:val="20"/>
                <w:color w:val="auto"/>
              </w:rPr>
            </w:pPr>
            <w:r>
              <w:rPr>
                <w:rFonts w:ascii="Arial" w:cs="Arial" w:eastAsia="Arial" w:hAnsi="Arial"/>
                <w:sz w:val="17"/>
                <w:szCs w:val="17"/>
                <w:color w:val="404040"/>
              </w:rPr>
              <w:t>Second Review Date</w:t>
            </w:r>
          </w:p>
        </w:tc>
        <w:tc>
          <w:tcPr>
            <w:tcW w:w="2300" w:type="dxa"/>
            <w:vAlign w:val="bottom"/>
          </w:tcPr>
          <w:p>
            <w:pPr>
              <w:ind w:left="120"/>
              <w:spacing w:after="0"/>
              <w:rPr>
                <w:sz w:val="20"/>
                <w:szCs w:val="20"/>
                <w:color w:val="auto"/>
              </w:rPr>
            </w:pPr>
            <w:r>
              <w:rPr>
                <w:rFonts w:ascii="Arial" w:cs="Arial" w:eastAsia="Arial" w:hAnsi="Arial"/>
                <w:sz w:val="17"/>
                <w:szCs w:val="17"/>
                <w:color w:val="404040"/>
              </w:rPr>
              <w:t>85.00</w:t>
            </w:r>
          </w:p>
        </w:tc>
        <w:tc>
          <w:tcPr>
            <w:tcW w:w="3560" w:type="dxa"/>
            <w:vAlign w:val="bottom"/>
          </w:tcPr>
          <w:p>
            <w:pPr>
              <w:ind w:left="300"/>
              <w:spacing w:after="0"/>
              <w:rPr>
                <w:sz w:val="20"/>
                <w:szCs w:val="20"/>
                <w:color w:val="auto"/>
              </w:rPr>
            </w:pPr>
            <w:r>
              <w:rPr>
                <w:rFonts w:ascii="Arial" w:cs="Arial" w:eastAsia="Arial" w:hAnsi="Arial"/>
                <w:sz w:val="17"/>
                <w:szCs w:val="17"/>
                <w:color w:val="404040"/>
              </w:rPr>
              <w:t>$8.4167</w:t>
            </w:r>
          </w:p>
        </w:tc>
      </w:tr>
      <w:tr>
        <w:trPr>
          <w:trHeight w:val="291"/>
        </w:trPr>
        <w:tc>
          <w:tcPr>
            <w:tcW w:w="1960" w:type="dxa"/>
            <w:vAlign w:val="bottom"/>
          </w:tcPr>
          <w:p>
            <w:pPr>
              <w:spacing w:after="0"/>
              <w:rPr>
                <w:sz w:val="20"/>
                <w:szCs w:val="20"/>
                <w:color w:val="auto"/>
              </w:rPr>
            </w:pPr>
            <w:r>
              <w:rPr>
                <w:rFonts w:ascii="Arial" w:cs="Arial" w:eastAsia="Arial" w:hAnsi="Arial"/>
                <w:sz w:val="17"/>
                <w:szCs w:val="17"/>
                <w:color w:val="404040"/>
              </w:rPr>
              <w:t>Third through Thirty-Fifth</w:t>
            </w:r>
          </w:p>
        </w:tc>
        <w:tc>
          <w:tcPr>
            <w:tcW w:w="2300" w:type="dxa"/>
            <w:vAlign w:val="bottom"/>
          </w:tcPr>
          <w:p>
            <w:pPr>
              <w:ind w:left="120"/>
              <w:spacing w:after="0"/>
              <w:rPr>
                <w:sz w:val="20"/>
                <w:szCs w:val="20"/>
                <w:color w:val="auto"/>
              </w:rPr>
            </w:pPr>
            <w:r>
              <w:rPr>
                <w:rFonts w:ascii="Arial" w:cs="Arial" w:eastAsia="Arial" w:hAnsi="Arial"/>
                <w:sz w:val="17"/>
                <w:szCs w:val="17"/>
                <w:color w:val="404040"/>
              </w:rPr>
              <w:t>Less than Interest Barrier</w:t>
            </w:r>
          </w:p>
        </w:tc>
        <w:tc>
          <w:tcPr>
            <w:tcW w:w="3560" w:type="dxa"/>
            <w:vAlign w:val="bottom"/>
          </w:tcPr>
          <w:p>
            <w:pPr>
              <w:ind w:left="300"/>
              <w:spacing w:after="0"/>
              <w:rPr>
                <w:sz w:val="20"/>
                <w:szCs w:val="20"/>
                <w:color w:val="auto"/>
              </w:rPr>
            </w:pPr>
            <w:r>
              <w:rPr>
                <w:rFonts w:ascii="Arial" w:cs="Arial" w:eastAsia="Arial" w:hAnsi="Arial"/>
                <w:sz w:val="17"/>
                <w:szCs w:val="17"/>
                <w:color w:val="404040"/>
              </w:rPr>
              <w:t>$0</w:t>
            </w:r>
          </w:p>
        </w:tc>
      </w:tr>
      <w:tr>
        <w:trPr>
          <w:trHeight w:val="238"/>
        </w:trPr>
        <w:tc>
          <w:tcPr>
            <w:tcW w:w="1960" w:type="dxa"/>
            <w:vAlign w:val="bottom"/>
          </w:tcPr>
          <w:p>
            <w:pPr>
              <w:spacing w:after="0"/>
              <w:rPr>
                <w:sz w:val="20"/>
                <w:szCs w:val="20"/>
                <w:color w:val="auto"/>
              </w:rPr>
            </w:pPr>
            <w:r>
              <w:rPr>
                <w:rFonts w:ascii="Arial" w:cs="Arial" w:eastAsia="Arial" w:hAnsi="Arial"/>
                <w:sz w:val="17"/>
                <w:szCs w:val="17"/>
                <w:color w:val="404040"/>
              </w:rPr>
              <w:t>Review Dates</w:t>
            </w:r>
          </w:p>
        </w:tc>
        <w:tc>
          <w:tcPr>
            <w:tcW w:w="2300" w:type="dxa"/>
            <w:vAlign w:val="bottom"/>
          </w:tcPr>
          <w:p>
            <w:pPr>
              <w:spacing w:after="0"/>
              <w:rPr>
                <w:sz w:val="20"/>
                <w:szCs w:val="20"/>
                <w:color w:val="auto"/>
              </w:rPr>
            </w:pPr>
          </w:p>
        </w:tc>
        <w:tc>
          <w:tcPr>
            <w:tcW w:w="3560" w:type="dxa"/>
            <w:vAlign w:val="bottom"/>
          </w:tcPr>
          <w:p>
            <w:pPr>
              <w:spacing w:after="0"/>
              <w:rPr>
                <w:sz w:val="20"/>
                <w:szCs w:val="20"/>
                <w:color w:val="auto"/>
              </w:rPr>
            </w:pPr>
          </w:p>
        </w:tc>
      </w:tr>
      <w:tr>
        <w:trPr>
          <w:trHeight w:val="318"/>
        </w:trPr>
        <w:tc>
          <w:tcPr>
            <w:tcW w:w="1960" w:type="dxa"/>
            <w:vAlign w:val="bottom"/>
          </w:tcPr>
          <w:p>
            <w:pPr>
              <w:spacing w:after="0"/>
              <w:rPr>
                <w:sz w:val="20"/>
                <w:szCs w:val="20"/>
                <w:color w:val="auto"/>
              </w:rPr>
            </w:pPr>
            <w:r>
              <w:rPr>
                <w:rFonts w:ascii="Arial" w:cs="Arial" w:eastAsia="Arial" w:hAnsi="Arial"/>
                <w:sz w:val="17"/>
                <w:szCs w:val="17"/>
                <w:color w:val="404040"/>
              </w:rPr>
              <w:t>Final Review Date</w:t>
            </w:r>
          </w:p>
        </w:tc>
        <w:tc>
          <w:tcPr>
            <w:tcW w:w="2300" w:type="dxa"/>
            <w:vAlign w:val="bottom"/>
          </w:tcPr>
          <w:p>
            <w:pPr>
              <w:ind w:left="120"/>
              <w:spacing w:after="0"/>
              <w:rPr>
                <w:sz w:val="20"/>
                <w:szCs w:val="20"/>
                <w:color w:val="auto"/>
              </w:rPr>
            </w:pPr>
            <w:r>
              <w:rPr>
                <w:rFonts w:ascii="Arial" w:cs="Arial" w:eastAsia="Arial" w:hAnsi="Arial"/>
                <w:sz w:val="17"/>
                <w:szCs w:val="17"/>
                <w:color w:val="404040"/>
              </w:rPr>
              <w:t>90.00</w:t>
            </w:r>
          </w:p>
        </w:tc>
        <w:tc>
          <w:tcPr>
            <w:tcW w:w="3560" w:type="dxa"/>
            <w:vAlign w:val="bottom"/>
          </w:tcPr>
          <w:p>
            <w:pPr>
              <w:ind w:left="300"/>
              <w:spacing w:after="0"/>
              <w:rPr>
                <w:sz w:val="20"/>
                <w:szCs w:val="20"/>
                <w:color w:val="auto"/>
              </w:rPr>
            </w:pPr>
            <w:r>
              <w:rPr>
                <w:rFonts w:ascii="Arial" w:cs="Arial" w:eastAsia="Arial" w:hAnsi="Arial"/>
                <w:sz w:val="17"/>
                <w:szCs w:val="17"/>
                <w:color w:val="404040"/>
              </w:rPr>
              <w:t>$1,008.4167</w:t>
            </w:r>
          </w:p>
        </w:tc>
      </w:tr>
      <w:tr>
        <w:trPr>
          <w:trHeight w:val="304"/>
        </w:trPr>
        <w:tc>
          <w:tcPr>
            <w:tcW w:w="1960" w:type="dxa"/>
            <w:vAlign w:val="bottom"/>
          </w:tcPr>
          <w:p>
            <w:pPr>
              <w:spacing w:after="0"/>
              <w:rPr>
                <w:sz w:val="24"/>
                <w:szCs w:val="24"/>
                <w:color w:val="auto"/>
              </w:rPr>
            </w:pPr>
          </w:p>
        </w:tc>
        <w:tc>
          <w:tcPr>
            <w:tcW w:w="2300" w:type="dxa"/>
            <w:vAlign w:val="bottom"/>
          </w:tcPr>
          <w:p>
            <w:pPr>
              <w:ind w:left="120"/>
              <w:spacing w:after="0"/>
              <w:rPr>
                <w:sz w:val="20"/>
                <w:szCs w:val="20"/>
                <w:color w:val="auto"/>
              </w:rPr>
            </w:pPr>
            <w:r>
              <w:rPr>
                <w:rFonts w:ascii="Arial" w:cs="Arial" w:eastAsia="Arial" w:hAnsi="Arial"/>
                <w:sz w:val="17"/>
                <w:szCs w:val="17"/>
                <w:color w:val="404040"/>
              </w:rPr>
              <w:t>Total Payment</w:t>
            </w:r>
          </w:p>
        </w:tc>
        <w:tc>
          <w:tcPr>
            <w:tcW w:w="3560" w:type="dxa"/>
            <w:vAlign w:val="bottom"/>
          </w:tcPr>
          <w:p>
            <w:pPr>
              <w:ind w:left="300"/>
              <w:spacing w:after="0"/>
              <w:rPr>
                <w:sz w:val="20"/>
                <w:szCs w:val="20"/>
                <w:color w:val="auto"/>
              </w:rPr>
            </w:pPr>
            <w:r>
              <w:rPr>
                <w:rFonts w:ascii="Arial" w:cs="Arial" w:eastAsia="Arial" w:hAnsi="Arial"/>
                <w:sz w:val="17"/>
                <w:szCs w:val="17"/>
                <w:color w:val="404040"/>
              </w:rPr>
              <w:t>$1,025.25 (2.525% return)</w:t>
            </w:r>
          </w:p>
        </w:tc>
      </w:tr>
    </w:tbl>
    <w:p>
      <w:pPr>
        <w:spacing w:after="0" w:line="97" w:lineRule="exact"/>
        <w:rPr>
          <w:sz w:val="20"/>
          <w:szCs w:val="20"/>
          <w:color w:val="auto"/>
        </w:rPr>
      </w:pPr>
    </w:p>
    <w:p>
      <w:pPr>
        <w:ind w:left="5"/>
        <w:spacing w:after="0"/>
        <w:rPr>
          <w:sz w:val="20"/>
          <w:szCs w:val="20"/>
          <w:color w:val="auto"/>
        </w:rPr>
      </w:pPr>
      <w:r>
        <w:rPr>
          <w:rFonts w:ascii="Arial" w:cs="Arial" w:eastAsia="Arial" w:hAnsi="Arial"/>
          <w:sz w:val="17"/>
          <w:szCs w:val="17"/>
          <w:color w:val="404040"/>
        </w:rPr>
        <w:t>Because the Final Value of the Least Performing Index is greater than or equal to its Trigger Value, the payment at maturity, for each</w:t>
      </w:r>
    </w:p>
    <w:p>
      <w:pPr>
        <w:spacing w:after="0" w:line="30" w:lineRule="exact"/>
        <w:rPr>
          <w:sz w:val="20"/>
          <w:szCs w:val="20"/>
          <w:color w:val="auto"/>
        </w:rPr>
      </w:pPr>
    </w:p>
    <w:p>
      <w:pPr>
        <w:ind w:left="5"/>
        <w:spacing w:after="0" w:line="299" w:lineRule="auto"/>
        <w:rPr>
          <w:sz w:val="20"/>
          <w:szCs w:val="20"/>
          <w:color w:val="auto"/>
        </w:rPr>
      </w:pPr>
      <w:r>
        <w:rPr>
          <w:rFonts w:ascii="Arial" w:cs="Arial" w:eastAsia="Arial" w:hAnsi="Arial"/>
          <w:sz w:val="17"/>
          <w:szCs w:val="17"/>
          <w:color w:val="404040"/>
        </w:rPr>
        <w:t xml:space="preserve">$1,000 principal amount note, will be $1,008.4167 (or $1,000 </w:t>
      </w:r>
      <w:r>
        <w:rPr>
          <w:rFonts w:ascii="Arial" w:cs="Arial" w:eastAsia="Arial" w:hAnsi="Arial"/>
          <w:sz w:val="17"/>
          <w:szCs w:val="17"/>
          <w:i w:val="1"/>
          <w:iCs w:val="1"/>
          <w:color w:val="404040"/>
        </w:rPr>
        <w:t>plus</w:t>
      </w:r>
      <w:r>
        <w:rPr>
          <w:rFonts w:ascii="Arial" w:cs="Arial" w:eastAsia="Arial" w:hAnsi="Arial"/>
          <w:sz w:val="17"/>
          <w:szCs w:val="17"/>
          <w:color w:val="404040"/>
        </w:rPr>
        <w:t xml:space="preserve"> the Contingent Interest Payment applicable to the final Review Date). When added to the Contingent Interest Payments received with respect to the prior Review Dates, the total amount paid, for each $1,000 principal amount note, is $1,025.25.</w:t>
      </w:r>
    </w:p>
    <w:p>
      <w:pPr>
        <w:spacing w:after="0" w:line="37" w:lineRule="exact"/>
        <w:rPr>
          <w:sz w:val="20"/>
          <w:szCs w:val="20"/>
          <w:color w:val="auto"/>
        </w:rPr>
      </w:pPr>
    </w:p>
    <w:p>
      <w:pPr>
        <w:ind w:left="5"/>
        <w:spacing w:after="0"/>
        <w:rPr>
          <w:sz w:val="20"/>
          <w:szCs w:val="20"/>
          <w:color w:val="auto"/>
        </w:rPr>
      </w:pPr>
      <w:r>
        <w:rPr>
          <w:rFonts w:ascii="Arial" w:cs="Arial" w:eastAsia="Arial" w:hAnsi="Arial"/>
          <w:sz w:val="17"/>
          <w:szCs w:val="17"/>
          <w:b w:val="1"/>
          <w:bCs w:val="1"/>
          <w:color w:val="54301A"/>
        </w:rPr>
        <w:t>Example 2 — The Final Value of the Least Performing Index is less than its Trigger Value.</w:t>
      </w:r>
    </w:p>
    <w:p>
      <w:pPr>
        <w:spacing w:after="0" w:line="99" w:lineRule="exact"/>
        <w:rPr>
          <w:sz w:val="20"/>
          <w:szCs w:val="20"/>
          <w:color w:val="auto"/>
        </w:rPr>
      </w:pPr>
    </w:p>
    <w:tbl>
      <w:tblPr>
        <w:tblLayout w:type="fixed"/>
        <w:tblInd w:w="345" w:type="dxa"/>
        <w:tblCellMar>
          <w:top w:w="0" w:type="dxa"/>
          <w:left w:w="0" w:type="dxa"/>
          <w:bottom w:w="0" w:type="dxa"/>
          <w:right w:w="0" w:type="dxa"/>
        </w:tblCellMar>
      </w:tblPr>
      <w:tr>
        <w:trPr>
          <w:trHeight w:val="195"/>
        </w:trPr>
        <w:tc>
          <w:tcPr>
            <w:tcW w:w="1960" w:type="dxa"/>
            <w:vAlign w:val="bottom"/>
          </w:tcPr>
          <w:p>
            <w:pPr>
              <w:spacing w:after="0"/>
              <w:rPr>
                <w:sz w:val="20"/>
                <w:szCs w:val="20"/>
                <w:color w:val="auto"/>
              </w:rPr>
            </w:pPr>
            <w:r>
              <w:rPr>
                <w:rFonts w:ascii="Arial" w:cs="Arial" w:eastAsia="Arial" w:hAnsi="Arial"/>
                <w:sz w:val="17"/>
                <w:szCs w:val="17"/>
                <w:color w:val="404040"/>
              </w:rPr>
              <w:t>Date</w:t>
            </w:r>
          </w:p>
        </w:tc>
        <w:tc>
          <w:tcPr>
            <w:tcW w:w="2300" w:type="dxa"/>
            <w:vAlign w:val="bottom"/>
          </w:tcPr>
          <w:p>
            <w:pPr>
              <w:ind w:left="120"/>
              <w:spacing w:after="0"/>
              <w:rPr>
                <w:sz w:val="20"/>
                <w:szCs w:val="20"/>
                <w:color w:val="auto"/>
              </w:rPr>
            </w:pPr>
            <w:r>
              <w:rPr>
                <w:rFonts w:ascii="Arial" w:cs="Arial" w:eastAsia="Arial" w:hAnsi="Arial"/>
                <w:sz w:val="17"/>
                <w:szCs w:val="17"/>
                <w:color w:val="404040"/>
              </w:rPr>
              <w:t>Closing Level of Least</w:t>
            </w:r>
          </w:p>
        </w:tc>
        <w:tc>
          <w:tcPr>
            <w:tcW w:w="3560" w:type="dxa"/>
            <w:vAlign w:val="bottom"/>
          </w:tcPr>
          <w:p>
            <w:pPr>
              <w:ind w:left="300"/>
              <w:spacing w:after="0"/>
              <w:rPr>
                <w:sz w:val="20"/>
                <w:szCs w:val="20"/>
                <w:color w:val="auto"/>
              </w:rPr>
            </w:pPr>
            <w:r>
              <w:rPr>
                <w:rFonts w:ascii="Arial" w:cs="Arial" w:eastAsia="Arial" w:hAnsi="Arial"/>
                <w:sz w:val="17"/>
                <w:szCs w:val="17"/>
                <w:color w:val="404040"/>
                <w:w w:val="97"/>
              </w:rPr>
              <w:t>Payment (per $1,000 principal amount note)</w:t>
            </w:r>
          </w:p>
        </w:tc>
      </w:tr>
      <w:tr>
        <w:trPr>
          <w:trHeight w:val="221"/>
        </w:trPr>
        <w:tc>
          <w:tcPr>
            <w:tcW w:w="1960" w:type="dxa"/>
            <w:vAlign w:val="bottom"/>
          </w:tcPr>
          <w:p>
            <w:pPr>
              <w:spacing w:after="0"/>
              <w:rPr>
                <w:sz w:val="19"/>
                <w:szCs w:val="19"/>
                <w:color w:val="auto"/>
              </w:rPr>
            </w:pPr>
          </w:p>
        </w:tc>
        <w:tc>
          <w:tcPr>
            <w:tcW w:w="2300" w:type="dxa"/>
            <w:vAlign w:val="bottom"/>
          </w:tcPr>
          <w:p>
            <w:pPr>
              <w:ind w:left="120"/>
              <w:spacing w:after="0"/>
              <w:rPr>
                <w:sz w:val="20"/>
                <w:szCs w:val="20"/>
                <w:color w:val="auto"/>
              </w:rPr>
            </w:pPr>
            <w:r>
              <w:rPr>
                <w:rFonts w:ascii="Arial" w:cs="Arial" w:eastAsia="Arial" w:hAnsi="Arial"/>
                <w:sz w:val="17"/>
                <w:szCs w:val="17"/>
                <w:color w:val="404040"/>
              </w:rPr>
              <w:t>Performing Index</w:t>
            </w:r>
          </w:p>
        </w:tc>
        <w:tc>
          <w:tcPr>
            <w:tcW w:w="3560" w:type="dxa"/>
            <w:vAlign w:val="bottom"/>
          </w:tcPr>
          <w:p>
            <w:pPr>
              <w:spacing w:after="0"/>
              <w:rPr>
                <w:sz w:val="19"/>
                <w:szCs w:val="19"/>
                <w:color w:val="auto"/>
              </w:rPr>
            </w:pPr>
          </w:p>
        </w:tc>
      </w:tr>
      <w:tr>
        <w:trPr>
          <w:trHeight w:val="278"/>
        </w:trPr>
        <w:tc>
          <w:tcPr>
            <w:tcW w:w="1960" w:type="dxa"/>
            <w:vAlign w:val="bottom"/>
          </w:tcPr>
          <w:p>
            <w:pPr>
              <w:spacing w:after="0"/>
              <w:rPr>
                <w:sz w:val="20"/>
                <w:szCs w:val="20"/>
                <w:color w:val="auto"/>
              </w:rPr>
            </w:pPr>
            <w:r>
              <w:rPr>
                <w:rFonts w:ascii="Arial" w:cs="Arial" w:eastAsia="Arial" w:hAnsi="Arial"/>
                <w:sz w:val="17"/>
                <w:szCs w:val="17"/>
                <w:color w:val="404040"/>
              </w:rPr>
              <w:t>First Review Date</w:t>
            </w:r>
          </w:p>
        </w:tc>
        <w:tc>
          <w:tcPr>
            <w:tcW w:w="2300" w:type="dxa"/>
            <w:vAlign w:val="bottom"/>
          </w:tcPr>
          <w:p>
            <w:pPr>
              <w:ind w:left="120"/>
              <w:spacing w:after="0"/>
              <w:rPr>
                <w:sz w:val="20"/>
                <w:szCs w:val="20"/>
                <w:color w:val="auto"/>
              </w:rPr>
            </w:pPr>
            <w:r>
              <w:rPr>
                <w:rFonts w:ascii="Arial" w:cs="Arial" w:eastAsia="Arial" w:hAnsi="Arial"/>
                <w:sz w:val="17"/>
                <w:szCs w:val="17"/>
                <w:color w:val="404040"/>
              </w:rPr>
              <w:t>40.00</w:t>
            </w:r>
          </w:p>
        </w:tc>
        <w:tc>
          <w:tcPr>
            <w:tcW w:w="3560" w:type="dxa"/>
            <w:vAlign w:val="bottom"/>
          </w:tcPr>
          <w:p>
            <w:pPr>
              <w:ind w:left="300"/>
              <w:spacing w:after="0"/>
              <w:rPr>
                <w:sz w:val="20"/>
                <w:szCs w:val="20"/>
                <w:color w:val="auto"/>
              </w:rPr>
            </w:pPr>
            <w:r>
              <w:rPr>
                <w:rFonts w:ascii="Arial" w:cs="Arial" w:eastAsia="Arial" w:hAnsi="Arial"/>
                <w:sz w:val="17"/>
                <w:szCs w:val="17"/>
                <w:color w:val="404040"/>
              </w:rPr>
              <w:t>$0</w:t>
            </w:r>
          </w:p>
        </w:tc>
      </w:tr>
      <w:tr>
        <w:trPr>
          <w:trHeight w:val="291"/>
        </w:trPr>
        <w:tc>
          <w:tcPr>
            <w:tcW w:w="1960" w:type="dxa"/>
            <w:vAlign w:val="bottom"/>
          </w:tcPr>
          <w:p>
            <w:pPr>
              <w:spacing w:after="0"/>
              <w:rPr>
                <w:sz w:val="20"/>
                <w:szCs w:val="20"/>
                <w:color w:val="auto"/>
              </w:rPr>
            </w:pPr>
            <w:r>
              <w:rPr>
                <w:rFonts w:ascii="Arial" w:cs="Arial" w:eastAsia="Arial" w:hAnsi="Arial"/>
                <w:sz w:val="17"/>
                <w:szCs w:val="17"/>
                <w:color w:val="404040"/>
              </w:rPr>
              <w:t>Second Review Date</w:t>
            </w:r>
          </w:p>
        </w:tc>
        <w:tc>
          <w:tcPr>
            <w:tcW w:w="2300" w:type="dxa"/>
            <w:vAlign w:val="bottom"/>
          </w:tcPr>
          <w:p>
            <w:pPr>
              <w:ind w:left="120"/>
              <w:spacing w:after="0"/>
              <w:rPr>
                <w:sz w:val="20"/>
                <w:szCs w:val="20"/>
                <w:color w:val="auto"/>
              </w:rPr>
            </w:pPr>
            <w:r>
              <w:rPr>
                <w:rFonts w:ascii="Arial" w:cs="Arial" w:eastAsia="Arial" w:hAnsi="Arial"/>
                <w:sz w:val="17"/>
                <w:szCs w:val="17"/>
                <w:color w:val="404040"/>
              </w:rPr>
              <w:t>45.00</w:t>
            </w:r>
          </w:p>
        </w:tc>
        <w:tc>
          <w:tcPr>
            <w:tcW w:w="3560" w:type="dxa"/>
            <w:vAlign w:val="bottom"/>
          </w:tcPr>
          <w:p>
            <w:pPr>
              <w:ind w:left="300"/>
              <w:spacing w:after="0"/>
              <w:rPr>
                <w:sz w:val="20"/>
                <w:szCs w:val="20"/>
                <w:color w:val="auto"/>
              </w:rPr>
            </w:pPr>
            <w:r>
              <w:rPr>
                <w:rFonts w:ascii="Arial" w:cs="Arial" w:eastAsia="Arial" w:hAnsi="Arial"/>
                <w:sz w:val="17"/>
                <w:szCs w:val="17"/>
                <w:color w:val="404040"/>
              </w:rPr>
              <w:t>$0</w:t>
            </w:r>
          </w:p>
        </w:tc>
      </w:tr>
      <w:tr>
        <w:trPr>
          <w:trHeight w:val="331"/>
        </w:trPr>
        <w:tc>
          <w:tcPr>
            <w:tcW w:w="1960" w:type="dxa"/>
            <w:vAlign w:val="bottom"/>
          </w:tcPr>
          <w:p>
            <w:pPr>
              <w:spacing w:after="0"/>
              <w:rPr>
                <w:sz w:val="20"/>
                <w:szCs w:val="20"/>
                <w:color w:val="auto"/>
              </w:rPr>
            </w:pPr>
            <w:r>
              <w:rPr>
                <w:rFonts w:ascii="Arial" w:cs="Arial" w:eastAsia="Arial" w:hAnsi="Arial"/>
                <w:sz w:val="17"/>
                <w:szCs w:val="17"/>
                <w:color w:val="404040"/>
              </w:rPr>
              <w:t>Third through Thirty-Fifth</w:t>
            </w:r>
          </w:p>
        </w:tc>
        <w:tc>
          <w:tcPr>
            <w:tcW w:w="2300" w:type="dxa"/>
            <w:vAlign w:val="bottom"/>
          </w:tcPr>
          <w:p>
            <w:pPr>
              <w:ind w:left="120"/>
              <w:spacing w:after="0"/>
              <w:rPr>
                <w:sz w:val="20"/>
                <w:szCs w:val="20"/>
                <w:color w:val="auto"/>
              </w:rPr>
            </w:pPr>
            <w:r>
              <w:rPr>
                <w:rFonts w:ascii="Arial" w:cs="Arial" w:eastAsia="Arial" w:hAnsi="Arial"/>
                <w:sz w:val="17"/>
                <w:szCs w:val="17"/>
                <w:color w:val="404040"/>
              </w:rPr>
              <w:t>Less than Interest Barrier</w:t>
            </w:r>
          </w:p>
        </w:tc>
        <w:tc>
          <w:tcPr>
            <w:tcW w:w="3560" w:type="dxa"/>
            <w:vAlign w:val="bottom"/>
          </w:tcPr>
          <w:p>
            <w:pPr>
              <w:ind w:left="300"/>
              <w:spacing w:after="0"/>
              <w:rPr>
                <w:sz w:val="20"/>
                <w:szCs w:val="20"/>
                <w:color w:val="auto"/>
              </w:rPr>
            </w:pPr>
            <w:r>
              <w:rPr>
                <w:rFonts w:ascii="Arial" w:cs="Arial" w:eastAsia="Arial" w:hAnsi="Arial"/>
                <w:sz w:val="17"/>
                <w:szCs w:val="17"/>
                <w:color w:val="404040"/>
              </w:rPr>
              <w:t>$0</w:t>
            </w:r>
          </w:p>
        </w:tc>
      </w:tr>
      <w:tr>
        <w:trPr>
          <w:trHeight w:val="225"/>
        </w:trPr>
        <w:tc>
          <w:tcPr>
            <w:tcW w:w="1960" w:type="dxa"/>
            <w:vAlign w:val="bottom"/>
          </w:tcPr>
          <w:p>
            <w:pPr>
              <w:spacing w:after="0"/>
              <w:rPr>
                <w:sz w:val="20"/>
                <w:szCs w:val="20"/>
                <w:color w:val="auto"/>
              </w:rPr>
            </w:pPr>
            <w:r>
              <w:rPr>
                <w:rFonts w:ascii="Arial" w:cs="Arial" w:eastAsia="Arial" w:hAnsi="Arial"/>
                <w:sz w:val="17"/>
                <w:szCs w:val="17"/>
                <w:color w:val="404040"/>
              </w:rPr>
              <w:t>Review Dates</w:t>
            </w:r>
          </w:p>
        </w:tc>
        <w:tc>
          <w:tcPr>
            <w:tcW w:w="2300" w:type="dxa"/>
            <w:vAlign w:val="bottom"/>
          </w:tcPr>
          <w:p>
            <w:pPr>
              <w:spacing w:after="0"/>
              <w:rPr>
                <w:sz w:val="19"/>
                <w:szCs w:val="19"/>
                <w:color w:val="auto"/>
              </w:rPr>
            </w:pPr>
          </w:p>
        </w:tc>
        <w:tc>
          <w:tcPr>
            <w:tcW w:w="3560" w:type="dxa"/>
            <w:vAlign w:val="bottom"/>
          </w:tcPr>
          <w:p>
            <w:pPr>
              <w:spacing w:after="0"/>
              <w:rPr>
                <w:sz w:val="19"/>
                <w:szCs w:val="19"/>
                <w:color w:val="auto"/>
              </w:rPr>
            </w:pPr>
          </w:p>
        </w:tc>
      </w:tr>
      <w:tr>
        <w:trPr>
          <w:trHeight w:val="318"/>
        </w:trPr>
        <w:tc>
          <w:tcPr>
            <w:tcW w:w="1960" w:type="dxa"/>
            <w:vAlign w:val="bottom"/>
          </w:tcPr>
          <w:p>
            <w:pPr>
              <w:spacing w:after="0"/>
              <w:rPr>
                <w:sz w:val="20"/>
                <w:szCs w:val="20"/>
                <w:color w:val="auto"/>
              </w:rPr>
            </w:pPr>
            <w:r>
              <w:rPr>
                <w:rFonts w:ascii="Arial" w:cs="Arial" w:eastAsia="Arial" w:hAnsi="Arial"/>
                <w:sz w:val="17"/>
                <w:szCs w:val="17"/>
                <w:color w:val="404040"/>
              </w:rPr>
              <w:t>Final Review Date</w:t>
            </w:r>
          </w:p>
        </w:tc>
        <w:tc>
          <w:tcPr>
            <w:tcW w:w="2300" w:type="dxa"/>
            <w:vAlign w:val="bottom"/>
          </w:tcPr>
          <w:p>
            <w:pPr>
              <w:ind w:left="120"/>
              <w:spacing w:after="0"/>
              <w:rPr>
                <w:sz w:val="20"/>
                <w:szCs w:val="20"/>
                <w:color w:val="auto"/>
              </w:rPr>
            </w:pPr>
            <w:r>
              <w:rPr>
                <w:rFonts w:ascii="Arial" w:cs="Arial" w:eastAsia="Arial" w:hAnsi="Arial"/>
                <w:sz w:val="17"/>
                <w:szCs w:val="17"/>
                <w:color w:val="404040"/>
              </w:rPr>
              <w:t>40.00</w:t>
            </w:r>
          </w:p>
        </w:tc>
        <w:tc>
          <w:tcPr>
            <w:tcW w:w="3560" w:type="dxa"/>
            <w:vAlign w:val="bottom"/>
          </w:tcPr>
          <w:p>
            <w:pPr>
              <w:ind w:left="300"/>
              <w:spacing w:after="0"/>
              <w:rPr>
                <w:sz w:val="20"/>
                <w:szCs w:val="20"/>
                <w:color w:val="auto"/>
              </w:rPr>
            </w:pPr>
            <w:r>
              <w:rPr>
                <w:rFonts w:ascii="Arial" w:cs="Arial" w:eastAsia="Arial" w:hAnsi="Arial"/>
                <w:sz w:val="17"/>
                <w:szCs w:val="17"/>
                <w:color w:val="404040"/>
              </w:rPr>
              <w:t>$400.00</w:t>
            </w:r>
          </w:p>
        </w:tc>
      </w:tr>
      <w:tr>
        <w:trPr>
          <w:trHeight w:val="344"/>
        </w:trPr>
        <w:tc>
          <w:tcPr>
            <w:tcW w:w="1960" w:type="dxa"/>
            <w:vAlign w:val="bottom"/>
          </w:tcPr>
          <w:p>
            <w:pPr>
              <w:spacing w:after="0"/>
              <w:rPr>
                <w:sz w:val="24"/>
                <w:szCs w:val="24"/>
                <w:color w:val="auto"/>
              </w:rPr>
            </w:pPr>
          </w:p>
        </w:tc>
        <w:tc>
          <w:tcPr>
            <w:tcW w:w="2300" w:type="dxa"/>
            <w:vAlign w:val="bottom"/>
          </w:tcPr>
          <w:p>
            <w:pPr>
              <w:ind w:left="120"/>
              <w:spacing w:after="0"/>
              <w:rPr>
                <w:sz w:val="20"/>
                <w:szCs w:val="20"/>
                <w:color w:val="auto"/>
              </w:rPr>
            </w:pPr>
            <w:r>
              <w:rPr>
                <w:rFonts w:ascii="Arial" w:cs="Arial" w:eastAsia="Arial" w:hAnsi="Arial"/>
                <w:sz w:val="17"/>
                <w:szCs w:val="17"/>
                <w:color w:val="404040"/>
              </w:rPr>
              <w:t>Total Payment</w:t>
            </w:r>
          </w:p>
        </w:tc>
        <w:tc>
          <w:tcPr>
            <w:tcW w:w="3560" w:type="dxa"/>
            <w:vAlign w:val="bottom"/>
          </w:tcPr>
          <w:p>
            <w:pPr>
              <w:ind w:left="300"/>
              <w:spacing w:after="0"/>
              <w:rPr>
                <w:sz w:val="20"/>
                <w:szCs w:val="20"/>
                <w:color w:val="auto"/>
              </w:rPr>
            </w:pPr>
            <w:r>
              <w:rPr>
                <w:rFonts w:ascii="Arial" w:cs="Arial" w:eastAsia="Arial" w:hAnsi="Arial"/>
                <w:sz w:val="17"/>
                <w:szCs w:val="17"/>
                <w:color w:val="404040"/>
              </w:rPr>
              <w:t>$400.00 (-60.00% return)</w:t>
            </w:r>
          </w:p>
        </w:tc>
      </w:tr>
    </w:tbl>
    <w:p>
      <w:pPr>
        <w:spacing w:after="0" w:line="123" w:lineRule="exact"/>
        <w:rPr>
          <w:sz w:val="20"/>
          <w:szCs w:val="20"/>
          <w:color w:val="auto"/>
        </w:rPr>
      </w:pPr>
    </w:p>
    <w:p>
      <w:pPr>
        <w:ind w:left="5" w:right="40"/>
        <w:spacing w:after="0" w:line="307" w:lineRule="auto"/>
        <w:rPr>
          <w:sz w:val="20"/>
          <w:szCs w:val="20"/>
          <w:color w:val="auto"/>
        </w:rPr>
      </w:pPr>
      <w:r>
        <w:rPr>
          <w:rFonts w:ascii="Arial" w:cs="Arial" w:eastAsia="Arial" w:hAnsi="Arial"/>
          <w:sz w:val="17"/>
          <w:szCs w:val="17"/>
          <w:color w:val="404040"/>
        </w:rPr>
        <w:t>Because the Final Value of the Least Performing Index is less than its Trigger Value and the Least Performing Index Return is -60.00%, the payment at maturity will be $400.00 per $1,000 principal amount note, calculated as follows:</w:t>
      </w:r>
    </w:p>
    <w:p>
      <w:pPr>
        <w:spacing w:after="0" w:line="29" w:lineRule="exact"/>
        <w:rPr>
          <w:sz w:val="20"/>
          <w:szCs w:val="20"/>
          <w:color w:val="auto"/>
        </w:rPr>
      </w:pPr>
    </w:p>
    <w:p>
      <w:pPr>
        <w:ind w:left="5"/>
        <w:spacing w:after="0"/>
        <w:rPr>
          <w:sz w:val="20"/>
          <w:szCs w:val="20"/>
          <w:color w:val="auto"/>
        </w:rPr>
      </w:pPr>
      <w:r>
        <w:rPr>
          <w:rFonts w:ascii="Arial" w:cs="Arial" w:eastAsia="Arial" w:hAnsi="Arial"/>
          <w:sz w:val="17"/>
          <w:szCs w:val="17"/>
          <w:color w:val="404040"/>
        </w:rPr>
        <w:t>$1,000 + [$1,000 × (-60.00%)] = $400.00</w:t>
      </w:r>
    </w:p>
    <w:p>
      <w:pPr>
        <w:spacing w:after="0" w:line="109" w:lineRule="exact"/>
        <w:rPr>
          <w:sz w:val="20"/>
          <w:szCs w:val="20"/>
          <w:color w:val="auto"/>
        </w:rPr>
      </w:pPr>
    </w:p>
    <w:p>
      <w:pPr>
        <w:ind w:left="5" w:right="40"/>
        <w:spacing w:after="0" w:line="299" w:lineRule="auto"/>
        <w:rPr>
          <w:sz w:val="20"/>
          <w:szCs w:val="20"/>
          <w:color w:val="auto"/>
        </w:rPr>
      </w:pPr>
      <w:r>
        <w:rPr>
          <w:rFonts w:ascii="Arial" w:cs="Arial" w:eastAsia="Arial" w:hAnsi="Arial"/>
          <w:sz w:val="17"/>
          <w:szCs w:val="17"/>
          <w:color w:val="404040"/>
        </w:rPr>
        <w:t xml:space="preserve">The hypothetical returns and hypothetical payments on the notes shown above apply </w:t>
      </w:r>
      <w:r>
        <w:rPr>
          <w:rFonts w:ascii="Arial" w:cs="Arial" w:eastAsia="Arial" w:hAnsi="Arial"/>
          <w:sz w:val="17"/>
          <w:szCs w:val="17"/>
          <w:b w:val="1"/>
          <w:bCs w:val="1"/>
          <w:color w:val="404040"/>
        </w:rPr>
        <w:t>only if you hold the notes for their entire term.</w:t>
      </w:r>
      <w:r>
        <w:rPr>
          <w:rFonts w:ascii="Arial" w:cs="Arial" w:eastAsia="Arial" w:hAnsi="Arial"/>
          <w:sz w:val="17"/>
          <w:szCs w:val="17"/>
          <w:color w:val="404040"/>
        </w:rPr>
        <w:t xml:space="preserve"> These hypotheticals do not reflect the fees or expenses that would be associated with any sale in the secondary market. If these fees and expenses were included, the hypothetical returns and hypothetical payments shown above would likely be lower.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5"/>
        <w:spacing w:after="0"/>
        <w:rPr>
          <w:sz w:val="20"/>
          <w:szCs w:val="20"/>
          <w:color w:val="auto"/>
        </w:rPr>
      </w:pPr>
      <w:r>
        <w:rPr>
          <w:rFonts w:ascii="Arial" w:cs="Arial" w:eastAsia="Arial" w:hAnsi="Arial"/>
          <w:sz w:val="17"/>
          <w:szCs w:val="17"/>
          <w:color w:val="7F7F7F"/>
        </w:rPr>
        <w:t>PS-4 | Structured Investments</w:t>
      </w:r>
    </w:p>
    <w:p>
      <w:pPr>
        <w:ind w:left="5"/>
        <w:spacing w:after="0" w:line="199" w:lineRule="auto"/>
        <w:rPr>
          <w:sz w:val="20"/>
          <w:szCs w:val="20"/>
          <w:color w:val="auto"/>
        </w:rPr>
      </w:pPr>
      <w:r>
        <w:rPr>
          <w:rFonts w:ascii="Arial" w:cs="Arial" w:eastAsia="Arial" w:hAnsi="Arial"/>
          <w:sz w:val="15"/>
          <w:szCs w:val="15"/>
          <w:color w:val="808080"/>
        </w:rPr>
        <w:t>Contingent Interest Notes Linked to the Least Performing of the S&amp;P 500</w:t>
      </w:r>
      <w:r>
        <w:rPr>
          <w:rFonts w:ascii="Arial" w:cs="Arial" w:eastAsia="Arial" w:hAnsi="Arial"/>
          <w:sz w:val="18"/>
          <w:szCs w:val="18"/>
          <w:color w:val="808080"/>
          <w:vertAlign w:val="superscript"/>
        </w:rPr>
        <w:t>®</w:t>
      </w:r>
    </w:p>
    <w:p>
      <w:pPr>
        <w:ind w:left="5"/>
        <w:spacing w:after="0" w:line="218" w:lineRule="auto"/>
        <w:rPr>
          <w:sz w:val="20"/>
          <w:szCs w:val="20"/>
          <w:color w:val="auto"/>
        </w:rPr>
      </w:pPr>
      <w:r>
        <w:rPr>
          <w:rFonts w:ascii="Arial" w:cs="Arial" w:eastAsia="Arial" w:hAnsi="Arial"/>
          <w:sz w:val="15"/>
          <w:szCs w:val="15"/>
          <w:color w:val="808080"/>
        </w:rPr>
        <w:t>Index, the Nasdaq-100</w:t>
      </w:r>
      <w:r>
        <w:rPr>
          <w:rFonts w:ascii="Arial" w:cs="Arial" w:eastAsia="Arial" w:hAnsi="Arial"/>
          <w:sz w:val="18"/>
          <w:szCs w:val="18"/>
          <w:color w:val="808080"/>
          <w:vertAlign w:val="superscript"/>
        </w:rPr>
        <w:t>®</w:t>
      </w:r>
      <w:r>
        <w:rPr>
          <w:rFonts w:ascii="Arial" w:cs="Arial" w:eastAsia="Arial" w:hAnsi="Arial"/>
          <w:sz w:val="15"/>
          <w:szCs w:val="15"/>
          <w:color w:val="808080"/>
        </w:rPr>
        <w:t xml:space="preserve"> Technology Sector Index</w:t>
      </w:r>
      <w:r>
        <w:rPr>
          <w:rFonts w:ascii="Arial" w:cs="Arial" w:eastAsia="Arial" w:hAnsi="Arial"/>
          <w:sz w:val="18"/>
          <w:szCs w:val="18"/>
          <w:color w:val="808080"/>
          <w:vertAlign w:val="superscript"/>
        </w:rPr>
        <w:t>SM</w:t>
      </w:r>
      <w:r>
        <w:rPr>
          <w:rFonts w:ascii="Arial" w:cs="Arial" w:eastAsia="Arial" w:hAnsi="Arial"/>
          <w:sz w:val="15"/>
          <w:szCs w:val="15"/>
          <w:color w:val="808080"/>
        </w:rPr>
        <w:t xml:space="preserve"> and the Russell 2000</w:t>
      </w:r>
      <w:r>
        <w:rPr>
          <w:rFonts w:ascii="Arial" w:cs="Arial" w:eastAsia="Arial" w:hAnsi="Arial"/>
          <w:sz w:val="18"/>
          <w:szCs w:val="18"/>
          <w:color w:val="808080"/>
          <w:vertAlign w:val="superscript"/>
        </w:rPr>
        <w:t>®</w:t>
      </w:r>
    </w:p>
    <w:p>
      <w:pPr>
        <w:ind w:left="5"/>
        <w:spacing w:after="0"/>
        <w:rPr>
          <w:sz w:val="20"/>
          <w:szCs w:val="20"/>
          <w:color w:val="auto"/>
        </w:rPr>
      </w:pPr>
      <w:r>
        <w:rPr>
          <w:rFonts w:ascii="Arial" w:cs="Arial" w:eastAsia="Arial" w:hAnsi="Arial"/>
          <w:sz w:val="15"/>
          <w:szCs w:val="15"/>
          <w:color w:val="808080"/>
        </w:rPr>
        <w:t>Index</w:t>
      </w:r>
    </w:p>
    <w:p>
      <w:pPr>
        <w:sectPr>
          <w:pgSz w:w="11900" w:h="16838" w:orient="portrait"/>
          <w:cols w:equalWidth="0" w:num="1">
            <w:col w:w="9985"/>
          </w:cols>
          <w:pgMar w:left="995" w:top="893" w:right="919" w:bottom="1440" w:gutter="0" w:footer="0" w:header="0"/>
        </w:sectPr>
      </w:pPr>
    </w:p>
    <w:bookmarkStart w:id="5" w:name="page6"/>
    <w:bookmarkEnd w:id="5"/>
    <w:p>
      <w:pPr>
        <w:ind w:left="5"/>
        <w:spacing w:after="0"/>
        <w:rPr>
          <w:sz w:val="20"/>
          <w:szCs w:val="20"/>
          <w:color w:val="auto"/>
        </w:rPr>
      </w:pPr>
      <w:r>
        <w:rPr>
          <w:rFonts w:ascii="Arial" w:cs="Arial" w:eastAsia="Arial" w:hAnsi="Arial"/>
          <w:sz w:val="19"/>
          <w:szCs w:val="19"/>
          <w:b w:val="1"/>
          <w:bCs w:val="1"/>
          <w:color w:val="4E8ABE"/>
        </w:rPr>
        <w:t>Selected Risk Considerations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38100</wp:posOffset>
            </wp:positionV>
            <wp:extent cx="6437630" cy="8420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37630" cy="8420735"/>
                    </a:xfrm>
                    <a:prstGeom prst="rect">
                      <a:avLst/>
                    </a:prstGeom>
                    <a:noFill/>
                  </pic:spPr>
                </pic:pic>
              </a:graphicData>
            </a:graphic>
          </wp:anchor>
        </w:drawing>
      </w:r>
    </w:p>
    <w:p>
      <w:pPr>
        <w:spacing w:after="0" w:line="111" w:lineRule="exact"/>
        <w:rPr>
          <w:sz w:val="20"/>
          <w:szCs w:val="20"/>
          <w:color w:val="auto"/>
        </w:rPr>
      </w:pPr>
    </w:p>
    <w:p>
      <w:pPr>
        <w:ind w:left="5" w:right="420"/>
        <w:spacing w:after="0" w:line="323" w:lineRule="auto"/>
        <w:rPr>
          <w:sz w:val="20"/>
          <w:szCs w:val="20"/>
          <w:color w:val="auto"/>
        </w:rPr>
      </w:pPr>
      <w:r>
        <w:rPr>
          <w:rFonts w:ascii="Arial" w:cs="Arial" w:eastAsia="Arial" w:hAnsi="Arial"/>
          <w:sz w:val="17"/>
          <w:szCs w:val="17"/>
          <w:color w:val="404040"/>
        </w:rPr>
        <w:t>An investment in the notes involves significant risks. These risks are explained in more detail in the “Risk Factors” sections of the accompanying prospectus supplement and product supplement.</w:t>
      </w:r>
    </w:p>
    <w:p>
      <w:pPr>
        <w:spacing w:after="0" w:line="16" w:lineRule="exact"/>
        <w:rPr>
          <w:sz w:val="20"/>
          <w:szCs w:val="20"/>
          <w:color w:val="auto"/>
        </w:rPr>
      </w:pPr>
    </w:p>
    <w:p>
      <w:pPr>
        <w:ind w:left="5"/>
        <w:spacing w:after="0"/>
        <w:rPr>
          <w:sz w:val="20"/>
          <w:szCs w:val="20"/>
          <w:color w:val="auto"/>
        </w:rPr>
      </w:pPr>
      <w:r>
        <w:rPr>
          <w:rFonts w:ascii="Arial" w:cs="Arial" w:eastAsia="Arial" w:hAnsi="Arial"/>
          <w:sz w:val="17"/>
          <w:szCs w:val="17"/>
          <w:b w:val="1"/>
          <w:bCs w:val="1"/>
          <w:color w:val="54301A"/>
        </w:rPr>
        <w:t>Risks Relating to the Notes Generally</w:t>
      </w:r>
    </w:p>
    <w:p>
      <w:pPr>
        <w:spacing w:after="0" w:line="188" w:lineRule="exact"/>
        <w:rPr>
          <w:sz w:val="20"/>
          <w:szCs w:val="20"/>
          <w:color w:val="auto"/>
        </w:rPr>
      </w:pPr>
    </w:p>
    <w:p>
      <w:pPr>
        <w:ind w:left="345" w:hanging="345"/>
        <w:spacing w:after="0"/>
        <w:tabs>
          <w:tab w:leader="none" w:pos="345" w:val="left"/>
        </w:tabs>
        <w:numPr>
          <w:ilvl w:val="0"/>
          <w:numId w:val="5"/>
        </w:numPr>
        <w:rPr>
          <w:rFonts w:ascii="Verdana" w:cs="Verdana" w:eastAsia="Verdana" w:hAnsi="Verdana"/>
          <w:sz w:val="17"/>
          <w:szCs w:val="17"/>
          <w:color w:val="404040"/>
        </w:rPr>
      </w:pPr>
      <w:r>
        <w:rPr>
          <w:rFonts w:ascii="Arial" w:cs="Arial" w:eastAsia="Arial" w:hAnsi="Arial"/>
          <w:sz w:val="17"/>
          <w:szCs w:val="17"/>
          <w:b w:val="1"/>
          <w:bCs w:val="1"/>
          <w:color w:val="404040"/>
        </w:rPr>
        <w:t>YOUR INVESTMENT IN THE NOTES MAY RESULT IN A LOSS —</w:t>
      </w:r>
    </w:p>
    <w:p>
      <w:pPr>
        <w:spacing w:after="0" w:line="97" w:lineRule="exact"/>
        <w:rPr>
          <w:rFonts w:ascii="Verdana" w:cs="Verdana" w:eastAsia="Verdana" w:hAnsi="Verdana"/>
          <w:sz w:val="17"/>
          <w:szCs w:val="17"/>
          <w:color w:val="404040"/>
        </w:rPr>
      </w:pPr>
    </w:p>
    <w:p>
      <w:pPr>
        <w:ind w:left="325"/>
        <w:spacing w:after="0"/>
        <w:rPr>
          <w:rFonts w:ascii="Verdana" w:cs="Verdana" w:eastAsia="Verdana" w:hAnsi="Verdana"/>
          <w:sz w:val="17"/>
          <w:szCs w:val="17"/>
          <w:color w:val="404040"/>
        </w:rPr>
      </w:pPr>
      <w:r>
        <w:rPr>
          <w:rFonts w:ascii="Arial" w:cs="Arial" w:eastAsia="Arial" w:hAnsi="Arial"/>
          <w:sz w:val="16"/>
          <w:szCs w:val="16"/>
          <w:color w:val="404040"/>
        </w:rPr>
        <w:t>The notes do not guarantee any return of principal. If the Final Value of any Index is less than its Trigger Value, you will lose 1% of</w:t>
      </w:r>
    </w:p>
    <w:p>
      <w:pPr>
        <w:spacing w:after="0" w:line="54" w:lineRule="exact"/>
        <w:rPr>
          <w:rFonts w:ascii="Verdana" w:cs="Verdana" w:eastAsia="Verdana" w:hAnsi="Verdana"/>
          <w:sz w:val="17"/>
          <w:szCs w:val="17"/>
          <w:color w:val="404040"/>
        </w:rPr>
      </w:pPr>
    </w:p>
    <w:p>
      <w:pPr>
        <w:ind w:left="325" w:right="120"/>
        <w:spacing w:after="0" w:line="291" w:lineRule="auto"/>
        <w:rPr>
          <w:rFonts w:ascii="Verdana" w:cs="Verdana" w:eastAsia="Verdana" w:hAnsi="Verdana"/>
          <w:sz w:val="17"/>
          <w:szCs w:val="17"/>
          <w:color w:val="404040"/>
        </w:rPr>
      </w:pPr>
      <w:r>
        <w:rPr>
          <w:rFonts w:ascii="Arial" w:cs="Arial" w:eastAsia="Arial" w:hAnsi="Arial"/>
          <w:sz w:val="17"/>
          <w:szCs w:val="17"/>
          <w:color w:val="404040"/>
        </w:rPr>
        <w:t>the principal amount of your notes for every 1% that the Final Value of the Least Performing Index is less than its Initial Value. Accordingly, under these circumstances, you will lose more than 30.00% of your principal amount at maturity and could lose all of your principal amount at maturity.</w:t>
      </w:r>
    </w:p>
    <w:p>
      <w:pPr>
        <w:spacing w:after="0" w:line="96" w:lineRule="exact"/>
        <w:rPr>
          <w:rFonts w:ascii="Verdana" w:cs="Verdana" w:eastAsia="Verdana" w:hAnsi="Verdana"/>
          <w:sz w:val="17"/>
          <w:szCs w:val="17"/>
          <w:color w:val="404040"/>
        </w:rPr>
      </w:pPr>
    </w:p>
    <w:p>
      <w:pPr>
        <w:ind w:left="345" w:hanging="345"/>
        <w:spacing w:after="0"/>
        <w:tabs>
          <w:tab w:leader="none" w:pos="345" w:val="left"/>
        </w:tabs>
        <w:numPr>
          <w:ilvl w:val="0"/>
          <w:numId w:val="5"/>
        </w:numPr>
        <w:rPr>
          <w:rFonts w:ascii="Verdana" w:cs="Verdana" w:eastAsia="Verdana" w:hAnsi="Verdana"/>
          <w:sz w:val="17"/>
          <w:szCs w:val="17"/>
          <w:color w:val="404040"/>
        </w:rPr>
      </w:pPr>
      <w:r>
        <w:rPr>
          <w:rFonts w:ascii="Arial" w:cs="Arial" w:eastAsia="Arial" w:hAnsi="Arial"/>
          <w:sz w:val="17"/>
          <w:szCs w:val="17"/>
          <w:b w:val="1"/>
          <w:bCs w:val="1"/>
          <w:color w:val="404040"/>
        </w:rPr>
        <w:t>THE NOTES DO NOT GUARANTEE THE PAYMENT OF INTEREST AND MAY NOT PAY ANY INTEREST AT ALL —</w:t>
      </w:r>
    </w:p>
    <w:p>
      <w:pPr>
        <w:spacing w:after="0" w:line="57" w:lineRule="exact"/>
        <w:rPr>
          <w:rFonts w:ascii="Verdana" w:cs="Verdana" w:eastAsia="Verdana" w:hAnsi="Verdana"/>
          <w:sz w:val="17"/>
          <w:szCs w:val="17"/>
          <w:color w:val="404040"/>
        </w:rPr>
      </w:pPr>
    </w:p>
    <w:p>
      <w:pPr>
        <w:ind w:left="325" w:right="180"/>
        <w:spacing w:after="0" w:line="302" w:lineRule="auto"/>
        <w:rPr>
          <w:rFonts w:ascii="Verdana" w:cs="Verdana" w:eastAsia="Verdana" w:hAnsi="Verdana"/>
          <w:sz w:val="17"/>
          <w:szCs w:val="17"/>
          <w:color w:val="404040"/>
        </w:rPr>
      </w:pPr>
      <w:r>
        <w:rPr>
          <w:rFonts w:ascii="Arial" w:cs="Arial" w:eastAsia="Arial" w:hAnsi="Arial"/>
          <w:sz w:val="16"/>
          <w:szCs w:val="16"/>
          <w:color w:val="404040"/>
        </w:rPr>
        <w:t>We will make a Contingent Interest Payment with respect to a Review Date only if the closing level of each Index on that Review Date is greater than or equal to its Interest Barrier. If the closing level of any Index on a Review Date is less than its Interest</w:t>
      </w:r>
    </w:p>
    <w:p>
      <w:pPr>
        <w:ind w:left="325" w:right="180"/>
        <w:spacing w:after="0" w:line="341" w:lineRule="auto"/>
        <w:rPr>
          <w:rFonts w:ascii="Verdana" w:cs="Verdana" w:eastAsia="Verdana" w:hAnsi="Verdana"/>
          <w:sz w:val="17"/>
          <w:szCs w:val="17"/>
          <w:color w:val="404040"/>
        </w:rPr>
      </w:pPr>
      <w:r>
        <w:rPr>
          <w:rFonts w:ascii="Arial" w:cs="Arial" w:eastAsia="Arial" w:hAnsi="Arial"/>
          <w:sz w:val="16"/>
          <w:szCs w:val="16"/>
          <w:color w:val="404040"/>
        </w:rPr>
        <w:t>Barrier, no Contingent Interest Payment will be made with respect to that Review Date. Accordingly, if the closing level of any Index on each Review Date is less than its Interest Barrier, you will not receive any interest payments over the term of the notes.</w:t>
      </w:r>
    </w:p>
    <w:p>
      <w:pPr>
        <w:spacing w:after="0" w:line="59" w:lineRule="exact"/>
        <w:rPr>
          <w:rFonts w:ascii="Verdana" w:cs="Verdana" w:eastAsia="Verdana" w:hAnsi="Verdana"/>
          <w:sz w:val="17"/>
          <w:szCs w:val="17"/>
          <w:color w:val="404040"/>
        </w:rPr>
      </w:pPr>
    </w:p>
    <w:p>
      <w:pPr>
        <w:ind w:left="345" w:hanging="345"/>
        <w:spacing w:after="0"/>
        <w:tabs>
          <w:tab w:leader="none" w:pos="345" w:val="left"/>
        </w:tabs>
        <w:numPr>
          <w:ilvl w:val="0"/>
          <w:numId w:val="5"/>
        </w:numPr>
        <w:rPr>
          <w:rFonts w:ascii="Verdana" w:cs="Verdana" w:eastAsia="Verdana" w:hAnsi="Verdana"/>
          <w:sz w:val="17"/>
          <w:szCs w:val="17"/>
          <w:color w:val="404040"/>
        </w:rPr>
      </w:pPr>
      <w:r>
        <w:rPr>
          <w:rFonts w:ascii="Arial" w:cs="Arial" w:eastAsia="Arial" w:hAnsi="Arial"/>
          <w:sz w:val="17"/>
          <w:szCs w:val="17"/>
          <w:b w:val="1"/>
          <w:bCs w:val="1"/>
          <w:color w:val="404040"/>
        </w:rPr>
        <w:t>CREDIT RISKS OF JPMORGAN FINANCIAL AND JPMORGAN CHASE &amp; CO. —</w:t>
      </w:r>
    </w:p>
    <w:p>
      <w:pPr>
        <w:spacing w:after="0" w:line="57" w:lineRule="exact"/>
        <w:rPr>
          <w:rFonts w:ascii="Verdana" w:cs="Verdana" w:eastAsia="Verdana" w:hAnsi="Verdana"/>
          <w:sz w:val="17"/>
          <w:szCs w:val="17"/>
          <w:color w:val="404040"/>
        </w:rPr>
      </w:pPr>
    </w:p>
    <w:p>
      <w:pPr>
        <w:ind w:left="325" w:right="100"/>
        <w:spacing w:after="0" w:line="302" w:lineRule="auto"/>
        <w:rPr>
          <w:rFonts w:ascii="Verdana" w:cs="Verdana" w:eastAsia="Verdana" w:hAnsi="Verdana"/>
          <w:sz w:val="17"/>
          <w:szCs w:val="17"/>
          <w:color w:val="404040"/>
        </w:rPr>
      </w:pPr>
      <w:r>
        <w:rPr>
          <w:rFonts w:ascii="Arial" w:cs="Arial" w:eastAsia="Arial" w:hAnsi="Arial"/>
          <w:sz w:val="16"/>
          <w:szCs w:val="16"/>
          <w:color w:val="404040"/>
        </w:rPr>
        <w:t>Investors are dependent on our and JPMorgan Chase &amp; Co.’s ability to pay all amounts due on the notes. Any actual or potential change in our or JPMorgan Chase &amp; Co.’s creditworthiness or credit spreads, as determined by the market for taking that credit</w:t>
      </w:r>
    </w:p>
    <w:p>
      <w:pPr>
        <w:ind w:left="325" w:right="720"/>
        <w:spacing w:after="0" w:line="341" w:lineRule="auto"/>
        <w:rPr>
          <w:rFonts w:ascii="Verdana" w:cs="Verdana" w:eastAsia="Verdana" w:hAnsi="Verdana"/>
          <w:sz w:val="17"/>
          <w:szCs w:val="17"/>
          <w:color w:val="404040"/>
        </w:rPr>
      </w:pPr>
      <w:r>
        <w:rPr>
          <w:rFonts w:ascii="Arial" w:cs="Arial" w:eastAsia="Arial" w:hAnsi="Arial"/>
          <w:sz w:val="16"/>
          <w:szCs w:val="16"/>
          <w:color w:val="404040"/>
        </w:rPr>
        <w:t>risk, is likely to adversely affect the value of the notes. If we and JPMorgan Chase &amp; Co. were to default on our payment obligations, you may not receive any amounts owed to you under the notes and you could lose your entire investment.</w:t>
      </w:r>
    </w:p>
    <w:p>
      <w:pPr>
        <w:spacing w:after="0" w:line="85" w:lineRule="exact"/>
        <w:rPr>
          <w:rFonts w:ascii="Verdana" w:cs="Verdana" w:eastAsia="Verdana" w:hAnsi="Verdana"/>
          <w:sz w:val="17"/>
          <w:szCs w:val="17"/>
          <w:color w:val="404040"/>
        </w:rPr>
      </w:pPr>
    </w:p>
    <w:p>
      <w:pPr>
        <w:ind w:left="345" w:hanging="345"/>
        <w:spacing w:after="0"/>
        <w:tabs>
          <w:tab w:leader="none" w:pos="345" w:val="left"/>
        </w:tabs>
        <w:numPr>
          <w:ilvl w:val="0"/>
          <w:numId w:val="5"/>
        </w:numPr>
        <w:rPr>
          <w:rFonts w:ascii="Verdana" w:cs="Verdana" w:eastAsia="Verdana" w:hAnsi="Verdana"/>
          <w:sz w:val="16"/>
          <w:szCs w:val="16"/>
          <w:color w:val="404040"/>
        </w:rPr>
      </w:pPr>
      <w:r>
        <w:rPr>
          <w:rFonts w:ascii="Arial" w:cs="Arial" w:eastAsia="Arial" w:hAnsi="Arial"/>
          <w:sz w:val="16"/>
          <w:szCs w:val="16"/>
          <w:b w:val="1"/>
          <w:bCs w:val="1"/>
          <w:color w:val="404040"/>
        </w:rPr>
        <w:t>AS A FINANCE SUBSIDIARY, JPMORGAN FINANCIAL HAS NO INDEPENDENT ACTIVITIES AND HAS LIMITED ASSETS —</w:t>
      </w:r>
    </w:p>
    <w:p>
      <w:pPr>
        <w:spacing w:after="0" w:line="122" w:lineRule="exact"/>
        <w:rPr>
          <w:rFonts w:ascii="Verdana" w:cs="Verdana" w:eastAsia="Verdana" w:hAnsi="Verdana"/>
          <w:sz w:val="16"/>
          <w:szCs w:val="16"/>
          <w:color w:val="404040"/>
        </w:rPr>
      </w:pPr>
    </w:p>
    <w:p>
      <w:pPr>
        <w:ind w:left="325" w:right="160"/>
        <w:spacing w:after="0" w:line="299" w:lineRule="auto"/>
        <w:rPr>
          <w:rFonts w:ascii="Verdana" w:cs="Verdana" w:eastAsia="Verdana" w:hAnsi="Verdana"/>
          <w:sz w:val="16"/>
          <w:szCs w:val="16"/>
          <w:color w:val="404040"/>
        </w:rPr>
      </w:pPr>
      <w:r>
        <w:rPr>
          <w:rFonts w:ascii="Arial" w:cs="Arial" w:eastAsia="Arial" w:hAnsi="Arial"/>
          <w:sz w:val="16"/>
          <w:szCs w:val="16"/>
          <w:color w:val="404040"/>
        </w:rPr>
        <w:t>As a finance subsidiary of JPMorgan Chase &amp; Co., we have no independent activities beyond the issuance and administration of our securities and the collection of intercompany obligations. Aside from the initial capital contribution from JPMorgan Chase &amp; Co., substantially all of our assets relate to obligations of JPMorgan Chase &amp; Co. to make payments under loans made by us to</w:t>
      </w:r>
    </w:p>
    <w:p>
      <w:pPr>
        <w:ind w:left="325" w:right="80"/>
        <w:spacing w:after="0" w:line="299" w:lineRule="auto"/>
        <w:rPr>
          <w:rFonts w:ascii="Verdana" w:cs="Verdana" w:eastAsia="Verdana" w:hAnsi="Verdana"/>
          <w:sz w:val="16"/>
          <w:szCs w:val="16"/>
          <w:color w:val="404040"/>
        </w:rPr>
      </w:pPr>
      <w:r>
        <w:rPr>
          <w:rFonts w:ascii="Arial" w:cs="Arial" w:eastAsia="Arial" w:hAnsi="Arial"/>
          <w:sz w:val="16"/>
          <w:szCs w:val="16"/>
          <w:color w:val="404040"/>
        </w:rPr>
        <w:t>JPMorgan Chase &amp; Co. or under other intercompany agreements. As a result, we are dependent upon payments from JPMorgan Chase &amp; Co. to meet our obligations under the notes. We are not an operating subsidiary of JPMorgan Chase &amp; Co. and in a bankruptcy or resolution of JPMorgan Chase &amp; Co. we are not expected to have sufficient resources to meet our obligations in</w:t>
      </w:r>
    </w:p>
    <w:p>
      <w:pPr>
        <w:ind w:left="325" w:right="380"/>
        <w:spacing w:after="0" w:line="302" w:lineRule="auto"/>
        <w:rPr>
          <w:rFonts w:ascii="Verdana" w:cs="Verdana" w:eastAsia="Verdana" w:hAnsi="Verdana"/>
          <w:sz w:val="16"/>
          <w:szCs w:val="16"/>
          <w:color w:val="404040"/>
        </w:rPr>
      </w:pPr>
      <w:r>
        <w:rPr>
          <w:rFonts w:ascii="Arial" w:cs="Arial" w:eastAsia="Arial" w:hAnsi="Arial"/>
          <w:sz w:val="16"/>
          <w:szCs w:val="16"/>
          <w:color w:val="404040"/>
        </w:rPr>
        <w:t>respect of the notes as they come due. If JPMorgan Chase &amp; Co. does not make payments to us and we are unable to make payments on the notes, you may have to seek payment under the related guarantee by JPMorgan Chase &amp; Co., and that</w:t>
      </w:r>
    </w:p>
    <w:p>
      <w:pPr>
        <w:ind w:left="325" w:right="20"/>
        <w:spacing w:after="0" w:line="291" w:lineRule="auto"/>
        <w:rPr>
          <w:rFonts w:ascii="Verdana" w:cs="Verdana" w:eastAsia="Verdana" w:hAnsi="Verdana"/>
          <w:sz w:val="16"/>
          <w:szCs w:val="16"/>
          <w:color w:val="404040"/>
        </w:rPr>
      </w:pPr>
      <w:r>
        <w:rPr>
          <w:rFonts w:ascii="Arial" w:cs="Arial" w:eastAsia="Arial" w:hAnsi="Arial"/>
          <w:sz w:val="17"/>
          <w:szCs w:val="17"/>
          <w:color w:val="404040"/>
        </w:rPr>
        <w:t xml:space="preserve">guarantee will rank </w:t>
      </w:r>
      <w:r>
        <w:rPr>
          <w:rFonts w:ascii="Arial" w:cs="Arial" w:eastAsia="Arial" w:hAnsi="Arial"/>
          <w:sz w:val="17"/>
          <w:szCs w:val="17"/>
          <w:i w:val="1"/>
          <w:iCs w:val="1"/>
          <w:color w:val="404040"/>
        </w:rPr>
        <w:t>pari passu</w:t>
      </w:r>
      <w:r>
        <w:rPr>
          <w:rFonts w:ascii="Arial" w:cs="Arial" w:eastAsia="Arial" w:hAnsi="Arial"/>
          <w:sz w:val="17"/>
          <w:szCs w:val="17"/>
          <w:color w:val="404040"/>
        </w:rPr>
        <w:t xml:space="preserve"> with all other unsecured and unsubordinated obligations of JPMorgan Chase &amp; Co. For more information, see “Risk Factors — Holders of securities issued by JPMorgan Financial may be subject to losses if JPMorgan Chase &amp; Co. were to enter into a resolution” in the accompanying prospectus supplement.</w:t>
      </w:r>
    </w:p>
    <w:p>
      <w:pPr>
        <w:spacing w:after="0" w:line="135" w:lineRule="exact"/>
        <w:rPr>
          <w:rFonts w:ascii="Verdana" w:cs="Verdana" w:eastAsia="Verdana" w:hAnsi="Verdana"/>
          <w:sz w:val="16"/>
          <w:szCs w:val="16"/>
          <w:color w:val="404040"/>
        </w:rPr>
      </w:pPr>
    </w:p>
    <w:p>
      <w:pPr>
        <w:ind w:left="325" w:right="80" w:hanging="325"/>
        <w:spacing w:after="0" w:line="303" w:lineRule="auto"/>
        <w:tabs>
          <w:tab w:leader="none" w:pos="339" w:val="left"/>
        </w:tabs>
        <w:numPr>
          <w:ilvl w:val="0"/>
          <w:numId w:val="5"/>
        </w:numPr>
        <w:rPr>
          <w:rFonts w:ascii="Verdana" w:cs="Verdana" w:eastAsia="Verdana" w:hAnsi="Verdana"/>
          <w:sz w:val="17"/>
          <w:szCs w:val="17"/>
          <w:color w:val="404040"/>
        </w:rPr>
      </w:pPr>
      <w:r>
        <w:rPr>
          <w:rFonts w:ascii="Arial" w:cs="Arial" w:eastAsia="Arial" w:hAnsi="Arial"/>
          <w:sz w:val="17"/>
          <w:szCs w:val="17"/>
          <w:b w:val="1"/>
          <w:bCs w:val="1"/>
          <w:color w:val="404040"/>
        </w:rPr>
        <w:t>THE APPRECIATION POTENTIAL OF THE NOTES IS LIMITED TO THE SUM OF ANY CONTINGENT INTEREST PAYMENTS THAT MAY BE PAID OVER THE TERM OF THE NOTES,</w:t>
      </w:r>
    </w:p>
    <w:p>
      <w:pPr>
        <w:spacing w:after="0" w:line="21" w:lineRule="exact"/>
        <w:rPr>
          <w:rFonts w:ascii="Verdana" w:cs="Verdana" w:eastAsia="Verdana" w:hAnsi="Verdana"/>
          <w:sz w:val="17"/>
          <w:szCs w:val="17"/>
          <w:color w:val="404040"/>
        </w:rPr>
      </w:pPr>
    </w:p>
    <w:p>
      <w:pPr>
        <w:ind w:left="325"/>
        <w:spacing w:after="0"/>
        <w:rPr>
          <w:rFonts w:ascii="Verdana" w:cs="Verdana" w:eastAsia="Verdana" w:hAnsi="Verdana"/>
          <w:sz w:val="17"/>
          <w:szCs w:val="17"/>
          <w:color w:val="404040"/>
        </w:rPr>
      </w:pPr>
      <w:r>
        <w:rPr>
          <w:rFonts w:ascii="Arial" w:cs="Arial" w:eastAsia="Arial" w:hAnsi="Arial"/>
          <w:sz w:val="17"/>
          <w:szCs w:val="17"/>
          <w:color w:val="404040"/>
        </w:rPr>
        <w:t>regardless of any appreciation of any Index, which may be significant. You will not participate in any appreciation of any Index.</w:t>
      </w:r>
    </w:p>
    <w:p>
      <w:pPr>
        <w:spacing w:after="0" w:line="201" w:lineRule="exact"/>
        <w:rPr>
          <w:rFonts w:ascii="Verdana" w:cs="Verdana" w:eastAsia="Verdana" w:hAnsi="Verdana"/>
          <w:sz w:val="17"/>
          <w:szCs w:val="17"/>
          <w:color w:val="404040"/>
        </w:rPr>
      </w:pPr>
    </w:p>
    <w:p>
      <w:pPr>
        <w:ind w:left="345" w:hanging="345"/>
        <w:spacing w:after="0"/>
        <w:tabs>
          <w:tab w:leader="none" w:pos="345" w:val="left"/>
        </w:tabs>
        <w:numPr>
          <w:ilvl w:val="0"/>
          <w:numId w:val="5"/>
        </w:numPr>
        <w:rPr>
          <w:rFonts w:ascii="Verdana" w:cs="Verdana" w:eastAsia="Verdana" w:hAnsi="Verdana"/>
          <w:sz w:val="17"/>
          <w:szCs w:val="17"/>
          <w:color w:val="404040"/>
        </w:rPr>
      </w:pPr>
      <w:r>
        <w:rPr>
          <w:rFonts w:ascii="Arial" w:cs="Arial" w:eastAsia="Arial" w:hAnsi="Arial"/>
          <w:sz w:val="17"/>
          <w:szCs w:val="17"/>
          <w:b w:val="1"/>
          <w:bCs w:val="1"/>
          <w:color w:val="404040"/>
        </w:rPr>
        <w:t>YOU ARE EXPOSED TO THE RISK OF DECLINE IN THE LEVEL OF EACH INDEX —</w:t>
      </w:r>
    </w:p>
    <w:p>
      <w:pPr>
        <w:spacing w:after="0" w:line="97" w:lineRule="exact"/>
        <w:rPr>
          <w:rFonts w:ascii="Verdana" w:cs="Verdana" w:eastAsia="Verdana" w:hAnsi="Verdana"/>
          <w:sz w:val="17"/>
          <w:szCs w:val="17"/>
          <w:color w:val="404040"/>
        </w:rPr>
      </w:pPr>
    </w:p>
    <w:p>
      <w:pPr>
        <w:ind w:left="325" w:right="40"/>
        <w:spacing w:after="0" w:line="292" w:lineRule="auto"/>
        <w:rPr>
          <w:rFonts w:ascii="Verdana" w:cs="Verdana" w:eastAsia="Verdana" w:hAnsi="Verdana"/>
          <w:sz w:val="17"/>
          <w:szCs w:val="17"/>
          <w:color w:val="404040"/>
        </w:rPr>
      </w:pPr>
      <w:r>
        <w:rPr>
          <w:rFonts w:ascii="Arial" w:cs="Arial" w:eastAsia="Arial" w:hAnsi="Arial"/>
          <w:sz w:val="17"/>
          <w:szCs w:val="17"/>
          <w:color w:val="404040"/>
        </w:rPr>
        <w:t>Payments on the notes are not linked to a basket composed of the Indices and are contingent upon the performance of each individual Index. Poor performance by any of the Indices over the term of the notes may negatively affect whether you will receive a Contingent Interest Payment on any Interest Payment Date and your payment at maturity and will not be offset or mitigated by positive performance by any other Index.</w:t>
      </w:r>
    </w:p>
    <w:p>
      <w:pPr>
        <w:spacing w:after="0" w:line="120" w:lineRule="exact"/>
        <w:rPr>
          <w:rFonts w:ascii="Verdana" w:cs="Verdana" w:eastAsia="Verdana" w:hAnsi="Verdana"/>
          <w:sz w:val="17"/>
          <w:szCs w:val="17"/>
          <w:color w:val="404040"/>
        </w:rPr>
      </w:pPr>
    </w:p>
    <w:p>
      <w:pPr>
        <w:ind w:left="345" w:hanging="345"/>
        <w:spacing w:after="0"/>
        <w:tabs>
          <w:tab w:leader="none" w:pos="345" w:val="left"/>
        </w:tabs>
        <w:numPr>
          <w:ilvl w:val="0"/>
          <w:numId w:val="5"/>
        </w:numPr>
        <w:rPr>
          <w:rFonts w:ascii="Verdana" w:cs="Verdana" w:eastAsia="Verdana" w:hAnsi="Verdana"/>
          <w:sz w:val="17"/>
          <w:szCs w:val="17"/>
          <w:color w:val="404040"/>
        </w:rPr>
      </w:pPr>
      <w:r>
        <w:rPr>
          <w:rFonts w:ascii="Arial" w:cs="Arial" w:eastAsia="Arial" w:hAnsi="Arial"/>
          <w:sz w:val="17"/>
          <w:szCs w:val="17"/>
          <w:b w:val="1"/>
          <w:bCs w:val="1"/>
          <w:color w:val="404040"/>
        </w:rPr>
        <w:t>YOUR PAYMENT AT MATURITY WILL BE DETERMINED BY THE LEAST PERFORMING INDEX.</w:t>
      </w:r>
    </w:p>
    <w:p>
      <w:pPr>
        <w:spacing w:after="0" w:line="190" w:lineRule="exact"/>
        <w:rPr>
          <w:rFonts w:ascii="Verdana" w:cs="Verdana" w:eastAsia="Verdana" w:hAnsi="Verdana"/>
          <w:sz w:val="17"/>
          <w:szCs w:val="17"/>
          <w:color w:val="404040"/>
        </w:rPr>
      </w:pPr>
    </w:p>
    <w:p>
      <w:pPr>
        <w:ind w:left="345" w:hanging="345"/>
        <w:spacing w:after="0"/>
        <w:tabs>
          <w:tab w:leader="none" w:pos="345" w:val="left"/>
        </w:tabs>
        <w:numPr>
          <w:ilvl w:val="0"/>
          <w:numId w:val="5"/>
        </w:numPr>
        <w:rPr>
          <w:rFonts w:ascii="Verdana" w:cs="Verdana" w:eastAsia="Verdana" w:hAnsi="Verdana"/>
          <w:sz w:val="17"/>
          <w:szCs w:val="17"/>
          <w:color w:val="404040"/>
        </w:rPr>
      </w:pPr>
      <w:r>
        <w:rPr>
          <w:rFonts w:ascii="Arial" w:cs="Arial" w:eastAsia="Arial" w:hAnsi="Arial"/>
          <w:sz w:val="17"/>
          <w:szCs w:val="17"/>
          <w:b w:val="1"/>
          <w:bCs w:val="1"/>
          <w:color w:val="404040"/>
        </w:rPr>
        <w:t>THE BENEFIT PROVIDED BY THE TRIGGER VALUE MAY TERMINATE ON THE FINAL REVIEW DATE —</w:t>
      </w:r>
    </w:p>
    <w:p>
      <w:pPr>
        <w:spacing w:after="0" w:line="97" w:lineRule="exact"/>
        <w:rPr>
          <w:rFonts w:ascii="Verdana" w:cs="Verdana" w:eastAsia="Verdana" w:hAnsi="Verdana"/>
          <w:sz w:val="17"/>
          <w:szCs w:val="17"/>
          <w:color w:val="404040"/>
        </w:rPr>
      </w:pPr>
    </w:p>
    <w:p>
      <w:pPr>
        <w:ind w:left="325" w:right="60"/>
        <w:spacing w:after="0" w:line="307" w:lineRule="auto"/>
        <w:rPr>
          <w:rFonts w:ascii="Verdana" w:cs="Verdana" w:eastAsia="Verdana" w:hAnsi="Verdana"/>
          <w:sz w:val="17"/>
          <w:szCs w:val="17"/>
          <w:color w:val="404040"/>
        </w:rPr>
      </w:pPr>
      <w:r>
        <w:rPr>
          <w:rFonts w:ascii="Arial" w:cs="Arial" w:eastAsia="Arial" w:hAnsi="Arial"/>
          <w:sz w:val="17"/>
          <w:szCs w:val="17"/>
          <w:color w:val="404040"/>
        </w:rPr>
        <w:t>If the Final Value of any Index is less than its Trigger Value, the benefit provided by the Trigger Value will terminate and you will be fully exposed to any depreciation of the Least Performing Index.</w:t>
      </w:r>
    </w:p>
    <w:p>
      <w:pPr>
        <w:spacing w:after="0" w:line="135" w:lineRule="exact"/>
        <w:rPr>
          <w:rFonts w:ascii="Verdana" w:cs="Verdana" w:eastAsia="Verdana" w:hAnsi="Verdana"/>
          <w:sz w:val="17"/>
          <w:szCs w:val="17"/>
          <w:color w:val="404040"/>
        </w:rPr>
      </w:pPr>
    </w:p>
    <w:p>
      <w:pPr>
        <w:ind w:left="325" w:right="520" w:hanging="325"/>
        <w:spacing w:after="0" w:line="288" w:lineRule="auto"/>
        <w:tabs>
          <w:tab w:leader="none" w:pos="340" w:val="left"/>
        </w:tabs>
        <w:numPr>
          <w:ilvl w:val="0"/>
          <w:numId w:val="5"/>
        </w:numPr>
        <w:rPr>
          <w:rFonts w:ascii="Verdana" w:cs="Verdana" w:eastAsia="Verdana" w:hAnsi="Verdana"/>
          <w:sz w:val="18"/>
          <w:szCs w:val="18"/>
          <w:color w:val="404040"/>
        </w:rPr>
      </w:pPr>
      <w:r>
        <w:rPr>
          <w:rFonts w:ascii="Arial" w:cs="Arial" w:eastAsia="Arial" w:hAnsi="Arial"/>
          <w:sz w:val="17"/>
          <w:szCs w:val="17"/>
          <w:b w:val="1"/>
          <w:bCs w:val="1"/>
          <w:color w:val="404040"/>
        </w:rPr>
        <w:t>YOU WILL NOT RECEIVE DIVIDENDS ON THE SECURITIES INCLUDED IN ANY INDEX OR HAVE ANY RIGHTS WITH RESPECT TO THOSE SECURITIES.</w:t>
      </w:r>
    </w:p>
    <w:p>
      <w:pPr>
        <w:spacing w:after="0" w:line="200" w:lineRule="exact"/>
        <w:rPr>
          <w:sz w:val="20"/>
          <w:szCs w:val="20"/>
          <w:color w:val="auto"/>
        </w:rPr>
      </w:pPr>
    </w:p>
    <w:p>
      <w:pPr>
        <w:spacing w:after="0" w:line="329" w:lineRule="exact"/>
        <w:rPr>
          <w:sz w:val="20"/>
          <w:szCs w:val="20"/>
          <w:color w:val="auto"/>
        </w:rPr>
      </w:pPr>
    </w:p>
    <w:p>
      <w:pPr>
        <w:ind w:left="5"/>
        <w:spacing w:after="0"/>
        <w:rPr>
          <w:sz w:val="20"/>
          <w:szCs w:val="20"/>
          <w:color w:val="auto"/>
        </w:rPr>
      </w:pPr>
      <w:r>
        <w:rPr>
          <w:rFonts w:ascii="Arial" w:cs="Arial" w:eastAsia="Arial" w:hAnsi="Arial"/>
          <w:sz w:val="17"/>
          <w:szCs w:val="17"/>
          <w:color w:val="7F7F7F"/>
        </w:rPr>
        <w:t>PS-5 | Structured Investments</w:t>
      </w:r>
    </w:p>
    <w:p>
      <w:pPr>
        <w:ind w:left="5"/>
        <w:spacing w:after="0" w:line="199" w:lineRule="auto"/>
        <w:rPr>
          <w:sz w:val="20"/>
          <w:szCs w:val="20"/>
          <w:color w:val="auto"/>
        </w:rPr>
      </w:pPr>
      <w:r>
        <w:rPr>
          <w:rFonts w:ascii="Arial" w:cs="Arial" w:eastAsia="Arial" w:hAnsi="Arial"/>
          <w:sz w:val="15"/>
          <w:szCs w:val="15"/>
          <w:color w:val="808080"/>
        </w:rPr>
        <w:t>Contingent Interest Notes Linked to the Least Performing of the S&amp;P 500</w:t>
      </w:r>
      <w:r>
        <w:rPr>
          <w:rFonts w:ascii="Arial" w:cs="Arial" w:eastAsia="Arial" w:hAnsi="Arial"/>
          <w:sz w:val="18"/>
          <w:szCs w:val="18"/>
          <w:color w:val="808080"/>
          <w:vertAlign w:val="superscript"/>
        </w:rPr>
        <w:t>®</w:t>
      </w:r>
    </w:p>
    <w:p>
      <w:pPr>
        <w:ind w:left="5"/>
        <w:spacing w:after="0" w:line="218" w:lineRule="auto"/>
        <w:rPr>
          <w:sz w:val="20"/>
          <w:szCs w:val="20"/>
          <w:color w:val="auto"/>
        </w:rPr>
      </w:pPr>
      <w:r>
        <w:rPr>
          <w:rFonts w:ascii="Arial" w:cs="Arial" w:eastAsia="Arial" w:hAnsi="Arial"/>
          <w:sz w:val="15"/>
          <w:szCs w:val="15"/>
          <w:color w:val="808080"/>
        </w:rPr>
        <w:t>Index, the Nasdaq-100</w:t>
      </w:r>
      <w:r>
        <w:rPr>
          <w:rFonts w:ascii="Arial" w:cs="Arial" w:eastAsia="Arial" w:hAnsi="Arial"/>
          <w:sz w:val="18"/>
          <w:szCs w:val="18"/>
          <w:color w:val="808080"/>
          <w:vertAlign w:val="superscript"/>
        </w:rPr>
        <w:t>®</w:t>
      </w:r>
      <w:r>
        <w:rPr>
          <w:rFonts w:ascii="Arial" w:cs="Arial" w:eastAsia="Arial" w:hAnsi="Arial"/>
          <w:sz w:val="15"/>
          <w:szCs w:val="15"/>
          <w:color w:val="808080"/>
        </w:rPr>
        <w:t xml:space="preserve"> Technology Sector Index</w:t>
      </w:r>
      <w:r>
        <w:rPr>
          <w:rFonts w:ascii="Arial" w:cs="Arial" w:eastAsia="Arial" w:hAnsi="Arial"/>
          <w:sz w:val="18"/>
          <w:szCs w:val="18"/>
          <w:color w:val="808080"/>
          <w:vertAlign w:val="superscript"/>
        </w:rPr>
        <w:t>SM</w:t>
      </w:r>
      <w:r>
        <w:rPr>
          <w:rFonts w:ascii="Arial" w:cs="Arial" w:eastAsia="Arial" w:hAnsi="Arial"/>
          <w:sz w:val="15"/>
          <w:szCs w:val="15"/>
          <w:color w:val="808080"/>
        </w:rPr>
        <w:t xml:space="preserve"> and the Russell 2000</w:t>
      </w:r>
      <w:r>
        <w:rPr>
          <w:rFonts w:ascii="Arial" w:cs="Arial" w:eastAsia="Arial" w:hAnsi="Arial"/>
          <w:sz w:val="18"/>
          <w:szCs w:val="18"/>
          <w:color w:val="808080"/>
          <w:vertAlign w:val="superscript"/>
        </w:rPr>
        <w:t>®</w:t>
      </w:r>
    </w:p>
    <w:p>
      <w:pPr>
        <w:ind w:left="5"/>
        <w:spacing w:after="0"/>
        <w:rPr>
          <w:sz w:val="20"/>
          <w:szCs w:val="20"/>
          <w:color w:val="auto"/>
        </w:rPr>
      </w:pPr>
      <w:r>
        <w:rPr>
          <w:rFonts w:ascii="Arial" w:cs="Arial" w:eastAsia="Arial" w:hAnsi="Arial"/>
          <w:sz w:val="15"/>
          <w:szCs w:val="15"/>
          <w:color w:val="808080"/>
        </w:rPr>
        <w:t>Index</w:t>
      </w:r>
    </w:p>
    <w:p>
      <w:pPr>
        <w:sectPr>
          <w:pgSz w:w="11900" w:h="16838" w:orient="portrait"/>
          <w:cols w:equalWidth="0" w:num="1">
            <w:col w:w="9945"/>
          </w:cols>
          <w:pgMar w:left="995" w:top="893" w:right="959" w:bottom="1440" w:gutter="0" w:footer="0" w:header="0"/>
        </w:sectPr>
      </w:pPr>
    </w:p>
    <w:bookmarkStart w:id="6" w:name="page7"/>
    <w:bookmarkEnd w:id="6"/>
    <w:p>
      <w:pPr>
        <w:ind w:left="325" w:right="340" w:hanging="325"/>
        <w:spacing w:after="0" w:line="319" w:lineRule="auto"/>
        <w:tabs>
          <w:tab w:leader="none" w:pos="339" w:val="left"/>
        </w:tabs>
        <w:numPr>
          <w:ilvl w:val="0"/>
          <w:numId w:val="6"/>
        </w:numPr>
        <w:rPr>
          <w:rFonts w:ascii="Verdana" w:cs="Verdana" w:eastAsia="Verdana" w:hAnsi="Verdana"/>
          <w:sz w:val="17"/>
          <w:szCs w:val="17"/>
          <w:color w:val="404040"/>
        </w:rPr>
      </w:pPr>
      <w:r>
        <w:rPr>
          <w:rFonts w:ascii="Arial" w:cs="Arial" w:eastAsia="Arial" w:hAnsi="Arial"/>
          <w:sz w:val="17"/>
          <w:szCs w:val="17"/>
          <w:b w:val="1"/>
          <w:bCs w:val="1"/>
          <w:color w:val="404040"/>
        </w:rPr>
        <w:t>THE RISK OF THE CLOSING LEVEL OF AN INDEX FALLING BELOW ITS INTEREST BARRIER OR TRIGGER VALUE IS GREATER IF THE LEVEL OF THAT INDEX IS VOLATILE.</w:t>
      </w:r>
    </w:p>
    <w:p>
      <w:pPr>
        <w:spacing w:after="0" w:line="87" w:lineRule="exact"/>
        <w:rPr>
          <w:rFonts w:ascii="Verdana" w:cs="Verdana" w:eastAsia="Verdana" w:hAnsi="Verdana"/>
          <w:sz w:val="17"/>
          <w:szCs w:val="17"/>
          <w:color w:val="404040"/>
        </w:rPr>
      </w:pPr>
    </w:p>
    <w:p>
      <w:pPr>
        <w:ind w:left="345" w:hanging="345"/>
        <w:spacing w:after="0"/>
        <w:tabs>
          <w:tab w:leader="none" w:pos="345" w:val="left"/>
        </w:tabs>
        <w:numPr>
          <w:ilvl w:val="0"/>
          <w:numId w:val="6"/>
        </w:numPr>
        <w:rPr>
          <w:rFonts w:ascii="Verdana" w:cs="Verdana" w:eastAsia="Verdana" w:hAnsi="Verdana"/>
          <w:sz w:val="17"/>
          <w:szCs w:val="17"/>
          <w:color w:val="404040"/>
        </w:rPr>
      </w:pPr>
      <w:r>
        <w:rPr>
          <w:rFonts w:ascii="Arial" w:cs="Arial" w:eastAsia="Arial" w:hAnsi="Arial"/>
          <w:sz w:val="17"/>
          <w:szCs w:val="17"/>
          <w:b w:val="1"/>
          <w:bCs w:val="1"/>
          <w:color w:val="404040"/>
        </w:rPr>
        <w:t>LACK OF LIQUIDITY —</w:t>
      </w:r>
    </w:p>
    <w:p>
      <w:pPr>
        <w:spacing w:after="0" w:line="97" w:lineRule="exact"/>
        <w:rPr>
          <w:rFonts w:ascii="Verdana" w:cs="Verdana" w:eastAsia="Verdana" w:hAnsi="Verdana"/>
          <w:sz w:val="17"/>
          <w:szCs w:val="17"/>
          <w:color w:val="404040"/>
        </w:rPr>
      </w:pPr>
    </w:p>
    <w:p>
      <w:pPr>
        <w:ind w:left="325" w:right="120"/>
        <w:spacing w:after="0" w:line="326" w:lineRule="auto"/>
        <w:rPr>
          <w:rFonts w:ascii="Verdana" w:cs="Verdana" w:eastAsia="Verdana" w:hAnsi="Verdana"/>
          <w:sz w:val="17"/>
          <w:szCs w:val="17"/>
          <w:color w:val="404040"/>
        </w:rPr>
      </w:pPr>
      <w:r>
        <w:rPr>
          <w:rFonts w:ascii="Arial" w:cs="Arial" w:eastAsia="Arial" w:hAnsi="Arial"/>
          <w:sz w:val="16"/>
          <w:szCs w:val="16"/>
          <w:color w:val="404040"/>
        </w:rPr>
        <w:t>The notes will not be listed on any securities exchange. Accordingly, the price at which you may be able to trade your notes is likely to depend on the price, if any, at which JPMS is willing to buy the notes. You may not be able to sell your notes. The notes are not designed to be short-term trading instruments. Accordingly, you should be able and willing to hold your notes to maturity.</w:t>
      </w:r>
    </w:p>
    <w:p>
      <w:pPr>
        <w:spacing w:after="0" w:line="97" w:lineRule="exact"/>
        <w:rPr>
          <w:rFonts w:ascii="Verdana" w:cs="Verdana" w:eastAsia="Verdana" w:hAnsi="Verdana"/>
          <w:sz w:val="17"/>
          <w:szCs w:val="17"/>
          <w:color w:val="404040"/>
        </w:rPr>
      </w:pPr>
    </w:p>
    <w:p>
      <w:pPr>
        <w:ind w:left="345" w:hanging="345"/>
        <w:spacing w:after="0"/>
        <w:tabs>
          <w:tab w:leader="none" w:pos="345" w:val="left"/>
        </w:tabs>
        <w:numPr>
          <w:ilvl w:val="0"/>
          <w:numId w:val="6"/>
        </w:numPr>
        <w:rPr>
          <w:rFonts w:ascii="Verdana" w:cs="Verdana" w:eastAsia="Verdana" w:hAnsi="Verdana"/>
          <w:sz w:val="17"/>
          <w:szCs w:val="17"/>
          <w:color w:val="404040"/>
        </w:rPr>
      </w:pPr>
      <w:r>
        <w:rPr>
          <w:rFonts w:ascii="Arial" w:cs="Arial" w:eastAsia="Arial" w:hAnsi="Arial"/>
          <w:sz w:val="17"/>
          <w:szCs w:val="17"/>
          <w:b w:val="1"/>
          <w:bCs w:val="1"/>
          <w:color w:val="404040"/>
        </w:rPr>
        <w:t>THE FINAL TERMS AND VALUATION OF THE NOTES WILL BE PROVIDED IN THE PRICING SUPPLEMENT —</w:t>
      </w:r>
    </w:p>
    <w:p>
      <w:pPr>
        <w:spacing w:after="0" w:line="97" w:lineRule="exact"/>
        <w:rPr>
          <w:sz w:val="20"/>
          <w:szCs w:val="20"/>
          <w:color w:val="auto"/>
        </w:rPr>
      </w:pPr>
    </w:p>
    <w:p>
      <w:pPr>
        <w:ind w:left="325" w:right="240"/>
        <w:spacing w:after="0" w:line="323" w:lineRule="auto"/>
        <w:rPr>
          <w:sz w:val="20"/>
          <w:szCs w:val="20"/>
          <w:color w:val="auto"/>
        </w:rPr>
      </w:pPr>
      <w:r>
        <w:rPr>
          <w:rFonts w:ascii="Arial" w:cs="Arial" w:eastAsia="Arial" w:hAnsi="Arial"/>
          <w:sz w:val="17"/>
          <w:szCs w:val="17"/>
          <w:color w:val="404040"/>
        </w:rPr>
        <w:t>You should consider your potential investment in the notes based on the minimums for the estimated value of the notes and the Contingent Interest Rate.</w:t>
      </w:r>
    </w:p>
    <w:p>
      <w:pPr>
        <w:spacing w:after="0" w:line="16" w:lineRule="exact"/>
        <w:rPr>
          <w:sz w:val="20"/>
          <w:szCs w:val="20"/>
          <w:color w:val="auto"/>
        </w:rPr>
      </w:pPr>
    </w:p>
    <w:p>
      <w:pPr>
        <w:ind w:left="5"/>
        <w:spacing w:after="0"/>
        <w:rPr>
          <w:sz w:val="20"/>
          <w:szCs w:val="20"/>
          <w:color w:val="auto"/>
        </w:rPr>
      </w:pPr>
      <w:r>
        <w:rPr>
          <w:rFonts w:ascii="Arial" w:cs="Arial" w:eastAsia="Arial" w:hAnsi="Arial"/>
          <w:sz w:val="17"/>
          <w:szCs w:val="17"/>
          <w:b w:val="1"/>
          <w:bCs w:val="1"/>
          <w:color w:val="54301A"/>
        </w:rPr>
        <w:t>Risks Relating to Conflicts of Interest</w:t>
      </w:r>
    </w:p>
    <w:p>
      <w:pPr>
        <w:spacing w:after="0" w:line="188" w:lineRule="exact"/>
        <w:rPr>
          <w:sz w:val="20"/>
          <w:szCs w:val="20"/>
          <w:color w:val="auto"/>
        </w:rPr>
      </w:pPr>
    </w:p>
    <w:p>
      <w:pPr>
        <w:ind w:left="345" w:hanging="345"/>
        <w:spacing w:after="0"/>
        <w:tabs>
          <w:tab w:leader="none" w:pos="345" w:val="left"/>
        </w:tabs>
        <w:numPr>
          <w:ilvl w:val="0"/>
          <w:numId w:val="7"/>
        </w:numPr>
        <w:rPr>
          <w:rFonts w:ascii="Verdana" w:cs="Verdana" w:eastAsia="Verdana" w:hAnsi="Verdana"/>
          <w:sz w:val="17"/>
          <w:szCs w:val="17"/>
          <w:color w:val="404040"/>
        </w:rPr>
      </w:pPr>
      <w:r>
        <w:rPr>
          <w:rFonts w:ascii="Arial" w:cs="Arial" w:eastAsia="Arial" w:hAnsi="Arial"/>
          <w:sz w:val="17"/>
          <w:szCs w:val="17"/>
          <w:b w:val="1"/>
          <w:bCs w:val="1"/>
          <w:color w:val="404040"/>
        </w:rPr>
        <w:t>POTENTIAL CONFLICTS —</w:t>
      </w:r>
    </w:p>
    <w:p>
      <w:pPr>
        <w:spacing w:after="0" w:line="97" w:lineRule="exact"/>
        <w:rPr>
          <w:rFonts w:ascii="Verdana" w:cs="Verdana" w:eastAsia="Verdana" w:hAnsi="Verdana"/>
          <w:sz w:val="17"/>
          <w:szCs w:val="17"/>
          <w:color w:val="404040"/>
        </w:rPr>
      </w:pPr>
    </w:p>
    <w:p>
      <w:pPr>
        <w:ind w:left="325" w:right="80"/>
        <w:spacing w:after="0" w:line="302" w:lineRule="auto"/>
        <w:rPr>
          <w:rFonts w:ascii="Verdana" w:cs="Verdana" w:eastAsia="Verdana" w:hAnsi="Verdana"/>
          <w:sz w:val="17"/>
          <w:szCs w:val="17"/>
          <w:color w:val="404040"/>
        </w:rPr>
      </w:pPr>
      <w:r>
        <w:rPr>
          <w:rFonts w:ascii="Arial" w:cs="Arial" w:eastAsia="Arial" w:hAnsi="Arial"/>
          <w:sz w:val="16"/>
          <w:szCs w:val="16"/>
          <w:color w:val="404040"/>
        </w:rPr>
        <w:t>We and our affiliates play a variety of roles in connection with the notes. In performing these duties, our and JPMorgan Chase &amp; Co.’s economic interests are potentially adverse to your interests as an investor in the notes. It is possible that hedging or trading</w:t>
      </w:r>
    </w:p>
    <w:p>
      <w:pPr>
        <w:ind w:left="325" w:right="180"/>
        <w:spacing w:after="0" w:line="299" w:lineRule="auto"/>
        <w:rPr>
          <w:rFonts w:ascii="Verdana" w:cs="Verdana" w:eastAsia="Verdana" w:hAnsi="Verdana"/>
          <w:sz w:val="17"/>
          <w:szCs w:val="17"/>
          <w:color w:val="404040"/>
        </w:rPr>
      </w:pPr>
      <w:r>
        <w:rPr>
          <w:rFonts w:ascii="Arial" w:cs="Arial" w:eastAsia="Arial" w:hAnsi="Arial"/>
          <w:sz w:val="17"/>
          <w:szCs w:val="17"/>
          <w:color w:val="404040"/>
        </w:rPr>
        <w:t>activities of ours or our affiliates in connection with the notes could result in substantial returns for us or our affiliates while the value of the notes declines. Please refer to “Risk Factors — Risks Relating to Conflicts of Interest” in the accompanying product supplement.</w:t>
      </w:r>
    </w:p>
    <w:p>
      <w:pPr>
        <w:spacing w:after="0" w:line="37" w:lineRule="exact"/>
        <w:rPr>
          <w:sz w:val="20"/>
          <w:szCs w:val="20"/>
          <w:color w:val="auto"/>
        </w:rPr>
      </w:pPr>
    </w:p>
    <w:p>
      <w:pPr>
        <w:ind w:left="5"/>
        <w:spacing w:after="0"/>
        <w:rPr>
          <w:sz w:val="20"/>
          <w:szCs w:val="20"/>
          <w:color w:val="auto"/>
        </w:rPr>
      </w:pPr>
      <w:r>
        <w:rPr>
          <w:rFonts w:ascii="Arial" w:cs="Arial" w:eastAsia="Arial" w:hAnsi="Arial"/>
          <w:sz w:val="17"/>
          <w:szCs w:val="17"/>
          <w:b w:val="1"/>
          <w:bCs w:val="1"/>
          <w:color w:val="54301A"/>
        </w:rPr>
        <w:t>Risks Relating to the Estimated Value and Secondary Market Prices of the Notes</w:t>
      </w:r>
    </w:p>
    <w:p>
      <w:pPr>
        <w:spacing w:after="0" w:line="188" w:lineRule="exact"/>
        <w:rPr>
          <w:sz w:val="20"/>
          <w:szCs w:val="20"/>
          <w:color w:val="auto"/>
        </w:rPr>
      </w:pPr>
    </w:p>
    <w:p>
      <w:pPr>
        <w:ind w:left="325" w:right="260" w:hanging="325"/>
        <w:spacing w:after="0" w:line="315" w:lineRule="auto"/>
        <w:tabs>
          <w:tab w:leader="none" w:pos="339" w:val="left"/>
        </w:tabs>
        <w:numPr>
          <w:ilvl w:val="0"/>
          <w:numId w:val="8"/>
        </w:numPr>
        <w:rPr>
          <w:rFonts w:ascii="Verdana" w:cs="Verdana" w:eastAsia="Verdana" w:hAnsi="Verdana"/>
          <w:sz w:val="17"/>
          <w:szCs w:val="17"/>
          <w:color w:val="404040"/>
        </w:rPr>
      </w:pPr>
      <w:r>
        <w:rPr>
          <w:rFonts w:ascii="Arial" w:cs="Arial" w:eastAsia="Arial" w:hAnsi="Arial"/>
          <w:sz w:val="17"/>
          <w:szCs w:val="17"/>
          <w:b w:val="1"/>
          <w:bCs w:val="1"/>
          <w:color w:val="404040"/>
        </w:rPr>
        <w:t>THE ESTIMATED VALUE OF THE NOTES WILL BE LOWER THAN THE ORIGINAL ISSUE PRICE (PRICE TO PUBLIC) OF THE NOTES —</w:t>
      </w:r>
    </w:p>
    <w:p>
      <w:pPr>
        <w:spacing w:after="0" w:line="1" w:lineRule="exact"/>
        <w:rPr>
          <w:rFonts w:ascii="Verdana" w:cs="Verdana" w:eastAsia="Verdana" w:hAnsi="Verdana"/>
          <w:sz w:val="17"/>
          <w:szCs w:val="17"/>
          <w:color w:val="404040"/>
        </w:rPr>
      </w:pPr>
    </w:p>
    <w:p>
      <w:pPr>
        <w:ind w:left="325"/>
        <w:spacing w:after="0"/>
        <w:rPr>
          <w:rFonts w:ascii="Verdana" w:cs="Verdana" w:eastAsia="Verdana" w:hAnsi="Verdana"/>
          <w:sz w:val="17"/>
          <w:szCs w:val="17"/>
          <w:color w:val="404040"/>
        </w:rPr>
      </w:pPr>
      <w:r>
        <w:rPr>
          <w:rFonts w:ascii="Arial" w:cs="Arial" w:eastAsia="Arial" w:hAnsi="Arial"/>
          <w:sz w:val="17"/>
          <w:szCs w:val="17"/>
          <w:color w:val="404040"/>
        </w:rPr>
        <w:t>The estimated value of the notes is only an estimate determined by reference to several factors. The original issue price of the</w:t>
      </w:r>
    </w:p>
    <w:p>
      <w:pPr>
        <w:spacing w:after="0" w:line="42" w:lineRule="exact"/>
        <w:rPr>
          <w:rFonts w:ascii="Verdana" w:cs="Verdana" w:eastAsia="Verdana" w:hAnsi="Verdana"/>
          <w:sz w:val="17"/>
          <w:szCs w:val="17"/>
          <w:color w:val="404040"/>
        </w:rPr>
      </w:pPr>
    </w:p>
    <w:p>
      <w:pPr>
        <w:ind w:left="325" w:right="80"/>
        <w:spacing w:after="0" w:line="302" w:lineRule="auto"/>
        <w:rPr>
          <w:rFonts w:ascii="Verdana" w:cs="Verdana" w:eastAsia="Verdana" w:hAnsi="Verdana"/>
          <w:sz w:val="17"/>
          <w:szCs w:val="17"/>
          <w:color w:val="404040"/>
        </w:rPr>
      </w:pPr>
      <w:r>
        <w:rPr>
          <w:rFonts w:ascii="Arial" w:cs="Arial" w:eastAsia="Arial" w:hAnsi="Arial"/>
          <w:sz w:val="16"/>
          <w:szCs w:val="16"/>
          <w:color w:val="404040"/>
        </w:rPr>
        <w:t>notes will exceed the estimated value of the notes because costs associated with selling, structuring and hedging the notes are included in the original issue price of the notes. These costs include the selling commissions, the projected profits, if any, that our</w:t>
      </w:r>
    </w:p>
    <w:p>
      <w:pPr>
        <w:ind w:left="325"/>
        <w:spacing w:after="0" w:line="291" w:lineRule="auto"/>
        <w:rPr>
          <w:rFonts w:ascii="Verdana" w:cs="Verdana" w:eastAsia="Verdana" w:hAnsi="Verdana"/>
          <w:sz w:val="17"/>
          <w:szCs w:val="17"/>
          <w:color w:val="404040"/>
        </w:rPr>
      </w:pPr>
      <w:r>
        <w:rPr>
          <w:rFonts w:ascii="Arial" w:cs="Arial" w:eastAsia="Arial" w:hAnsi="Arial"/>
          <w:sz w:val="17"/>
          <w:szCs w:val="17"/>
          <w:color w:val="404040"/>
        </w:rPr>
        <w:t>affiliates expect to realize for assuming risks inherent in hedging our obligations under the notes, the estimated cost of hedging our obligations under the notes and the fees, if any, paid for third-party data analytics and/or electronic platform services. See “The Estimated Value of the Notes” in this pricing supplement.</w:t>
      </w:r>
    </w:p>
    <w:p>
      <w:pPr>
        <w:spacing w:after="0" w:line="135" w:lineRule="exact"/>
        <w:rPr>
          <w:rFonts w:ascii="Verdana" w:cs="Verdana" w:eastAsia="Verdana" w:hAnsi="Verdana"/>
          <w:sz w:val="17"/>
          <w:szCs w:val="17"/>
          <w:color w:val="404040"/>
        </w:rPr>
      </w:pPr>
    </w:p>
    <w:p>
      <w:pPr>
        <w:ind w:left="325" w:right="240" w:hanging="325"/>
        <w:spacing w:after="0" w:line="303" w:lineRule="auto"/>
        <w:tabs>
          <w:tab w:leader="none" w:pos="339" w:val="left"/>
        </w:tabs>
        <w:numPr>
          <w:ilvl w:val="0"/>
          <w:numId w:val="8"/>
        </w:numPr>
        <w:rPr>
          <w:rFonts w:ascii="Verdana" w:cs="Verdana" w:eastAsia="Verdana" w:hAnsi="Verdana"/>
          <w:sz w:val="17"/>
          <w:szCs w:val="17"/>
          <w:color w:val="404040"/>
        </w:rPr>
      </w:pPr>
      <w:r>
        <w:rPr>
          <w:rFonts w:ascii="Arial" w:cs="Arial" w:eastAsia="Arial" w:hAnsi="Arial"/>
          <w:sz w:val="17"/>
          <w:szCs w:val="17"/>
          <w:b w:val="1"/>
          <w:bCs w:val="1"/>
          <w:color w:val="404040"/>
        </w:rPr>
        <w:t>THE ESTIMATED VALUE OF THE NOTES DOES NOT REPRESENT FUTURE VALUES OF THE NOTES AND MAY DIFFER FROM OTHERS’ ESTIMATES —</w:t>
      </w:r>
    </w:p>
    <w:p>
      <w:pPr>
        <w:spacing w:after="0" w:line="21" w:lineRule="exact"/>
        <w:rPr>
          <w:rFonts w:ascii="Verdana" w:cs="Verdana" w:eastAsia="Verdana" w:hAnsi="Verdana"/>
          <w:sz w:val="17"/>
          <w:szCs w:val="17"/>
          <w:color w:val="404040"/>
        </w:rPr>
      </w:pPr>
    </w:p>
    <w:p>
      <w:pPr>
        <w:ind w:left="325"/>
        <w:spacing w:after="0"/>
        <w:rPr>
          <w:rFonts w:ascii="Verdana" w:cs="Verdana" w:eastAsia="Verdana" w:hAnsi="Verdana"/>
          <w:sz w:val="17"/>
          <w:szCs w:val="17"/>
          <w:color w:val="404040"/>
        </w:rPr>
      </w:pPr>
      <w:r>
        <w:rPr>
          <w:rFonts w:ascii="Arial" w:cs="Arial" w:eastAsia="Arial" w:hAnsi="Arial"/>
          <w:sz w:val="17"/>
          <w:szCs w:val="17"/>
          <w:color w:val="404040"/>
        </w:rPr>
        <w:t>See “The Estimated Value of the Notes” in this pricing supplement.</w:t>
      </w:r>
    </w:p>
    <w:p>
      <w:pPr>
        <w:spacing w:after="0" w:line="201" w:lineRule="exact"/>
        <w:rPr>
          <w:rFonts w:ascii="Verdana" w:cs="Verdana" w:eastAsia="Verdana" w:hAnsi="Verdana"/>
          <w:sz w:val="17"/>
          <w:szCs w:val="17"/>
          <w:color w:val="404040"/>
        </w:rPr>
      </w:pPr>
    </w:p>
    <w:p>
      <w:pPr>
        <w:ind w:left="345" w:hanging="345"/>
        <w:spacing w:after="0"/>
        <w:tabs>
          <w:tab w:leader="none" w:pos="345" w:val="left"/>
        </w:tabs>
        <w:numPr>
          <w:ilvl w:val="0"/>
          <w:numId w:val="8"/>
        </w:numPr>
        <w:rPr>
          <w:rFonts w:ascii="Verdana" w:cs="Verdana" w:eastAsia="Verdana" w:hAnsi="Verdana"/>
          <w:sz w:val="17"/>
          <w:szCs w:val="17"/>
          <w:color w:val="404040"/>
        </w:rPr>
      </w:pPr>
      <w:r>
        <w:rPr>
          <w:rFonts w:ascii="Arial" w:cs="Arial" w:eastAsia="Arial" w:hAnsi="Arial"/>
          <w:sz w:val="17"/>
          <w:szCs w:val="17"/>
          <w:b w:val="1"/>
          <w:bCs w:val="1"/>
          <w:color w:val="404040"/>
        </w:rPr>
        <w:t>THE ESTIMATED VALUE OF THE NOTES IS DERIVED BY REFERENCE TO AN INTERNAL FUNDING RATE —</w:t>
      </w:r>
    </w:p>
    <w:p>
      <w:pPr>
        <w:spacing w:after="0" w:line="97" w:lineRule="exact"/>
        <w:rPr>
          <w:rFonts w:ascii="Verdana" w:cs="Verdana" w:eastAsia="Verdana" w:hAnsi="Verdana"/>
          <w:sz w:val="17"/>
          <w:szCs w:val="17"/>
          <w:color w:val="404040"/>
        </w:rPr>
      </w:pPr>
    </w:p>
    <w:p>
      <w:pPr>
        <w:ind w:left="325" w:right="20"/>
        <w:spacing w:after="0" w:line="299" w:lineRule="auto"/>
        <w:rPr>
          <w:rFonts w:ascii="Verdana" w:cs="Verdana" w:eastAsia="Verdana" w:hAnsi="Verdana"/>
          <w:sz w:val="17"/>
          <w:szCs w:val="17"/>
          <w:color w:val="404040"/>
        </w:rPr>
      </w:pPr>
      <w:r>
        <w:rPr>
          <w:rFonts w:ascii="Arial" w:cs="Arial" w:eastAsia="Arial" w:hAnsi="Arial"/>
          <w:sz w:val="16"/>
          <w:szCs w:val="16"/>
          <w:color w:val="404040"/>
        </w:rPr>
        <w:t>The internal funding rate used in the determination of the estimated value of the notes may differ from the market-implied funding rate for vanilla fixed income instruments of a similar maturity issued by JPMorgan Chase &amp; Co. or its affiliates. Any difference may be based on, among other things, our and our affiliates’ view of the funding value of the notes as well as the higher issuance,</w:t>
      </w:r>
    </w:p>
    <w:p>
      <w:pPr>
        <w:ind w:left="325" w:right="120"/>
        <w:spacing w:after="0" w:line="299" w:lineRule="auto"/>
        <w:rPr>
          <w:rFonts w:ascii="Verdana" w:cs="Verdana" w:eastAsia="Verdana" w:hAnsi="Verdana"/>
          <w:sz w:val="17"/>
          <w:szCs w:val="17"/>
          <w:color w:val="404040"/>
        </w:rPr>
      </w:pPr>
      <w:r>
        <w:rPr>
          <w:rFonts w:ascii="Arial" w:cs="Arial" w:eastAsia="Arial" w:hAnsi="Arial"/>
          <w:sz w:val="16"/>
          <w:szCs w:val="16"/>
          <w:color w:val="404040"/>
        </w:rPr>
        <w:t>operational and ongoing liability management costs of the notes in comparison to those costs for the conventional fixed income instruments of JPMorgan Chase &amp; Co. This internal funding rate is based on certain market inputs and assumptions, which may prove to be incorrect, and is intended to approximate the prevailing market replacement funding rate for the notes. The use of an</w:t>
      </w:r>
    </w:p>
    <w:p>
      <w:pPr>
        <w:ind w:left="325" w:right="680"/>
        <w:spacing w:after="0" w:line="307" w:lineRule="auto"/>
        <w:rPr>
          <w:rFonts w:ascii="Verdana" w:cs="Verdana" w:eastAsia="Verdana" w:hAnsi="Verdana"/>
          <w:sz w:val="17"/>
          <w:szCs w:val="17"/>
          <w:color w:val="404040"/>
        </w:rPr>
      </w:pPr>
      <w:r>
        <w:rPr>
          <w:rFonts w:ascii="Arial" w:cs="Arial" w:eastAsia="Arial" w:hAnsi="Arial"/>
          <w:sz w:val="17"/>
          <w:szCs w:val="17"/>
          <w:color w:val="404040"/>
        </w:rPr>
        <w:t>internal funding rate and any potential changes to that rate may have an adverse effect on the terms of the notes and any secondary market prices of the notes. See “The Estimated Value of the Notes” in this pricing supplement.</w:t>
      </w:r>
    </w:p>
    <w:p>
      <w:pPr>
        <w:spacing w:after="0" w:line="121" w:lineRule="exact"/>
        <w:rPr>
          <w:rFonts w:ascii="Verdana" w:cs="Verdana" w:eastAsia="Verdana" w:hAnsi="Verdana"/>
          <w:sz w:val="17"/>
          <w:szCs w:val="17"/>
          <w:color w:val="404040"/>
        </w:rPr>
      </w:pPr>
    </w:p>
    <w:p>
      <w:pPr>
        <w:ind w:left="325" w:right="220" w:hanging="325"/>
        <w:spacing w:after="0" w:line="296" w:lineRule="auto"/>
        <w:tabs>
          <w:tab w:leader="none" w:pos="339" w:val="left"/>
        </w:tabs>
        <w:numPr>
          <w:ilvl w:val="0"/>
          <w:numId w:val="8"/>
        </w:numPr>
        <w:rPr>
          <w:rFonts w:ascii="Verdana" w:cs="Verdana" w:eastAsia="Verdana" w:hAnsi="Verdana"/>
          <w:sz w:val="17"/>
          <w:szCs w:val="17"/>
          <w:color w:val="404040"/>
        </w:rPr>
      </w:pPr>
      <w:r>
        <w:rPr>
          <w:rFonts w:ascii="Arial" w:cs="Arial" w:eastAsia="Arial" w:hAnsi="Arial"/>
          <w:sz w:val="17"/>
          <w:szCs w:val="17"/>
          <w:b w:val="1"/>
          <w:bCs w:val="1"/>
          <w:color w:val="404040"/>
        </w:rPr>
        <w:t>THE VALUE OF THE NOTES AS PUBLISHED BY JPMS (AND WHICH MAY BE REFLECTED ON CUSTOMER ACCOUNT STATEMENTS) MAY BE HIGHER THAN THE THEN-CURRENT ESTIMATED VALUE OF THE NOTES FOR A LIMITED TIME PERIOD —</w:t>
      </w:r>
    </w:p>
    <w:p>
      <w:pPr>
        <w:spacing w:after="0" w:line="30" w:lineRule="exact"/>
        <w:rPr>
          <w:rFonts w:ascii="Verdana" w:cs="Verdana" w:eastAsia="Verdana" w:hAnsi="Verdana"/>
          <w:sz w:val="17"/>
          <w:szCs w:val="17"/>
          <w:color w:val="404040"/>
        </w:rPr>
      </w:pPr>
    </w:p>
    <w:p>
      <w:pPr>
        <w:ind w:left="325" w:right="20"/>
        <w:spacing w:after="0" w:line="299" w:lineRule="auto"/>
        <w:rPr>
          <w:rFonts w:ascii="Verdana" w:cs="Verdana" w:eastAsia="Verdana" w:hAnsi="Verdana"/>
          <w:sz w:val="17"/>
          <w:szCs w:val="17"/>
          <w:color w:val="404040"/>
        </w:rPr>
      </w:pPr>
      <w:r>
        <w:rPr>
          <w:rFonts w:ascii="Arial" w:cs="Arial" w:eastAsia="Arial" w:hAnsi="Arial"/>
          <w:sz w:val="16"/>
          <w:szCs w:val="16"/>
          <w:color w:val="404040"/>
        </w:rPr>
        <w:t>We generally expect that some of the costs included in the original issue price of the notes will be partially paid back to you in connection with any repurchases of your notes by JPMS in an amount that will decline to zero over an initial predetermined period. See “Secondary Market Prices of the Notes” in this pricing supplement for additional information relating to this initial period.</w:t>
      </w:r>
    </w:p>
    <w:p>
      <w:pPr>
        <w:ind w:left="325" w:right="220"/>
        <w:spacing w:after="0" w:line="307" w:lineRule="auto"/>
        <w:rPr>
          <w:rFonts w:ascii="Verdana" w:cs="Verdana" w:eastAsia="Verdana" w:hAnsi="Verdana"/>
          <w:sz w:val="17"/>
          <w:szCs w:val="17"/>
          <w:color w:val="404040"/>
        </w:rPr>
      </w:pPr>
      <w:r>
        <w:rPr>
          <w:rFonts w:ascii="Arial" w:cs="Arial" w:eastAsia="Arial" w:hAnsi="Arial"/>
          <w:sz w:val="17"/>
          <w:szCs w:val="17"/>
          <w:color w:val="404040"/>
        </w:rPr>
        <w:t>Accordingly, the estimated value of your notes during this initial period may be lower than the value of the notes as published by JPMS (and which may be shown on your customer account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wp:posOffset>
            </wp:positionH>
            <wp:positionV relativeFrom="paragraph">
              <wp:posOffset>401955</wp:posOffset>
            </wp:positionV>
            <wp:extent cx="6378575" cy="4540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378575" cy="454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5"/>
        <w:spacing w:after="0"/>
        <w:rPr>
          <w:sz w:val="20"/>
          <w:szCs w:val="20"/>
          <w:color w:val="auto"/>
        </w:rPr>
      </w:pPr>
      <w:r>
        <w:rPr>
          <w:rFonts w:ascii="Arial" w:cs="Arial" w:eastAsia="Arial" w:hAnsi="Arial"/>
          <w:sz w:val="17"/>
          <w:szCs w:val="17"/>
          <w:color w:val="7F7F7F"/>
        </w:rPr>
        <w:t>PS-6 | Structured Investments</w:t>
      </w:r>
    </w:p>
    <w:p>
      <w:pPr>
        <w:ind w:left="5"/>
        <w:spacing w:after="0" w:line="199" w:lineRule="auto"/>
        <w:rPr>
          <w:sz w:val="20"/>
          <w:szCs w:val="20"/>
          <w:color w:val="auto"/>
        </w:rPr>
      </w:pPr>
      <w:r>
        <w:rPr>
          <w:rFonts w:ascii="Arial" w:cs="Arial" w:eastAsia="Arial" w:hAnsi="Arial"/>
          <w:sz w:val="15"/>
          <w:szCs w:val="15"/>
          <w:color w:val="808080"/>
        </w:rPr>
        <w:t>Contingent Interest Notes Linked to the Least Performing of the S&amp;P 500</w:t>
      </w:r>
      <w:r>
        <w:rPr>
          <w:rFonts w:ascii="Arial" w:cs="Arial" w:eastAsia="Arial" w:hAnsi="Arial"/>
          <w:sz w:val="18"/>
          <w:szCs w:val="18"/>
          <w:color w:val="808080"/>
          <w:vertAlign w:val="superscript"/>
        </w:rPr>
        <w:t>®</w:t>
      </w:r>
    </w:p>
    <w:p>
      <w:pPr>
        <w:ind w:left="5"/>
        <w:spacing w:after="0" w:line="218" w:lineRule="auto"/>
        <w:rPr>
          <w:sz w:val="20"/>
          <w:szCs w:val="20"/>
          <w:color w:val="auto"/>
        </w:rPr>
      </w:pPr>
      <w:r>
        <w:rPr>
          <w:rFonts w:ascii="Arial" w:cs="Arial" w:eastAsia="Arial" w:hAnsi="Arial"/>
          <w:sz w:val="15"/>
          <w:szCs w:val="15"/>
          <w:color w:val="808080"/>
        </w:rPr>
        <w:t>Index, the Nasdaq-100</w:t>
      </w:r>
      <w:r>
        <w:rPr>
          <w:rFonts w:ascii="Arial" w:cs="Arial" w:eastAsia="Arial" w:hAnsi="Arial"/>
          <w:sz w:val="18"/>
          <w:szCs w:val="18"/>
          <w:color w:val="808080"/>
          <w:vertAlign w:val="superscript"/>
        </w:rPr>
        <w:t>®</w:t>
      </w:r>
      <w:r>
        <w:rPr>
          <w:rFonts w:ascii="Arial" w:cs="Arial" w:eastAsia="Arial" w:hAnsi="Arial"/>
          <w:sz w:val="15"/>
          <w:szCs w:val="15"/>
          <w:color w:val="808080"/>
        </w:rPr>
        <w:t xml:space="preserve"> Technology Sector Index</w:t>
      </w:r>
      <w:r>
        <w:rPr>
          <w:rFonts w:ascii="Arial" w:cs="Arial" w:eastAsia="Arial" w:hAnsi="Arial"/>
          <w:sz w:val="18"/>
          <w:szCs w:val="18"/>
          <w:color w:val="808080"/>
          <w:vertAlign w:val="superscript"/>
        </w:rPr>
        <w:t>SM</w:t>
      </w:r>
      <w:r>
        <w:rPr>
          <w:rFonts w:ascii="Arial" w:cs="Arial" w:eastAsia="Arial" w:hAnsi="Arial"/>
          <w:sz w:val="15"/>
          <w:szCs w:val="15"/>
          <w:color w:val="808080"/>
        </w:rPr>
        <w:t xml:space="preserve"> and the Russell 2000</w:t>
      </w:r>
      <w:r>
        <w:rPr>
          <w:rFonts w:ascii="Arial" w:cs="Arial" w:eastAsia="Arial" w:hAnsi="Arial"/>
          <w:sz w:val="18"/>
          <w:szCs w:val="18"/>
          <w:color w:val="808080"/>
          <w:vertAlign w:val="superscript"/>
        </w:rPr>
        <w:t>®</w:t>
      </w:r>
    </w:p>
    <w:p>
      <w:pPr>
        <w:ind w:left="5"/>
        <w:spacing w:after="0"/>
        <w:rPr>
          <w:sz w:val="20"/>
          <w:szCs w:val="20"/>
          <w:color w:val="auto"/>
        </w:rPr>
      </w:pPr>
      <w:r>
        <w:rPr>
          <w:rFonts w:ascii="Arial" w:cs="Arial" w:eastAsia="Arial" w:hAnsi="Arial"/>
          <w:sz w:val="15"/>
          <w:szCs w:val="15"/>
          <w:color w:val="808080"/>
        </w:rPr>
        <w:t>Index</w:t>
      </w:r>
    </w:p>
    <w:p>
      <w:pPr>
        <w:sectPr>
          <w:pgSz w:w="11900" w:h="16838" w:orient="portrait"/>
          <w:cols w:equalWidth="0" w:num="1">
            <w:col w:w="9945"/>
          </w:cols>
          <w:pgMar w:left="995" w:top="899" w:right="959" w:bottom="1440" w:gutter="0" w:footer="0" w:header="0"/>
        </w:sectPr>
      </w:pPr>
    </w:p>
    <w:bookmarkStart w:id="7" w:name="page8"/>
    <w:bookmarkEnd w:id="7"/>
    <w:p>
      <w:pPr>
        <w:ind w:left="325" w:right="320" w:hanging="325"/>
        <w:spacing w:after="0" w:line="319" w:lineRule="auto"/>
        <w:tabs>
          <w:tab w:leader="none" w:pos="339" w:val="left"/>
        </w:tabs>
        <w:numPr>
          <w:ilvl w:val="0"/>
          <w:numId w:val="9"/>
        </w:numPr>
        <w:rPr>
          <w:rFonts w:ascii="Verdana" w:cs="Verdana" w:eastAsia="Verdana" w:hAnsi="Verdana"/>
          <w:sz w:val="17"/>
          <w:szCs w:val="17"/>
          <w:color w:val="404040"/>
        </w:rPr>
      </w:pPr>
      <w:r>
        <w:rPr>
          <w:rFonts w:ascii="Arial" w:cs="Arial" w:eastAsia="Arial" w:hAnsi="Arial"/>
          <w:sz w:val="17"/>
          <w:szCs w:val="17"/>
          <w:b w:val="1"/>
          <w:bCs w:val="1"/>
          <w:color w:val="404040"/>
        </w:rPr>
        <w:t>SECONDARY MARKET PRICES OF THE NOTES WILL LIKELY BE LOWER THAN THE ORIGINAL ISSUE PRICE OF THE NOTES —</w:t>
      </w:r>
    </w:p>
    <w:p>
      <w:pPr>
        <w:spacing w:after="0" w:line="7" w:lineRule="exact"/>
        <w:rPr>
          <w:rFonts w:ascii="Verdana" w:cs="Verdana" w:eastAsia="Verdana" w:hAnsi="Verdana"/>
          <w:sz w:val="17"/>
          <w:szCs w:val="17"/>
          <w:color w:val="404040"/>
        </w:rPr>
      </w:pPr>
    </w:p>
    <w:p>
      <w:pPr>
        <w:ind w:left="325" w:right="160"/>
        <w:spacing w:after="0" w:line="299" w:lineRule="auto"/>
        <w:rPr>
          <w:rFonts w:ascii="Verdana" w:cs="Verdana" w:eastAsia="Verdana" w:hAnsi="Verdana"/>
          <w:sz w:val="17"/>
          <w:szCs w:val="17"/>
          <w:color w:val="404040"/>
        </w:rPr>
      </w:pPr>
      <w:r>
        <w:rPr>
          <w:rFonts w:ascii="Arial" w:cs="Arial" w:eastAsia="Arial" w:hAnsi="Arial"/>
          <w:sz w:val="16"/>
          <w:szCs w:val="16"/>
          <w:color w:val="404040"/>
        </w:rPr>
        <w:t>Any secondary market prices of the notes will likely be lower than the original issue price of the notes because, among other things, secondary market prices take into account our internal secondary market funding rates for structured debt issuances and, also, because secondary market prices may exclude selling commissions, projected hedging profits, if any, estimated hedging</w:t>
      </w:r>
    </w:p>
    <w:p>
      <w:pPr>
        <w:ind w:left="325" w:right="240"/>
        <w:spacing w:after="0" w:line="302" w:lineRule="auto"/>
        <w:rPr>
          <w:rFonts w:ascii="Verdana" w:cs="Verdana" w:eastAsia="Verdana" w:hAnsi="Verdana"/>
          <w:sz w:val="17"/>
          <w:szCs w:val="17"/>
          <w:color w:val="404040"/>
        </w:rPr>
      </w:pPr>
      <w:r>
        <w:rPr>
          <w:rFonts w:ascii="Arial" w:cs="Arial" w:eastAsia="Arial" w:hAnsi="Arial"/>
          <w:sz w:val="16"/>
          <w:szCs w:val="16"/>
          <w:color w:val="404040"/>
        </w:rPr>
        <w:t>costs and fees, if any, paid for third-party data analytics and/or electronic platform services that are included in the original issue price of the notes. As a result, the price, if any, at which JPMS will be willing to buy the notes from you in secondary market</w:t>
      </w:r>
    </w:p>
    <w:p>
      <w:pPr>
        <w:jc w:val="both"/>
        <w:ind w:left="325"/>
        <w:spacing w:after="0" w:line="317" w:lineRule="auto"/>
        <w:rPr>
          <w:rFonts w:ascii="Verdana" w:cs="Verdana" w:eastAsia="Verdana" w:hAnsi="Verdana"/>
          <w:sz w:val="17"/>
          <w:szCs w:val="17"/>
          <w:color w:val="404040"/>
        </w:rPr>
      </w:pPr>
      <w:r>
        <w:rPr>
          <w:rFonts w:ascii="Arial" w:cs="Arial" w:eastAsia="Arial" w:hAnsi="Arial"/>
          <w:sz w:val="16"/>
          <w:szCs w:val="16"/>
          <w:color w:val="404040"/>
        </w:rPr>
        <w:t>transactions, if at all, is likely to be lower than the original issue price. Furthermore, if you sell your notes, you will likely be charged a commission for secondary market transactions, or the price will likely reflect a dealer discount and/or fees for use of an electronic platform to facilitate secondary market activity. Any sale by you prior to the Maturity Date could result in a substantial loss to you.</w:t>
      </w:r>
    </w:p>
    <w:p>
      <w:pPr>
        <w:spacing w:after="0" w:line="78" w:lineRule="exact"/>
        <w:rPr>
          <w:rFonts w:ascii="Verdana" w:cs="Verdana" w:eastAsia="Verdana" w:hAnsi="Verdana"/>
          <w:sz w:val="17"/>
          <w:szCs w:val="17"/>
          <w:color w:val="404040"/>
        </w:rPr>
      </w:pPr>
    </w:p>
    <w:p>
      <w:pPr>
        <w:ind w:left="345" w:hanging="345"/>
        <w:spacing w:after="0"/>
        <w:tabs>
          <w:tab w:leader="none" w:pos="345" w:val="left"/>
        </w:tabs>
        <w:numPr>
          <w:ilvl w:val="0"/>
          <w:numId w:val="9"/>
        </w:numPr>
        <w:rPr>
          <w:rFonts w:ascii="Verdana" w:cs="Verdana" w:eastAsia="Verdana" w:hAnsi="Verdana"/>
          <w:sz w:val="17"/>
          <w:szCs w:val="17"/>
          <w:color w:val="404040"/>
        </w:rPr>
      </w:pPr>
      <w:r>
        <w:rPr>
          <w:rFonts w:ascii="Arial" w:cs="Arial" w:eastAsia="Arial" w:hAnsi="Arial"/>
          <w:sz w:val="17"/>
          <w:szCs w:val="17"/>
          <w:b w:val="1"/>
          <w:bCs w:val="1"/>
          <w:color w:val="404040"/>
        </w:rPr>
        <w:t>SECONDARY MARKET PRICES OF THE NOTES WILL BE IMPACTED BY MANY ECONOMIC AND MARKET FACTORS —</w:t>
      </w:r>
    </w:p>
    <w:p>
      <w:pPr>
        <w:spacing w:after="0" w:line="57" w:lineRule="exact"/>
        <w:rPr>
          <w:rFonts w:ascii="Verdana" w:cs="Verdana" w:eastAsia="Verdana" w:hAnsi="Verdana"/>
          <w:sz w:val="17"/>
          <w:szCs w:val="17"/>
          <w:color w:val="404040"/>
        </w:rPr>
      </w:pPr>
    </w:p>
    <w:p>
      <w:pPr>
        <w:ind w:left="325" w:right="220"/>
        <w:spacing w:after="0" w:line="302" w:lineRule="auto"/>
        <w:rPr>
          <w:rFonts w:ascii="Verdana" w:cs="Verdana" w:eastAsia="Verdana" w:hAnsi="Verdana"/>
          <w:sz w:val="17"/>
          <w:szCs w:val="17"/>
          <w:color w:val="404040"/>
        </w:rPr>
      </w:pPr>
      <w:r>
        <w:rPr>
          <w:rFonts w:ascii="Arial" w:cs="Arial" w:eastAsia="Arial" w:hAnsi="Arial"/>
          <w:sz w:val="16"/>
          <w:szCs w:val="16"/>
          <w:color w:val="404040"/>
        </w:rPr>
        <w:t>The secondary market price of the notes during their term will be impacted by a number of economic and market factors, which may either offset or magnify each other, aside from the selling commissions, projected hedging profits, if any, estimated hedging</w:t>
      </w:r>
    </w:p>
    <w:p>
      <w:pPr>
        <w:jc w:val="both"/>
        <w:ind w:left="325" w:right="60"/>
        <w:spacing w:after="0" w:line="302" w:lineRule="auto"/>
        <w:rPr>
          <w:rFonts w:ascii="Verdana" w:cs="Verdana" w:eastAsia="Verdana" w:hAnsi="Verdana"/>
          <w:sz w:val="17"/>
          <w:szCs w:val="17"/>
          <w:color w:val="404040"/>
        </w:rPr>
      </w:pPr>
      <w:r>
        <w:rPr>
          <w:rFonts w:ascii="Arial" w:cs="Arial" w:eastAsia="Arial" w:hAnsi="Arial"/>
          <w:sz w:val="16"/>
          <w:szCs w:val="16"/>
          <w:color w:val="404040"/>
        </w:rPr>
        <w:t>costs and the levels of the Indices. Additionally, independent pricing vendors and/or third party broker-dealers may publish a price for the notes, which may also be reflected on customer account statements. This price may be different (higher or lower) than the</w:t>
      </w:r>
    </w:p>
    <w:p>
      <w:pPr>
        <w:ind w:left="325" w:right="160"/>
        <w:spacing w:after="0" w:line="291" w:lineRule="auto"/>
        <w:rPr>
          <w:rFonts w:ascii="Verdana" w:cs="Verdana" w:eastAsia="Verdana" w:hAnsi="Verdana"/>
          <w:sz w:val="17"/>
          <w:szCs w:val="17"/>
          <w:color w:val="404040"/>
        </w:rPr>
      </w:pPr>
      <w:r>
        <w:rPr>
          <w:rFonts w:ascii="Arial" w:cs="Arial" w:eastAsia="Arial" w:hAnsi="Arial"/>
          <w:sz w:val="17"/>
          <w:szCs w:val="17"/>
          <w:color w:val="404040"/>
        </w:rPr>
        <w:t>price of the notes, if any, at which JPMS may be willing to purchase your notes in the secondary market. See “Risk Factors — Risks Relating to the Estimated Value and Secondary Market Prices of the Notes — Secondary market prices of the notes will be impacted by many economic and market factors” in the accompanying product supplement.</w:t>
      </w:r>
    </w:p>
    <w:p>
      <w:pPr>
        <w:spacing w:after="0" w:line="57" w:lineRule="exact"/>
        <w:rPr>
          <w:sz w:val="20"/>
          <w:szCs w:val="20"/>
          <w:color w:val="auto"/>
        </w:rPr>
      </w:pPr>
    </w:p>
    <w:p>
      <w:pPr>
        <w:ind w:left="5"/>
        <w:spacing w:after="0"/>
        <w:rPr>
          <w:sz w:val="20"/>
          <w:szCs w:val="20"/>
          <w:color w:val="auto"/>
        </w:rPr>
      </w:pPr>
      <w:r>
        <w:rPr>
          <w:rFonts w:ascii="Arial" w:cs="Arial" w:eastAsia="Arial" w:hAnsi="Arial"/>
          <w:sz w:val="17"/>
          <w:szCs w:val="17"/>
          <w:b w:val="1"/>
          <w:bCs w:val="1"/>
          <w:color w:val="54301A"/>
        </w:rPr>
        <w:t>Risks Relating to the Indices</w:t>
      </w:r>
    </w:p>
    <w:p>
      <w:pPr>
        <w:spacing w:after="0" w:line="228" w:lineRule="exact"/>
        <w:rPr>
          <w:sz w:val="20"/>
          <w:szCs w:val="20"/>
          <w:color w:val="auto"/>
        </w:rPr>
      </w:pPr>
    </w:p>
    <w:p>
      <w:pPr>
        <w:ind w:left="345" w:hanging="339"/>
        <w:spacing w:after="0"/>
        <w:tabs>
          <w:tab w:leader="none" w:pos="345" w:val="left"/>
        </w:tabs>
        <w:numPr>
          <w:ilvl w:val="0"/>
          <w:numId w:val="10"/>
        </w:numPr>
        <w:rPr>
          <w:rFonts w:ascii="Verdana" w:cs="Verdana" w:eastAsia="Verdana" w:hAnsi="Verdana"/>
          <w:sz w:val="17"/>
          <w:szCs w:val="17"/>
          <w:color w:val="404040"/>
        </w:rPr>
      </w:pPr>
      <w:r>
        <w:rPr>
          <w:rFonts w:ascii="Arial" w:cs="Arial" w:eastAsia="Arial" w:hAnsi="Arial"/>
          <w:sz w:val="17"/>
          <w:szCs w:val="17"/>
          <w:b w:val="1"/>
          <w:bCs w:val="1"/>
          <w:color w:val="404040"/>
        </w:rPr>
        <w:t>JPMORGAN CHASE &amp; CO. IS CURRENTLY ONE OF THE COMPANIES THAT MAKE UP THE S&amp;P 500</w:t>
      </w:r>
      <w:r>
        <w:rPr>
          <w:rFonts w:ascii="Arial" w:cs="Arial" w:eastAsia="Arial" w:hAnsi="Arial"/>
          <w:sz w:val="22"/>
          <w:szCs w:val="22"/>
          <w:b w:val="1"/>
          <w:bCs w:val="1"/>
          <w:color w:val="404040"/>
          <w:vertAlign w:val="superscript"/>
        </w:rPr>
        <w:t>®</w:t>
      </w:r>
      <w:r>
        <w:rPr>
          <w:rFonts w:ascii="Arial" w:cs="Arial" w:eastAsia="Arial" w:hAnsi="Arial"/>
          <w:sz w:val="17"/>
          <w:szCs w:val="17"/>
          <w:b w:val="1"/>
          <w:bCs w:val="1"/>
          <w:color w:val="404040"/>
        </w:rPr>
        <w:t xml:space="preserve"> INDEX,</w:t>
      </w:r>
    </w:p>
    <w:p>
      <w:pPr>
        <w:spacing w:after="0" w:line="27" w:lineRule="exact"/>
        <w:rPr>
          <w:rFonts w:ascii="Verdana" w:cs="Verdana" w:eastAsia="Verdana" w:hAnsi="Verdana"/>
          <w:sz w:val="17"/>
          <w:szCs w:val="17"/>
          <w:color w:val="404040"/>
        </w:rPr>
      </w:pPr>
    </w:p>
    <w:p>
      <w:pPr>
        <w:ind w:left="325" w:right="200"/>
        <w:spacing w:after="0" w:line="296" w:lineRule="auto"/>
        <w:rPr>
          <w:rFonts w:ascii="Verdana" w:cs="Verdana" w:eastAsia="Verdana" w:hAnsi="Verdana"/>
          <w:sz w:val="17"/>
          <w:szCs w:val="17"/>
          <w:color w:val="404040"/>
        </w:rPr>
      </w:pPr>
      <w:r>
        <w:rPr>
          <w:rFonts w:ascii="Arial" w:cs="Arial" w:eastAsia="Arial" w:hAnsi="Arial"/>
          <w:sz w:val="17"/>
          <w:szCs w:val="17"/>
          <w:color w:val="404040"/>
        </w:rPr>
        <w:t>but JPMorgan Chase &amp; Co. will not have any obligation to consider your interests in taking any corporate action that might affect the level of the S&amp;P 500</w:t>
      </w:r>
      <w:r>
        <w:rPr>
          <w:rFonts w:ascii="Arial" w:cs="Arial" w:eastAsia="Arial" w:hAnsi="Arial"/>
          <w:sz w:val="22"/>
          <w:szCs w:val="22"/>
          <w:color w:val="404040"/>
          <w:vertAlign w:val="superscript"/>
        </w:rPr>
        <w:t>®</w:t>
      </w:r>
      <w:r>
        <w:rPr>
          <w:rFonts w:ascii="Arial" w:cs="Arial" w:eastAsia="Arial" w:hAnsi="Arial"/>
          <w:sz w:val="17"/>
          <w:szCs w:val="17"/>
          <w:color w:val="404040"/>
        </w:rPr>
        <w:t xml:space="preserve"> Index.</w:t>
      </w:r>
    </w:p>
    <w:p>
      <w:pPr>
        <w:spacing w:after="0" w:line="52" w:lineRule="exact"/>
        <w:rPr>
          <w:rFonts w:ascii="Verdana" w:cs="Verdana" w:eastAsia="Verdana" w:hAnsi="Verdana"/>
          <w:sz w:val="17"/>
          <w:szCs w:val="17"/>
          <w:color w:val="404040"/>
        </w:rPr>
      </w:pPr>
    </w:p>
    <w:p>
      <w:pPr>
        <w:ind w:left="325" w:right="60" w:hanging="325"/>
        <w:spacing w:after="0" w:line="251" w:lineRule="auto"/>
        <w:tabs>
          <w:tab w:leader="none" w:pos="339" w:val="left"/>
        </w:tabs>
        <w:numPr>
          <w:ilvl w:val="0"/>
          <w:numId w:val="10"/>
        </w:numPr>
        <w:rPr>
          <w:rFonts w:ascii="Verdana" w:cs="Verdana" w:eastAsia="Verdana" w:hAnsi="Verdana"/>
          <w:sz w:val="17"/>
          <w:szCs w:val="17"/>
          <w:color w:val="404040"/>
        </w:rPr>
      </w:pPr>
      <w:r>
        <w:rPr>
          <w:rFonts w:ascii="Arial" w:cs="Arial" w:eastAsia="Arial" w:hAnsi="Arial"/>
          <w:sz w:val="17"/>
          <w:szCs w:val="17"/>
          <w:b w:val="1"/>
          <w:bCs w:val="1"/>
          <w:color w:val="404040"/>
        </w:rPr>
        <w:t>RISKS ASSOCIATED WITH THE TECHNOLOGY SECTOR WITH RESPECT TO THE NASDAQ-100</w:t>
      </w:r>
      <w:r>
        <w:rPr>
          <w:rFonts w:ascii="Arial" w:cs="Arial" w:eastAsia="Arial" w:hAnsi="Arial"/>
          <w:sz w:val="22"/>
          <w:szCs w:val="22"/>
          <w:b w:val="1"/>
          <w:bCs w:val="1"/>
          <w:color w:val="404040"/>
          <w:vertAlign w:val="superscript"/>
        </w:rPr>
        <w:t>®</w:t>
      </w:r>
      <w:r>
        <w:rPr>
          <w:rFonts w:ascii="Arial" w:cs="Arial" w:eastAsia="Arial" w:hAnsi="Arial"/>
          <w:sz w:val="17"/>
          <w:szCs w:val="17"/>
          <w:b w:val="1"/>
          <w:bCs w:val="1"/>
          <w:color w:val="404040"/>
        </w:rPr>
        <w:t xml:space="preserve"> TECHNOLOGY SECTOR INDEX</w:t>
      </w:r>
      <w:r>
        <w:rPr>
          <w:rFonts w:ascii="Arial" w:cs="Arial" w:eastAsia="Arial" w:hAnsi="Arial"/>
          <w:sz w:val="22"/>
          <w:szCs w:val="22"/>
          <w:b w:val="1"/>
          <w:bCs w:val="1"/>
          <w:color w:val="404040"/>
          <w:vertAlign w:val="superscript"/>
        </w:rPr>
        <w:t>SM</w:t>
      </w:r>
      <w:r>
        <w:rPr>
          <w:rFonts w:ascii="Arial" w:cs="Arial" w:eastAsia="Arial" w:hAnsi="Arial"/>
          <w:sz w:val="17"/>
          <w:szCs w:val="17"/>
          <w:b w:val="1"/>
          <w:bCs w:val="1"/>
          <w:color w:val="404040"/>
        </w:rPr>
        <w:t xml:space="preserve"> —</w:t>
      </w:r>
    </w:p>
    <w:p>
      <w:pPr>
        <w:ind w:left="325" w:right="20"/>
        <w:spacing w:after="0" w:line="261" w:lineRule="auto"/>
        <w:rPr>
          <w:rFonts w:ascii="Verdana" w:cs="Verdana" w:eastAsia="Verdana" w:hAnsi="Verdana"/>
          <w:sz w:val="17"/>
          <w:szCs w:val="17"/>
          <w:color w:val="404040"/>
        </w:rPr>
      </w:pPr>
      <w:r>
        <w:rPr>
          <w:rFonts w:ascii="Arial" w:cs="Arial" w:eastAsia="Arial" w:hAnsi="Arial"/>
          <w:sz w:val="16"/>
          <w:szCs w:val="16"/>
          <w:color w:val="404040"/>
        </w:rPr>
        <w:t>All or substantially all of the equity securities included in the Nasdaq-100</w:t>
      </w:r>
      <w:r>
        <w:rPr>
          <w:rFonts w:ascii="Arial" w:cs="Arial" w:eastAsia="Arial" w:hAnsi="Arial"/>
          <w:sz w:val="21"/>
          <w:szCs w:val="21"/>
          <w:color w:val="404040"/>
          <w:vertAlign w:val="superscript"/>
        </w:rPr>
        <w:t>®</w:t>
      </w:r>
      <w:r>
        <w:rPr>
          <w:rFonts w:ascii="Arial" w:cs="Arial" w:eastAsia="Arial" w:hAnsi="Arial"/>
          <w:sz w:val="16"/>
          <w:szCs w:val="16"/>
          <w:color w:val="404040"/>
        </w:rPr>
        <w:t xml:space="preserve"> Technology Sector Index</w:t>
      </w:r>
      <w:r>
        <w:rPr>
          <w:rFonts w:ascii="Arial" w:cs="Arial" w:eastAsia="Arial" w:hAnsi="Arial"/>
          <w:sz w:val="21"/>
          <w:szCs w:val="21"/>
          <w:color w:val="404040"/>
          <w:vertAlign w:val="superscript"/>
        </w:rPr>
        <w:t>SM</w:t>
      </w:r>
      <w:r>
        <w:rPr>
          <w:rFonts w:ascii="Arial" w:cs="Arial" w:eastAsia="Arial" w:hAnsi="Arial"/>
          <w:sz w:val="16"/>
          <w:szCs w:val="16"/>
          <w:color w:val="404040"/>
        </w:rPr>
        <w:t xml:space="preserve"> are issued by companies whose primary line of business is directly associated with the technology sector. As a result, the value of the notes may be subject</w:t>
      </w:r>
    </w:p>
    <w:p>
      <w:pPr>
        <w:ind w:left="325" w:right="60"/>
        <w:spacing w:after="0" w:line="299" w:lineRule="auto"/>
        <w:rPr>
          <w:rFonts w:ascii="Verdana" w:cs="Verdana" w:eastAsia="Verdana" w:hAnsi="Verdana"/>
          <w:sz w:val="17"/>
          <w:szCs w:val="17"/>
          <w:color w:val="404040"/>
        </w:rPr>
      </w:pPr>
      <w:r>
        <w:rPr>
          <w:rFonts w:ascii="Arial" w:cs="Arial" w:eastAsia="Arial" w:hAnsi="Arial"/>
          <w:sz w:val="16"/>
          <w:szCs w:val="16"/>
          <w:color w:val="404040"/>
        </w:rPr>
        <w:t>to greater volatility and be more adversely affected by a single economic, political or regulatory occurrence affecting this sector than a different investment linked to securities of a more broadly diversified group of issuers. The value of stocks of technology companies and companies that rely heavily on technology is particularly vulnerable to rapid changes in technology product cycles,</w:t>
      </w:r>
    </w:p>
    <w:p>
      <w:pPr>
        <w:ind w:left="325" w:right="200"/>
        <w:spacing w:after="0" w:line="302" w:lineRule="auto"/>
        <w:rPr>
          <w:rFonts w:ascii="Verdana" w:cs="Verdana" w:eastAsia="Verdana" w:hAnsi="Verdana"/>
          <w:sz w:val="17"/>
          <w:szCs w:val="17"/>
          <w:color w:val="404040"/>
        </w:rPr>
      </w:pPr>
      <w:r>
        <w:rPr>
          <w:rFonts w:ascii="Arial" w:cs="Arial" w:eastAsia="Arial" w:hAnsi="Arial"/>
          <w:sz w:val="16"/>
          <w:szCs w:val="16"/>
          <w:color w:val="404040"/>
        </w:rPr>
        <w:t>rapid product obsolescence, government regulation and competition, both domestically and internationally, including competition from foreign competitors with lower production costs. Stocks of technology companies and companies that rely heavily on</w:t>
      </w:r>
    </w:p>
    <w:p>
      <w:pPr>
        <w:ind w:left="325" w:right="160"/>
        <w:spacing w:after="0" w:line="299" w:lineRule="auto"/>
        <w:rPr>
          <w:rFonts w:ascii="Verdana" w:cs="Verdana" w:eastAsia="Verdana" w:hAnsi="Verdana"/>
          <w:sz w:val="17"/>
          <w:szCs w:val="17"/>
          <w:color w:val="404040"/>
        </w:rPr>
      </w:pPr>
      <w:r>
        <w:rPr>
          <w:rFonts w:ascii="Arial" w:cs="Arial" w:eastAsia="Arial" w:hAnsi="Arial"/>
          <w:sz w:val="16"/>
          <w:szCs w:val="16"/>
          <w:color w:val="404040"/>
        </w:rPr>
        <w:t>technology, especially those of smaller, less-seasoned companies, tend to be more volatile than the overall market. Technology companies are heavily dependent on patent and intellectual property rights, the loss or impairment of which may adversely affect profitability. Additionally, companies in the technology sector may face dramatic and often unpredictable changes in growth rates</w:t>
      </w:r>
    </w:p>
    <w:p>
      <w:pPr>
        <w:ind w:left="325" w:right="20"/>
        <w:spacing w:after="0" w:line="272" w:lineRule="auto"/>
        <w:rPr>
          <w:rFonts w:ascii="Verdana" w:cs="Verdana" w:eastAsia="Verdana" w:hAnsi="Verdana"/>
          <w:sz w:val="17"/>
          <w:szCs w:val="17"/>
          <w:color w:val="404040"/>
        </w:rPr>
      </w:pPr>
      <w:r>
        <w:rPr>
          <w:rFonts w:ascii="Arial" w:cs="Arial" w:eastAsia="Arial" w:hAnsi="Arial"/>
          <w:sz w:val="17"/>
          <w:szCs w:val="17"/>
          <w:color w:val="404040"/>
        </w:rPr>
        <w:t>and competition for the services of qualified personnel. These factors could affect the technology sector and could affect the value of the equity securities included in the Nasdaq-100</w:t>
      </w:r>
      <w:r>
        <w:rPr>
          <w:rFonts w:ascii="Arial" w:cs="Arial" w:eastAsia="Arial" w:hAnsi="Arial"/>
          <w:sz w:val="22"/>
          <w:szCs w:val="22"/>
          <w:color w:val="404040"/>
          <w:vertAlign w:val="superscript"/>
        </w:rPr>
        <w:t>®</w:t>
      </w:r>
      <w:r>
        <w:rPr>
          <w:rFonts w:ascii="Arial" w:cs="Arial" w:eastAsia="Arial" w:hAnsi="Arial"/>
          <w:sz w:val="17"/>
          <w:szCs w:val="17"/>
          <w:color w:val="404040"/>
        </w:rPr>
        <w:t xml:space="preserve"> Technology Sector Index</w:t>
      </w:r>
      <w:r>
        <w:rPr>
          <w:rFonts w:ascii="Arial" w:cs="Arial" w:eastAsia="Arial" w:hAnsi="Arial"/>
          <w:sz w:val="22"/>
          <w:szCs w:val="22"/>
          <w:color w:val="404040"/>
          <w:vertAlign w:val="superscript"/>
        </w:rPr>
        <w:t>SM</w:t>
      </w:r>
      <w:r>
        <w:rPr>
          <w:rFonts w:ascii="Arial" w:cs="Arial" w:eastAsia="Arial" w:hAnsi="Arial"/>
          <w:sz w:val="17"/>
          <w:szCs w:val="17"/>
          <w:color w:val="404040"/>
        </w:rPr>
        <w:t xml:space="preserve"> and the level of the Nasdaq-100</w:t>
      </w:r>
      <w:r>
        <w:rPr>
          <w:rFonts w:ascii="Arial" w:cs="Arial" w:eastAsia="Arial" w:hAnsi="Arial"/>
          <w:sz w:val="22"/>
          <w:szCs w:val="22"/>
          <w:color w:val="404040"/>
          <w:vertAlign w:val="superscript"/>
        </w:rPr>
        <w:t>®</w:t>
      </w:r>
      <w:r>
        <w:rPr>
          <w:rFonts w:ascii="Arial" w:cs="Arial" w:eastAsia="Arial" w:hAnsi="Arial"/>
          <w:sz w:val="17"/>
          <w:szCs w:val="17"/>
          <w:color w:val="404040"/>
        </w:rPr>
        <w:t xml:space="preserve"> Technology Sector Index</w:t>
      </w:r>
      <w:r>
        <w:rPr>
          <w:rFonts w:ascii="Arial" w:cs="Arial" w:eastAsia="Arial" w:hAnsi="Arial"/>
          <w:sz w:val="22"/>
          <w:szCs w:val="22"/>
          <w:color w:val="404040"/>
          <w:vertAlign w:val="superscript"/>
        </w:rPr>
        <w:t>SM</w:t>
      </w:r>
      <w:r>
        <w:rPr>
          <w:rFonts w:ascii="Arial" w:cs="Arial" w:eastAsia="Arial" w:hAnsi="Arial"/>
          <w:sz w:val="17"/>
          <w:szCs w:val="17"/>
          <w:color w:val="404040"/>
        </w:rPr>
        <w:t xml:space="preserve"> during the term of the notes, which may adversely affect the value of your notes.</w:t>
      </w:r>
    </w:p>
    <w:p>
      <w:pPr>
        <w:spacing w:after="0" w:line="52" w:lineRule="exact"/>
        <w:rPr>
          <w:rFonts w:ascii="Verdana" w:cs="Verdana" w:eastAsia="Verdana" w:hAnsi="Verdana"/>
          <w:sz w:val="17"/>
          <w:szCs w:val="17"/>
          <w:color w:val="404040"/>
        </w:rPr>
      </w:pPr>
    </w:p>
    <w:p>
      <w:pPr>
        <w:ind w:left="345" w:hanging="345"/>
        <w:spacing w:after="0"/>
        <w:tabs>
          <w:tab w:leader="none" w:pos="345" w:val="left"/>
        </w:tabs>
        <w:numPr>
          <w:ilvl w:val="0"/>
          <w:numId w:val="10"/>
        </w:numPr>
        <w:rPr>
          <w:rFonts w:ascii="Verdana" w:cs="Verdana" w:eastAsia="Verdana" w:hAnsi="Verdana"/>
          <w:sz w:val="17"/>
          <w:szCs w:val="17"/>
          <w:color w:val="404040"/>
        </w:rPr>
      </w:pPr>
      <w:r>
        <w:rPr>
          <w:rFonts w:ascii="Arial" w:cs="Arial" w:eastAsia="Arial" w:hAnsi="Arial"/>
          <w:sz w:val="17"/>
          <w:szCs w:val="17"/>
          <w:b w:val="1"/>
          <w:bCs w:val="1"/>
          <w:color w:val="404040"/>
        </w:rPr>
        <w:t>NON-U.S. SECURITIES RISK WITH RESPECT TO THE NASDAQ-100</w:t>
      </w:r>
      <w:r>
        <w:rPr>
          <w:rFonts w:ascii="Arial" w:cs="Arial" w:eastAsia="Arial" w:hAnsi="Arial"/>
          <w:sz w:val="22"/>
          <w:szCs w:val="22"/>
          <w:b w:val="1"/>
          <w:bCs w:val="1"/>
          <w:color w:val="404040"/>
          <w:vertAlign w:val="superscript"/>
        </w:rPr>
        <w:t>®</w:t>
      </w:r>
      <w:r>
        <w:rPr>
          <w:rFonts w:ascii="Arial" w:cs="Arial" w:eastAsia="Arial" w:hAnsi="Arial"/>
          <w:sz w:val="17"/>
          <w:szCs w:val="17"/>
          <w:b w:val="1"/>
          <w:bCs w:val="1"/>
          <w:color w:val="404040"/>
        </w:rPr>
        <w:t xml:space="preserve"> TECHNOLOGY SECTOR INDEX</w:t>
      </w:r>
      <w:r>
        <w:rPr>
          <w:rFonts w:ascii="Arial" w:cs="Arial" w:eastAsia="Arial" w:hAnsi="Arial"/>
          <w:sz w:val="22"/>
          <w:szCs w:val="22"/>
          <w:b w:val="1"/>
          <w:bCs w:val="1"/>
          <w:color w:val="404040"/>
          <w:vertAlign w:val="superscript"/>
        </w:rPr>
        <w:t>SM</w:t>
      </w:r>
      <w:r>
        <w:rPr>
          <w:rFonts w:ascii="Arial" w:cs="Arial" w:eastAsia="Arial" w:hAnsi="Arial"/>
          <w:sz w:val="17"/>
          <w:szCs w:val="17"/>
          <w:b w:val="1"/>
          <w:bCs w:val="1"/>
          <w:color w:val="404040"/>
        </w:rPr>
        <w:t xml:space="preserve"> —</w:t>
      </w:r>
    </w:p>
    <w:p>
      <w:pPr>
        <w:spacing w:after="0" w:line="130" w:lineRule="exact"/>
        <w:rPr>
          <w:rFonts w:ascii="Verdana" w:cs="Verdana" w:eastAsia="Verdana" w:hAnsi="Verdana"/>
          <w:sz w:val="17"/>
          <w:szCs w:val="17"/>
          <w:color w:val="404040"/>
        </w:rPr>
      </w:pPr>
    </w:p>
    <w:p>
      <w:pPr>
        <w:jc w:val="both"/>
        <w:ind w:left="325" w:right="100"/>
        <w:spacing w:after="0" w:line="254" w:lineRule="auto"/>
        <w:rPr>
          <w:rFonts w:ascii="Verdana" w:cs="Verdana" w:eastAsia="Verdana" w:hAnsi="Verdana"/>
          <w:sz w:val="17"/>
          <w:szCs w:val="17"/>
          <w:color w:val="404040"/>
        </w:rPr>
      </w:pPr>
      <w:r>
        <w:rPr>
          <w:rFonts w:ascii="Arial" w:cs="Arial" w:eastAsia="Arial" w:hAnsi="Arial"/>
          <w:sz w:val="17"/>
          <w:szCs w:val="17"/>
          <w:color w:val="404040"/>
        </w:rPr>
        <w:t>Some of the equity securities included in the Nasdaq-100</w:t>
      </w:r>
      <w:r>
        <w:rPr>
          <w:rFonts w:ascii="Arial" w:cs="Arial" w:eastAsia="Arial" w:hAnsi="Arial"/>
          <w:sz w:val="22"/>
          <w:szCs w:val="22"/>
          <w:color w:val="404040"/>
          <w:vertAlign w:val="superscript"/>
        </w:rPr>
        <w:t>®</w:t>
      </w:r>
      <w:r>
        <w:rPr>
          <w:rFonts w:ascii="Arial" w:cs="Arial" w:eastAsia="Arial" w:hAnsi="Arial"/>
          <w:sz w:val="17"/>
          <w:szCs w:val="17"/>
          <w:color w:val="404040"/>
        </w:rPr>
        <w:t xml:space="preserve"> Technology Sector Index</w:t>
      </w:r>
      <w:r>
        <w:rPr>
          <w:rFonts w:ascii="Arial" w:cs="Arial" w:eastAsia="Arial" w:hAnsi="Arial"/>
          <w:sz w:val="22"/>
          <w:szCs w:val="22"/>
          <w:color w:val="404040"/>
          <w:vertAlign w:val="superscript"/>
        </w:rPr>
        <w:t>SM</w:t>
      </w:r>
      <w:r>
        <w:rPr>
          <w:rFonts w:ascii="Arial" w:cs="Arial" w:eastAsia="Arial" w:hAnsi="Arial"/>
          <w:sz w:val="17"/>
          <w:szCs w:val="17"/>
          <w:color w:val="404040"/>
        </w:rPr>
        <w:t xml:space="preserve"> have been issued by non-U.S. companies. Investments in securities linked to the value of such non-U.S. equity securities involve risks associated with the home countries of the issuers of those non-U.S. equity securities.</w:t>
      </w:r>
    </w:p>
    <w:p>
      <w:pPr>
        <w:spacing w:after="0" w:line="165" w:lineRule="exact"/>
        <w:rPr>
          <w:rFonts w:ascii="Verdana" w:cs="Verdana" w:eastAsia="Verdana" w:hAnsi="Verdana"/>
          <w:sz w:val="17"/>
          <w:szCs w:val="17"/>
          <w:color w:val="404040"/>
        </w:rPr>
      </w:pPr>
    </w:p>
    <w:p>
      <w:pPr>
        <w:ind w:left="325" w:right="340" w:hanging="325"/>
        <w:spacing w:after="0" w:line="306" w:lineRule="auto"/>
        <w:tabs>
          <w:tab w:leader="none" w:pos="339" w:val="left"/>
        </w:tabs>
        <w:numPr>
          <w:ilvl w:val="0"/>
          <w:numId w:val="10"/>
        </w:numPr>
        <w:rPr>
          <w:rFonts w:ascii="Verdana" w:cs="Verdana" w:eastAsia="Verdana" w:hAnsi="Verdana"/>
          <w:sz w:val="17"/>
          <w:szCs w:val="17"/>
          <w:color w:val="404040"/>
        </w:rPr>
      </w:pPr>
      <w:r>
        <w:rPr>
          <w:rFonts w:ascii="Arial" w:cs="Arial" w:eastAsia="Arial" w:hAnsi="Arial"/>
          <w:sz w:val="17"/>
          <w:szCs w:val="17"/>
          <w:b w:val="1"/>
          <w:bCs w:val="1"/>
          <w:color w:val="404040"/>
        </w:rPr>
        <w:t>AN INVESTMENT IN THE NOTES IS SUBJECT TO RISKS ASSOCIATED WITH SMALL CAPITALIZATION STOCKS WITH RESPECT TO THE RUSSELL 2000</w:t>
      </w:r>
      <w:r>
        <w:rPr>
          <w:rFonts w:ascii="Arial" w:cs="Arial" w:eastAsia="Arial" w:hAnsi="Arial"/>
          <w:sz w:val="22"/>
          <w:szCs w:val="22"/>
          <w:b w:val="1"/>
          <w:bCs w:val="1"/>
          <w:color w:val="404040"/>
          <w:vertAlign w:val="superscript"/>
        </w:rPr>
        <w:t>®</w:t>
      </w:r>
      <w:r>
        <w:rPr>
          <w:rFonts w:ascii="Arial" w:cs="Arial" w:eastAsia="Arial" w:hAnsi="Arial"/>
          <w:sz w:val="17"/>
          <w:szCs w:val="17"/>
          <w:b w:val="1"/>
          <w:bCs w:val="1"/>
          <w:color w:val="404040"/>
        </w:rPr>
        <w:t xml:space="preserve"> INDEX —</w:t>
      </w:r>
    </w:p>
    <w:p>
      <w:pPr>
        <w:spacing w:after="0" w:line="22" w:lineRule="exact"/>
        <w:rPr>
          <w:rFonts w:ascii="Verdana" w:cs="Verdana" w:eastAsia="Verdana" w:hAnsi="Verdana"/>
          <w:sz w:val="17"/>
          <w:szCs w:val="17"/>
          <w:color w:val="404040"/>
        </w:rPr>
      </w:pPr>
    </w:p>
    <w:p>
      <w:pPr>
        <w:ind w:left="325" w:right="60"/>
        <w:spacing w:after="0" w:line="299" w:lineRule="auto"/>
        <w:rPr>
          <w:rFonts w:ascii="Verdana" w:cs="Verdana" w:eastAsia="Verdana" w:hAnsi="Verdana"/>
          <w:sz w:val="17"/>
          <w:szCs w:val="17"/>
          <w:color w:val="404040"/>
        </w:rPr>
      </w:pPr>
      <w:r>
        <w:rPr>
          <w:rFonts w:ascii="Arial" w:cs="Arial" w:eastAsia="Arial" w:hAnsi="Arial"/>
          <w:sz w:val="17"/>
          <w:szCs w:val="17"/>
          <w:color w:val="404040"/>
        </w:rPr>
        <w:t>Small capitalization companies may be less able to withstand adverse economic, market, trade and competitive conditions relative to larger companies. Small capitalization companies are less likely to pay dividends on their stocks, and the presence of a dividend payment could be a factor that limits downward stock price pressure under adverse market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wp:posOffset>
            </wp:positionH>
            <wp:positionV relativeFrom="paragraph">
              <wp:posOffset>508000</wp:posOffset>
            </wp:positionV>
            <wp:extent cx="6378575" cy="4540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378575" cy="454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5"/>
        <w:spacing w:after="0"/>
        <w:rPr>
          <w:sz w:val="20"/>
          <w:szCs w:val="20"/>
          <w:color w:val="auto"/>
        </w:rPr>
      </w:pPr>
      <w:r>
        <w:rPr>
          <w:rFonts w:ascii="Arial" w:cs="Arial" w:eastAsia="Arial" w:hAnsi="Arial"/>
          <w:sz w:val="17"/>
          <w:szCs w:val="17"/>
          <w:color w:val="7F7F7F"/>
        </w:rPr>
        <w:t>PS-7 | Structured Investments</w:t>
      </w:r>
    </w:p>
    <w:p>
      <w:pPr>
        <w:ind w:left="5"/>
        <w:spacing w:after="0" w:line="199" w:lineRule="auto"/>
        <w:rPr>
          <w:sz w:val="20"/>
          <w:szCs w:val="20"/>
          <w:color w:val="auto"/>
        </w:rPr>
      </w:pPr>
      <w:r>
        <w:rPr>
          <w:rFonts w:ascii="Arial" w:cs="Arial" w:eastAsia="Arial" w:hAnsi="Arial"/>
          <w:sz w:val="15"/>
          <w:szCs w:val="15"/>
          <w:color w:val="808080"/>
        </w:rPr>
        <w:t>Contingent Interest Notes Linked to the Least Performing of the S&amp;P 500</w:t>
      </w:r>
      <w:r>
        <w:rPr>
          <w:rFonts w:ascii="Arial" w:cs="Arial" w:eastAsia="Arial" w:hAnsi="Arial"/>
          <w:sz w:val="18"/>
          <w:szCs w:val="18"/>
          <w:color w:val="808080"/>
          <w:vertAlign w:val="superscript"/>
        </w:rPr>
        <w:t>®</w:t>
      </w:r>
    </w:p>
    <w:p>
      <w:pPr>
        <w:ind w:left="5"/>
        <w:spacing w:after="0" w:line="218" w:lineRule="auto"/>
        <w:rPr>
          <w:sz w:val="20"/>
          <w:szCs w:val="20"/>
          <w:color w:val="auto"/>
        </w:rPr>
      </w:pPr>
      <w:r>
        <w:rPr>
          <w:rFonts w:ascii="Arial" w:cs="Arial" w:eastAsia="Arial" w:hAnsi="Arial"/>
          <w:sz w:val="15"/>
          <w:szCs w:val="15"/>
          <w:color w:val="808080"/>
        </w:rPr>
        <w:t>Index, the Nasdaq-100</w:t>
      </w:r>
      <w:r>
        <w:rPr>
          <w:rFonts w:ascii="Arial" w:cs="Arial" w:eastAsia="Arial" w:hAnsi="Arial"/>
          <w:sz w:val="18"/>
          <w:szCs w:val="18"/>
          <w:color w:val="808080"/>
          <w:vertAlign w:val="superscript"/>
        </w:rPr>
        <w:t>®</w:t>
      </w:r>
      <w:r>
        <w:rPr>
          <w:rFonts w:ascii="Arial" w:cs="Arial" w:eastAsia="Arial" w:hAnsi="Arial"/>
          <w:sz w:val="15"/>
          <w:szCs w:val="15"/>
          <w:color w:val="808080"/>
        </w:rPr>
        <w:t xml:space="preserve"> Technology Sector Index</w:t>
      </w:r>
      <w:r>
        <w:rPr>
          <w:rFonts w:ascii="Arial" w:cs="Arial" w:eastAsia="Arial" w:hAnsi="Arial"/>
          <w:sz w:val="18"/>
          <w:szCs w:val="18"/>
          <w:color w:val="808080"/>
          <w:vertAlign w:val="superscript"/>
        </w:rPr>
        <w:t>SM</w:t>
      </w:r>
      <w:r>
        <w:rPr>
          <w:rFonts w:ascii="Arial" w:cs="Arial" w:eastAsia="Arial" w:hAnsi="Arial"/>
          <w:sz w:val="15"/>
          <w:szCs w:val="15"/>
          <w:color w:val="808080"/>
        </w:rPr>
        <w:t xml:space="preserve"> and the Russell 2000</w:t>
      </w:r>
      <w:r>
        <w:rPr>
          <w:rFonts w:ascii="Arial" w:cs="Arial" w:eastAsia="Arial" w:hAnsi="Arial"/>
          <w:sz w:val="18"/>
          <w:szCs w:val="18"/>
          <w:color w:val="808080"/>
          <w:vertAlign w:val="superscript"/>
        </w:rPr>
        <w:t>®</w:t>
      </w:r>
    </w:p>
    <w:p>
      <w:pPr>
        <w:ind w:left="5"/>
        <w:spacing w:after="0"/>
        <w:rPr>
          <w:sz w:val="20"/>
          <w:szCs w:val="20"/>
          <w:color w:val="auto"/>
        </w:rPr>
      </w:pPr>
      <w:r>
        <w:rPr>
          <w:rFonts w:ascii="Arial" w:cs="Arial" w:eastAsia="Arial" w:hAnsi="Arial"/>
          <w:sz w:val="15"/>
          <w:szCs w:val="15"/>
          <w:color w:val="808080"/>
        </w:rPr>
        <w:t>Index</w:t>
      </w:r>
    </w:p>
    <w:p>
      <w:pPr>
        <w:sectPr>
          <w:pgSz w:w="11900" w:h="16838" w:orient="portrait"/>
          <w:cols w:equalWidth="0" w:num="1">
            <w:col w:w="9965"/>
          </w:cols>
          <w:pgMar w:left="995" w:top="899" w:right="939" w:bottom="1440" w:gutter="0" w:footer="0" w:header="0"/>
        </w:sectPr>
      </w:pPr>
    </w:p>
    <w:bookmarkStart w:id="8" w:name="page9"/>
    <w:bookmarkEnd w:id="8"/>
    <w:p>
      <w:pPr>
        <w:spacing w:after="0"/>
        <w:rPr>
          <w:sz w:val="20"/>
          <w:szCs w:val="20"/>
          <w:color w:val="auto"/>
        </w:rPr>
      </w:pPr>
      <w:r>
        <w:rPr>
          <w:rFonts w:ascii="Arial" w:cs="Arial" w:eastAsia="Arial" w:hAnsi="Arial"/>
          <w:sz w:val="19"/>
          <w:szCs w:val="19"/>
          <w:b w:val="1"/>
          <w:bCs w:val="1"/>
          <w:color w:val="4E8ABE"/>
        </w:rPr>
        <w:t>The Indices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38100</wp:posOffset>
            </wp:positionV>
            <wp:extent cx="6437630" cy="8420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37630" cy="8420735"/>
                    </a:xfrm>
                    <a:prstGeom prst="rect">
                      <a:avLst/>
                    </a:prstGeom>
                    <a:noFill/>
                  </pic:spPr>
                </pic:pic>
              </a:graphicData>
            </a:graphic>
          </wp:anchor>
        </w:drawing>
      </w:r>
    </w:p>
    <w:p>
      <w:pPr>
        <w:spacing w:after="0" w:line="115" w:lineRule="exact"/>
        <w:rPr>
          <w:sz w:val="20"/>
          <w:szCs w:val="20"/>
          <w:color w:val="auto"/>
        </w:rPr>
      </w:pPr>
    </w:p>
    <w:p>
      <w:pPr>
        <w:spacing w:after="0" w:line="232" w:lineRule="auto"/>
        <w:rPr>
          <w:sz w:val="20"/>
          <w:szCs w:val="20"/>
          <w:color w:val="auto"/>
        </w:rPr>
      </w:pPr>
      <w:r>
        <w:rPr>
          <w:rFonts w:ascii="Arial" w:cs="Arial" w:eastAsia="Arial" w:hAnsi="Arial"/>
          <w:sz w:val="17"/>
          <w:szCs w:val="17"/>
          <w:color w:val="404040"/>
        </w:rPr>
        <w:t>The S&amp;P 500</w:t>
      </w:r>
      <w:r>
        <w:rPr>
          <w:rFonts w:ascii="Arial" w:cs="Arial" w:eastAsia="Arial" w:hAnsi="Arial"/>
          <w:sz w:val="22"/>
          <w:szCs w:val="22"/>
          <w:color w:val="404040"/>
          <w:vertAlign w:val="superscript"/>
        </w:rPr>
        <w:t>®</w:t>
      </w:r>
      <w:r>
        <w:rPr>
          <w:rFonts w:ascii="Arial" w:cs="Arial" w:eastAsia="Arial" w:hAnsi="Arial"/>
          <w:sz w:val="17"/>
          <w:szCs w:val="17"/>
          <w:color w:val="404040"/>
        </w:rPr>
        <w:t xml:space="preserve"> Index consists of stocks of 500 companies selected to provide a performance benchmark for the large market capitalization segment of the U.S. equity markets. For additional information about the S&amp;P 500</w:t>
      </w:r>
      <w:r>
        <w:rPr>
          <w:rFonts w:ascii="Arial" w:cs="Arial" w:eastAsia="Arial" w:hAnsi="Arial"/>
          <w:sz w:val="22"/>
          <w:szCs w:val="22"/>
          <w:color w:val="404040"/>
          <w:vertAlign w:val="superscript"/>
        </w:rPr>
        <w:t>®</w:t>
      </w:r>
      <w:r>
        <w:rPr>
          <w:rFonts w:ascii="Arial" w:cs="Arial" w:eastAsia="Arial" w:hAnsi="Arial"/>
          <w:sz w:val="17"/>
          <w:szCs w:val="17"/>
          <w:color w:val="404040"/>
        </w:rPr>
        <w:t xml:space="preserve"> Index, see “Equity Index Descriptions — The S&amp;P U.S. Indices” in the accompanying underlying supplement.</w:t>
      </w:r>
    </w:p>
    <w:p>
      <w:pPr>
        <w:spacing w:after="0" w:line="86" w:lineRule="exact"/>
        <w:rPr>
          <w:sz w:val="20"/>
          <w:szCs w:val="20"/>
          <w:color w:val="auto"/>
        </w:rPr>
      </w:pPr>
    </w:p>
    <w:p>
      <w:pPr>
        <w:ind w:right="40"/>
        <w:spacing w:after="0" w:line="244" w:lineRule="auto"/>
        <w:rPr>
          <w:sz w:val="20"/>
          <w:szCs w:val="20"/>
          <w:color w:val="auto"/>
        </w:rPr>
      </w:pPr>
      <w:r>
        <w:rPr>
          <w:rFonts w:ascii="Arial" w:cs="Arial" w:eastAsia="Arial" w:hAnsi="Arial"/>
          <w:sz w:val="17"/>
          <w:szCs w:val="17"/>
          <w:color w:val="404040"/>
        </w:rPr>
        <w:t>The Nasdaq-100</w:t>
      </w:r>
      <w:r>
        <w:rPr>
          <w:rFonts w:ascii="Arial" w:cs="Arial" w:eastAsia="Arial" w:hAnsi="Arial"/>
          <w:sz w:val="22"/>
          <w:szCs w:val="22"/>
          <w:color w:val="404040"/>
          <w:vertAlign w:val="superscript"/>
        </w:rPr>
        <w:t>®</w:t>
      </w:r>
      <w:r>
        <w:rPr>
          <w:rFonts w:ascii="Arial" w:cs="Arial" w:eastAsia="Arial" w:hAnsi="Arial"/>
          <w:sz w:val="17"/>
          <w:szCs w:val="17"/>
          <w:color w:val="404040"/>
        </w:rPr>
        <w:t xml:space="preserve"> Technology Sector Index</w:t>
      </w:r>
      <w:r>
        <w:rPr>
          <w:rFonts w:ascii="Arial" w:cs="Arial" w:eastAsia="Arial" w:hAnsi="Arial"/>
          <w:sz w:val="22"/>
          <w:szCs w:val="22"/>
          <w:color w:val="404040"/>
          <w:vertAlign w:val="superscript"/>
        </w:rPr>
        <w:t>SM</w:t>
      </w:r>
      <w:r>
        <w:rPr>
          <w:rFonts w:ascii="Arial" w:cs="Arial" w:eastAsia="Arial" w:hAnsi="Arial"/>
          <w:sz w:val="17"/>
          <w:szCs w:val="17"/>
          <w:color w:val="404040"/>
        </w:rPr>
        <w:t xml:space="preserve"> is an equal-weighted, price-return index designed to measure the performance of the technology companies in the Nasdaq-100 Index</w:t>
      </w:r>
      <w:r>
        <w:rPr>
          <w:rFonts w:ascii="Arial" w:cs="Arial" w:eastAsia="Arial" w:hAnsi="Arial"/>
          <w:sz w:val="22"/>
          <w:szCs w:val="22"/>
          <w:color w:val="404040"/>
          <w:vertAlign w:val="superscript"/>
        </w:rPr>
        <w:t>®</w:t>
      </w:r>
      <w:r>
        <w:rPr>
          <w:rFonts w:ascii="Arial" w:cs="Arial" w:eastAsia="Arial" w:hAnsi="Arial"/>
          <w:sz w:val="17"/>
          <w:szCs w:val="17"/>
          <w:color w:val="404040"/>
        </w:rPr>
        <w:t>. The Nasdaq-100 Index</w:t>
      </w:r>
      <w:r>
        <w:rPr>
          <w:rFonts w:ascii="Arial" w:cs="Arial" w:eastAsia="Arial" w:hAnsi="Arial"/>
          <w:sz w:val="22"/>
          <w:szCs w:val="22"/>
          <w:color w:val="404040"/>
          <w:vertAlign w:val="superscript"/>
        </w:rPr>
        <w:t>®</w:t>
      </w:r>
      <w:r>
        <w:rPr>
          <w:rFonts w:ascii="Arial" w:cs="Arial" w:eastAsia="Arial" w:hAnsi="Arial"/>
          <w:sz w:val="17"/>
          <w:szCs w:val="17"/>
          <w:color w:val="404040"/>
        </w:rPr>
        <w:t xml:space="preserve"> is a modified market capitalization-weighted index that is designed to measure the performance of 100 of the largest non-financial companies listed on The Nasdaq Stock Market. For additional information about the Nasdaq-100</w:t>
      </w:r>
      <w:r>
        <w:rPr>
          <w:rFonts w:ascii="Arial" w:cs="Arial" w:eastAsia="Arial" w:hAnsi="Arial"/>
          <w:sz w:val="22"/>
          <w:szCs w:val="22"/>
          <w:color w:val="404040"/>
          <w:vertAlign w:val="superscript"/>
        </w:rPr>
        <w:t>®</w:t>
      </w:r>
      <w:r>
        <w:rPr>
          <w:rFonts w:ascii="Arial" w:cs="Arial" w:eastAsia="Arial" w:hAnsi="Arial"/>
          <w:sz w:val="17"/>
          <w:szCs w:val="17"/>
          <w:color w:val="404040"/>
        </w:rPr>
        <w:t xml:space="preserve"> Technology Sector Index</w:t>
      </w:r>
      <w:r>
        <w:rPr>
          <w:rFonts w:ascii="Arial" w:cs="Arial" w:eastAsia="Arial" w:hAnsi="Arial"/>
          <w:sz w:val="22"/>
          <w:szCs w:val="22"/>
          <w:color w:val="404040"/>
          <w:vertAlign w:val="superscript"/>
        </w:rPr>
        <w:t>SM</w:t>
      </w:r>
      <w:r>
        <w:rPr>
          <w:rFonts w:ascii="Arial" w:cs="Arial" w:eastAsia="Arial" w:hAnsi="Arial"/>
          <w:sz w:val="17"/>
          <w:szCs w:val="17"/>
          <w:color w:val="404040"/>
        </w:rPr>
        <w:t>, see “Equity Index Descriptions ― The Nasdaq-100</w:t>
      </w:r>
      <w:r>
        <w:rPr>
          <w:rFonts w:ascii="Arial" w:cs="Arial" w:eastAsia="Arial" w:hAnsi="Arial"/>
          <w:sz w:val="22"/>
          <w:szCs w:val="22"/>
          <w:color w:val="404040"/>
          <w:vertAlign w:val="superscript"/>
        </w:rPr>
        <w:t>®</w:t>
      </w:r>
      <w:r>
        <w:rPr>
          <w:rFonts w:ascii="Arial" w:cs="Arial" w:eastAsia="Arial" w:hAnsi="Arial"/>
          <w:sz w:val="17"/>
          <w:szCs w:val="17"/>
          <w:color w:val="404040"/>
        </w:rPr>
        <w:t xml:space="preserve"> Technology Sector Index</w:t>
      </w:r>
      <w:r>
        <w:rPr>
          <w:rFonts w:ascii="Arial" w:cs="Arial" w:eastAsia="Arial" w:hAnsi="Arial"/>
          <w:sz w:val="22"/>
          <w:szCs w:val="22"/>
          <w:color w:val="404040"/>
          <w:vertAlign w:val="superscript"/>
        </w:rPr>
        <w:t>SM</w:t>
      </w:r>
      <w:r>
        <w:rPr>
          <w:rFonts w:ascii="Arial" w:cs="Arial" w:eastAsia="Arial" w:hAnsi="Arial"/>
          <w:sz w:val="17"/>
          <w:szCs w:val="17"/>
          <w:color w:val="404040"/>
        </w:rPr>
        <w:t>” in the accompanying underlying supplement.</w:t>
      </w:r>
    </w:p>
    <w:p>
      <w:pPr>
        <w:spacing w:after="0" w:line="3" w:lineRule="exact"/>
        <w:rPr>
          <w:sz w:val="20"/>
          <w:szCs w:val="20"/>
          <w:color w:val="auto"/>
        </w:rPr>
      </w:pPr>
    </w:p>
    <w:p>
      <w:pPr>
        <w:spacing w:after="0" w:line="245" w:lineRule="auto"/>
        <w:rPr>
          <w:sz w:val="20"/>
          <w:szCs w:val="20"/>
          <w:color w:val="auto"/>
        </w:rPr>
      </w:pPr>
      <w:r>
        <w:rPr>
          <w:rFonts w:ascii="Arial" w:cs="Arial" w:eastAsia="Arial" w:hAnsi="Arial"/>
          <w:sz w:val="17"/>
          <w:szCs w:val="17"/>
          <w:color w:val="404040"/>
        </w:rPr>
        <w:t>The Russell 2000</w:t>
      </w:r>
      <w:r>
        <w:rPr>
          <w:rFonts w:ascii="Arial" w:cs="Arial" w:eastAsia="Arial" w:hAnsi="Arial"/>
          <w:sz w:val="22"/>
          <w:szCs w:val="22"/>
          <w:color w:val="404040"/>
          <w:vertAlign w:val="superscript"/>
        </w:rPr>
        <w:t>®</w:t>
      </w:r>
      <w:r>
        <w:rPr>
          <w:rFonts w:ascii="Arial" w:cs="Arial" w:eastAsia="Arial" w:hAnsi="Arial"/>
          <w:sz w:val="17"/>
          <w:szCs w:val="17"/>
          <w:color w:val="404040"/>
        </w:rPr>
        <w:t xml:space="preserve"> Index measures the capitalization-weighted price performance of 2,000 U.S. small-capitalization stocks listed on eligible U.S. exchanges and is designed to track the performance of the small-capitalization segment of the U.S. equity market. The companies included in the Russell 2000</w:t>
      </w:r>
      <w:r>
        <w:rPr>
          <w:rFonts w:ascii="Arial" w:cs="Arial" w:eastAsia="Arial" w:hAnsi="Arial"/>
          <w:sz w:val="22"/>
          <w:szCs w:val="22"/>
          <w:color w:val="404040"/>
          <w:vertAlign w:val="superscript"/>
        </w:rPr>
        <w:t>®</w:t>
      </w:r>
      <w:r>
        <w:rPr>
          <w:rFonts w:ascii="Arial" w:cs="Arial" w:eastAsia="Arial" w:hAnsi="Arial"/>
          <w:sz w:val="17"/>
          <w:szCs w:val="17"/>
          <w:color w:val="404040"/>
        </w:rPr>
        <w:t xml:space="preserve"> Index are the middle 2,000 of the companies that form the Russell 3000E™ Index, which is composed of the 4,000 largest U.S. companies as determined by total market capitalization and represents approximately 99% of the U.S. equity market. For additional information about the Russell 2000</w:t>
      </w:r>
      <w:r>
        <w:rPr>
          <w:rFonts w:ascii="Arial" w:cs="Arial" w:eastAsia="Arial" w:hAnsi="Arial"/>
          <w:sz w:val="22"/>
          <w:szCs w:val="22"/>
          <w:color w:val="404040"/>
          <w:vertAlign w:val="superscript"/>
        </w:rPr>
        <w:t>®</w:t>
      </w:r>
      <w:r>
        <w:rPr>
          <w:rFonts w:ascii="Arial" w:cs="Arial" w:eastAsia="Arial" w:hAnsi="Arial"/>
          <w:sz w:val="17"/>
          <w:szCs w:val="17"/>
          <w:color w:val="404040"/>
        </w:rPr>
        <w:t xml:space="preserve"> Index, see “Equity Index Descriptions — The Russell Indices” in the accompanying underlying supplement.</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color w:val="54301A"/>
        </w:rPr>
        <w:t>Historical Information</w:t>
      </w:r>
    </w:p>
    <w:p>
      <w:pPr>
        <w:spacing w:after="0" w:line="56" w:lineRule="exact"/>
        <w:rPr>
          <w:sz w:val="20"/>
          <w:szCs w:val="20"/>
          <w:color w:val="auto"/>
        </w:rPr>
      </w:pPr>
    </w:p>
    <w:p>
      <w:pPr>
        <w:ind w:right="100"/>
        <w:spacing w:after="0" w:line="239" w:lineRule="auto"/>
        <w:rPr>
          <w:sz w:val="20"/>
          <w:szCs w:val="20"/>
          <w:color w:val="auto"/>
        </w:rPr>
      </w:pPr>
      <w:r>
        <w:rPr>
          <w:rFonts w:ascii="Arial" w:cs="Arial" w:eastAsia="Arial" w:hAnsi="Arial"/>
          <w:sz w:val="17"/>
          <w:szCs w:val="17"/>
          <w:color w:val="404040"/>
        </w:rPr>
        <w:t>The following graphs set forth the historical performance of each Index based on the weekly historical closing levels from January 8, 2021 through June 5, 2026. The closing level of the S&amp;P 500</w:t>
      </w:r>
      <w:r>
        <w:rPr>
          <w:rFonts w:ascii="Arial" w:cs="Arial" w:eastAsia="Arial" w:hAnsi="Arial"/>
          <w:sz w:val="22"/>
          <w:szCs w:val="22"/>
          <w:color w:val="404040"/>
          <w:vertAlign w:val="superscript"/>
        </w:rPr>
        <w:t>®</w:t>
      </w:r>
      <w:r>
        <w:rPr>
          <w:rFonts w:ascii="Arial" w:cs="Arial" w:eastAsia="Arial" w:hAnsi="Arial"/>
          <w:sz w:val="17"/>
          <w:szCs w:val="17"/>
          <w:color w:val="404040"/>
        </w:rPr>
        <w:t xml:space="preserve"> Index on June 8, 2026 was 7,405.73. The closing level of the Nasdaq-100</w:t>
      </w:r>
      <w:r>
        <w:rPr>
          <w:rFonts w:ascii="Arial" w:cs="Arial" w:eastAsia="Arial" w:hAnsi="Arial"/>
          <w:sz w:val="22"/>
          <w:szCs w:val="22"/>
          <w:color w:val="404040"/>
          <w:vertAlign w:val="superscript"/>
        </w:rPr>
        <w:t>®</w:t>
      </w:r>
      <w:r>
        <w:rPr>
          <w:rFonts w:ascii="Arial" w:cs="Arial" w:eastAsia="Arial" w:hAnsi="Arial"/>
          <w:sz w:val="17"/>
          <w:szCs w:val="17"/>
          <w:color w:val="404040"/>
        </w:rPr>
        <w:t xml:space="preserve"> Technology Sector Index</w:t>
      </w:r>
      <w:r>
        <w:rPr>
          <w:rFonts w:ascii="Arial" w:cs="Arial" w:eastAsia="Arial" w:hAnsi="Arial"/>
          <w:sz w:val="22"/>
          <w:szCs w:val="22"/>
          <w:color w:val="404040"/>
          <w:vertAlign w:val="superscript"/>
        </w:rPr>
        <w:t>SM</w:t>
      </w:r>
      <w:r>
        <w:rPr>
          <w:rFonts w:ascii="Arial" w:cs="Arial" w:eastAsia="Arial" w:hAnsi="Arial"/>
          <w:sz w:val="17"/>
          <w:szCs w:val="17"/>
          <w:color w:val="404040"/>
        </w:rPr>
        <w:t xml:space="preserve"> on June 8, 2026 was 17,114.81. The closing level of the Russell 2000</w:t>
      </w:r>
      <w:r>
        <w:rPr>
          <w:rFonts w:ascii="Arial" w:cs="Arial" w:eastAsia="Arial" w:hAnsi="Arial"/>
          <w:sz w:val="22"/>
          <w:szCs w:val="22"/>
          <w:color w:val="404040"/>
          <w:vertAlign w:val="superscript"/>
        </w:rPr>
        <w:t>®</w:t>
      </w:r>
      <w:r>
        <w:rPr>
          <w:rFonts w:ascii="Arial" w:cs="Arial" w:eastAsia="Arial" w:hAnsi="Arial"/>
          <w:sz w:val="17"/>
          <w:szCs w:val="17"/>
          <w:color w:val="404040"/>
        </w:rPr>
        <w:t xml:space="preserve"> Index on June 8, 2026 was 2,855.424. We obtained the closing levels above and below from the Bloomberg Professional</w:t>
      </w:r>
      <w:r>
        <w:rPr>
          <w:rFonts w:ascii="Arial" w:cs="Arial" w:eastAsia="Arial" w:hAnsi="Arial"/>
          <w:sz w:val="22"/>
          <w:szCs w:val="22"/>
          <w:color w:val="404040"/>
          <w:vertAlign w:val="superscript"/>
        </w:rPr>
        <w:t>®</w:t>
      </w:r>
      <w:r>
        <w:rPr>
          <w:rFonts w:ascii="Arial" w:cs="Arial" w:eastAsia="Arial" w:hAnsi="Arial"/>
          <w:sz w:val="17"/>
          <w:szCs w:val="17"/>
          <w:color w:val="404040"/>
        </w:rPr>
        <w:t xml:space="preserve"> service (“Bloomberg”), without independent verification.</w:t>
      </w:r>
    </w:p>
    <w:p>
      <w:pPr>
        <w:spacing w:after="0" w:line="86" w:lineRule="exact"/>
        <w:rPr>
          <w:sz w:val="20"/>
          <w:szCs w:val="20"/>
          <w:color w:val="auto"/>
        </w:rPr>
      </w:pPr>
    </w:p>
    <w:p>
      <w:pPr>
        <w:ind w:right="140"/>
        <w:spacing w:after="0" w:line="299" w:lineRule="auto"/>
        <w:rPr>
          <w:sz w:val="20"/>
          <w:szCs w:val="20"/>
          <w:color w:val="auto"/>
        </w:rPr>
      </w:pPr>
      <w:r>
        <w:rPr>
          <w:rFonts w:ascii="Arial" w:cs="Arial" w:eastAsia="Arial" w:hAnsi="Arial"/>
          <w:sz w:val="17"/>
          <w:szCs w:val="17"/>
          <w:color w:val="404040"/>
        </w:rPr>
        <w:t>The historical closing levels of each Index should not be taken as an indication of future performance, and no assurance can be given as to the closing level of any Index on the Pricing Date or any Review Date. There can be no assurance that the performance of the Indices will result in the return of any of your principal amount or the payment of any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7"/>
          <w:szCs w:val="17"/>
          <w:color w:val="7F7F7F"/>
        </w:rPr>
        <w:t>PS-8 | Structured Investments</w:t>
      </w:r>
    </w:p>
    <w:p>
      <w:pPr>
        <w:spacing w:after="0" w:line="199" w:lineRule="auto"/>
        <w:rPr>
          <w:sz w:val="20"/>
          <w:szCs w:val="20"/>
          <w:color w:val="auto"/>
        </w:rPr>
      </w:pPr>
      <w:r>
        <w:rPr>
          <w:rFonts w:ascii="Arial" w:cs="Arial" w:eastAsia="Arial" w:hAnsi="Arial"/>
          <w:sz w:val="15"/>
          <w:szCs w:val="15"/>
          <w:color w:val="808080"/>
        </w:rPr>
        <w:t>Contingent Interest Notes Linked to the Least Performing of the S&amp;P 500</w:t>
      </w:r>
      <w:r>
        <w:rPr>
          <w:rFonts w:ascii="Arial" w:cs="Arial" w:eastAsia="Arial" w:hAnsi="Arial"/>
          <w:sz w:val="18"/>
          <w:szCs w:val="18"/>
          <w:color w:val="808080"/>
          <w:vertAlign w:val="superscript"/>
        </w:rPr>
        <w:t>®</w:t>
      </w:r>
    </w:p>
    <w:p>
      <w:pPr>
        <w:spacing w:after="0" w:line="218" w:lineRule="auto"/>
        <w:rPr>
          <w:sz w:val="20"/>
          <w:szCs w:val="20"/>
          <w:color w:val="auto"/>
        </w:rPr>
      </w:pPr>
      <w:r>
        <w:rPr>
          <w:rFonts w:ascii="Arial" w:cs="Arial" w:eastAsia="Arial" w:hAnsi="Arial"/>
          <w:sz w:val="15"/>
          <w:szCs w:val="15"/>
          <w:color w:val="808080"/>
        </w:rPr>
        <w:t>Index, the Nasdaq-100</w:t>
      </w:r>
      <w:r>
        <w:rPr>
          <w:rFonts w:ascii="Arial" w:cs="Arial" w:eastAsia="Arial" w:hAnsi="Arial"/>
          <w:sz w:val="18"/>
          <w:szCs w:val="18"/>
          <w:color w:val="808080"/>
          <w:vertAlign w:val="superscript"/>
        </w:rPr>
        <w:t>®</w:t>
      </w:r>
      <w:r>
        <w:rPr>
          <w:rFonts w:ascii="Arial" w:cs="Arial" w:eastAsia="Arial" w:hAnsi="Arial"/>
          <w:sz w:val="15"/>
          <w:szCs w:val="15"/>
          <w:color w:val="808080"/>
        </w:rPr>
        <w:t xml:space="preserve"> Technology Sector Index</w:t>
      </w:r>
      <w:r>
        <w:rPr>
          <w:rFonts w:ascii="Arial" w:cs="Arial" w:eastAsia="Arial" w:hAnsi="Arial"/>
          <w:sz w:val="18"/>
          <w:szCs w:val="18"/>
          <w:color w:val="808080"/>
          <w:vertAlign w:val="superscript"/>
        </w:rPr>
        <w:t>SM</w:t>
      </w:r>
      <w:r>
        <w:rPr>
          <w:rFonts w:ascii="Arial" w:cs="Arial" w:eastAsia="Arial" w:hAnsi="Arial"/>
          <w:sz w:val="15"/>
          <w:szCs w:val="15"/>
          <w:color w:val="808080"/>
        </w:rPr>
        <w:t xml:space="preserve"> and the Russell 2000</w:t>
      </w:r>
      <w:r>
        <w:rPr>
          <w:rFonts w:ascii="Arial" w:cs="Arial" w:eastAsia="Arial" w:hAnsi="Arial"/>
          <w:sz w:val="18"/>
          <w:szCs w:val="18"/>
          <w:color w:val="808080"/>
          <w:vertAlign w:val="superscript"/>
        </w:rPr>
        <w:t>®</w:t>
      </w:r>
    </w:p>
    <w:p>
      <w:pPr>
        <w:spacing w:after="0"/>
        <w:rPr>
          <w:sz w:val="20"/>
          <w:szCs w:val="20"/>
          <w:color w:val="auto"/>
        </w:rPr>
      </w:pPr>
      <w:r>
        <w:rPr>
          <w:rFonts w:ascii="Arial" w:cs="Arial" w:eastAsia="Arial" w:hAnsi="Arial"/>
          <w:sz w:val="15"/>
          <w:szCs w:val="15"/>
          <w:color w:val="808080"/>
        </w:rPr>
        <w:t>Index</w:t>
      </w:r>
    </w:p>
    <w:p>
      <w:pPr>
        <w:sectPr>
          <w:pgSz w:w="11900" w:h="16838" w:orient="portrait"/>
          <w:cols w:equalWidth="0" w:num="1">
            <w:col w:w="9960"/>
          </w:cols>
          <w:pgMar w:left="1000" w:top="893" w:right="939" w:bottom="1440" w:gutter="0" w:footer="0" w:header="0"/>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610235</wp:posOffset>
            </wp:positionH>
            <wp:positionV relativeFrom="page">
              <wp:posOffset>567690</wp:posOffset>
            </wp:positionV>
            <wp:extent cx="6437630" cy="85972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6437630" cy="8597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9"/>
          <w:szCs w:val="19"/>
          <w:b w:val="1"/>
          <w:bCs w:val="1"/>
          <w:color w:val="4E8ABE"/>
        </w:rPr>
        <w:t>Tax Treatment</w:t>
      </w:r>
    </w:p>
    <w:p>
      <w:pPr>
        <w:spacing w:after="0" w:line="145" w:lineRule="exact"/>
        <w:rPr>
          <w:sz w:val="20"/>
          <w:szCs w:val="20"/>
          <w:color w:val="auto"/>
        </w:rPr>
      </w:pPr>
    </w:p>
    <w:p>
      <w:pPr>
        <w:spacing w:after="0" w:line="284" w:lineRule="auto"/>
        <w:rPr>
          <w:sz w:val="20"/>
          <w:szCs w:val="20"/>
          <w:color w:val="auto"/>
        </w:rPr>
      </w:pPr>
      <w:r>
        <w:rPr>
          <w:rFonts w:ascii="Arial" w:cs="Arial" w:eastAsia="Arial" w:hAnsi="Arial"/>
          <w:sz w:val="17"/>
          <w:szCs w:val="17"/>
          <w:color w:val="404040"/>
        </w:rPr>
        <w:t>You should review carefully the section entitled “United States Federal Taxation” in the accompanying prospectus supplement. In determining our reporting responsibilities we intend to treat (i) the notes for U.S. federal income tax purposes as prepaid forward contracts with associated contingent coupons and (ii) any Contingent Interest Payments as ordinary income, as described in the section entitled “United States Federal Taxation — Tax Consequences to U.S. Holders — Program Securities Treated as Prepaid Financial Contracts with Associated Coupons” in the accompanying prospectus supplement. Based on the advice of Davis Polk &amp; Wardwell LLP, our special tax counsel, we believe that this is a reasonable treatment, but that there are other reasonable treatments that the IRS or a court may adopt, in which case the timing and character of any income or loss on the notes could be materially affected. In addition, in 2007 Treasury and the IRS released a notice requesting comments on the U.S. federal income tax treatment of “prepaid forward contracts” and similar instruments. The notice focuses in particular on whether to require investors in these instruments to accrue income over the term of their investment. It also asks for comments on a number of related topics, including the character of income or loss with respect to these instruments and the relevance of factors such as the nature of the underlying property to which the instruments are linked. While the notice requests comments on appropriate transition rules and effective dates, any Treasury regulations or other guidance promulgated after consideration of these issues could materially affect the tax consequences of an investment in the notes, possibly with retroactive effect. The discussions above and in the accompanying prospectus supplement do not address the consequences to taxpayers subject to special tax accounting rules under Section 451(b) of the Code. You should consult your tax adviser regarding the U.S. federal income tax consequences of an investment in the notes, including possible alternative treatments and the issues presented by the notice described above.</w:t>
      </w:r>
    </w:p>
    <w:p>
      <w:pPr>
        <w:spacing w:after="0" w:line="389" w:lineRule="exact"/>
        <w:rPr>
          <w:sz w:val="20"/>
          <w:szCs w:val="20"/>
          <w:color w:val="auto"/>
        </w:rPr>
      </w:pPr>
    </w:p>
    <w:p>
      <w:pPr>
        <w:spacing w:after="0"/>
        <w:rPr>
          <w:sz w:val="20"/>
          <w:szCs w:val="20"/>
          <w:color w:val="auto"/>
        </w:rPr>
      </w:pPr>
      <w:r>
        <w:rPr>
          <w:rFonts w:ascii="Arial" w:cs="Arial" w:eastAsia="Arial" w:hAnsi="Arial"/>
          <w:sz w:val="17"/>
          <w:szCs w:val="17"/>
          <w:color w:val="7F7F7F"/>
        </w:rPr>
        <w:t>PS-9 | Structured Investments</w:t>
      </w:r>
    </w:p>
    <w:p>
      <w:pPr>
        <w:spacing w:after="0" w:line="199" w:lineRule="auto"/>
        <w:rPr>
          <w:sz w:val="20"/>
          <w:szCs w:val="20"/>
          <w:color w:val="auto"/>
        </w:rPr>
      </w:pPr>
      <w:r>
        <w:rPr>
          <w:rFonts w:ascii="Arial" w:cs="Arial" w:eastAsia="Arial" w:hAnsi="Arial"/>
          <w:sz w:val="15"/>
          <w:szCs w:val="15"/>
          <w:color w:val="808080"/>
        </w:rPr>
        <w:t>Contingent Interest Notes Linked to the Least Performing of the S&amp;P 500</w:t>
      </w:r>
      <w:r>
        <w:rPr>
          <w:rFonts w:ascii="Arial" w:cs="Arial" w:eastAsia="Arial" w:hAnsi="Arial"/>
          <w:sz w:val="18"/>
          <w:szCs w:val="18"/>
          <w:color w:val="808080"/>
          <w:vertAlign w:val="superscript"/>
        </w:rPr>
        <w:t>®</w:t>
      </w:r>
    </w:p>
    <w:p>
      <w:pPr>
        <w:spacing w:after="0" w:line="218" w:lineRule="auto"/>
        <w:rPr>
          <w:sz w:val="20"/>
          <w:szCs w:val="20"/>
          <w:color w:val="auto"/>
        </w:rPr>
      </w:pPr>
      <w:r>
        <w:rPr>
          <w:rFonts w:ascii="Arial" w:cs="Arial" w:eastAsia="Arial" w:hAnsi="Arial"/>
          <w:sz w:val="15"/>
          <w:szCs w:val="15"/>
          <w:color w:val="808080"/>
        </w:rPr>
        <w:t>Index, the Nasdaq-100</w:t>
      </w:r>
      <w:r>
        <w:rPr>
          <w:rFonts w:ascii="Arial" w:cs="Arial" w:eastAsia="Arial" w:hAnsi="Arial"/>
          <w:sz w:val="18"/>
          <w:szCs w:val="18"/>
          <w:color w:val="808080"/>
          <w:vertAlign w:val="superscript"/>
        </w:rPr>
        <w:t>®</w:t>
      </w:r>
      <w:r>
        <w:rPr>
          <w:rFonts w:ascii="Arial" w:cs="Arial" w:eastAsia="Arial" w:hAnsi="Arial"/>
          <w:sz w:val="15"/>
          <w:szCs w:val="15"/>
          <w:color w:val="808080"/>
        </w:rPr>
        <w:t xml:space="preserve"> Technology Sector Index</w:t>
      </w:r>
      <w:r>
        <w:rPr>
          <w:rFonts w:ascii="Arial" w:cs="Arial" w:eastAsia="Arial" w:hAnsi="Arial"/>
          <w:sz w:val="18"/>
          <w:szCs w:val="18"/>
          <w:color w:val="808080"/>
          <w:vertAlign w:val="superscript"/>
        </w:rPr>
        <w:t>SM</w:t>
      </w:r>
      <w:r>
        <w:rPr>
          <w:rFonts w:ascii="Arial" w:cs="Arial" w:eastAsia="Arial" w:hAnsi="Arial"/>
          <w:sz w:val="15"/>
          <w:szCs w:val="15"/>
          <w:color w:val="808080"/>
        </w:rPr>
        <w:t xml:space="preserve"> and the Russell 2000</w:t>
      </w:r>
      <w:r>
        <w:rPr>
          <w:rFonts w:ascii="Arial" w:cs="Arial" w:eastAsia="Arial" w:hAnsi="Arial"/>
          <w:sz w:val="18"/>
          <w:szCs w:val="18"/>
          <w:color w:val="808080"/>
          <w:vertAlign w:val="superscript"/>
        </w:rPr>
        <w:t>®</w:t>
      </w:r>
    </w:p>
    <w:p>
      <w:pPr>
        <w:spacing w:after="0"/>
        <w:rPr>
          <w:sz w:val="20"/>
          <w:szCs w:val="20"/>
          <w:color w:val="auto"/>
        </w:rPr>
      </w:pPr>
      <w:r>
        <w:rPr>
          <w:rFonts w:ascii="Arial" w:cs="Arial" w:eastAsia="Arial" w:hAnsi="Arial"/>
          <w:sz w:val="15"/>
          <w:szCs w:val="15"/>
          <w:color w:val="808080"/>
        </w:rPr>
        <w:t>Index</w:t>
      </w:r>
    </w:p>
    <w:p>
      <w:pPr>
        <w:sectPr>
          <w:pgSz w:w="11900" w:h="16838" w:orient="portrait"/>
          <w:cols w:equalWidth="0" w:num="1">
            <w:col w:w="9980"/>
          </w:cols>
          <w:pgMar w:left="1000" w:top="1440" w:right="919" w:bottom="1440" w:gutter="0" w:footer="0" w:header="0"/>
        </w:sectPr>
      </w:pPr>
    </w:p>
    <w:bookmarkStart w:id="10" w:name="page11"/>
    <w:bookmarkEnd w:id="10"/>
    <w:p>
      <w:pPr>
        <w:spacing w:after="0" w:line="308" w:lineRule="auto"/>
        <w:rPr>
          <w:sz w:val="20"/>
          <w:szCs w:val="20"/>
          <w:color w:val="auto"/>
        </w:rPr>
      </w:pPr>
      <w:r>
        <w:rPr>
          <w:rFonts w:ascii="Arial" w:cs="Arial" w:eastAsia="Arial" w:hAnsi="Arial"/>
          <w:sz w:val="16"/>
          <w:szCs w:val="16"/>
          <w:i w:val="1"/>
          <w:iCs w:val="1"/>
          <w:color w:val="404040"/>
        </w:rPr>
        <w:t xml:space="preserve">Non-U.S. Holders — Tax Considerations. </w:t>
      </w:r>
      <w:r>
        <w:rPr>
          <w:rFonts w:ascii="Arial" w:cs="Arial" w:eastAsia="Arial" w:hAnsi="Arial"/>
          <w:sz w:val="16"/>
          <w:szCs w:val="16"/>
          <w:color w:val="404040"/>
        </w:rPr>
        <w:t>The U.S. federal income tax treatment of Contingent Interest Payments is uncertain, and</w:t>
      </w:r>
      <w:r>
        <w:rPr>
          <w:rFonts w:ascii="Arial" w:cs="Arial" w:eastAsia="Arial" w:hAnsi="Arial"/>
          <w:sz w:val="16"/>
          <w:szCs w:val="16"/>
          <w:i w:val="1"/>
          <w:iCs w:val="1"/>
          <w:color w:val="404040"/>
        </w:rPr>
        <w:t xml:space="preserve"> </w:t>
      </w:r>
      <w:r>
        <w:rPr>
          <w:rFonts w:ascii="Arial" w:cs="Arial" w:eastAsia="Arial" w:hAnsi="Arial"/>
          <w:sz w:val="16"/>
          <w:szCs w:val="16"/>
          <w:color w:val="404040"/>
        </w:rPr>
        <w:t>although we believe it is reasonable to take a position that Contingent Interest Payments are not subject to U.S. withholding tax (at least if an applicable Form W-8 is provided), it is expected that withholding agents will (and we, if we are the withholding agent, intend to) withhold on any Contingent Interest Payment paid to a Non-U.S. Holder generally at a rate of 30% or at a reduced rate specified by an applicable income tax treaty under an “other income” or similar provision. We will not be required to pay any additional amounts with respect to amounts withheld. In order to claim an exemption from, or a reduction in, the 30% withholding tax, a Non-U.S. Holder of the notes must comply with certification requirements to establish that it is not a U.S. person and is eligible for such an exemption or reduction under an applicable tax treaty. If you are a Non-U.S. Holder, you should consult your tax adviser regarding the tax treatment of the notes, including the possibility of obtaining a refund of any withholding tax and the certification requirement described above.</w:t>
      </w:r>
    </w:p>
    <w:p>
      <w:pPr>
        <w:spacing w:after="0" w:line="59" w:lineRule="exact"/>
        <w:rPr>
          <w:sz w:val="20"/>
          <w:szCs w:val="20"/>
          <w:color w:val="auto"/>
        </w:rPr>
      </w:pPr>
    </w:p>
    <w:p>
      <w:pPr>
        <w:ind w:right="40"/>
        <w:spacing w:after="0" w:line="284" w:lineRule="auto"/>
        <w:rPr>
          <w:sz w:val="20"/>
          <w:szCs w:val="20"/>
          <w:color w:val="auto"/>
        </w:rPr>
      </w:pPr>
      <w:r>
        <w:rPr>
          <w:rFonts w:ascii="Arial" w:cs="Arial" w:eastAsia="Arial" w:hAnsi="Arial"/>
          <w:sz w:val="17"/>
          <w:szCs w:val="17"/>
          <w:color w:val="404040"/>
        </w:rPr>
        <w:t>Section 871(m) of the Code and Treasury regulations promulgated thereunder (“Section 871(m)”) generally impose a 30% withholding tax (unless an income tax treaty applies) on dividend equivalents paid or deemed paid to Non-U.S. Holders with respect to certain financial instruments linked to U.S. equities or indices that include U.S. equities. Section 871(m) provides certain exceptions to this withholding regime, including for instruments linked to certain broad-based indices that meet requirements set forth in the applicable Treasury regulations. Additionally, a recent IRS notice excludes from the scope of Section 871(m) instruments issued prior to January 1, 2027 that do not have a delta of one with respect to underlying securities that could pay U.S.-source dividends for U.S. federal income tax purposes (each an “Underlying Security”). Based on certain determinations made by us, we expect that Section 871(m) will not apply to the notes with regard to Non-U.S. Holders. Our determination is not binding on the IRS, and the IRS may disagree with this determination. Section 871(m) is complex and its application may depend on your particular circumstances, including whether you enter into other transactions with respect to an Underlying Security. If necessary, further information regarding the potential application of Section 871(m) will be provided in the pricing supplement for the notes. You should consult your tax adviser regarding the potential application of Section 871(m) to the notes.</w:t>
      </w:r>
    </w:p>
    <w:p>
      <w:pPr>
        <w:spacing w:after="0" w:line="136" w:lineRule="exact"/>
        <w:rPr>
          <w:sz w:val="20"/>
          <w:szCs w:val="20"/>
          <w:color w:val="auto"/>
        </w:rPr>
      </w:pPr>
    </w:p>
    <w:p>
      <w:pPr>
        <w:spacing w:after="0"/>
        <w:rPr>
          <w:sz w:val="20"/>
          <w:szCs w:val="20"/>
          <w:color w:val="auto"/>
        </w:rPr>
      </w:pPr>
      <w:r>
        <w:rPr>
          <w:rFonts w:ascii="Arial" w:cs="Arial" w:eastAsia="Arial" w:hAnsi="Arial"/>
          <w:sz w:val="16"/>
          <w:szCs w:val="16"/>
          <w:color w:val="404040"/>
        </w:rPr>
        <w:t>In the event of any withholding on the notes, we will not be required to pay any additional amounts with respect to amounts so withheld.</w:t>
      </w:r>
    </w:p>
    <w:p>
      <w:pPr>
        <w:spacing w:after="0" w:line="194" w:lineRule="exact"/>
        <w:rPr>
          <w:sz w:val="20"/>
          <w:szCs w:val="20"/>
          <w:color w:val="auto"/>
        </w:rPr>
      </w:pPr>
    </w:p>
    <w:p>
      <w:pPr>
        <w:spacing w:after="0"/>
        <w:rPr>
          <w:sz w:val="20"/>
          <w:szCs w:val="20"/>
          <w:color w:val="auto"/>
        </w:rPr>
      </w:pPr>
      <w:r>
        <w:rPr>
          <w:rFonts w:ascii="Arial" w:cs="Arial" w:eastAsia="Arial" w:hAnsi="Arial"/>
          <w:sz w:val="19"/>
          <w:szCs w:val="19"/>
          <w:b w:val="1"/>
          <w:bCs w:val="1"/>
          <w:color w:val="4E8ABE"/>
        </w:rPr>
        <w:t>The Estimated Value of the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38100</wp:posOffset>
            </wp:positionV>
            <wp:extent cx="6437630" cy="49498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37630" cy="4949825"/>
                    </a:xfrm>
                    <a:prstGeom prst="rect">
                      <a:avLst/>
                    </a:prstGeom>
                    <a:noFill/>
                  </pic:spPr>
                </pic:pic>
              </a:graphicData>
            </a:graphic>
          </wp:anchor>
        </w:drawing>
      </w:r>
    </w:p>
    <w:p>
      <w:pPr>
        <w:spacing w:after="0" w:line="125" w:lineRule="exact"/>
        <w:rPr>
          <w:sz w:val="20"/>
          <w:szCs w:val="20"/>
          <w:color w:val="auto"/>
        </w:rPr>
      </w:pPr>
    </w:p>
    <w:p>
      <w:pPr>
        <w:spacing w:after="0" w:line="284" w:lineRule="auto"/>
        <w:rPr>
          <w:sz w:val="20"/>
          <w:szCs w:val="20"/>
          <w:color w:val="auto"/>
        </w:rPr>
      </w:pPr>
      <w:r>
        <w:rPr>
          <w:rFonts w:ascii="Arial" w:cs="Arial" w:eastAsia="Arial" w:hAnsi="Arial"/>
          <w:sz w:val="17"/>
          <w:szCs w:val="17"/>
          <w:color w:val="404040"/>
        </w:rPr>
        <w:t>The estimated value of the notes set forth on the cover of this pricing supplement is equal to the sum of the values of the following hypothetical components: (1) a fixed-income debt component with the same maturity as the notes, valued using the internal funding rate described below, and (2) the derivative or derivatives underlying the economic terms of the notes. The estimated value of the notes does not represent a minimum price at which JPMS would be willing to buy your notes in any secondary market (if any exists) at any time. The internal funding rate used in the determination of the estimated value of the notes may differ from the market-implied funding rate for vanilla fixed income instruments of a similar maturity issued by JPMorgan Chase &amp; Co. or its affiliates. Any difference may be based on, among other things, our and our affiliates’ view of the funding value of the notes as well as the higher issuance, operational and ongoing liability management costs of the notes in comparison to those costs for the conventional fixed income instruments of JPMorgan Chase &amp; Co. This internal funding rate is based on certain market inputs and assumptions, which may prove to be incorrect, and is intended to approximate the prevailing market replacement funding rate for the notes. The use of an internal funding rate and any potential changes to that rate may have an adverse effect on the terms of the notes and any secondary market prices of the notes. For additional information, see “Selected Risk Considerations — Risks Relating to the Estimated Value and Secondary Market Prices of the Notes — The Estimated Value of the Notes Is Derived by Reference to an Internal Funding Rate” in this pricing supplement.</w:t>
      </w:r>
    </w:p>
    <w:p>
      <w:pPr>
        <w:spacing w:after="0" w:line="97" w:lineRule="exact"/>
        <w:rPr>
          <w:sz w:val="20"/>
          <w:szCs w:val="20"/>
          <w:color w:val="auto"/>
        </w:rPr>
      </w:pPr>
    </w:p>
    <w:p>
      <w:pPr>
        <w:ind w:right="40"/>
        <w:spacing w:after="0" w:line="285" w:lineRule="auto"/>
        <w:rPr>
          <w:sz w:val="20"/>
          <w:szCs w:val="20"/>
          <w:color w:val="auto"/>
        </w:rPr>
      </w:pPr>
      <w:r>
        <w:rPr>
          <w:rFonts w:ascii="Arial" w:cs="Arial" w:eastAsia="Arial" w:hAnsi="Arial"/>
          <w:sz w:val="17"/>
          <w:szCs w:val="17"/>
          <w:color w:val="404040"/>
        </w:rPr>
        <w:t>The value of the derivative or derivatives underlying the economic terms of the notes is derived from internal pricing models of our affiliates. These models are dependent on inputs such as the traded market prices of comparable derivative instruments and on various other inputs, some of which are market-observable, and which can include volatility, dividend rates, interest rates and other factors, as well as assumptions about future market events and/or environments. Accordingly, the estimated value of the notes is determined when the terms of the notes are set based on market conditions and other relevant factors and assumptions existing at that time.</w:t>
      </w:r>
    </w:p>
    <w:p>
      <w:pPr>
        <w:spacing w:after="0" w:line="90" w:lineRule="exact"/>
        <w:rPr>
          <w:sz w:val="20"/>
          <w:szCs w:val="20"/>
          <w:color w:val="auto"/>
        </w:rPr>
      </w:pPr>
    </w:p>
    <w:p>
      <w:pPr>
        <w:ind w:right="120"/>
        <w:spacing w:after="0" w:line="288" w:lineRule="auto"/>
        <w:rPr>
          <w:sz w:val="20"/>
          <w:szCs w:val="20"/>
          <w:color w:val="auto"/>
        </w:rPr>
      </w:pPr>
      <w:r>
        <w:rPr>
          <w:rFonts w:ascii="Arial" w:cs="Arial" w:eastAsia="Arial" w:hAnsi="Arial"/>
          <w:sz w:val="17"/>
          <w:szCs w:val="17"/>
          <w:color w:val="404040"/>
        </w:rPr>
        <w:t>The estimated value of the notes does not represent future values of the notes and may differ from others’ estimates. Different pricing models and assumptions could provide valuations for the notes that are greater than or less than the estimated value of the notes. In addition, market conditions and other relevant factors in the future may change, and any assumptions may prove to be incorrect. On future dates, the value of the notes could change significantly based on, among other things, changes in market conditions, our or JPMorgan Chase &amp; Co.’s creditworthiness, interest rate movements and other relevant factors, which may impact the price, if any, at which JPMS would be willing to buy notes from you in secondary market transactions.</w:t>
      </w:r>
    </w:p>
    <w:p>
      <w:pPr>
        <w:spacing w:after="0" w:line="88" w:lineRule="exact"/>
        <w:rPr>
          <w:sz w:val="20"/>
          <w:szCs w:val="20"/>
          <w:color w:val="auto"/>
        </w:rPr>
      </w:pPr>
    </w:p>
    <w:p>
      <w:pPr>
        <w:ind w:right="340"/>
        <w:spacing w:after="0" w:line="326" w:lineRule="auto"/>
        <w:rPr>
          <w:sz w:val="20"/>
          <w:szCs w:val="20"/>
          <w:color w:val="auto"/>
        </w:rPr>
      </w:pPr>
      <w:r>
        <w:rPr>
          <w:rFonts w:ascii="Arial" w:cs="Arial" w:eastAsia="Arial" w:hAnsi="Arial"/>
          <w:sz w:val="16"/>
          <w:szCs w:val="16"/>
          <w:color w:val="404040"/>
        </w:rPr>
        <w:t>The estimated value of the notes will be lower than the original issue price of the notes because costs associated with selling, structuring and hedging the notes are included in the original issue price of the notes. These costs include the selling commissions paid to JPMS and other affiliated or unaffiliated dealers, the projected profits, if any, that our affiliates expect to realize for assuming</w:t>
      </w:r>
    </w:p>
    <w:p>
      <w:pPr>
        <w:spacing w:after="0" w:line="51" w:lineRule="exact"/>
        <w:rPr>
          <w:sz w:val="20"/>
          <w:szCs w:val="20"/>
          <w:color w:val="auto"/>
        </w:rPr>
      </w:pPr>
    </w:p>
    <w:p>
      <w:pPr>
        <w:spacing w:after="0"/>
        <w:rPr>
          <w:sz w:val="20"/>
          <w:szCs w:val="20"/>
          <w:color w:val="auto"/>
        </w:rPr>
      </w:pPr>
      <w:r>
        <w:rPr>
          <w:rFonts w:ascii="Arial" w:cs="Arial" w:eastAsia="Arial" w:hAnsi="Arial"/>
          <w:sz w:val="17"/>
          <w:szCs w:val="17"/>
          <w:color w:val="7F7F7F"/>
        </w:rPr>
        <w:t>PS-10 | Structured Investments</w:t>
      </w:r>
    </w:p>
    <w:p>
      <w:pPr>
        <w:spacing w:after="0" w:line="199" w:lineRule="auto"/>
        <w:rPr>
          <w:sz w:val="20"/>
          <w:szCs w:val="20"/>
          <w:color w:val="auto"/>
        </w:rPr>
      </w:pPr>
      <w:r>
        <w:rPr>
          <w:rFonts w:ascii="Arial" w:cs="Arial" w:eastAsia="Arial" w:hAnsi="Arial"/>
          <w:sz w:val="15"/>
          <w:szCs w:val="15"/>
          <w:color w:val="808080"/>
        </w:rPr>
        <w:t>Contingent Interest Notes Linked to the Least Performing of the S&amp;P 500</w:t>
      </w:r>
      <w:r>
        <w:rPr>
          <w:rFonts w:ascii="Arial" w:cs="Arial" w:eastAsia="Arial" w:hAnsi="Arial"/>
          <w:sz w:val="18"/>
          <w:szCs w:val="18"/>
          <w:color w:val="808080"/>
          <w:vertAlign w:val="superscript"/>
        </w:rPr>
        <w:t>®</w:t>
      </w:r>
    </w:p>
    <w:p>
      <w:pPr>
        <w:spacing w:after="0" w:line="218" w:lineRule="auto"/>
        <w:rPr>
          <w:sz w:val="20"/>
          <w:szCs w:val="20"/>
          <w:color w:val="auto"/>
        </w:rPr>
      </w:pPr>
      <w:r>
        <w:rPr>
          <w:rFonts w:ascii="Arial" w:cs="Arial" w:eastAsia="Arial" w:hAnsi="Arial"/>
          <w:sz w:val="15"/>
          <w:szCs w:val="15"/>
          <w:color w:val="808080"/>
        </w:rPr>
        <w:t>Index, the Nasdaq-100</w:t>
      </w:r>
      <w:r>
        <w:rPr>
          <w:rFonts w:ascii="Arial" w:cs="Arial" w:eastAsia="Arial" w:hAnsi="Arial"/>
          <w:sz w:val="18"/>
          <w:szCs w:val="18"/>
          <w:color w:val="808080"/>
          <w:vertAlign w:val="superscript"/>
        </w:rPr>
        <w:t>®</w:t>
      </w:r>
      <w:r>
        <w:rPr>
          <w:rFonts w:ascii="Arial" w:cs="Arial" w:eastAsia="Arial" w:hAnsi="Arial"/>
          <w:sz w:val="15"/>
          <w:szCs w:val="15"/>
          <w:color w:val="808080"/>
        </w:rPr>
        <w:t xml:space="preserve"> Technology Sector Index</w:t>
      </w:r>
      <w:r>
        <w:rPr>
          <w:rFonts w:ascii="Arial" w:cs="Arial" w:eastAsia="Arial" w:hAnsi="Arial"/>
          <w:sz w:val="18"/>
          <w:szCs w:val="18"/>
          <w:color w:val="808080"/>
          <w:vertAlign w:val="superscript"/>
        </w:rPr>
        <w:t>SM</w:t>
      </w:r>
      <w:r>
        <w:rPr>
          <w:rFonts w:ascii="Arial" w:cs="Arial" w:eastAsia="Arial" w:hAnsi="Arial"/>
          <w:sz w:val="15"/>
          <w:szCs w:val="15"/>
          <w:color w:val="808080"/>
        </w:rPr>
        <w:t xml:space="preserve"> and the Russell 2000</w:t>
      </w:r>
      <w:r>
        <w:rPr>
          <w:rFonts w:ascii="Arial" w:cs="Arial" w:eastAsia="Arial" w:hAnsi="Arial"/>
          <w:sz w:val="18"/>
          <w:szCs w:val="18"/>
          <w:color w:val="808080"/>
          <w:vertAlign w:val="superscript"/>
        </w:rPr>
        <w:t>®</w:t>
      </w:r>
    </w:p>
    <w:p>
      <w:pPr>
        <w:spacing w:after="0"/>
        <w:rPr>
          <w:sz w:val="20"/>
          <w:szCs w:val="20"/>
          <w:color w:val="auto"/>
        </w:rPr>
      </w:pPr>
      <w:r>
        <w:rPr>
          <w:rFonts w:ascii="Arial" w:cs="Arial" w:eastAsia="Arial" w:hAnsi="Arial"/>
          <w:sz w:val="15"/>
          <w:szCs w:val="15"/>
          <w:color w:val="808080"/>
        </w:rPr>
        <w:t>Index</w:t>
      </w:r>
    </w:p>
    <w:p>
      <w:pPr>
        <w:sectPr>
          <w:pgSz w:w="11900" w:h="16838" w:orient="portrait"/>
          <w:cols w:equalWidth="0" w:num="1">
            <w:col w:w="9980"/>
          </w:cols>
          <w:pgMar w:left="1000" w:top="886" w:right="919" w:bottom="1440" w:gutter="0" w:footer="0" w:header="0"/>
        </w:sectPr>
      </w:pPr>
    </w:p>
    <w:bookmarkStart w:id="11" w:name="page12"/>
    <w:bookmarkEnd w:id="11"/>
    <w:p>
      <w:pPr>
        <w:spacing w:after="0" w:line="300" w:lineRule="auto"/>
        <w:rPr>
          <w:sz w:val="20"/>
          <w:szCs w:val="20"/>
          <w:color w:val="auto"/>
        </w:rPr>
      </w:pPr>
      <w:r>
        <w:rPr>
          <w:rFonts w:ascii="Arial" w:cs="Arial" w:eastAsia="Arial" w:hAnsi="Arial"/>
          <w:sz w:val="16"/>
          <w:szCs w:val="16"/>
          <w:color w:val="404040"/>
        </w:rPr>
        <w:t>risks inherent in hedging our obligations under the notes, the estimated cost of hedging our obligations under the notes and the fees, if any, paid for third-party data analytics and/or electronic platform services. Because hedging our obligations entails risk and may be influenced by market forces beyond our control, this hedging may result in a profit that is more or less than expected, or it may result in a loss. A portion of the profits, if any, realized in hedging our obligations under the notes may be allowed to other affiliated or unaffiliated dealers, and we or one or more of our affiliates will retain any remaining hedging profits. See “Selected Risk Considerations</w:t>
      </w:r>
    </w:p>
    <w:p>
      <w:pPr>
        <w:spacing w:after="0" w:line="2" w:lineRule="exact"/>
        <w:rPr>
          <w:sz w:val="20"/>
          <w:szCs w:val="20"/>
          <w:color w:val="auto"/>
        </w:rPr>
      </w:pPr>
    </w:p>
    <w:p>
      <w:pPr>
        <w:ind w:right="20"/>
        <w:spacing w:after="0" w:line="323" w:lineRule="auto"/>
        <w:rPr>
          <w:sz w:val="20"/>
          <w:szCs w:val="20"/>
          <w:color w:val="auto"/>
        </w:rPr>
      </w:pPr>
      <w:r>
        <w:rPr>
          <w:rFonts w:ascii="Arial" w:cs="Arial" w:eastAsia="Arial" w:hAnsi="Arial"/>
          <w:sz w:val="17"/>
          <w:szCs w:val="17"/>
          <w:color w:val="404040"/>
        </w:rPr>
        <w:t>— Risks Relating to the Estimated Value and Secondary Market Prices of the Notes — The Estimated Value of the Notes Will Be Lower Than the Original Issue Price (Price to Public) of the Notes” in this pricing supplement.</w:t>
      </w:r>
    </w:p>
    <w:p>
      <w:pPr>
        <w:spacing w:after="0" w:line="90" w:lineRule="exact"/>
        <w:rPr>
          <w:sz w:val="20"/>
          <w:szCs w:val="20"/>
          <w:color w:val="auto"/>
        </w:rPr>
      </w:pPr>
    </w:p>
    <w:p>
      <w:pPr>
        <w:spacing w:after="0"/>
        <w:rPr>
          <w:sz w:val="20"/>
          <w:szCs w:val="20"/>
          <w:color w:val="auto"/>
        </w:rPr>
      </w:pPr>
      <w:r>
        <w:rPr>
          <w:rFonts w:ascii="Arial" w:cs="Arial" w:eastAsia="Arial" w:hAnsi="Arial"/>
          <w:sz w:val="19"/>
          <w:szCs w:val="19"/>
          <w:b w:val="1"/>
          <w:bCs w:val="1"/>
          <w:color w:val="4E8ABE"/>
        </w:rPr>
        <w:t>Secondary Market Prices of the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38100</wp:posOffset>
            </wp:positionV>
            <wp:extent cx="6437630" cy="73031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437630" cy="7303135"/>
                    </a:xfrm>
                    <a:prstGeom prst="rect">
                      <a:avLst/>
                    </a:prstGeom>
                    <a:noFill/>
                  </pic:spPr>
                </pic:pic>
              </a:graphicData>
            </a:graphic>
          </wp:anchor>
        </w:drawing>
      </w:r>
    </w:p>
    <w:p>
      <w:pPr>
        <w:spacing w:after="0" w:line="111" w:lineRule="exact"/>
        <w:rPr>
          <w:sz w:val="20"/>
          <w:szCs w:val="20"/>
          <w:color w:val="auto"/>
        </w:rPr>
      </w:pPr>
    </w:p>
    <w:p>
      <w:pPr>
        <w:ind w:right="20"/>
        <w:spacing w:after="0" w:line="285" w:lineRule="auto"/>
        <w:rPr>
          <w:sz w:val="20"/>
          <w:szCs w:val="20"/>
          <w:color w:val="auto"/>
        </w:rPr>
      </w:pPr>
      <w:r>
        <w:rPr>
          <w:rFonts w:ascii="Arial" w:cs="Arial" w:eastAsia="Arial" w:hAnsi="Arial"/>
          <w:sz w:val="17"/>
          <w:szCs w:val="17"/>
          <w:color w:val="404040"/>
        </w:rPr>
        <w:t>For information about factors that will impact any secondary market prices of the notes, see “Risk Factors — Risks Relating to the Estimated Value and Secondary Market Prices of the Notes — Secondary market prices of the notes will be impacted by many economic and market factors” in the accompanying product supplement. In addition, we generally expect that some of the costs included in the original issue price of the notes will be partially paid back to you in connection with any repurchases of your notes by JPMS in an amount that will decline to zero over an initial predetermined period. These costs can include selling commissions, projected hedging profits, if any, and, in some circumstances, estimated hedging costs, our internal secondary market funding rates for structured debt issuances and the fees paid for third-party data analytics and/or electronic platform services. This initial predetermined time period is intended to be the shorter of six months and one-half of the stated term of the notes. The length of any such initial period reflects the structure of the notes, whether our affiliates expect to earn a profit in connection with our hedging activities, the estimated costs of hedging the notes and when these costs are incurred, as determined by our affiliates. See “Selected Risk Considerations — Risks Relating to the Estimated Value and Secondary Market Prices of the Notes — The Value of the Notes as Published by JPMS (and Which May Be Reflected on Customer Account Statements) May Be Higher Than the Then-Current Estimated Value of the Notes for a Limited Time Period” in this pricing supplement.</w:t>
      </w:r>
    </w:p>
    <w:p>
      <w:pPr>
        <w:spacing w:after="0" w:line="87" w:lineRule="exact"/>
        <w:rPr>
          <w:sz w:val="20"/>
          <w:szCs w:val="20"/>
          <w:color w:val="auto"/>
        </w:rPr>
      </w:pPr>
    </w:p>
    <w:p>
      <w:pPr>
        <w:spacing w:after="0"/>
        <w:rPr>
          <w:sz w:val="20"/>
          <w:szCs w:val="20"/>
          <w:color w:val="auto"/>
        </w:rPr>
      </w:pPr>
      <w:r>
        <w:rPr>
          <w:rFonts w:ascii="Arial" w:cs="Arial" w:eastAsia="Arial" w:hAnsi="Arial"/>
          <w:sz w:val="19"/>
          <w:szCs w:val="19"/>
          <w:b w:val="1"/>
          <w:bCs w:val="1"/>
          <w:color w:val="4E8ABE"/>
        </w:rPr>
        <w:t>Supplemental Use of Proceeds</w:t>
      </w:r>
    </w:p>
    <w:p>
      <w:pPr>
        <w:spacing w:after="0" w:line="145" w:lineRule="exact"/>
        <w:rPr>
          <w:sz w:val="20"/>
          <w:szCs w:val="20"/>
          <w:color w:val="auto"/>
        </w:rPr>
      </w:pPr>
    </w:p>
    <w:p>
      <w:pPr>
        <w:ind w:right="260"/>
        <w:spacing w:after="0" w:line="326" w:lineRule="auto"/>
        <w:rPr>
          <w:sz w:val="20"/>
          <w:szCs w:val="20"/>
          <w:color w:val="auto"/>
        </w:rPr>
      </w:pPr>
      <w:r>
        <w:rPr>
          <w:rFonts w:ascii="Arial" w:cs="Arial" w:eastAsia="Arial" w:hAnsi="Arial"/>
          <w:sz w:val="16"/>
          <w:szCs w:val="16"/>
          <w:color w:val="404040"/>
        </w:rPr>
        <w:t>The notes are offered to meet investor demand for products that reflect the risk-return profile and market exposure provided by the notes. See “How the Notes Work” and “Hypothetical Payout Examples” in this pricing supplement for an illustration of the risk-return profile of the notes and “The Indices” in this pricing supplement for a description of the market exposure provided by the notes.</w:t>
      </w:r>
    </w:p>
    <w:p>
      <w:pPr>
        <w:spacing w:after="0" w:line="18" w:lineRule="exact"/>
        <w:rPr>
          <w:sz w:val="20"/>
          <w:szCs w:val="20"/>
          <w:color w:val="auto"/>
        </w:rPr>
      </w:pPr>
    </w:p>
    <w:p>
      <w:pPr>
        <w:spacing w:after="0" w:line="292" w:lineRule="auto"/>
        <w:rPr>
          <w:sz w:val="20"/>
          <w:szCs w:val="20"/>
          <w:color w:val="auto"/>
        </w:rPr>
      </w:pPr>
      <w:r>
        <w:rPr>
          <w:rFonts w:ascii="Arial" w:cs="Arial" w:eastAsia="Arial" w:hAnsi="Arial"/>
          <w:sz w:val="17"/>
          <w:szCs w:val="17"/>
          <w:color w:val="404040"/>
        </w:rPr>
        <w:t>The original issue price of the notes is equal to the estimated value of the notes plus the selling commissions paid to JPMS and other affiliated or unaffiliated dealers, plus (minus) the projected profits (losses) that our affiliates expect to realize for assuming risks inherent in hedging our obligations under the notes, plus the estimated cost of hedging our obligations under the notes, plus the fees, if any, paid for third-party data analytics and/or electronic platform services.</w:t>
      </w:r>
    </w:p>
    <w:p>
      <w:pPr>
        <w:spacing w:after="0" w:line="36" w:lineRule="exact"/>
        <w:rPr>
          <w:sz w:val="20"/>
          <w:szCs w:val="20"/>
          <w:color w:val="auto"/>
        </w:rPr>
      </w:pPr>
    </w:p>
    <w:p>
      <w:pPr>
        <w:spacing w:after="0"/>
        <w:rPr>
          <w:sz w:val="20"/>
          <w:szCs w:val="20"/>
          <w:color w:val="auto"/>
        </w:rPr>
      </w:pPr>
      <w:r>
        <w:rPr>
          <w:rFonts w:ascii="Arial" w:cs="Arial" w:eastAsia="Arial" w:hAnsi="Arial"/>
          <w:sz w:val="19"/>
          <w:szCs w:val="19"/>
          <w:b w:val="1"/>
          <w:bCs w:val="1"/>
          <w:color w:val="4E8ABE"/>
        </w:rPr>
        <w:t>Additional Terms Specific to the Notes</w:t>
      </w:r>
    </w:p>
    <w:p>
      <w:pPr>
        <w:spacing w:after="0" w:line="145" w:lineRule="exact"/>
        <w:rPr>
          <w:sz w:val="20"/>
          <w:szCs w:val="20"/>
          <w:color w:val="auto"/>
        </w:rPr>
      </w:pPr>
    </w:p>
    <w:p>
      <w:pPr>
        <w:spacing w:after="0" w:line="292" w:lineRule="auto"/>
        <w:rPr>
          <w:sz w:val="20"/>
          <w:szCs w:val="20"/>
          <w:color w:val="auto"/>
        </w:rPr>
      </w:pPr>
      <w:r>
        <w:rPr>
          <w:rFonts w:ascii="Arial" w:cs="Arial" w:eastAsia="Arial" w:hAnsi="Arial"/>
          <w:sz w:val="17"/>
          <w:szCs w:val="17"/>
          <w:color w:val="404040"/>
        </w:rPr>
        <w:t>You may revoke your offer to purchase the notes at any time prior to the time at which we accept such offer by notifying the applicable agent. We reserve the right to change the terms of, or reject any offer to purchase, the notes prior to their issuance. In the event of any changes to the terms of the notes, we will notify you and you will be asked to accept such changes in connection with your purchase. You may also choose to reject such changes, in which case we may reject your offer to purchase.</w:t>
      </w:r>
    </w:p>
    <w:p>
      <w:pPr>
        <w:spacing w:after="0" w:line="41"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404040"/>
        </w:rPr>
        <w:t>You should read this pricing supplement together with the accompanying prospectus, as supplemented by the accompanying prospectus supplement relating to our Series A medium-term notes of which these notes are a part, and the more detailed information contained in the accompanying product supplement and the accompanying underlying supplement. This pricing supplement, together with the documents listed below, contains the terms of the notes and supersedes all other prior or contemporaneous oral statements as well as any other written materials including preliminary or indicative pricing terms, correspondence, trade ideas, structures for implementation, sample structures, fact sheets, brochures or other educational materials of ours. You should carefully consider, among other things, the matters set forth in the “Risk Factors” sections of the accompanying prospectus supplement and the accompanying product supplement, as the notes involve risks not associated with conventional debt securities. We urge you to consult your investment, legal, tax, accounting and other advisers before you invest in the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7"/>
          <w:szCs w:val="17"/>
          <w:color w:val="7F7F7F"/>
        </w:rPr>
        <w:t>PS-11 | Structured Investments</w:t>
      </w:r>
    </w:p>
    <w:p>
      <w:pPr>
        <w:spacing w:after="0" w:line="199" w:lineRule="auto"/>
        <w:rPr>
          <w:sz w:val="20"/>
          <w:szCs w:val="20"/>
          <w:color w:val="auto"/>
        </w:rPr>
      </w:pPr>
      <w:r>
        <w:rPr>
          <w:rFonts w:ascii="Arial" w:cs="Arial" w:eastAsia="Arial" w:hAnsi="Arial"/>
          <w:sz w:val="15"/>
          <w:szCs w:val="15"/>
          <w:color w:val="808080"/>
        </w:rPr>
        <w:t>Contingent Interest Notes Linked to the Least Performing of the S&amp;P 500</w:t>
      </w:r>
      <w:r>
        <w:rPr>
          <w:rFonts w:ascii="Arial" w:cs="Arial" w:eastAsia="Arial" w:hAnsi="Arial"/>
          <w:sz w:val="18"/>
          <w:szCs w:val="18"/>
          <w:color w:val="808080"/>
          <w:vertAlign w:val="superscript"/>
        </w:rPr>
        <w:t>®</w:t>
      </w:r>
    </w:p>
    <w:p>
      <w:pPr>
        <w:spacing w:after="0" w:line="218" w:lineRule="auto"/>
        <w:rPr>
          <w:sz w:val="20"/>
          <w:szCs w:val="20"/>
          <w:color w:val="auto"/>
        </w:rPr>
      </w:pPr>
      <w:r>
        <w:rPr>
          <w:rFonts w:ascii="Arial" w:cs="Arial" w:eastAsia="Arial" w:hAnsi="Arial"/>
          <w:sz w:val="15"/>
          <w:szCs w:val="15"/>
          <w:color w:val="808080"/>
        </w:rPr>
        <w:t>Index, the Nasdaq-100</w:t>
      </w:r>
      <w:r>
        <w:rPr>
          <w:rFonts w:ascii="Arial" w:cs="Arial" w:eastAsia="Arial" w:hAnsi="Arial"/>
          <w:sz w:val="18"/>
          <w:szCs w:val="18"/>
          <w:color w:val="808080"/>
          <w:vertAlign w:val="superscript"/>
        </w:rPr>
        <w:t>®</w:t>
      </w:r>
      <w:r>
        <w:rPr>
          <w:rFonts w:ascii="Arial" w:cs="Arial" w:eastAsia="Arial" w:hAnsi="Arial"/>
          <w:sz w:val="15"/>
          <w:szCs w:val="15"/>
          <w:color w:val="808080"/>
        </w:rPr>
        <w:t xml:space="preserve"> Technology Sector Index</w:t>
      </w:r>
      <w:r>
        <w:rPr>
          <w:rFonts w:ascii="Arial" w:cs="Arial" w:eastAsia="Arial" w:hAnsi="Arial"/>
          <w:sz w:val="18"/>
          <w:szCs w:val="18"/>
          <w:color w:val="808080"/>
          <w:vertAlign w:val="superscript"/>
        </w:rPr>
        <w:t>SM</w:t>
      </w:r>
      <w:r>
        <w:rPr>
          <w:rFonts w:ascii="Arial" w:cs="Arial" w:eastAsia="Arial" w:hAnsi="Arial"/>
          <w:sz w:val="15"/>
          <w:szCs w:val="15"/>
          <w:color w:val="808080"/>
        </w:rPr>
        <w:t xml:space="preserve"> and the Russell 2000</w:t>
      </w:r>
      <w:r>
        <w:rPr>
          <w:rFonts w:ascii="Arial" w:cs="Arial" w:eastAsia="Arial" w:hAnsi="Arial"/>
          <w:sz w:val="18"/>
          <w:szCs w:val="18"/>
          <w:color w:val="808080"/>
          <w:vertAlign w:val="superscript"/>
        </w:rPr>
        <w:t>®</w:t>
      </w:r>
    </w:p>
    <w:p>
      <w:pPr>
        <w:spacing w:after="0"/>
        <w:rPr>
          <w:sz w:val="20"/>
          <w:szCs w:val="20"/>
          <w:color w:val="auto"/>
        </w:rPr>
      </w:pPr>
      <w:r>
        <w:rPr>
          <w:rFonts w:ascii="Arial" w:cs="Arial" w:eastAsia="Arial" w:hAnsi="Arial"/>
          <w:sz w:val="15"/>
          <w:szCs w:val="15"/>
          <w:color w:val="808080"/>
        </w:rPr>
        <w:t>Index</w:t>
      </w:r>
    </w:p>
    <w:p>
      <w:pPr>
        <w:sectPr>
          <w:pgSz w:w="11900" w:h="16838" w:orient="portrait"/>
          <w:cols w:equalWidth="0" w:num="1">
            <w:col w:w="9980"/>
          </w:cols>
          <w:pgMar w:left="1000" w:top="886" w:right="919" w:bottom="1440" w:gutter="0" w:footer="0" w:header="0"/>
        </w:sectPr>
      </w:pPr>
    </w:p>
    <w:bookmarkStart w:id="12" w:name="page13"/>
    <w:bookmarkEnd w:id="12"/>
    <w:p>
      <w:pPr>
        <w:ind w:left="5" w:right="340"/>
        <w:spacing w:after="0" w:line="267" w:lineRule="auto"/>
        <w:rPr>
          <w:sz w:val="20"/>
          <w:szCs w:val="20"/>
          <w:color w:val="auto"/>
        </w:rPr>
      </w:pPr>
      <w:r>
        <w:rPr>
          <w:rFonts w:ascii="Arial" w:cs="Arial" w:eastAsia="Arial" w:hAnsi="Arial"/>
          <w:sz w:val="17"/>
          <w:szCs w:val="17"/>
          <w:b w:val="1"/>
          <w:bCs w:val="1"/>
          <w:color w:val="404040"/>
        </w:rPr>
        <w:t>You may access these documents on the SEC website at www.sec.gov as follows (or if such address has changed, by reviewing our filings for the relevant date on the SEC website):</w:t>
      </w:r>
    </w:p>
    <w:p>
      <w:pPr>
        <w:spacing w:after="0" w:line="2" w:lineRule="exact"/>
        <w:rPr>
          <w:sz w:val="20"/>
          <w:szCs w:val="20"/>
          <w:color w:val="auto"/>
        </w:rPr>
      </w:pPr>
    </w:p>
    <w:p>
      <w:pPr>
        <w:ind w:left="325" w:right="2240" w:hanging="325"/>
        <w:spacing w:after="0" w:line="318" w:lineRule="auto"/>
        <w:tabs>
          <w:tab w:leader="none" w:pos="339" w:val="left"/>
        </w:tabs>
        <w:numPr>
          <w:ilvl w:val="0"/>
          <w:numId w:val="12"/>
        </w:numPr>
        <w:rPr>
          <w:rFonts w:ascii="Arial" w:cs="Arial" w:eastAsia="Arial" w:hAnsi="Arial"/>
          <w:sz w:val="16"/>
          <w:szCs w:val="16"/>
          <w:color w:val="0000FF"/>
        </w:rPr>
      </w:pPr>
      <w:r>
        <w:rPr>
          <w:rFonts w:ascii="Arial" w:cs="Arial" w:eastAsia="Arial" w:hAnsi="Arial"/>
          <w:sz w:val="16"/>
          <w:szCs w:val="16"/>
          <w:color w:val="404040"/>
        </w:rPr>
        <w:t xml:space="preserve">Product supplement no. 3-I dated April 17, 2026: </w:t>
      </w:r>
      <w:hyperlink r:id="rId20">
        <w:r>
          <w:rPr>
            <w:rFonts w:ascii="Arial" w:cs="Arial" w:eastAsia="Arial" w:hAnsi="Arial"/>
            <w:sz w:val="16"/>
            <w:szCs w:val="16"/>
            <w:color w:val="0000FF"/>
          </w:rPr>
          <w:t>http://www.sec.gov/Archives/edgar/data/19617/000121390026045198/ea0285802-20_424b2.pdf</w:t>
        </w:r>
      </w:hyperlink>
    </w:p>
    <w:p>
      <w:pPr>
        <w:spacing w:after="0" w:line="1" w:lineRule="exact"/>
        <w:rPr>
          <w:rFonts w:ascii="Arial" w:cs="Arial" w:eastAsia="Arial" w:hAnsi="Arial"/>
          <w:sz w:val="16"/>
          <w:szCs w:val="16"/>
          <w:color w:val="0000FF"/>
        </w:rPr>
      </w:pPr>
    </w:p>
    <w:p>
      <w:pPr>
        <w:ind w:left="325" w:right="2240" w:hanging="325"/>
        <w:spacing w:after="0" w:line="335" w:lineRule="auto"/>
        <w:tabs>
          <w:tab w:leader="none" w:pos="339" w:val="left"/>
        </w:tabs>
        <w:numPr>
          <w:ilvl w:val="0"/>
          <w:numId w:val="12"/>
        </w:numPr>
        <w:rPr>
          <w:rFonts w:ascii="Arial" w:cs="Arial" w:eastAsia="Arial" w:hAnsi="Arial"/>
          <w:sz w:val="16"/>
          <w:szCs w:val="16"/>
          <w:color w:val="0000FF"/>
        </w:rPr>
      </w:pPr>
      <w:r>
        <w:rPr>
          <w:rFonts w:ascii="Arial" w:cs="Arial" w:eastAsia="Arial" w:hAnsi="Arial"/>
          <w:sz w:val="16"/>
          <w:szCs w:val="16"/>
          <w:color w:val="404040"/>
        </w:rPr>
        <w:t xml:space="preserve">Underlying supplement no. 1-I dated April 17, 2026: </w:t>
      </w:r>
      <w:hyperlink r:id="rId21">
        <w:r>
          <w:rPr>
            <w:rFonts w:ascii="Arial" w:cs="Arial" w:eastAsia="Arial" w:hAnsi="Arial"/>
            <w:sz w:val="16"/>
            <w:szCs w:val="16"/>
            <w:color w:val="0000FF"/>
          </w:rPr>
          <w:t>http://www.sec.gov/Archives/edgar/data/19617/000121390026045209/ea0285802-11_424b2.pdf</w:t>
        </w:r>
      </w:hyperlink>
    </w:p>
    <w:p>
      <w:pPr>
        <w:ind w:left="325" w:right="2320" w:hanging="325"/>
        <w:spacing w:after="0" w:line="310" w:lineRule="auto"/>
        <w:tabs>
          <w:tab w:leader="none" w:pos="339" w:val="left"/>
        </w:tabs>
        <w:numPr>
          <w:ilvl w:val="0"/>
          <w:numId w:val="12"/>
        </w:numPr>
        <w:rPr>
          <w:rFonts w:ascii="Arial" w:cs="Arial" w:eastAsia="Arial" w:hAnsi="Arial"/>
          <w:sz w:val="16"/>
          <w:szCs w:val="16"/>
          <w:color w:val="0000FF"/>
        </w:rPr>
      </w:pPr>
      <w:r>
        <w:rPr>
          <w:rFonts w:ascii="Arial" w:cs="Arial" w:eastAsia="Arial" w:hAnsi="Arial"/>
          <w:sz w:val="16"/>
          <w:szCs w:val="16"/>
          <w:color w:val="auto"/>
        </w:rPr>
        <w:t xml:space="preserve">Prospectus supplement and prospectus, each dated April 17, 2026: </w:t>
      </w:r>
      <w:hyperlink r:id="rId22">
        <w:r>
          <w:rPr>
            <w:rFonts w:ascii="Arial" w:cs="Arial" w:eastAsia="Arial" w:hAnsi="Arial"/>
            <w:sz w:val="16"/>
            <w:szCs w:val="16"/>
            <w:color w:val="0000FF"/>
          </w:rPr>
          <w:t>http://www.sec.gov/Archives/edgar/data/19617/000095010326005889/crt_dp245141-424b2.pdf</w:t>
        </w:r>
      </w:hyperlink>
    </w:p>
    <w:p>
      <w:pPr>
        <w:ind w:left="5"/>
        <w:spacing w:after="0" w:line="323" w:lineRule="auto"/>
        <w:rPr>
          <w:sz w:val="20"/>
          <w:szCs w:val="20"/>
          <w:color w:val="auto"/>
        </w:rPr>
      </w:pPr>
      <w:r>
        <w:rPr>
          <w:rFonts w:ascii="Arial" w:cs="Arial" w:eastAsia="Arial" w:hAnsi="Arial"/>
          <w:sz w:val="17"/>
          <w:szCs w:val="17"/>
          <w:color w:val="404040"/>
        </w:rPr>
        <w:t>Our Central Index Key, or CIK, on the SEC website is 1665650, and JPMorgan Chase &amp; Co.’s CIK is 19617. As used in this pricing supplement, “we,” “us” and “our” refer to JPMorgan Financial.</w:t>
      </w:r>
    </w:p>
    <w:p>
      <w:pPr>
        <w:spacing w:after="0" w:line="20" w:lineRule="exact"/>
        <w:rPr>
          <w:rFonts w:ascii="Verdana" w:cs="Verdana" w:eastAsia="Verdana" w:hAnsi="Verdana"/>
          <w:sz w:val="16"/>
          <w:szCs w:val="16"/>
          <w:color w:val="404040"/>
        </w:rPr>
      </w:pPr>
      <w:r>
        <w:rPr>
          <w:rFonts w:ascii="Verdana" w:cs="Verdana" w:eastAsia="Verdana" w:hAnsi="Verdana"/>
          <w:sz w:val="16"/>
          <w:szCs w:val="16"/>
          <w:color w:val="404040"/>
        </w:rPr>
        <w:drawing>
          <wp:anchor simplePos="0" relativeHeight="251657728" behindDoc="1" locked="0" layoutInCell="0" allowOverlap="1">
            <wp:simplePos x="0" y="0"/>
            <wp:positionH relativeFrom="column">
              <wp:posOffset>37465</wp:posOffset>
            </wp:positionH>
            <wp:positionV relativeFrom="paragraph">
              <wp:posOffset>6570980</wp:posOffset>
            </wp:positionV>
            <wp:extent cx="6378575" cy="4540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6378575" cy="454025"/>
                    </a:xfrm>
                    <a:prstGeom prst="rect">
                      <a:avLst/>
                    </a:prstGeom>
                    <a:noFill/>
                  </pic:spPr>
                </pic:pic>
              </a:graphicData>
            </a:graphic>
          </wp:anchor>
        </w:drawing>
      </w:r>
    </w:p>
    <w:p>
      <w:pPr>
        <w:spacing w:after="0" w:line="200" w:lineRule="exact"/>
        <w:rPr>
          <w:rFonts w:ascii="Verdana" w:cs="Verdana" w:eastAsia="Verdana" w:hAnsi="Verdana"/>
          <w:sz w:val="16"/>
          <w:szCs w:val="16"/>
          <w:color w:val="404040"/>
        </w:rPr>
      </w:pPr>
    </w:p>
    <w:p>
      <w:pPr>
        <w:spacing w:after="0" w:line="200" w:lineRule="exact"/>
        <w:rPr>
          <w:rFonts w:ascii="Verdana" w:cs="Verdana" w:eastAsia="Verdana" w:hAnsi="Verdana"/>
          <w:sz w:val="16"/>
          <w:szCs w:val="16"/>
          <w:color w:val="404040"/>
        </w:rPr>
      </w:pPr>
    </w:p>
    <w:p>
      <w:pPr>
        <w:spacing w:after="0" w:line="200" w:lineRule="exact"/>
        <w:rPr>
          <w:rFonts w:ascii="Verdana" w:cs="Verdana" w:eastAsia="Verdana" w:hAnsi="Verdana"/>
          <w:sz w:val="16"/>
          <w:szCs w:val="16"/>
          <w:color w:val="404040"/>
        </w:rPr>
      </w:pPr>
    </w:p>
    <w:p>
      <w:pPr>
        <w:spacing w:after="0" w:line="200" w:lineRule="exact"/>
        <w:rPr>
          <w:rFonts w:ascii="Verdana" w:cs="Verdana" w:eastAsia="Verdana" w:hAnsi="Verdana"/>
          <w:sz w:val="16"/>
          <w:szCs w:val="16"/>
          <w:color w:val="404040"/>
        </w:rPr>
      </w:pPr>
    </w:p>
    <w:p>
      <w:pPr>
        <w:spacing w:after="0" w:line="200" w:lineRule="exact"/>
        <w:rPr>
          <w:rFonts w:ascii="Verdana" w:cs="Verdana" w:eastAsia="Verdana" w:hAnsi="Verdana"/>
          <w:sz w:val="16"/>
          <w:szCs w:val="16"/>
          <w:color w:val="404040"/>
        </w:rPr>
      </w:pPr>
    </w:p>
    <w:p>
      <w:pPr>
        <w:spacing w:after="0" w:line="200" w:lineRule="exact"/>
        <w:rPr>
          <w:rFonts w:ascii="Verdana" w:cs="Verdana" w:eastAsia="Verdana" w:hAnsi="Verdana"/>
          <w:sz w:val="16"/>
          <w:szCs w:val="16"/>
          <w:color w:val="404040"/>
        </w:rPr>
      </w:pPr>
    </w:p>
    <w:p>
      <w:pPr>
        <w:spacing w:after="0" w:line="200" w:lineRule="exact"/>
        <w:rPr>
          <w:rFonts w:ascii="Verdana" w:cs="Verdana" w:eastAsia="Verdana" w:hAnsi="Verdana"/>
          <w:sz w:val="16"/>
          <w:szCs w:val="16"/>
          <w:color w:val="404040"/>
        </w:rPr>
      </w:pPr>
    </w:p>
    <w:p>
      <w:pPr>
        <w:spacing w:after="0" w:line="200" w:lineRule="exact"/>
        <w:rPr>
          <w:rFonts w:ascii="Verdana" w:cs="Verdana" w:eastAsia="Verdana" w:hAnsi="Verdana"/>
          <w:sz w:val="16"/>
          <w:szCs w:val="16"/>
          <w:color w:val="404040"/>
        </w:rPr>
      </w:pPr>
    </w:p>
    <w:p>
      <w:pPr>
        <w:spacing w:after="0" w:line="200" w:lineRule="exact"/>
        <w:rPr>
          <w:rFonts w:ascii="Verdana" w:cs="Verdana" w:eastAsia="Verdana" w:hAnsi="Verdana"/>
          <w:sz w:val="16"/>
          <w:szCs w:val="16"/>
          <w:color w:val="404040"/>
        </w:rPr>
      </w:pPr>
    </w:p>
    <w:p>
      <w:pPr>
        <w:spacing w:after="0" w:line="200" w:lineRule="exact"/>
        <w:rPr>
          <w:rFonts w:ascii="Verdana" w:cs="Verdana" w:eastAsia="Verdana" w:hAnsi="Verdana"/>
          <w:sz w:val="16"/>
          <w:szCs w:val="16"/>
          <w:color w:val="404040"/>
        </w:rPr>
      </w:pPr>
    </w:p>
    <w:p>
      <w:pPr>
        <w:spacing w:after="0" w:line="200" w:lineRule="exact"/>
        <w:rPr>
          <w:rFonts w:ascii="Verdana" w:cs="Verdana" w:eastAsia="Verdana" w:hAnsi="Verdana"/>
          <w:sz w:val="16"/>
          <w:szCs w:val="16"/>
          <w:color w:val="404040"/>
        </w:rPr>
      </w:pPr>
    </w:p>
    <w:p>
      <w:pPr>
        <w:spacing w:after="0" w:line="200" w:lineRule="exact"/>
        <w:rPr>
          <w:rFonts w:ascii="Verdana" w:cs="Verdana" w:eastAsia="Verdana" w:hAnsi="Verdana"/>
          <w:sz w:val="16"/>
          <w:szCs w:val="16"/>
          <w:color w:val="404040"/>
        </w:rPr>
      </w:pPr>
    </w:p>
    <w:p>
      <w:pPr>
        <w:spacing w:after="0" w:line="200" w:lineRule="exact"/>
        <w:rPr>
          <w:rFonts w:ascii="Verdana" w:cs="Verdana" w:eastAsia="Verdana" w:hAnsi="Verdana"/>
          <w:sz w:val="16"/>
          <w:szCs w:val="16"/>
          <w:color w:val="404040"/>
        </w:rPr>
      </w:pPr>
    </w:p>
    <w:p>
      <w:pPr>
        <w:spacing w:after="0" w:line="200" w:lineRule="exact"/>
        <w:rPr>
          <w:rFonts w:ascii="Verdana" w:cs="Verdana" w:eastAsia="Verdana" w:hAnsi="Verdana"/>
          <w:sz w:val="16"/>
          <w:szCs w:val="16"/>
          <w:color w:val="404040"/>
        </w:rPr>
      </w:pPr>
    </w:p>
    <w:p>
      <w:pPr>
        <w:spacing w:after="0" w:line="200" w:lineRule="exact"/>
        <w:rPr>
          <w:rFonts w:ascii="Verdana" w:cs="Verdana" w:eastAsia="Verdana" w:hAnsi="Verdana"/>
          <w:sz w:val="16"/>
          <w:szCs w:val="16"/>
          <w:color w:val="404040"/>
        </w:rPr>
      </w:pPr>
    </w:p>
    <w:p>
      <w:pPr>
        <w:spacing w:after="0" w:line="200" w:lineRule="exact"/>
        <w:rPr>
          <w:rFonts w:ascii="Verdana" w:cs="Verdana" w:eastAsia="Verdana" w:hAnsi="Verdana"/>
          <w:sz w:val="16"/>
          <w:szCs w:val="16"/>
          <w:color w:val="404040"/>
        </w:rPr>
      </w:pPr>
    </w:p>
    <w:p>
      <w:pPr>
        <w:spacing w:after="0" w:line="200" w:lineRule="exact"/>
        <w:rPr>
          <w:rFonts w:ascii="Verdana" w:cs="Verdana" w:eastAsia="Verdana" w:hAnsi="Verdana"/>
          <w:sz w:val="16"/>
          <w:szCs w:val="16"/>
          <w:color w:val="404040"/>
        </w:rPr>
      </w:pPr>
    </w:p>
    <w:p>
      <w:pPr>
        <w:spacing w:after="0" w:line="200" w:lineRule="exact"/>
        <w:rPr>
          <w:rFonts w:ascii="Verdana" w:cs="Verdana" w:eastAsia="Verdana" w:hAnsi="Verdana"/>
          <w:sz w:val="16"/>
          <w:szCs w:val="16"/>
          <w:color w:val="404040"/>
        </w:rPr>
      </w:pPr>
    </w:p>
    <w:p>
      <w:pPr>
        <w:spacing w:after="0" w:line="200" w:lineRule="exact"/>
        <w:rPr>
          <w:rFonts w:ascii="Verdana" w:cs="Verdana" w:eastAsia="Verdana" w:hAnsi="Verdana"/>
          <w:sz w:val="16"/>
          <w:szCs w:val="16"/>
          <w:color w:val="404040"/>
        </w:rPr>
      </w:pPr>
    </w:p>
    <w:p>
      <w:pPr>
        <w:spacing w:after="0" w:line="200" w:lineRule="exact"/>
        <w:rPr>
          <w:rFonts w:ascii="Verdana" w:cs="Verdana" w:eastAsia="Verdana" w:hAnsi="Verdana"/>
          <w:sz w:val="16"/>
          <w:szCs w:val="16"/>
          <w:color w:val="404040"/>
        </w:rPr>
      </w:pPr>
    </w:p>
    <w:p>
      <w:pPr>
        <w:spacing w:after="0" w:line="200" w:lineRule="exact"/>
        <w:rPr>
          <w:rFonts w:ascii="Verdana" w:cs="Verdana" w:eastAsia="Verdana" w:hAnsi="Verdana"/>
          <w:sz w:val="16"/>
          <w:szCs w:val="16"/>
          <w:color w:val="404040"/>
        </w:rPr>
      </w:pPr>
    </w:p>
    <w:p>
      <w:pPr>
        <w:spacing w:after="0" w:line="200" w:lineRule="exact"/>
        <w:rPr>
          <w:rFonts w:ascii="Verdana" w:cs="Verdana" w:eastAsia="Verdana" w:hAnsi="Verdana"/>
          <w:sz w:val="16"/>
          <w:szCs w:val="16"/>
          <w:color w:val="404040"/>
        </w:rPr>
      </w:pPr>
    </w:p>
    <w:p>
      <w:pPr>
        <w:spacing w:after="0" w:line="200" w:lineRule="exact"/>
        <w:rPr>
          <w:rFonts w:ascii="Verdana" w:cs="Verdana" w:eastAsia="Verdana" w:hAnsi="Verdana"/>
          <w:sz w:val="16"/>
          <w:szCs w:val="16"/>
          <w:color w:val="404040"/>
        </w:rPr>
      </w:pPr>
    </w:p>
    <w:p>
      <w:pPr>
        <w:spacing w:after="0" w:line="200" w:lineRule="exact"/>
        <w:rPr>
          <w:rFonts w:ascii="Verdana" w:cs="Verdana" w:eastAsia="Verdana" w:hAnsi="Verdana"/>
          <w:sz w:val="16"/>
          <w:szCs w:val="16"/>
          <w:color w:val="404040"/>
        </w:rPr>
      </w:pPr>
    </w:p>
    <w:p>
      <w:pPr>
        <w:spacing w:after="0" w:line="200" w:lineRule="exact"/>
        <w:rPr>
          <w:rFonts w:ascii="Verdana" w:cs="Verdana" w:eastAsia="Verdana" w:hAnsi="Verdana"/>
          <w:sz w:val="16"/>
          <w:szCs w:val="16"/>
          <w:color w:val="404040"/>
        </w:rPr>
      </w:pPr>
    </w:p>
    <w:p>
      <w:pPr>
        <w:spacing w:after="0" w:line="200" w:lineRule="exact"/>
        <w:rPr>
          <w:rFonts w:ascii="Verdana" w:cs="Verdana" w:eastAsia="Verdana" w:hAnsi="Verdana"/>
          <w:sz w:val="16"/>
          <w:szCs w:val="16"/>
          <w:color w:val="404040"/>
        </w:rPr>
      </w:pPr>
    </w:p>
    <w:p>
      <w:pPr>
        <w:spacing w:after="0" w:line="200" w:lineRule="exact"/>
        <w:rPr>
          <w:rFonts w:ascii="Verdana" w:cs="Verdana" w:eastAsia="Verdana" w:hAnsi="Verdana"/>
          <w:sz w:val="16"/>
          <w:szCs w:val="16"/>
          <w:color w:val="404040"/>
        </w:rPr>
      </w:pPr>
    </w:p>
    <w:p>
      <w:pPr>
        <w:spacing w:after="0" w:line="200" w:lineRule="exact"/>
        <w:rPr>
          <w:rFonts w:ascii="Verdana" w:cs="Verdana" w:eastAsia="Verdana" w:hAnsi="Verdana"/>
          <w:sz w:val="16"/>
          <w:szCs w:val="16"/>
          <w:color w:val="404040"/>
        </w:rPr>
      </w:pPr>
    </w:p>
    <w:p>
      <w:pPr>
        <w:spacing w:after="0" w:line="200" w:lineRule="exact"/>
        <w:rPr>
          <w:rFonts w:ascii="Verdana" w:cs="Verdana" w:eastAsia="Verdana" w:hAnsi="Verdana"/>
          <w:sz w:val="16"/>
          <w:szCs w:val="16"/>
          <w:color w:val="404040"/>
        </w:rPr>
      </w:pPr>
    </w:p>
    <w:p>
      <w:pPr>
        <w:spacing w:after="0" w:line="200" w:lineRule="exact"/>
        <w:rPr>
          <w:rFonts w:ascii="Verdana" w:cs="Verdana" w:eastAsia="Verdana" w:hAnsi="Verdana"/>
          <w:sz w:val="16"/>
          <w:szCs w:val="16"/>
          <w:color w:val="404040"/>
        </w:rPr>
      </w:pPr>
    </w:p>
    <w:p>
      <w:pPr>
        <w:spacing w:after="0" w:line="200" w:lineRule="exact"/>
        <w:rPr>
          <w:rFonts w:ascii="Verdana" w:cs="Verdana" w:eastAsia="Verdana" w:hAnsi="Verdana"/>
          <w:sz w:val="16"/>
          <w:szCs w:val="16"/>
          <w:color w:val="404040"/>
        </w:rPr>
      </w:pPr>
    </w:p>
    <w:p>
      <w:pPr>
        <w:spacing w:after="0" w:line="200" w:lineRule="exact"/>
        <w:rPr>
          <w:rFonts w:ascii="Verdana" w:cs="Verdana" w:eastAsia="Verdana" w:hAnsi="Verdana"/>
          <w:sz w:val="16"/>
          <w:szCs w:val="16"/>
          <w:color w:val="404040"/>
        </w:rPr>
      </w:pPr>
    </w:p>
    <w:p>
      <w:pPr>
        <w:spacing w:after="0" w:line="200" w:lineRule="exact"/>
        <w:rPr>
          <w:rFonts w:ascii="Verdana" w:cs="Verdana" w:eastAsia="Verdana" w:hAnsi="Verdana"/>
          <w:sz w:val="16"/>
          <w:szCs w:val="16"/>
          <w:color w:val="404040"/>
        </w:rPr>
      </w:pPr>
    </w:p>
    <w:p>
      <w:pPr>
        <w:spacing w:after="0" w:line="200" w:lineRule="exact"/>
        <w:rPr>
          <w:rFonts w:ascii="Verdana" w:cs="Verdana" w:eastAsia="Verdana" w:hAnsi="Verdana"/>
          <w:sz w:val="16"/>
          <w:szCs w:val="16"/>
          <w:color w:val="404040"/>
        </w:rPr>
      </w:pPr>
    </w:p>
    <w:p>
      <w:pPr>
        <w:spacing w:after="0" w:line="200" w:lineRule="exact"/>
        <w:rPr>
          <w:rFonts w:ascii="Verdana" w:cs="Verdana" w:eastAsia="Verdana" w:hAnsi="Verdana"/>
          <w:sz w:val="16"/>
          <w:szCs w:val="16"/>
          <w:color w:val="404040"/>
        </w:rPr>
      </w:pPr>
    </w:p>
    <w:p>
      <w:pPr>
        <w:spacing w:after="0" w:line="200" w:lineRule="exact"/>
        <w:rPr>
          <w:rFonts w:ascii="Verdana" w:cs="Verdana" w:eastAsia="Verdana" w:hAnsi="Verdana"/>
          <w:sz w:val="16"/>
          <w:szCs w:val="16"/>
          <w:color w:val="404040"/>
        </w:rPr>
      </w:pPr>
    </w:p>
    <w:p>
      <w:pPr>
        <w:spacing w:after="0" w:line="200" w:lineRule="exact"/>
        <w:rPr>
          <w:rFonts w:ascii="Verdana" w:cs="Verdana" w:eastAsia="Verdana" w:hAnsi="Verdana"/>
          <w:sz w:val="16"/>
          <w:szCs w:val="16"/>
          <w:color w:val="404040"/>
        </w:rPr>
      </w:pPr>
    </w:p>
    <w:p>
      <w:pPr>
        <w:spacing w:after="0" w:line="200" w:lineRule="exact"/>
        <w:rPr>
          <w:rFonts w:ascii="Verdana" w:cs="Verdana" w:eastAsia="Verdana" w:hAnsi="Verdana"/>
          <w:sz w:val="16"/>
          <w:szCs w:val="16"/>
          <w:color w:val="404040"/>
        </w:rPr>
      </w:pPr>
    </w:p>
    <w:p>
      <w:pPr>
        <w:spacing w:after="0" w:line="200" w:lineRule="exact"/>
        <w:rPr>
          <w:rFonts w:ascii="Verdana" w:cs="Verdana" w:eastAsia="Verdana" w:hAnsi="Verdana"/>
          <w:sz w:val="16"/>
          <w:szCs w:val="16"/>
          <w:color w:val="404040"/>
        </w:rPr>
      </w:pPr>
    </w:p>
    <w:p>
      <w:pPr>
        <w:spacing w:after="0" w:line="200" w:lineRule="exact"/>
        <w:rPr>
          <w:rFonts w:ascii="Verdana" w:cs="Verdana" w:eastAsia="Verdana" w:hAnsi="Verdana"/>
          <w:sz w:val="16"/>
          <w:szCs w:val="16"/>
          <w:color w:val="404040"/>
        </w:rPr>
      </w:pPr>
    </w:p>
    <w:p>
      <w:pPr>
        <w:spacing w:after="0" w:line="200" w:lineRule="exact"/>
        <w:rPr>
          <w:rFonts w:ascii="Verdana" w:cs="Verdana" w:eastAsia="Verdana" w:hAnsi="Verdana"/>
          <w:sz w:val="16"/>
          <w:szCs w:val="16"/>
          <w:color w:val="404040"/>
        </w:rPr>
      </w:pPr>
    </w:p>
    <w:p>
      <w:pPr>
        <w:spacing w:after="0" w:line="200" w:lineRule="exact"/>
        <w:rPr>
          <w:rFonts w:ascii="Verdana" w:cs="Verdana" w:eastAsia="Verdana" w:hAnsi="Verdana"/>
          <w:sz w:val="16"/>
          <w:szCs w:val="16"/>
          <w:color w:val="404040"/>
        </w:rPr>
      </w:pPr>
    </w:p>
    <w:p>
      <w:pPr>
        <w:spacing w:after="0" w:line="200" w:lineRule="exact"/>
        <w:rPr>
          <w:rFonts w:ascii="Verdana" w:cs="Verdana" w:eastAsia="Verdana" w:hAnsi="Verdana"/>
          <w:sz w:val="16"/>
          <w:szCs w:val="16"/>
          <w:color w:val="404040"/>
        </w:rPr>
      </w:pPr>
    </w:p>
    <w:p>
      <w:pPr>
        <w:spacing w:after="0" w:line="200" w:lineRule="exact"/>
        <w:rPr>
          <w:rFonts w:ascii="Verdana" w:cs="Verdana" w:eastAsia="Verdana" w:hAnsi="Verdana"/>
          <w:sz w:val="16"/>
          <w:szCs w:val="16"/>
          <w:color w:val="404040"/>
        </w:rPr>
      </w:pPr>
    </w:p>
    <w:p>
      <w:pPr>
        <w:spacing w:after="0" w:line="200" w:lineRule="exact"/>
        <w:rPr>
          <w:rFonts w:ascii="Verdana" w:cs="Verdana" w:eastAsia="Verdana" w:hAnsi="Verdana"/>
          <w:sz w:val="16"/>
          <w:szCs w:val="16"/>
          <w:color w:val="404040"/>
        </w:rPr>
      </w:pPr>
    </w:p>
    <w:p>
      <w:pPr>
        <w:spacing w:after="0" w:line="200" w:lineRule="exact"/>
        <w:rPr>
          <w:rFonts w:ascii="Verdana" w:cs="Verdana" w:eastAsia="Verdana" w:hAnsi="Verdana"/>
          <w:sz w:val="16"/>
          <w:szCs w:val="16"/>
          <w:color w:val="404040"/>
        </w:rPr>
      </w:pPr>
    </w:p>
    <w:p>
      <w:pPr>
        <w:spacing w:after="0" w:line="200" w:lineRule="exact"/>
        <w:rPr>
          <w:rFonts w:ascii="Verdana" w:cs="Verdana" w:eastAsia="Verdana" w:hAnsi="Verdana"/>
          <w:sz w:val="16"/>
          <w:szCs w:val="16"/>
          <w:color w:val="404040"/>
        </w:rPr>
      </w:pPr>
    </w:p>
    <w:p>
      <w:pPr>
        <w:spacing w:after="0" w:line="200" w:lineRule="exact"/>
        <w:rPr>
          <w:rFonts w:ascii="Verdana" w:cs="Verdana" w:eastAsia="Verdana" w:hAnsi="Verdana"/>
          <w:sz w:val="16"/>
          <w:szCs w:val="16"/>
          <w:color w:val="404040"/>
        </w:rPr>
      </w:pPr>
    </w:p>
    <w:p>
      <w:pPr>
        <w:spacing w:after="0" w:line="200" w:lineRule="exact"/>
        <w:rPr>
          <w:rFonts w:ascii="Verdana" w:cs="Verdana" w:eastAsia="Verdana" w:hAnsi="Verdana"/>
          <w:sz w:val="16"/>
          <w:szCs w:val="16"/>
          <w:color w:val="404040"/>
        </w:rPr>
      </w:pPr>
    </w:p>
    <w:p>
      <w:pPr>
        <w:spacing w:after="0" w:line="200" w:lineRule="exact"/>
        <w:rPr>
          <w:rFonts w:ascii="Verdana" w:cs="Verdana" w:eastAsia="Verdana" w:hAnsi="Verdana"/>
          <w:sz w:val="16"/>
          <w:szCs w:val="16"/>
          <w:color w:val="404040"/>
        </w:rPr>
      </w:pPr>
    </w:p>
    <w:p>
      <w:pPr>
        <w:spacing w:after="0" w:line="200" w:lineRule="exact"/>
        <w:rPr>
          <w:rFonts w:ascii="Verdana" w:cs="Verdana" w:eastAsia="Verdana" w:hAnsi="Verdana"/>
          <w:sz w:val="16"/>
          <w:szCs w:val="16"/>
          <w:color w:val="404040"/>
        </w:rPr>
      </w:pPr>
    </w:p>
    <w:p>
      <w:pPr>
        <w:spacing w:after="0" w:line="246" w:lineRule="exact"/>
        <w:rPr>
          <w:rFonts w:ascii="Verdana" w:cs="Verdana" w:eastAsia="Verdana" w:hAnsi="Verdana"/>
          <w:sz w:val="16"/>
          <w:szCs w:val="16"/>
          <w:color w:val="404040"/>
        </w:rPr>
      </w:pPr>
    </w:p>
    <w:p>
      <w:pPr>
        <w:ind w:left="5"/>
        <w:spacing w:after="0"/>
        <w:rPr>
          <w:sz w:val="20"/>
          <w:szCs w:val="20"/>
          <w:color w:val="auto"/>
        </w:rPr>
      </w:pPr>
      <w:r>
        <w:rPr>
          <w:rFonts w:ascii="Arial" w:cs="Arial" w:eastAsia="Arial" w:hAnsi="Arial"/>
          <w:sz w:val="17"/>
          <w:szCs w:val="17"/>
          <w:color w:val="7F7F7F"/>
        </w:rPr>
        <w:t>PS-12 | Structured Investments</w:t>
      </w:r>
    </w:p>
    <w:p>
      <w:pPr>
        <w:ind w:left="5"/>
        <w:spacing w:after="0" w:line="199" w:lineRule="auto"/>
        <w:rPr>
          <w:sz w:val="20"/>
          <w:szCs w:val="20"/>
          <w:color w:val="auto"/>
        </w:rPr>
      </w:pPr>
      <w:r>
        <w:rPr>
          <w:rFonts w:ascii="Arial" w:cs="Arial" w:eastAsia="Arial" w:hAnsi="Arial"/>
          <w:sz w:val="15"/>
          <w:szCs w:val="15"/>
          <w:color w:val="808080"/>
        </w:rPr>
        <w:t>Contingent Interest Notes Linked to the Least Performing of the S&amp;P 500</w:t>
      </w:r>
      <w:r>
        <w:rPr>
          <w:rFonts w:ascii="Arial" w:cs="Arial" w:eastAsia="Arial" w:hAnsi="Arial"/>
          <w:sz w:val="18"/>
          <w:szCs w:val="18"/>
          <w:color w:val="808080"/>
          <w:vertAlign w:val="superscript"/>
        </w:rPr>
        <w:t>®</w:t>
      </w:r>
    </w:p>
    <w:p>
      <w:pPr>
        <w:ind w:left="5"/>
        <w:spacing w:after="0" w:line="218" w:lineRule="auto"/>
        <w:rPr>
          <w:sz w:val="20"/>
          <w:szCs w:val="20"/>
          <w:color w:val="auto"/>
        </w:rPr>
      </w:pPr>
      <w:r>
        <w:rPr>
          <w:rFonts w:ascii="Arial" w:cs="Arial" w:eastAsia="Arial" w:hAnsi="Arial"/>
          <w:sz w:val="15"/>
          <w:szCs w:val="15"/>
          <w:color w:val="808080"/>
        </w:rPr>
        <w:t>Index, the Nasdaq-100</w:t>
      </w:r>
      <w:r>
        <w:rPr>
          <w:rFonts w:ascii="Arial" w:cs="Arial" w:eastAsia="Arial" w:hAnsi="Arial"/>
          <w:sz w:val="18"/>
          <w:szCs w:val="18"/>
          <w:color w:val="808080"/>
          <w:vertAlign w:val="superscript"/>
        </w:rPr>
        <w:t>®</w:t>
      </w:r>
      <w:r>
        <w:rPr>
          <w:rFonts w:ascii="Arial" w:cs="Arial" w:eastAsia="Arial" w:hAnsi="Arial"/>
          <w:sz w:val="15"/>
          <w:szCs w:val="15"/>
          <w:color w:val="808080"/>
        </w:rPr>
        <w:t xml:space="preserve"> Technology Sector Index</w:t>
      </w:r>
      <w:r>
        <w:rPr>
          <w:rFonts w:ascii="Arial" w:cs="Arial" w:eastAsia="Arial" w:hAnsi="Arial"/>
          <w:sz w:val="18"/>
          <w:szCs w:val="18"/>
          <w:color w:val="808080"/>
          <w:vertAlign w:val="superscript"/>
        </w:rPr>
        <w:t>SM</w:t>
      </w:r>
      <w:r>
        <w:rPr>
          <w:rFonts w:ascii="Arial" w:cs="Arial" w:eastAsia="Arial" w:hAnsi="Arial"/>
          <w:sz w:val="15"/>
          <w:szCs w:val="15"/>
          <w:color w:val="808080"/>
        </w:rPr>
        <w:t xml:space="preserve"> and the Russell 2000</w:t>
      </w:r>
      <w:r>
        <w:rPr>
          <w:rFonts w:ascii="Arial" w:cs="Arial" w:eastAsia="Arial" w:hAnsi="Arial"/>
          <w:sz w:val="18"/>
          <w:szCs w:val="18"/>
          <w:color w:val="808080"/>
          <w:vertAlign w:val="superscript"/>
        </w:rPr>
        <w:t>®</w:t>
      </w:r>
    </w:p>
    <w:p>
      <w:pPr>
        <w:ind w:left="5"/>
        <w:spacing w:after="0"/>
        <w:rPr>
          <w:sz w:val="20"/>
          <w:szCs w:val="20"/>
          <w:color w:val="auto"/>
        </w:rPr>
      </w:pPr>
      <w:r>
        <w:rPr>
          <w:rFonts w:ascii="Arial" w:cs="Arial" w:eastAsia="Arial" w:hAnsi="Arial"/>
          <w:sz w:val="15"/>
          <w:szCs w:val="15"/>
          <w:color w:val="808080"/>
        </w:rPr>
        <w:t>Index</w:t>
      </w:r>
    </w:p>
    <w:sectPr>
      <w:pgSz w:w="11900" w:h="16838" w:orient="portrait"/>
      <w:cols w:equalWidth="0" w:num="1">
        <w:col w:w="9665"/>
      </w:cols>
      <w:pgMar w:left="995" w:top="886" w:right="1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Verdana">
    <w:panose1 w:val="020B0604030504040204"/>
    <w:charset w:val="00"/>
    <w:family w:val="swiss"/>
    <w:pitch w:val="variable"/>
    <w:sig w:usb0="A10006FF" w:usb1="4000205B" w:usb2="00000010" w:usb3="00000000" w:csb0="2000019F" w:csb1="0000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1)"/>
      <w:numFmt w:val="decimal"/>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
      <w:numFmt w:val="bullet"/>
      <w:start w:val="1"/>
    </w:lvl>
  </w:abstractNum>
  <w:abstractNum w:abstractNumId="9">
    <w:nsid w:val="1F16E9E8"/>
    <w:multiLevelType w:val="hybridMultilevel"/>
    <w:lvl w:ilvl="0">
      <w:lvlJc w:val="left"/>
      <w:lvlText w:val="•"/>
      <w:numFmt w:val="bullet"/>
      <w:start w:val="1"/>
    </w:lvl>
  </w:abstractNum>
  <w:abstractNum w:abstractNumId="10">
    <w:nsid w:val="1190CDE7"/>
    <w:multiLevelType w:val="hybridMultilevel"/>
    <w:lvl w:ilvl="0">
      <w:lvlJc w:val="left"/>
      <w:lvlText w:val="\emdash "/>
      <w:numFmt w:val="bullet"/>
      <w:start w:val="1"/>
    </w:lvl>
  </w:abstractNum>
  <w:abstractNum w:abstractNumId="11">
    <w:nsid w:val="66EF438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3" Type="http://schemas.openxmlformats.org/officeDocument/2006/relationships/image" Target="media/image13.jpeg"/><Relationship Id="rId20" Type="http://schemas.openxmlformats.org/officeDocument/2006/relationships/hyperlink" Target="http://www.sec.gov/Archives/edgar/data/19617/000121390026045198/ea0285802-20_424b2.pdf" TargetMode="External"/><Relationship Id="rId21" Type="http://schemas.openxmlformats.org/officeDocument/2006/relationships/hyperlink" Target="http://www.sec.gov/Archives/edgar/data/19617/000121390026045209/ea0285802-11_424b2.pdf" TargetMode="External"/><Relationship Id="rId22" Type="http://schemas.openxmlformats.org/officeDocument/2006/relationships/hyperlink" Target="http://www.sec.gov/Archives/edgar/data/19617/000095010326005889/crt_dp245141-424b2.pdf"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2026-06-23T15:46:40Z</dcterms:created>
  <dcterms:modified xsi:type="dcterms:W3CDTF">2026-06-23T15:46:40Z</dcterms:modified>
</cp:coreProperties>
</file>