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1560" w:type="dxa"/>
        <w:tblCellMar>
          <w:top w:w="0" w:type="dxa"/>
          <w:left w:w="0" w:type="dxa"/>
          <w:bottom w:w="0" w:type="dxa"/>
          <w:right w:w="0" w:type="dxa"/>
        </w:tblCellMar>
      </w:tblPr>
      <w:tr>
        <w:trPr>
          <w:trHeight w:val="222"/>
        </w:trPr>
        <w:tc>
          <w:tcPr>
            <w:tcW w:w="6400" w:type="dxa"/>
            <w:vAlign w:val="bottom"/>
            <w:gridSpan w:val="3"/>
          </w:tcPr>
          <w:p>
            <w:pPr>
              <w:jc w:val="center"/>
              <w:ind w:left="1885"/>
              <w:spacing w:after="0"/>
              <w:rPr>
                <w:sz w:val="20"/>
                <w:szCs w:val="20"/>
                <w:color w:val="auto"/>
              </w:rPr>
            </w:pPr>
            <w:r>
              <w:rPr>
                <w:rFonts w:ascii="Arial" w:cs="Arial" w:eastAsia="Arial" w:hAnsi="Arial"/>
                <w:sz w:val="19"/>
                <w:szCs w:val="19"/>
                <w:b w:val="1"/>
                <w:bCs w:val="1"/>
                <w:i w:val="1"/>
                <w:iCs w:val="1"/>
                <w:color w:val="auto"/>
                <w:w w:val="97"/>
              </w:rPr>
              <w:t>SECURITIES AND EXCHANGE COMMISSION</w:t>
            </w:r>
          </w:p>
        </w:tc>
        <w:tc>
          <w:tcPr>
            <w:tcW w:w="1300" w:type="dxa"/>
            <w:vAlign w:val="bottom"/>
          </w:tcPr>
          <w:p>
            <w:pPr>
              <w:spacing w:after="0"/>
              <w:rPr>
                <w:sz w:val="19"/>
                <w:szCs w:val="19"/>
                <w:color w:val="auto"/>
              </w:rPr>
            </w:pPr>
          </w:p>
        </w:tc>
      </w:tr>
      <w:tr>
        <w:trPr>
          <w:trHeight w:val="240"/>
        </w:trPr>
        <w:tc>
          <w:tcPr>
            <w:tcW w:w="2680" w:type="dxa"/>
            <w:vAlign w:val="bottom"/>
          </w:tcPr>
          <w:p>
            <w:pPr>
              <w:spacing w:after="0"/>
              <w:rPr>
                <w:sz w:val="20"/>
                <w:szCs w:val="20"/>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9"/>
                <w:szCs w:val="19"/>
                <w:b w:val="1"/>
                <w:bCs w:val="1"/>
                <w:i w:val="1"/>
                <w:iCs w:val="1"/>
                <w:color w:val="auto"/>
                <w:w w:val="93"/>
              </w:rPr>
              <w:t>WASHINGTON, D.C. 20549</w:t>
            </w:r>
          </w:p>
        </w:tc>
        <w:tc>
          <w:tcPr>
            <w:tcW w:w="1300" w:type="dxa"/>
            <w:vAlign w:val="bottom"/>
          </w:tcPr>
          <w:p>
            <w:pPr>
              <w:spacing w:after="0"/>
              <w:rPr>
                <w:sz w:val="20"/>
                <w:szCs w:val="20"/>
                <w:color w:val="auto"/>
              </w:rPr>
            </w:pPr>
          </w:p>
        </w:tc>
      </w:tr>
      <w:tr>
        <w:trPr>
          <w:trHeight w:val="206"/>
        </w:trPr>
        <w:tc>
          <w:tcPr>
            <w:tcW w:w="2680" w:type="dxa"/>
            <w:vAlign w:val="bottom"/>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6"/>
        </w:trPr>
        <w:tc>
          <w:tcPr>
            <w:tcW w:w="2680" w:type="dxa"/>
            <w:vAlign w:val="bottom"/>
          </w:tcPr>
          <w:p>
            <w:pPr>
              <w:spacing w:after="0"/>
              <w:rPr>
                <w:sz w:val="24"/>
                <w:szCs w:val="24"/>
                <w:color w:val="auto"/>
              </w:rPr>
            </w:pPr>
          </w:p>
        </w:tc>
        <w:tc>
          <w:tcPr>
            <w:tcW w:w="3720" w:type="dxa"/>
            <w:vAlign w:val="bottom"/>
            <w:gridSpan w:val="2"/>
          </w:tcPr>
          <w:p>
            <w:pPr>
              <w:jc w:val="center"/>
              <w:ind w:right="720"/>
              <w:spacing w:after="0"/>
              <w:rPr>
                <w:sz w:val="20"/>
                <w:szCs w:val="20"/>
                <w:color w:val="auto"/>
              </w:rPr>
            </w:pPr>
            <w:r>
              <w:rPr>
                <w:rFonts w:ascii="Arial" w:cs="Arial" w:eastAsia="Arial" w:hAnsi="Arial"/>
                <w:sz w:val="19"/>
                <w:szCs w:val="19"/>
                <w:b w:val="1"/>
                <w:bCs w:val="1"/>
                <w:color w:val="auto"/>
                <w:w w:val="98"/>
              </w:rPr>
              <w:t>FORM 10-K/A</w:t>
            </w:r>
          </w:p>
        </w:tc>
        <w:tc>
          <w:tcPr>
            <w:tcW w:w="1300" w:type="dxa"/>
            <w:vAlign w:val="bottom"/>
          </w:tcPr>
          <w:p>
            <w:pPr>
              <w:spacing w:after="0"/>
              <w:rPr>
                <w:sz w:val="24"/>
                <w:szCs w:val="24"/>
                <w:color w:val="auto"/>
              </w:rPr>
            </w:pPr>
          </w:p>
        </w:tc>
      </w:tr>
      <w:tr>
        <w:trPr>
          <w:trHeight w:val="222"/>
        </w:trPr>
        <w:tc>
          <w:tcPr>
            <w:tcW w:w="6400" w:type="dxa"/>
            <w:vAlign w:val="bottom"/>
            <w:gridSpan w:val="3"/>
          </w:tcPr>
          <w:p>
            <w:pPr>
              <w:jc w:val="center"/>
              <w:ind w:left="1885"/>
              <w:spacing w:after="0"/>
              <w:rPr>
                <w:sz w:val="20"/>
                <w:szCs w:val="20"/>
                <w:color w:val="auto"/>
              </w:rPr>
            </w:pPr>
            <w:r>
              <w:rPr>
                <w:rFonts w:ascii="Arial" w:cs="Arial" w:eastAsia="Arial" w:hAnsi="Arial"/>
                <w:sz w:val="19"/>
                <w:szCs w:val="19"/>
                <w:b w:val="1"/>
                <w:bCs w:val="1"/>
                <w:color w:val="auto"/>
                <w:w w:val="89"/>
              </w:rPr>
              <w:t>Annual Report Pursuant to Section 13 or 15(d) of</w:t>
            </w:r>
          </w:p>
        </w:tc>
        <w:tc>
          <w:tcPr>
            <w:tcW w:w="1300" w:type="dxa"/>
            <w:vAlign w:val="bottom"/>
          </w:tcPr>
          <w:p>
            <w:pPr>
              <w:spacing w:after="0"/>
              <w:rPr>
                <w:sz w:val="19"/>
                <w:szCs w:val="19"/>
                <w:color w:val="auto"/>
              </w:rPr>
            </w:pPr>
          </w:p>
        </w:tc>
      </w:tr>
      <w:tr>
        <w:trPr>
          <w:trHeight w:val="246"/>
        </w:trPr>
        <w:tc>
          <w:tcPr>
            <w:tcW w:w="2680" w:type="dxa"/>
            <w:vAlign w:val="bottom"/>
          </w:tcPr>
          <w:p>
            <w:pPr>
              <w:spacing w:after="0"/>
              <w:rPr>
                <w:sz w:val="21"/>
                <w:szCs w:val="21"/>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9"/>
                <w:szCs w:val="19"/>
                <w:b w:val="1"/>
                <w:bCs w:val="1"/>
                <w:color w:val="auto"/>
                <w:w w:val="88"/>
              </w:rPr>
              <w:t>The Securities Exchange Act of 1934</w:t>
            </w:r>
          </w:p>
        </w:tc>
        <w:tc>
          <w:tcPr>
            <w:tcW w:w="1300" w:type="dxa"/>
            <w:vAlign w:val="bottom"/>
          </w:tcPr>
          <w:p>
            <w:pPr>
              <w:spacing w:after="0"/>
              <w:rPr>
                <w:sz w:val="21"/>
                <w:szCs w:val="21"/>
                <w:color w:val="auto"/>
              </w:rPr>
            </w:pPr>
          </w:p>
        </w:tc>
      </w:tr>
      <w:tr>
        <w:trPr>
          <w:trHeight w:val="304"/>
        </w:trPr>
        <w:tc>
          <w:tcPr>
            <w:tcW w:w="6400" w:type="dxa"/>
            <w:vAlign w:val="bottom"/>
            <w:gridSpan w:val="3"/>
          </w:tcPr>
          <w:p>
            <w:pPr>
              <w:jc w:val="center"/>
              <w:ind w:right="4060"/>
              <w:spacing w:after="0"/>
              <w:rPr>
                <w:sz w:val="20"/>
                <w:szCs w:val="20"/>
                <w:color w:val="auto"/>
              </w:rPr>
            </w:pPr>
            <w:r>
              <w:rPr>
                <w:rFonts w:ascii="Arial" w:cs="Arial" w:eastAsia="Arial" w:hAnsi="Arial"/>
                <w:sz w:val="13"/>
                <w:szCs w:val="13"/>
                <w:b w:val="1"/>
                <w:bCs w:val="1"/>
                <w:color w:val="auto"/>
                <w:w w:val="92"/>
              </w:rPr>
              <w:t>For the fiscal year ended</w:t>
            </w:r>
          </w:p>
        </w:tc>
        <w:tc>
          <w:tcPr>
            <w:tcW w:w="1300" w:type="dxa"/>
            <w:vAlign w:val="bottom"/>
          </w:tcPr>
          <w:p>
            <w:pPr>
              <w:jc w:val="center"/>
              <w:ind w:left="189"/>
              <w:spacing w:after="0"/>
              <w:rPr>
                <w:sz w:val="20"/>
                <w:szCs w:val="20"/>
                <w:color w:val="auto"/>
              </w:rPr>
            </w:pPr>
            <w:r>
              <w:rPr>
                <w:rFonts w:ascii="Arial" w:cs="Arial" w:eastAsia="Arial" w:hAnsi="Arial"/>
                <w:sz w:val="13"/>
                <w:szCs w:val="13"/>
                <w:b w:val="1"/>
                <w:bCs w:val="1"/>
                <w:color w:val="auto"/>
                <w:w w:val="91"/>
              </w:rPr>
              <w:t>Commission file</w:t>
            </w:r>
          </w:p>
        </w:tc>
      </w:tr>
      <w:tr>
        <w:trPr>
          <w:trHeight w:val="174"/>
        </w:trPr>
        <w:tc>
          <w:tcPr>
            <w:tcW w:w="6400" w:type="dxa"/>
            <w:vAlign w:val="bottom"/>
            <w:gridSpan w:val="3"/>
          </w:tcPr>
          <w:p>
            <w:pPr>
              <w:jc w:val="center"/>
              <w:ind w:right="4080"/>
              <w:spacing w:after="0"/>
              <w:rPr>
                <w:sz w:val="20"/>
                <w:szCs w:val="20"/>
                <w:color w:val="auto"/>
              </w:rPr>
            </w:pPr>
            <w:r>
              <w:rPr>
                <w:rFonts w:ascii="Arial" w:cs="Arial" w:eastAsia="Arial" w:hAnsi="Arial"/>
                <w:sz w:val="13"/>
                <w:szCs w:val="13"/>
                <w:b w:val="1"/>
                <w:bCs w:val="1"/>
                <w:color w:val="auto"/>
                <w:w w:val="92"/>
              </w:rPr>
              <w:t>December 31, 2005</w:t>
            </w:r>
          </w:p>
        </w:tc>
        <w:tc>
          <w:tcPr>
            <w:tcW w:w="1300" w:type="dxa"/>
            <w:vAlign w:val="bottom"/>
          </w:tcPr>
          <w:p>
            <w:pPr>
              <w:jc w:val="center"/>
              <w:ind w:left="189"/>
              <w:spacing w:after="0"/>
              <w:rPr>
                <w:sz w:val="20"/>
                <w:szCs w:val="20"/>
                <w:color w:val="auto"/>
              </w:rPr>
            </w:pPr>
            <w:r>
              <w:rPr>
                <w:rFonts w:ascii="Arial" w:cs="Arial" w:eastAsia="Arial" w:hAnsi="Arial"/>
                <w:sz w:val="13"/>
                <w:szCs w:val="13"/>
                <w:b w:val="1"/>
                <w:bCs w:val="1"/>
                <w:color w:val="auto"/>
                <w:w w:val="95"/>
              </w:rPr>
              <w:t>number 1-5805</w:t>
            </w:r>
          </w:p>
        </w:tc>
      </w:tr>
      <w:tr>
        <w:trPr>
          <w:trHeight w:val="445"/>
        </w:trPr>
        <w:tc>
          <w:tcPr>
            <w:tcW w:w="2680" w:type="dxa"/>
            <w:vAlign w:val="bottom"/>
          </w:tcPr>
          <w:p>
            <w:pPr>
              <w:spacing w:after="0"/>
              <w:rPr>
                <w:sz w:val="24"/>
                <w:szCs w:val="24"/>
                <w:color w:val="auto"/>
              </w:rPr>
            </w:pPr>
          </w:p>
        </w:tc>
        <w:tc>
          <w:tcPr>
            <w:tcW w:w="3720" w:type="dxa"/>
            <w:vAlign w:val="bottom"/>
            <w:gridSpan w:val="2"/>
          </w:tcPr>
          <w:p>
            <w:pPr>
              <w:jc w:val="center"/>
              <w:ind w:right="720"/>
              <w:spacing w:after="0"/>
              <w:rPr>
                <w:sz w:val="20"/>
                <w:szCs w:val="20"/>
                <w:color w:val="auto"/>
              </w:rPr>
            </w:pPr>
            <w:r>
              <w:rPr>
                <w:rFonts w:ascii="Arial" w:cs="Arial" w:eastAsia="Arial" w:hAnsi="Arial"/>
                <w:sz w:val="24"/>
                <w:szCs w:val="24"/>
                <w:b w:val="1"/>
                <w:bCs w:val="1"/>
                <w:color w:val="auto"/>
                <w:w w:val="93"/>
              </w:rPr>
              <w:t>JPMorgan Chase &amp; Co.</w:t>
            </w:r>
          </w:p>
        </w:tc>
        <w:tc>
          <w:tcPr>
            <w:tcW w:w="1300" w:type="dxa"/>
            <w:vAlign w:val="bottom"/>
          </w:tcPr>
          <w:p>
            <w:pPr>
              <w:spacing w:after="0"/>
              <w:rPr>
                <w:sz w:val="24"/>
                <w:szCs w:val="24"/>
                <w:color w:val="auto"/>
              </w:rPr>
            </w:pPr>
          </w:p>
        </w:tc>
      </w:tr>
      <w:tr>
        <w:trPr>
          <w:trHeight w:val="230"/>
        </w:trPr>
        <w:tc>
          <w:tcPr>
            <w:tcW w:w="2680" w:type="dxa"/>
            <w:vAlign w:val="bottom"/>
          </w:tcPr>
          <w:p>
            <w:pPr>
              <w:spacing w:after="0"/>
              <w:rPr>
                <w:sz w:val="20"/>
                <w:szCs w:val="20"/>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1300" w:type="dxa"/>
            <w:vAlign w:val="bottom"/>
          </w:tcPr>
          <w:p>
            <w:pPr>
              <w:spacing w:after="0"/>
              <w:rPr>
                <w:sz w:val="20"/>
                <w:szCs w:val="20"/>
                <w:color w:val="auto"/>
              </w:rPr>
            </w:pPr>
          </w:p>
        </w:tc>
      </w:tr>
      <w:tr>
        <w:trPr>
          <w:trHeight w:val="330"/>
        </w:trPr>
        <w:tc>
          <w:tcPr>
            <w:tcW w:w="6400" w:type="dxa"/>
            <w:vAlign w:val="bottom"/>
            <w:gridSpan w:val="3"/>
          </w:tcPr>
          <w:p>
            <w:pPr>
              <w:jc w:val="center"/>
              <w:ind w:right="4080"/>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right"/>
              <w:ind w:right="69"/>
              <w:spacing w:after="0"/>
              <w:rPr>
                <w:sz w:val="20"/>
                <w:szCs w:val="20"/>
                <w:color w:val="auto"/>
              </w:rPr>
            </w:pPr>
            <w:r>
              <w:rPr>
                <w:rFonts w:ascii="Arial" w:cs="Arial" w:eastAsia="Arial" w:hAnsi="Arial"/>
                <w:sz w:val="16"/>
                <w:szCs w:val="16"/>
                <w:b w:val="1"/>
                <w:bCs w:val="1"/>
                <w:color w:val="auto"/>
              </w:rPr>
              <w:t>13-2624428</w:t>
            </w:r>
          </w:p>
        </w:tc>
      </w:tr>
      <w:tr>
        <w:trPr>
          <w:trHeight w:val="161"/>
        </w:trPr>
        <w:tc>
          <w:tcPr>
            <w:tcW w:w="6400" w:type="dxa"/>
            <w:vAlign w:val="bottom"/>
            <w:gridSpan w:val="3"/>
          </w:tcPr>
          <w:p>
            <w:pPr>
              <w:jc w:val="center"/>
              <w:ind w:right="4080"/>
              <w:spacing w:after="0"/>
              <w:rPr>
                <w:sz w:val="20"/>
                <w:szCs w:val="20"/>
                <w:color w:val="auto"/>
              </w:rPr>
            </w:pPr>
            <w:r>
              <w:rPr>
                <w:rFonts w:ascii="Arial" w:cs="Arial" w:eastAsia="Arial" w:hAnsi="Arial"/>
                <w:sz w:val="13"/>
                <w:szCs w:val="13"/>
                <w:b w:val="1"/>
                <w:bCs w:val="1"/>
                <w:color w:val="auto"/>
                <w:w w:val="94"/>
              </w:rPr>
              <w:t>(State or other jurisdiction of</w:t>
            </w:r>
          </w:p>
        </w:tc>
        <w:tc>
          <w:tcPr>
            <w:tcW w:w="1300" w:type="dxa"/>
            <w:vAlign w:val="bottom"/>
          </w:tcPr>
          <w:p>
            <w:pPr>
              <w:jc w:val="center"/>
              <w:ind w:left="189"/>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6400" w:type="dxa"/>
            <w:vAlign w:val="bottom"/>
            <w:gridSpan w:val="3"/>
          </w:tcPr>
          <w:p>
            <w:pPr>
              <w:jc w:val="center"/>
              <w:ind w:right="4080"/>
              <w:spacing w:after="0"/>
              <w:rPr>
                <w:sz w:val="20"/>
                <w:szCs w:val="20"/>
                <w:color w:val="auto"/>
              </w:rPr>
            </w:pPr>
            <w:r>
              <w:rPr>
                <w:rFonts w:ascii="Arial" w:cs="Arial" w:eastAsia="Arial" w:hAnsi="Arial"/>
                <w:sz w:val="13"/>
                <w:szCs w:val="13"/>
                <w:b w:val="1"/>
                <w:bCs w:val="1"/>
                <w:color w:val="auto"/>
                <w:w w:val="94"/>
              </w:rPr>
              <w:t>incorporation or organization)</w:t>
            </w:r>
          </w:p>
        </w:tc>
        <w:tc>
          <w:tcPr>
            <w:tcW w:w="1300" w:type="dxa"/>
            <w:vAlign w:val="bottom"/>
          </w:tcPr>
          <w:p>
            <w:pPr>
              <w:jc w:val="center"/>
              <w:ind w:left="189"/>
              <w:spacing w:after="0"/>
              <w:rPr>
                <w:sz w:val="20"/>
                <w:szCs w:val="20"/>
                <w:color w:val="auto"/>
              </w:rPr>
            </w:pPr>
            <w:r>
              <w:rPr>
                <w:rFonts w:ascii="Arial" w:cs="Arial" w:eastAsia="Arial" w:hAnsi="Arial"/>
                <w:sz w:val="13"/>
                <w:szCs w:val="13"/>
                <w:b w:val="1"/>
                <w:bCs w:val="1"/>
                <w:color w:val="auto"/>
                <w:w w:val="95"/>
              </w:rPr>
              <w:t>Identification no.)</w:t>
            </w:r>
          </w:p>
        </w:tc>
      </w:tr>
      <w:tr>
        <w:trPr>
          <w:trHeight w:val="492"/>
        </w:trPr>
        <w:tc>
          <w:tcPr>
            <w:tcW w:w="6400" w:type="dxa"/>
            <w:vAlign w:val="bottom"/>
            <w:gridSpan w:val="3"/>
          </w:tcPr>
          <w:p>
            <w:pPr>
              <w:jc w:val="center"/>
              <w:ind w:right="4080"/>
              <w:spacing w:after="0"/>
              <w:rPr>
                <w:sz w:val="20"/>
                <w:szCs w:val="20"/>
                <w:color w:val="auto"/>
              </w:rPr>
            </w:pPr>
            <w:r>
              <w:rPr>
                <w:rFonts w:ascii="Arial" w:cs="Arial" w:eastAsia="Arial" w:hAnsi="Arial"/>
                <w:sz w:val="16"/>
                <w:szCs w:val="16"/>
                <w:b w:val="1"/>
                <w:bCs w:val="1"/>
                <w:color w:val="auto"/>
                <w:w w:val="92"/>
              </w:rPr>
              <w:t>270 Park Avenue, New York, N.Y.</w:t>
            </w:r>
          </w:p>
        </w:tc>
        <w:tc>
          <w:tcPr>
            <w:tcW w:w="1300" w:type="dxa"/>
            <w:vAlign w:val="bottom"/>
          </w:tcPr>
          <w:p>
            <w:pPr>
              <w:jc w:val="right"/>
              <w:ind w:right="249"/>
              <w:spacing w:after="0"/>
              <w:rPr>
                <w:sz w:val="20"/>
                <w:szCs w:val="20"/>
                <w:color w:val="auto"/>
              </w:rPr>
            </w:pPr>
            <w:r>
              <w:rPr>
                <w:rFonts w:ascii="Arial" w:cs="Arial" w:eastAsia="Arial" w:hAnsi="Arial"/>
                <w:sz w:val="16"/>
                <w:szCs w:val="16"/>
                <w:b w:val="1"/>
                <w:bCs w:val="1"/>
                <w:color w:val="auto"/>
              </w:rPr>
              <w:t>10017</w:t>
            </w:r>
          </w:p>
        </w:tc>
      </w:tr>
      <w:tr>
        <w:trPr>
          <w:trHeight w:val="174"/>
        </w:trPr>
        <w:tc>
          <w:tcPr>
            <w:tcW w:w="6400" w:type="dxa"/>
            <w:vAlign w:val="bottom"/>
            <w:gridSpan w:val="3"/>
          </w:tcPr>
          <w:p>
            <w:pPr>
              <w:jc w:val="center"/>
              <w:ind w:right="4080"/>
              <w:spacing w:after="0"/>
              <w:rPr>
                <w:sz w:val="20"/>
                <w:szCs w:val="20"/>
                <w:color w:val="auto"/>
              </w:rPr>
            </w:pPr>
            <w:r>
              <w:rPr>
                <w:rFonts w:ascii="Arial" w:cs="Arial" w:eastAsia="Arial" w:hAnsi="Arial"/>
                <w:sz w:val="13"/>
                <w:szCs w:val="13"/>
                <w:b w:val="1"/>
                <w:bCs w:val="1"/>
                <w:color w:val="auto"/>
                <w:w w:val="91"/>
              </w:rPr>
              <w:t>(Address of principal executive office)</w:t>
            </w:r>
          </w:p>
        </w:tc>
        <w:tc>
          <w:tcPr>
            <w:tcW w:w="1300" w:type="dxa"/>
            <w:vAlign w:val="bottom"/>
          </w:tcPr>
          <w:p>
            <w:pPr>
              <w:jc w:val="center"/>
              <w:ind w:left="189"/>
              <w:spacing w:after="0"/>
              <w:rPr>
                <w:sz w:val="20"/>
                <w:szCs w:val="20"/>
                <w:color w:val="auto"/>
              </w:rPr>
            </w:pPr>
            <w:r>
              <w:rPr>
                <w:rFonts w:ascii="Arial" w:cs="Arial" w:eastAsia="Arial" w:hAnsi="Arial"/>
                <w:sz w:val="13"/>
                <w:szCs w:val="13"/>
                <w:b w:val="1"/>
                <w:bCs w:val="1"/>
                <w:color w:val="auto"/>
                <w:w w:val="99"/>
              </w:rPr>
              <w:t>(Zip Code)</w:t>
            </w:r>
          </w:p>
        </w:tc>
      </w:tr>
      <w:tr>
        <w:trPr>
          <w:trHeight w:val="242"/>
        </w:trPr>
        <w:tc>
          <w:tcPr>
            <w:tcW w:w="6400" w:type="dxa"/>
            <w:vAlign w:val="bottom"/>
            <w:gridSpan w:val="3"/>
          </w:tcPr>
          <w:p>
            <w:pPr>
              <w:jc w:val="center"/>
              <w:ind w:left="1865"/>
              <w:spacing w:after="0"/>
              <w:rPr>
                <w:sz w:val="20"/>
                <w:szCs w:val="20"/>
                <w:color w:val="auto"/>
              </w:rPr>
            </w:pPr>
            <w:r>
              <w:rPr>
                <w:rFonts w:ascii="Arial" w:cs="Arial" w:eastAsia="Arial" w:hAnsi="Arial"/>
                <w:sz w:val="13"/>
                <w:szCs w:val="13"/>
                <w:b w:val="1"/>
                <w:bCs w:val="1"/>
                <w:color w:val="auto"/>
                <w:w w:val="92"/>
              </w:rPr>
              <w:t>Registrant’s telephone number, including area code: (212) 270-6000</w:t>
            </w:r>
          </w:p>
        </w:tc>
        <w:tc>
          <w:tcPr>
            <w:tcW w:w="1300" w:type="dxa"/>
            <w:vAlign w:val="bottom"/>
          </w:tcPr>
          <w:p>
            <w:pPr>
              <w:spacing w:after="0"/>
              <w:rPr>
                <w:sz w:val="21"/>
                <w:szCs w:val="21"/>
                <w:color w:val="auto"/>
              </w:rPr>
            </w:pPr>
          </w:p>
        </w:tc>
      </w:tr>
    </w:tbl>
    <w:p>
      <w:pPr>
        <w:spacing w:after="0" w:line="300" w:lineRule="exact"/>
        <w:rPr>
          <w:sz w:val="20"/>
          <w:szCs w:val="20"/>
          <w:color w:val="auto"/>
        </w:rPr>
      </w:pPr>
    </w:p>
    <w:p>
      <w:pPr>
        <w:ind w:left="140" w:right="5260"/>
        <w:spacing w:after="0" w:line="190" w:lineRule="exact"/>
        <w:rPr>
          <w:sz w:val="20"/>
          <w:szCs w:val="20"/>
          <w:color w:val="auto"/>
        </w:rPr>
      </w:pPr>
      <w:r>
        <w:rPr>
          <w:rFonts w:ascii="Arial" w:cs="Arial" w:eastAsia="Arial" w:hAnsi="Arial"/>
          <w:sz w:val="9"/>
          <w:szCs w:val="9"/>
          <w:b w:val="1"/>
          <w:bCs w:val="1"/>
          <w:color w:val="auto"/>
        </w:rPr>
        <w:t xml:space="preserve">Indicate by check mark if the Registrant is a well-known seasoned issuer, as defined in Rule 405 of the Securities Act. </w:t>
      </w:r>
      <w:r>
        <w:rPr>
          <w:rFonts w:ascii="MS PGothic" w:cs="MS PGothic" w:eastAsia="MS PGothic" w:hAnsi="MS PGothic"/>
          <w:sz w:val="9"/>
          <w:szCs w:val="9"/>
          <w:color w:val="auto"/>
        </w:rPr>
        <w:t>☒</w:t>
      </w:r>
      <w:r>
        <w:rPr>
          <w:rFonts w:ascii="Arial" w:cs="Arial" w:eastAsia="Arial" w:hAnsi="Arial"/>
          <w:sz w:val="9"/>
          <w:szCs w:val="9"/>
          <w:b w:val="1"/>
          <w:bCs w:val="1"/>
          <w:color w:val="auto"/>
        </w:rPr>
        <w:t xml:space="preserve"> Yes </w:t>
      </w:r>
      <w:r>
        <w:rPr>
          <w:rFonts w:ascii="Arial" w:cs="Arial" w:eastAsia="Arial" w:hAnsi="Arial"/>
          <w:sz w:val="9"/>
          <w:szCs w:val="9"/>
          <w:color w:val="auto"/>
        </w:rPr>
        <w:t>o</w:t>
      </w:r>
      <w:r>
        <w:rPr>
          <w:rFonts w:ascii="Arial" w:cs="Arial" w:eastAsia="Arial" w:hAnsi="Arial"/>
          <w:sz w:val="9"/>
          <w:szCs w:val="9"/>
          <w:b w:val="1"/>
          <w:bCs w:val="1"/>
          <w:color w:val="auto"/>
        </w:rPr>
        <w:t xml:space="preserve"> No Indicate by check mark if the Registrant is not required to file reports pursuant to Section 13 or Section 15(d) of the Act. </w:t>
      </w:r>
      <w:r>
        <w:rPr>
          <w:rFonts w:ascii="Arial" w:cs="Arial" w:eastAsia="Arial" w:hAnsi="Arial"/>
          <w:sz w:val="9"/>
          <w:szCs w:val="9"/>
          <w:color w:val="auto"/>
        </w:rPr>
        <w:t>o</w:t>
      </w:r>
      <w:r>
        <w:rPr>
          <w:rFonts w:ascii="Arial" w:cs="Arial" w:eastAsia="Arial" w:hAnsi="Arial"/>
          <w:sz w:val="9"/>
          <w:szCs w:val="9"/>
          <w:b w:val="1"/>
          <w:bCs w:val="1"/>
          <w:color w:val="auto"/>
        </w:rPr>
        <w:t xml:space="preserve"> Yes </w:t>
      </w:r>
      <w:r>
        <w:rPr>
          <w:rFonts w:ascii="MS PGothic" w:cs="MS PGothic" w:eastAsia="MS PGothic" w:hAnsi="MS PGothic"/>
          <w:sz w:val="9"/>
          <w:szCs w:val="9"/>
          <w:color w:val="auto"/>
          <w:highlight w:val="black"/>
        </w:rPr>
        <w:t>☒</w:t>
      </w:r>
      <w:r>
        <w:rPr>
          <w:rFonts w:ascii="Arial" w:cs="Arial" w:eastAsia="Arial" w:hAnsi="Arial"/>
          <w:sz w:val="9"/>
          <w:szCs w:val="9"/>
          <w:b w:val="1"/>
          <w:bCs w:val="1"/>
          <w:color w:val="auto"/>
        </w:rPr>
        <w:t xml:space="preserve"> No</w:t>
      </w:r>
    </w:p>
    <w:p>
      <w:pPr>
        <w:spacing w:after="0" w:line="50" w:lineRule="exact"/>
        <w:rPr>
          <w:sz w:val="20"/>
          <w:szCs w:val="20"/>
          <w:color w:val="auto"/>
        </w:rPr>
      </w:pPr>
    </w:p>
    <w:p>
      <w:pPr>
        <w:ind w:right="40" w:firstLine="134"/>
        <w:spacing w:after="0" w:line="136" w:lineRule="exact"/>
        <w:rPr>
          <w:sz w:val="20"/>
          <w:szCs w:val="20"/>
          <w:color w:val="auto"/>
        </w:rPr>
      </w:pPr>
      <w:r>
        <w:rPr>
          <w:rFonts w:ascii="Arial" w:cs="Arial" w:eastAsia="Arial" w:hAnsi="Arial"/>
          <w:sz w:val="11"/>
          <w:szCs w:val="11"/>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Yes o No</w:t>
      </w:r>
    </w:p>
    <w:p>
      <w:pPr>
        <w:spacing w:after="0" w:line="51" w:lineRule="exact"/>
        <w:rPr>
          <w:sz w:val="20"/>
          <w:szCs w:val="20"/>
          <w:color w:val="auto"/>
        </w:rPr>
      </w:pPr>
    </w:p>
    <w:p>
      <w:pPr>
        <w:ind w:right="120" w:firstLine="134"/>
        <w:spacing w:after="0" w:line="136" w:lineRule="exact"/>
        <w:rPr>
          <w:sz w:val="20"/>
          <w:szCs w:val="20"/>
          <w:color w:val="auto"/>
        </w:rPr>
      </w:pPr>
      <w:r>
        <w:rPr>
          <w:rFonts w:ascii="Arial" w:cs="Arial" w:eastAsia="Arial" w:hAnsi="Arial"/>
          <w:sz w:val="11"/>
          <w:szCs w:val="11"/>
          <w:b w:val="1"/>
          <w:bCs w:val="1"/>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45" w:lineRule="exact"/>
        <w:rPr>
          <w:sz w:val="20"/>
          <w:szCs w:val="20"/>
          <w:color w:val="auto"/>
        </w:rPr>
      </w:pPr>
    </w:p>
    <w:p>
      <w:pPr>
        <w:ind w:right="180" w:firstLine="134"/>
        <w:spacing w:after="0" w:line="139" w:lineRule="exact"/>
        <w:rPr>
          <w:sz w:val="20"/>
          <w:szCs w:val="20"/>
          <w:color w:val="auto"/>
        </w:rPr>
      </w:pPr>
      <w:r>
        <w:rPr>
          <w:rFonts w:ascii="Arial" w:cs="Arial" w:eastAsia="Arial" w:hAnsi="Arial"/>
          <w:sz w:val="11"/>
          <w:szCs w:val="11"/>
          <w:b w:val="1"/>
          <w:bCs w:val="1"/>
          <w:color w:val="auto"/>
        </w:rPr>
        <w:t xml:space="preserve">Indicate by check mark whether the Registrant is a large accelerated filer, an accelerated filer, or a non-accelerated filer. See definition of “accelerated filer” and “large accelerated filer” in Rule 12b-2 of the Exchange Act. (Check one):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Large accelerated filer </w:t>
      </w:r>
      <w:r>
        <w:rPr>
          <w:rFonts w:ascii="Arial" w:cs="Arial" w:eastAsia="Arial" w:hAnsi="Arial"/>
          <w:sz w:val="11"/>
          <w:szCs w:val="11"/>
          <w:color w:val="auto"/>
        </w:rPr>
        <w:t>o</w:t>
      </w:r>
      <w:r>
        <w:rPr>
          <w:rFonts w:ascii="Arial" w:cs="Arial" w:eastAsia="Arial" w:hAnsi="Arial"/>
          <w:sz w:val="11"/>
          <w:szCs w:val="11"/>
          <w:b w:val="1"/>
          <w:bCs w:val="1"/>
          <w:color w:val="auto"/>
        </w:rPr>
        <w:t xml:space="preserve"> Accelerated filer </w:t>
      </w:r>
      <w:r>
        <w:rPr>
          <w:rFonts w:ascii="Arial" w:cs="Arial" w:eastAsia="Arial" w:hAnsi="Arial"/>
          <w:sz w:val="11"/>
          <w:szCs w:val="11"/>
          <w:color w:val="auto"/>
        </w:rPr>
        <w:t>o</w:t>
      </w:r>
      <w:r>
        <w:rPr>
          <w:rFonts w:ascii="Arial" w:cs="Arial" w:eastAsia="Arial" w:hAnsi="Arial"/>
          <w:sz w:val="11"/>
          <w:szCs w:val="11"/>
          <w:b w:val="1"/>
          <w:bCs w:val="1"/>
          <w:color w:val="auto"/>
        </w:rPr>
        <w:t xml:space="preserve"> Non-accelerated filer</w:t>
      </w:r>
    </w:p>
    <w:p>
      <w:pPr>
        <w:spacing w:after="0" w:line="47" w:lineRule="exact"/>
        <w:rPr>
          <w:sz w:val="20"/>
          <w:szCs w:val="20"/>
          <w:color w:val="auto"/>
        </w:rPr>
      </w:pPr>
    </w:p>
    <w:p>
      <w:pPr>
        <w:ind w:left="140"/>
        <w:spacing w:after="0" w:line="127" w:lineRule="exact"/>
        <w:rPr>
          <w:sz w:val="20"/>
          <w:szCs w:val="20"/>
          <w:color w:val="auto"/>
        </w:rPr>
      </w:pPr>
      <w:r>
        <w:rPr>
          <w:rFonts w:ascii="Arial" w:cs="Arial" w:eastAsia="Arial" w:hAnsi="Arial"/>
          <w:sz w:val="11"/>
          <w:szCs w:val="11"/>
          <w:b w:val="1"/>
          <w:bCs w:val="1"/>
          <w:color w:val="auto"/>
        </w:rPr>
        <w:t xml:space="preserve">Indicate by check mark whether the Registrant is a shell company (as defined in Rule 12b-2 of the Exchange Act). </w:t>
      </w:r>
      <w:r>
        <w:rPr>
          <w:rFonts w:ascii="Arial" w:cs="Arial" w:eastAsia="Arial" w:hAnsi="Arial"/>
          <w:sz w:val="11"/>
          <w:szCs w:val="11"/>
          <w:color w:val="auto"/>
        </w:rPr>
        <w:t>o</w:t>
      </w:r>
      <w:r>
        <w:rPr>
          <w:rFonts w:ascii="Arial" w:cs="Arial" w:eastAsia="Arial" w:hAnsi="Arial"/>
          <w:sz w:val="11"/>
          <w:szCs w:val="11"/>
          <w:b w:val="1"/>
          <w:bCs w:val="1"/>
          <w:color w:val="auto"/>
        </w:rPr>
        <w:t xml:space="preserve"> Yes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No</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undersigned registrant hereby amends the following items, financial statements, exhibits or other portions of its Annual Report on Form 10-K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as set forth in the pages attached hereto:</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Exhibit 22.1-Annual Report on Form 11-K of The JPMorgan Chase 401(k) Savings Plan for the fiscal year ended December 31, 2005.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Page 1 of 46</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Index on page 45</w:t>
      </w:r>
    </w:p>
    <w:p>
      <w:pPr>
        <w:sectPr>
          <w:pgSz w:w="11900" w:h="16838" w:orient="portrait"/>
          <w:cols w:equalWidth="0" w:num="1">
            <w:col w:w="11460"/>
          </w:cols>
          <w:pgMar w:left="220" w:top="531" w:right="2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8154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19050"/>
                    </a:xfrm>
                    <a:prstGeom prst="rect">
                      <a:avLst/>
                    </a:prstGeom>
                    <a:noFill/>
                  </pic:spPr>
                </pic:pic>
              </a:graphicData>
            </a:graphic>
          </wp:anchor>
        </w:drawing>
      </w: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81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SECURITIES AND EXCHANGE COMMISSION</w:t>
      </w:r>
    </w:p>
    <w:p>
      <w:pPr>
        <w:spacing w:after="0" w:line="3"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140335</wp:posOffset>
            </wp:positionV>
            <wp:extent cx="18891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9125" cy="6350"/>
                    </a:xfrm>
                    <a:prstGeom prst="rect">
                      <a:avLst/>
                    </a:prstGeom>
                    <a:noFill/>
                  </pic:spPr>
                </pic:pic>
              </a:graphicData>
            </a:graphic>
          </wp:anchor>
        </w:drawing>
      </w: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FORM 11-K</w:t>
      </w:r>
    </w:p>
    <w:p>
      <w:pPr>
        <w:spacing w:after="0" w:line="25"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4" w:lineRule="exact"/>
        <w:rPr>
          <w:sz w:val="20"/>
          <w:szCs w:val="20"/>
          <w:color w:val="auto"/>
        </w:rPr>
      </w:pPr>
    </w:p>
    <w:p>
      <w:pPr>
        <w:ind w:left="180" w:hanging="179"/>
        <w:spacing w:after="0"/>
        <w:tabs>
          <w:tab w:leader="none" w:pos="1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15(d) OF THE SECURITIES EXCHANGE ACT OF 1934</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For the fiscal year ended December 31, 2005</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OR</w:t>
      </w:r>
    </w:p>
    <w:p>
      <w:pPr>
        <w:spacing w:after="0" w:line="88" w:lineRule="exact"/>
        <w:rPr>
          <w:sz w:val="20"/>
          <w:szCs w:val="20"/>
          <w:color w:val="auto"/>
        </w:rPr>
      </w:pPr>
    </w:p>
    <w:p>
      <w:pPr>
        <w:ind w:left="180" w:hanging="179"/>
        <w:spacing w:after="0"/>
        <w:tabs>
          <w:tab w:leader="none" w:pos="1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15(d) OF THE SECURITIES EXCHANGE ACT OF 1934</w:t>
      </w:r>
    </w:p>
    <w:p>
      <w:pPr>
        <w:spacing w:after="0" w:line="19" w:lineRule="exact"/>
        <w:rPr>
          <w:sz w:val="20"/>
          <w:szCs w:val="20"/>
          <w:color w:val="auto"/>
        </w:rPr>
      </w:pPr>
    </w:p>
    <w:p>
      <w:pPr>
        <w:spacing w:after="0"/>
        <w:tabs>
          <w:tab w:leader="none" w:pos="232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-12065</wp:posOffset>
            </wp:positionV>
            <wp:extent cx="9626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660" cy="63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Commission file number 1-5805</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i w:val="1"/>
          <w:iCs w:val="1"/>
          <w:u w:val="single" w:color="auto"/>
          <w:color w:val="auto"/>
        </w:rPr>
        <w:t>THE JPMORGAN CHASE 401(k) SAVINGS PLAN</w:t>
      </w:r>
    </w:p>
    <w:p>
      <w:pPr>
        <w:spacing w:after="0" w:line="14"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(Full title of the plan</w:t>
      </w:r>
      <w:r>
        <w:rPr>
          <w:rFonts w:ascii="Arial" w:cs="Arial" w:eastAsia="Arial" w:hAnsi="Arial"/>
          <w:sz w:val="15"/>
          <w:szCs w:val="15"/>
          <w:b w:val="1"/>
          <w:bCs w:val="1"/>
          <w:i w:val="1"/>
          <w:iCs w:val="1"/>
          <w:color w:val="auto"/>
        </w:rPr>
        <w:t>)</w:t>
      </w:r>
    </w:p>
    <w:p>
      <w:pPr>
        <w:spacing w:after="0" w:line="64"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i w:val="1"/>
          <w:iCs w:val="1"/>
          <w:color w:val="auto"/>
        </w:rPr>
        <w:t>JPMorgan Chase &amp; Co.</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i w:val="1"/>
          <w:iCs w:val="1"/>
          <w:color w:val="auto"/>
        </w:rPr>
        <w:t>270 Park Avenue</w:t>
      </w:r>
    </w:p>
    <w:p>
      <w:pPr>
        <w:jc w:val="center"/>
        <w:ind w:right="-399"/>
        <w:spacing w:after="0"/>
        <w:rPr>
          <w:sz w:val="20"/>
          <w:szCs w:val="20"/>
          <w:color w:val="auto"/>
        </w:rPr>
      </w:pPr>
      <w:r>
        <w:rPr>
          <w:rFonts w:ascii="Arial" w:cs="Arial" w:eastAsia="Arial" w:hAnsi="Arial"/>
          <w:sz w:val="16"/>
          <w:szCs w:val="16"/>
          <w:b w:val="1"/>
          <w:bCs w:val="1"/>
          <w:i w:val="1"/>
          <w:iCs w:val="1"/>
          <w:u w:val="single" w:color="auto"/>
          <w:color w:val="auto"/>
        </w:rPr>
        <w:t>New York, New York 10017</w:t>
      </w:r>
    </w:p>
    <w:p>
      <w:pPr>
        <w:spacing w:after="0" w:line="68"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(Name of issuer of securities held pursuant to the plan and the address of principal executive office)</w:t>
      </w:r>
    </w:p>
    <w:p>
      <w:pPr>
        <w:spacing w:after="0" w:line="7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122"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335" w:lineRule="exact"/>
        <w:rPr>
          <w:sz w:val="20"/>
          <w:szCs w:val="20"/>
          <w:color w:val="auto"/>
        </w:rPr>
      </w:pPr>
    </w:p>
    <w:p>
      <w:pPr>
        <w:ind w:left="5740"/>
        <w:spacing w:after="0"/>
        <w:tabs>
          <w:tab w:leader="none" w:pos="7300" w:val="left"/>
        </w:tabs>
        <w:rPr>
          <w:sz w:val="20"/>
          <w:szCs w:val="20"/>
          <w:color w:val="auto"/>
        </w:rPr>
      </w:pPr>
      <w:r>
        <w:rPr>
          <w:rFonts w:ascii="Arial" w:cs="Arial" w:eastAsia="Arial" w:hAnsi="Arial"/>
          <w:sz w:val="13"/>
          <w:szCs w:val="13"/>
          <w:b w:val="1"/>
          <w:bCs w:val="1"/>
          <w:color w:val="auto"/>
        </w:rPr>
        <w:t>By:</w:t>
      </w:r>
      <w:r>
        <w:rPr>
          <w:sz w:val="20"/>
          <w:szCs w:val="20"/>
          <w:color w:val="auto"/>
        </w:rPr>
        <w:tab/>
      </w:r>
      <w:r>
        <w:rPr>
          <w:rFonts w:ascii="Arial" w:cs="Arial" w:eastAsia="Arial" w:hAnsi="Arial"/>
          <w:sz w:val="13"/>
          <w:szCs w:val="13"/>
          <w:b w:val="1"/>
          <w:bCs w:val="1"/>
          <w:color w:val="auto"/>
        </w:rPr>
        <w:t>/s/ Joseph L. Sclafani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6257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5725" cy="6350"/>
                    </a:xfrm>
                    <a:prstGeom prst="rect">
                      <a:avLst/>
                    </a:prstGeom>
                    <a:noFill/>
                  </pic:spPr>
                </pic:pic>
              </a:graphicData>
            </a:graphic>
          </wp:anchor>
        </w:drawing>
      </w:r>
    </w:p>
    <w:p>
      <w:pPr>
        <w:spacing w:after="0" w:line="12" w:lineRule="exact"/>
        <w:rPr>
          <w:sz w:val="20"/>
          <w:szCs w:val="20"/>
          <w:color w:val="auto"/>
        </w:rPr>
      </w:pPr>
    </w:p>
    <w:p>
      <w:pPr>
        <w:jc w:val="center"/>
        <w:ind w:left="4620"/>
        <w:spacing w:after="0"/>
        <w:rPr>
          <w:sz w:val="20"/>
          <w:szCs w:val="20"/>
          <w:color w:val="auto"/>
        </w:rPr>
      </w:pPr>
      <w:r>
        <w:rPr>
          <w:rFonts w:ascii="Arial" w:cs="Arial" w:eastAsia="Arial" w:hAnsi="Arial"/>
          <w:sz w:val="13"/>
          <w:szCs w:val="13"/>
          <w:b w:val="1"/>
          <w:bCs w:val="1"/>
          <w:color w:val="auto"/>
        </w:rPr>
        <w:t>Joseph L. Sclafani</w:t>
      </w:r>
    </w:p>
    <w:p>
      <w:pPr>
        <w:spacing w:after="0" w:line="24" w:lineRule="exact"/>
        <w:rPr>
          <w:sz w:val="20"/>
          <w:szCs w:val="20"/>
          <w:color w:val="auto"/>
        </w:rPr>
      </w:pPr>
    </w:p>
    <w:p>
      <w:pPr>
        <w:jc w:val="center"/>
        <w:ind w:left="4620"/>
        <w:spacing w:after="0"/>
        <w:rPr>
          <w:sz w:val="20"/>
          <w:szCs w:val="20"/>
          <w:color w:val="auto"/>
        </w:rPr>
      </w:pPr>
      <w:r>
        <w:rPr>
          <w:rFonts w:ascii="Arial" w:cs="Arial" w:eastAsia="Arial" w:hAnsi="Arial"/>
          <w:sz w:val="13"/>
          <w:szCs w:val="13"/>
          <w:b w:val="1"/>
          <w:bCs w:val="1"/>
          <w:color w:val="auto"/>
        </w:rPr>
        <w:t>JPMorgan Chase &amp; Co.</w:t>
      </w:r>
    </w:p>
    <w:p>
      <w:pPr>
        <w:spacing w:after="0" w:line="12" w:lineRule="exact"/>
        <w:rPr>
          <w:sz w:val="20"/>
          <w:szCs w:val="20"/>
          <w:color w:val="auto"/>
        </w:rPr>
      </w:pPr>
    </w:p>
    <w:p>
      <w:pPr>
        <w:jc w:val="center"/>
        <w:ind w:left="4620"/>
        <w:spacing w:after="0"/>
        <w:rPr>
          <w:sz w:val="20"/>
          <w:szCs w:val="20"/>
          <w:color w:val="auto"/>
        </w:rPr>
      </w:pPr>
      <w:r>
        <w:rPr>
          <w:rFonts w:ascii="Arial" w:cs="Arial" w:eastAsia="Arial" w:hAnsi="Arial"/>
          <w:sz w:val="13"/>
          <w:szCs w:val="13"/>
          <w:b w:val="1"/>
          <w:bCs w:val="1"/>
          <w:color w:val="auto"/>
        </w:rPr>
        <w:t>Executive Vice President and Controller</w:t>
      </w:r>
    </w:p>
    <w:p>
      <w:pPr>
        <w:spacing w:after="0" w:line="12" w:lineRule="exact"/>
        <w:rPr>
          <w:sz w:val="20"/>
          <w:szCs w:val="20"/>
          <w:color w:val="auto"/>
        </w:rPr>
      </w:pPr>
    </w:p>
    <w:p>
      <w:pPr>
        <w:jc w:val="center"/>
        <w:ind w:left="4620"/>
        <w:spacing w:after="0"/>
        <w:rPr>
          <w:sz w:val="20"/>
          <w:szCs w:val="20"/>
          <w:color w:val="auto"/>
        </w:rPr>
      </w:pPr>
      <w:r>
        <w:rPr>
          <w:rFonts w:ascii="Arial" w:cs="Arial" w:eastAsia="Arial" w:hAnsi="Arial"/>
          <w:sz w:val="13"/>
          <w:szCs w:val="13"/>
          <w:b w:val="1"/>
          <w:bCs w:val="1"/>
          <w:color w:val="auto"/>
        </w:rPr>
        <w:t>(Principal Accounting Officer)</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  June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104140</wp:posOffset>
            </wp:positionV>
            <wp:extent cx="72815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116840</wp:posOffset>
            </wp:positionV>
            <wp:extent cx="72815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1545" cy="19050"/>
                    </a:xfrm>
                    <a:prstGeom prst="rect">
                      <a:avLst/>
                    </a:prstGeom>
                    <a:noFill/>
                  </pic:spPr>
                </pic:pic>
              </a:graphicData>
            </a:graphic>
          </wp:anchor>
        </w:drawing>
      </w:r>
    </w:p>
    <w:p>
      <w:pPr>
        <w:spacing w:after="0" w:line="33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080"/>
          </w:cols>
          <w:pgMar w:left="220" w:top="349"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320" w:type="dxa"/>
            <w:vAlign w:val="bottom"/>
            <w:gridSpan w:val="4"/>
          </w:tcPr>
          <w:p>
            <w:pPr>
              <w:jc w:val="center"/>
              <w:ind w:right="3120"/>
              <w:spacing w:after="0"/>
              <w:rPr>
                <w:sz w:val="20"/>
                <w:szCs w:val="20"/>
                <w:color w:val="auto"/>
              </w:rPr>
            </w:pPr>
            <w:r>
              <w:rPr>
                <w:rFonts w:ascii="Arial" w:cs="Arial" w:eastAsia="Arial" w:hAnsi="Arial"/>
                <w:sz w:val="13"/>
                <w:szCs w:val="13"/>
                <w:b w:val="1"/>
                <w:bCs w:val="1"/>
                <w:color w:val="auto"/>
              </w:rPr>
              <w:t>THE JPMORGAN CHASE 401(k) SAVINGS PLAN</w:t>
            </w:r>
          </w:p>
        </w:tc>
        <w:tc>
          <w:tcPr>
            <w:tcW w:w="1000" w:type="dxa"/>
            <w:vAlign w:val="bottom"/>
          </w:tcPr>
          <w:p>
            <w:pPr>
              <w:spacing w:after="0"/>
              <w:rPr>
                <w:sz w:val="15"/>
                <w:szCs w:val="15"/>
                <w:color w:val="auto"/>
              </w:rPr>
            </w:pPr>
          </w:p>
        </w:tc>
      </w:tr>
      <w:tr>
        <w:trPr>
          <w:trHeight w:val="403"/>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3"/>
          </w:tcPr>
          <w:p>
            <w:pPr>
              <w:jc w:val="center"/>
              <w:ind w:right="3520"/>
              <w:spacing w:after="0"/>
              <w:rPr>
                <w:sz w:val="20"/>
                <w:szCs w:val="20"/>
                <w:color w:val="auto"/>
              </w:rPr>
            </w:pPr>
            <w:r>
              <w:rPr>
                <w:rFonts w:ascii="Arial" w:cs="Arial" w:eastAsia="Arial" w:hAnsi="Arial"/>
                <w:sz w:val="13"/>
                <w:szCs w:val="13"/>
                <w:b w:val="1"/>
                <w:bCs w:val="1"/>
                <w:color w:val="auto"/>
                <w:w w:val="92"/>
              </w:rPr>
              <w:t>Table of Contents</w:t>
            </w:r>
          </w:p>
        </w:tc>
        <w:tc>
          <w:tcPr>
            <w:tcW w:w="1000" w:type="dxa"/>
            <w:vAlign w:val="bottom"/>
          </w:tcPr>
          <w:p>
            <w:pPr>
              <w:spacing w:after="0"/>
              <w:rPr>
                <w:sz w:val="24"/>
                <w:szCs w:val="24"/>
                <w:color w:val="auto"/>
              </w:rPr>
            </w:pPr>
          </w:p>
        </w:tc>
      </w:tr>
      <w:tr>
        <w:trPr>
          <w:trHeight w:val="31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0" w:type="dxa"/>
            <w:vAlign w:val="bottom"/>
          </w:tcPr>
          <w:p>
            <w:pPr>
              <w:jc w:val="right"/>
              <w:ind w:right="293"/>
              <w:spacing w:after="0"/>
              <w:rPr>
                <w:sz w:val="20"/>
                <w:szCs w:val="20"/>
                <w:color w:val="auto"/>
              </w:rPr>
            </w:pPr>
            <w:r>
              <w:rPr>
                <w:rFonts w:ascii="Arial" w:cs="Arial" w:eastAsia="Arial" w:hAnsi="Arial"/>
                <w:sz w:val="13"/>
                <w:szCs w:val="13"/>
                <w:color w:val="auto"/>
              </w:rPr>
              <w:t>Page</w:t>
            </w:r>
          </w:p>
        </w:tc>
      </w:tr>
      <w:tr>
        <w:trPr>
          <w:trHeight w:val="172"/>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Number(s)</w:t>
            </w:r>
          </w:p>
        </w:tc>
      </w:tr>
      <w:tr>
        <w:trPr>
          <w:trHeight w:val="283"/>
        </w:trPr>
        <w:tc>
          <w:tcPr>
            <w:tcW w:w="10460" w:type="dxa"/>
            <w:vAlign w:val="bottom"/>
            <w:gridSpan w:val="1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Report of Independent Registered Public Accounting Firm</w:t>
              </w:r>
            </w:hyperlink>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4</w:t>
            </w:r>
          </w:p>
        </w:tc>
      </w:tr>
      <w:tr>
        <w:trPr>
          <w:trHeight w:val="303"/>
        </w:trPr>
        <w:tc>
          <w:tcPr>
            <w:tcW w:w="3360" w:type="dxa"/>
            <w:vAlign w:val="bottom"/>
            <w:tcBorders>
              <w:top w:val="single" w:sz="8" w:color="0000EE"/>
            </w:tcBorders>
            <w:gridSpan w:val="7"/>
          </w:tcPr>
          <w:p>
            <w:pPr>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Financial statements:</w:t>
              </w:r>
            </w:hyperlink>
          </w:p>
        </w:tc>
        <w:tc>
          <w:tcPr>
            <w:tcW w:w="710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4360" w:type="dxa"/>
            <w:vAlign w:val="bottom"/>
            <w:tcBorders>
              <w:bottom w:val="single" w:sz="8" w:color="0000EE"/>
            </w:tcBorders>
            <w:gridSpan w:val="9"/>
          </w:tcPr>
          <w:p>
            <w:pPr>
              <w:spacing w:after="0" w:line="141" w:lineRule="exact"/>
              <w:rPr>
                <w:rFonts w:ascii="Arial" w:cs="Arial" w:eastAsia="Arial" w:hAnsi="Arial"/>
                <w:sz w:val="13"/>
                <w:szCs w:val="13"/>
                <w:color w:val="0000EE"/>
                <w:w w:val="91"/>
              </w:rPr>
            </w:pPr>
            <w:hyperlink w:anchor="page6">
              <w:r>
                <w:rPr>
                  <w:rFonts w:ascii="Arial" w:cs="Arial" w:eastAsia="Arial" w:hAnsi="Arial"/>
                  <w:sz w:val="13"/>
                  <w:szCs w:val="13"/>
                  <w:color w:val="0000EE"/>
                  <w:w w:val="91"/>
                </w:rPr>
                <w:t>Statements of net assets available for benefits as of December 31, 2005 and 2004</w:t>
              </w:r>
            </w:hyperlink>
          </w:p>
        </w:tc>
        <w:tc>
          <w:tcPr>
            <w:tcW w:w="5940" w:type="dxa"/>
            <w:vAlign w:val="bottom"/>
            <w:gridSpan w:val="3"/>
          </w:tcPr>
          <w:p>
            <w:pPr>
              <w:spacing w:after="0"/>
              <w:rPr>
                <w:sz w:val="12"/>
                <w:szCs w:val="12"/>
                <w:color w:val="auto"/>
              </w:rPr>
            </w:pPr>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5</w:t>
            </w:r>
          </w:p>
        </w:tc>
      </w:tr>
      <w:tr>
        <w:trPr>
          <w:trHeight w:val="141"/>
        </w:trPr>
        <w:tc>
          <w:tcPr>
            <w:tcW w:w="160" w:type="dxa"/>
            <w:vAlign w:val="bottom"/>
          </w:tcPr>
          <w:p>
            <w:pPr>
              <w:spacing w:after="0"/>
              <w:rPr>
                <w:sz w:val="12"/>
                <w:szCs w:val="12"/>
                <w:color w:val="auto"/>
              </w:rPr>
            </w:pPr>
          </w:p>
        </w:tc>
        <w:tc>
          <w:tcPr>
            <w:tcW w:w="10300" w:type="dxa"/>
            <w:vAlign w:val="bottom"/>
            <w:gridSpan w:val="12"/>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Statements of changes in net assets available for benefits for the years ended December 31, 2005 and 2004</w:t>
              </w:r>
            </w:hyperlink>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6</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10460" w:type="dxa"/>
            <w:vAlign w:val="bottom"/>
            <w:gridSpan w:val="13"/>
          </w:tcPr>
          <w:p>
            <w:pPr>
              <w:spacing w:after="0"/>
              <w:rPr>
                <w:rFonts w:ascii="Arial" w:cs="Arial" w:eastAsia="Arial" w:hAnsi="Arial"/>
                <w:sz w:val="13"/>
                <w:szCs w:val="13"/>
                <w:b w:val="1"/>
                <w:bCs w:val="1"/>
                <w:color w:val="0000EE"/>
              </w:rPr>
            </w:pPr>
            <w:hyperlink w:anchor="page8">
              <w:r>
                <w:rPr>
                  <w:rFonts w:ascii="Arial" w:cs="Arial" w:eastAsia="Arial" w:hAnsi="Arial"/>
                  <w:sz w:val="13"/>
                  <w:szCs w:val="13"/>
                  <w:b w:val="1"/>
                  <w:bCs w:val="1"/>
                  <w:color w:val="0000EE"/>
                </w:rPr>
                <w:t>Notes to financial statements</w:t>
              </w:r>
            </w:hyperlink>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7-22</w:t>
            </w:r>
          </w:p>
        </w:tc>
      </w:tr>
      <w:tr>
        <w:trPr>
          <w:trHeight w:val="303"/>
        </w:trPr>
        <w:tc>
          <w:tcPr>
            <w:tcW w:w="1420" w:type="dxa"/>
            <w:vAlign w:val="bottom"/>
            <w:tcBorders>
              <w:top w:val="single" w:sz="8" w:color="0000EE"/>
              <w:bottom w:val="single" w:sz="8" w:color="0000EE"/>
            </w:tcBorders>
            <w:gridSpan w:val="4"/>
          </w:tcPr>
          <w:p>
            <w:pPr>
              <w:spacing w:after="0"/>
              <w:rPr>
                <w:rFonts w:ascii="Arial" w:cs="Arial" w:eastAsia="Arial" w:hAnsi="Arial"/>
                <w:sz w:val="13"/>
                <w:szCs w:val="13"/>
                <w:b w:val="1"/>
                <w:bCs w:val="1"/>
                <w:color w:val="0000EE"/>
                <w:w w:val="89"/>
              </w:rPr>
            </w:pPr>
            <w:hyperlink w:anchor="page24">
              <w:r>
                <w:rPr>
                  <w:rFonts w:ascii="Arial" w:cs="Arial" w:eastAsia="Arial" w:hAnsi="Arial"/>
                  <w:sz w:val="13"/>
                  <w:szCs w:val="13"/>
                  <w:b w:val="1"/>
                  <w:bCs w:val="1"/>
                  <w:color w:val="0000EE"/>
                  <w:w w:val="89"/>
                </w:rPr>
                <w:t>Supplemental schedules:</w:t>
              </w:r>
            </w:hyperlink>
          </w:p>
        </w:tc>
        <w:tc>
          <w:tcPr>
            <w:tcW w:w="220" w:type="dxa"/>
            <w:vAlign w:val="bottom"/>
            <w:tcBorders>
              <w:top w:val="single" w:sz="8" w:color="0000EE"/>
            </w:tcBorders>
          </w:tcPr>
          <w:p>
            <w:pPr>
              <w:spacing w:after="0"/>
              <w:rPr>
                <w:sz w:val="24"/>
                <w:szCs w:val="24"/>
                <w:color w:val="auto"/>
              </w:rPr>
            </w:pPr>
          </w:p>
        </w:tc>
        <w:tc>
          <w:tcPr>
            <w:tcW w:w="8820" w:type="dxa"/>
            <w:vAlign w:val="bottom"/>
            <w:gridSpan w:val="8"/>
          </w:tcPr>
          <w:p>
            <w:pPr>
              <w:spacing w:after="0"/>
              <w:rPr>
                <w:sz w:val="24"/>
                <w:szCs w:val="24"/>
                <w:color w:val="auto"/>
              </w:rPr>
            </w:pPr>
          </w:p>
        </w:tc>
        <w:tc>
          <w:tcPr>
            <w:tcW w:w="1000" w:type="dxa"/>
            <w:vAlign w:val="bottom"/>
          </w:tcPr>
          <w:p>
            <w:pPr>
              <w:spacing w:after="0"/>
              <w:rPr>
                <w:sz w:val="24"/>
                <w:szCs w:val="24"/>
                <w:color w:val="auto"/>
              </w:rPr>
            </w:pPr>
          </w:p>
        </w:tc>
      </w:tr>
      <w:tr>
        <w:trPr>
          <w:trHeight w:val="141"/>
        </w:trPr>
        <w:tc>
          <w:tcPr>
            <w:tcW w:w="160" w:type="dxa"/>
            <w:vAlign w:val="bottom"/>
          </w:tcPr>
          <w:p>
            <w:pPr>
              <w:spacing w:after="0"/>
              <w:rPr>
                <w:sz w:val="12"/>
                <w:szCs w:val="12"/>
                <w:color w:val="auto"/>
              </w:rPr>
            </w:pPr>
          </w:p>
        </w:tc>
        <w:tc>
          <w:tcPr>
            <w:tcW w:w="10300" w:type="dxa"/>
            <w:vAlign w:val="bottom"/>
            <w:gridSpan w:val="12"/>
          </w:tcPr>
          <w:p>
            <w:pPr>
              <w:spacing w:after="0" w:line="141" w:lineRule="exact"/>
              <w:rPr>
                <w:rFonts w:ascii="Arial" w:cs="Arial" w:eastAsia="Arial" w:hAnsi="Arial"/>
                <w:sz w:val="13"/>
                <w:szCs w:val="13"/>
                <w:color w:val="0000EE"/>
              </w:rPr>
            </w:pPr>
            <w:hyperlink w:anchor="page24">
              <w:r>
                <w:rPr>
                  <w:rFonts w:ascii="Arial" w:cs="Arial" w:eastAsia="Arial" w:hAnsi="Arial"/>
                  <w:sz w:val="13"/>
                  <w:szCs w:val="13"/>
                  <w:color w:val="0000EE"/>
                </w:rPr>
                <w:t>Schedule of assets (held at end of year) at December 31, 2005</w:t>
              </w:r>
            </w:hyperlink>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23-35</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5180" w:type="dxa"/>
            <w:vAlign w:val="bottom"/>
            <w:tcBorders>
              <w:bottom w:val="single" w:sz="8" w:color="0000EE"/>
            </w:tcBorders>
            <w:gridSpan w:val="10"/>
          </w:tcPr>
          <w:p>
            <w:pPr>
              <w:spacing w:after="0" w:line="141" w:lineRule="exact"/>
              <w:rPr>
                <w:rFonts w:ascii="Arial" w:cs="Arial" w:eastAsia="Arial" w:hAnsi="Arial"/>
                <w:sz w:val="13"/>
                <w:szCs w:val="13"/>
                <w:color w:val="0000EE"/>
                <w:w w:val="92"/>
              </w:rPr>
            </w:pPr>
            <w:hyperlink w:anchor="page37">
              <w:r>
                <w:rPr>
                  <w:rFonts w:ascii="Arial" w:cs="Arial" w:eastAsia="Arial" w:hAnsi="Arial"/>
                  <w:sz w:val="13"/>
                  <w:szCs w:val="13"/>
                  <w:color w:val="0000EE"/>
                  <w:w w:val="92"/>
                </w:rPr>
                <w:t>Schedule of assets (acquired and disposed of within year) for the year ended December 31, 2005</w:t>
              </w:r>
            </w:hyperlink>
          </w:p>
        </w:tc>
        <w:tc>
          <w:tcPr>
            <w:tcW w:w="5120" w:type="dxa"/>
            <w:vAlign w:val="bottom"/>
            <w:gridSpan w:val="2"/>
          </w:tcPr>
          <w:p>
            <w:pPr>
              <w:spacing w:after="0"/>
              <w:rPr>
                <w:sz w:val="12"/>
                <w:szCs w:val="12"/>
                <w:color w:val="auto"/>
              </w:rPr>
            </w:pPr>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36-42</w:t>
            </w:r>
          </w:p>
        </w:tc>
      </w:tr>
      <w:tr>
        <w:trPr>
          <w:trHeight w:val="141"/>
        </w:trPr>
        <w:tc>
          <w:tcPr>
            <w:tcW w:w="160" w:type="dxa"/>
            <w:vAlign w:val="bottom"/>
          </w:tcPr>
          <w:p>
            <w:pPr>
              <w:spacing w:after="0"/>
              <w:rPr>
                <w:sz w:val="12"/>
                <w:szCs w:val="12"/>
                <w:color w:val="auto"/>
              </w:rPr>
            </w:pPr>
          </w:p>
        </w:tc>
        <w:tc>
          <w:tcPr>
            <w:tcW w:w="10300" w:type="dxa"/>
            <w:vAlign w:val="bottom"/>
            <w:gridSpan w:val="12"/>
          </w:tcPr>
          <w:p>
            <w:pPr>
              <w:spacing w:after="0" w:line="141" w:lineRule="exact"/>
              <w:rPr>
                <w:rFonts w:ascii="Arial" w:cs="Arial" w:eastAsia="Arial" w:hAnsi="Arial"/>
                <w:sz w:val="13"/>
                <w:szCs w:val="13"/>
                <w:color w:val="0000EE"/>
              </w:rPr>
            </w:pPr>
            <w:hyperlink w:anchor="page44">
              <w:r>
                <w:rPr>
                  <w:rFonts w:ascii="Arial" w:cs="Arial" w:eastAsia="Arial" w:hAnsi="Arial"/>
                  <w:sz w:val="13"/>
                  <w:szCs w:val="13"/>
                  <w:color w:val="0000EE"/>
                </w:rPr>
                <w:t>Schedule of reportable transactions for the year ended December 31, 2005</w:t>
              </w:r>
            </w:hyperlink>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43</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10460" w:type="dxa"/>
            <w:vAlign w:val="bottom"/>
            <w:gridSpan w:val="13"/>
          </w:tcPr>
          <w:p>
            <w:pPr>
              <w:spacing w:after="0"/>
              <w:rPr>
                <w:rFonts w:ascii="Arial" w:cs="Arial" w:eastAsia="Arial" w:hAnsi="Arial"/>
                <w:sz w:val="13"/>
                <w:szCs w:val="13"/>
                <w:color w:val="0000EE"/>
              </w:rPr>
            </w:pPr>
            <w:hyperlink w:anchor="page45">
              <w:r>
                <w:rPr>
                  <w:rFonts w:ascii="Arial" w:cs="Arial" w:eastAsia="Arial" w:hAnsi="Arial"/>
                  <w:sz w:val="13"/>
                  <w:szCs w:val="13"/>
                  <w:color w:val="0000EE"/>
                </w:rPr>
                <w:t>Signature of Principal Accounting Officer</w:t>
              </w:r>
            </w:hyperlink>
          </w:p>
        </w:tc>
        <w:tc>
          <w:tcPr>
            <w:tcW w:w="1000" w:type="dxa"/>
            <w:vAlign w:val="bottom"/>
          </w:tcPr>
          <w:p>
            <w:pPr>
              <w:jc w:val="right"/>
              <w:ind w:right="273"/>
              <w:spacing w:after="0"/>
              <w:rPr>
                <w:sz w:val="20"/>
                <w:szCs w:val="20"/>
                <w:color w:val="auto"/>
              </w:rPr>
            </w:pPr>
            <w:r>
              <w:rPr>
                <w:rFonts w:ascii="Arial" w:cs="Arial" w:eastAsia="Arial" w:hAnsi="Arial"/>
                <w:sz w:val="13"/>
                <w:szCs w:val="13"/>
                <w:color w:val="auto"/>
              </w:rPr>
              <w:t>44</w:t>
            </w:r>
          </w:p>
        </w:tc>
      </w:tr>
      <w:tr>
        <w:trPr>
          <w:trHeight w:val="141"/>
        </w:trPr>
        <w:tc>
          <w:tcPr>
            <w:tcW w:w="2260" w:type="dxa"/>
            <w:vAlign w:val="bottom"/>
            <w:tcBorders>
              <w:top w:val="single" w:sz="8" w:color="0000EE"/>
            </w:tcBorders>
            <w:gridSpan w:val="6"/>
          </w:tcPr>
          <w:p>
            <w:pPr>
              <w:spacing w:after="0" w:line="141" w:lineRule="exact"/>
              <w:rPr>
                <w:rFonts w:ascii="Arial" w:cs="Arial" w:eastAsia="Arial" w:hAnsi="Arial"/>
                <w:sz w:val="13"/>
                <w:szCs w:val="13"/>
                <w:color w:val="0000EE"/>
              </w:rPr>
            </w:pPr>
            <w:hyperlink w:anchor="page46">
              <w:r>
                <w:rPr>
                  <w:rFonts w:ascii="Arial" w:cs="Arial" w:eastAsia="Arial" w:hAnsi="Arial"/>
                  <w:sz w:val="13"/>
                  <w:szCs w:val="13"/>
                  <w:color w:val="0000EE"/>
                </w:rPr>
                <w:t>Exhibits</w:t>
              </w:r>
            </w:hyperlink>
          </w:p>
        </w:tc>
        <w:tc>
          <w:tcPr>
            <w:tcW w:w="8200" w:type="dxa"/>
            <w:vAlign w:val="bottom"/>
            <w:gridSpan w:val="7"/>
          </w:tcPr>
          <w:p>
            <w:pPr>
              <w:spacing w:after="0"/>
              <w:rPr>
                <w:sz w:val="12"/>
                <w:szCs w:val="12"/>
                <w:color w:val="auto"/>
              </w:rPr>
            </w:pPr>
          </w:p>
        </w:tc>
        <w:tc>
          <w:tcPr>
            <w:tcW w:w="1000" w:type="dxa"/>
            <w:vAlign w:val="bottom"/>
          </w:tcPr>
          <w:p>
            <w:pPr>
              <w:jc w:val="right"/>
              <w:ind w:right="273"/>
              <w:spacing w:after="0" w:line="141" w:lineRule="exact"/>
              <w:rPr>
                <w:sz w:val="20"/>
                <w:szCs w:val="20"/>
                <w:color w:val="auto"/>
              </w:rPr>
            </w:pPr>
            <w:r>
              <w:rPr>
                <w:rFonts w:ascii="Arial" w:cs="Arial" w:eastAsia="Arial" w:hAnsi="Arial"/>
                <w:sz w:val="13"/>
                <w:szCs w:val="13"/>
                <w:color w:val="auto"/>
              </w:rPr>
              <w:t>45</w:t>
            </w:r>
          </w:p>
        </w:tc>
      </w:tr>
      <w:tr>
        <w:trPr>
          <w:trHeight w:val="20"/>
        </w:trPr>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jc w:val="right"/>
        <w:ind w:right="9020"/>
        <w:spacing w:after="0"/>
        <w:rPr>
          <w:sz w:val="20"/>
          <w:szCs w:val="20"/>
          <w:color w:val="auto"/>
        </w:rPr>
      </w:pPr>
      <w:r>
        <w:rPr>
          <w:rFonts w:ascii="Arial" w:cs="Arial" w:eastAsia="Arial" w:hAnsi="Arial"/>
          <w:sz w:val="12"/>
          <w:szCs w:val="12"/>
          <w:color w:val="auto"/>
        </w:rPr>
        <w:t>To the Participants and Plan Administrator of</w:t>
      </w:r>
    </w:p>
    <w:p>
      <w:pPr>
        <w:spacing w:after="0" w:line="34" w:lineRule="exact"/>
        <w:rPr>
          <w:sz w:val="20"/>
          <w:szCs w:val="20"/>
          <w:color w:val="auto"/>
        </w:rPr>
      </w:pPr>
    </w:p>
    <w:p>
      <w:pPr>
        <w:jc w:val="right"/>
        <w:ind w:right="8980"/>
        <w:spacing w:after="0"/>
        <w:rPr>
          <w:sz w:val="20"/>
          <w:szCs w:val="20"/>
          <w:color w:val="auto"/>
        </w:rPr>
      </w:pPr>
      <w:r>
        <w:rPr>
          <w:rFonts w:ascii="Arial" w:cs="Arial" w:eastAsia="Arial" w:hAnsi="Arial"/>
          <w:sz w:val="12"/>
          <w:szCs w:val="12"/>
          <w:color w:val="auto"/>
        </w:rPr>
        <w:t>The JPMorgan Chase 401(k) Savings Plan:</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We have audited the accompanying statements of net assets available for benefits of The JPMorganChase 401(k) Savings Plan (the “Plan”) as of December 31, 2005 and 2004,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49" w:lineRule="exact"/>
        <w:rPr>
          <w:sz w:val="20"/>
          <w:szCs w:val="20"/>
          <w:color w:val="auto"/>
        </w:rPr>
      </w:pPr>
    </w:p>
    <w:p>
      <w:pPr>
        <w:ind w:right="140"/>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3" w:lineRule="exact"/>
        <w:rPr>
          <w:sz w:val="20"/>
          <w:szCs w:val="20"/>
          <w:color w:val="auto"/>
        </w:rPr>
      </w:pPr>
    </w:p>
    <w:p>
      <w:pPr>
        <w:ind w:right="300"/>
        <w:spacing w:after="0" w:line="29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net assets available for benefits of the Plan as of December 31, 2005 and 2004, and the changes in net assets available for benefits for the years then ended in conformity with accounting principles generally accepted in the United States of America.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Our audits were performed for the purpose of forming an opinion on the basic financial statements taken as a whole. The supplemental schedules of (1) assets (held at end of year) as of December 31, 2005,</w:t>
      </w:r>
    </w:p>
    <w:p>
      <w:pPr>
        <w:spacing w:after="0" w:line="34" w:lineRule="exact"/>
        <w:rPr>
          <w:sz w:val="20"/>
          <w:szCs w:val="20"/>
          <w:color w:val="auto"/>
        </w:rPr>
      </w:pPr>
    </w:p>
    <w:p>
      <w:pPr>
        <w:ind w:right="80" w:firstLine="1"/>
        <w:spacing w:after="0" w:line="294" w:lineRule="auto"/>
        <w:tabs>
          <w:tab w:leader="none" w:pos="19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assets both acquired and disposed of within the plan year for the year ended December 31, 2005, and (3) reportable transactions for the year ended December 31, 2005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supplementary schedules are the responsibility of the Plan’s management. The supplemental schedules have been subjected to the auditing procedures applied in the audit of the basic financial statements and, in our opinion, are fairly stated in all material respects in relation to the basic financial statements taken as a whole.</w:t>
      </w:r>
    </w:p>
    <w:p>
      <w:pPr>
        <w:spacing w:after="0" w:line="28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Mitchell &amp; Titus,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14605</wp:posOffset>
            </wp:positionV>
            <wp:extent cx="262572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5725" cy="635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Mitchell &amp; Titus, LLP</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June 21, 2006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378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512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rPr>
              <w:t>THE JPMORGAN CHASE 401(k) SAVINGS PLAN</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2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w w:val="91"/>
              </w:rPr>
              <w:t>Statements of Net Assets Available For Benefits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12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w w:val="92"/>
              </w:rPr>
              <w:t>As of December 31, 2005 and 2004</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378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5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2005</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color w:val="auto"/>
              </w:rPr>
              <w:t>JPMorgan Chase &amp; Co. and other common stocks</w:t>
            </w:r>
          </w:p>
        </w:tc>
        <w:tc>
          <w:tcPr>
            <w:tcW w:w="5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3,486,813,922</w:t>
            </w: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3,460,030,273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Common/collective trust funds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2,160,219,358</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1,420,601,494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color w:val="auto"/>
              </w:rPr>
              <w:t>Registered investment companies (mutual funds)</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1,791,540,119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3,237,021,845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Guaranteed investment contracts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1,677,691,605</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1,582,230,490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color w:val="auto"/>
              </w:rPr>
              <w:t>Plan’s share of the Master Trust (Note 5)</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1,674,192,269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965,716,333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Corporate debt instruments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492,039,223</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205,555,913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color w:val="auto"/>
              </w:rPr>
              <w:t>Loans to plan participants</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280,389,279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278,214,357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government-sponsored enterprise obligations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72,155,451</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35,002,151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color w:val="auto"/>
              </w:rPr>
              <w:t>Certificates of deposit</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42,483,951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23,044,141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50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60" w:type="dxa"/>
            <w:vAlign w:val="bottom"/>
            <w:gridSpan w:val="2"/>
          </w:tcPr>
          <w:p>
            <w:pPr>
              <w:ind w:left="280"/>
              <w:spacing w:after="0"/>
              <w:rPr>
                <w:sz w:val="20"/>
                <w:szCs w:val="20"/>
                <w:color w:val="auto"/>
              </w:rPr>
            </w:pPr>
            <w:r>
              <w:rPr>
                <w:rFonts w:ascii="Arial" w:cs="Arial" w:eastAsia="Arial" w:hAnsi="Arial"/>
                <w:sz w:val="13"/>
                <w:szCs w:val="13"/>
                <w:color w:val="auto"/>
              </w:rPr>
              <w:t>Total investments</w:t>
            </w: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w w:val="92"/>
              </w:rPr>
              <w:t>11,677,525,189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11,207,417,009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4,162,694</w:t>
            </w: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Arial" w:cs="Arial" w:eastAsia="Arial" w:hAnsi="Arial"/>
                <w:sz w:val="13"/>
                <w:szCs w:val="13"/>
                <w:color w:val="auto"/>
              </w:rPr>
              <w:t>Contributing employers contributions receivable</w:t>
            </w: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9,508,739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2,708,248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Participants’ contribution receivable</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18,065,176</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Dividends and interest receivable</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3,033,525</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1,137,739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receivables</w:t>
            </w:r>
          </w:p>
        </w:tc>
        <w:tc>
          <w:tcPr>
            <w:tcW w:w="50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2,615,066</w:t>
            </w:r>
          </w:p>
        </w:tc>
        <w:tc>
          <w:tcPr>
            <w:tcW w:w="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60" w:type="dxa"/>
            <w:vAlign w:val="bottom"/>
            <w:gridSpan w:val="2"/>
          </w:tcPr>
          <w:p>
            <w:pPr>
              <w:ind w:left="280"/>
              <w:spacing w:after="0"/>
              <w:rPr>
                <w:sz w:val="20"/>
                <w:szCs w:val="20"/>
                <w:color w:val="auto"/>
              </w:rPr>
            </w:pPr>
            <w:r>
              <w:rPr>
                <w:rFonts w:ascii="Arial" w:cs="Arial" w:eastAsia="Arial" w:hAnsi="Arial"/>
                <w:sz w:val="13"/>
                <w:szCs w:val="13"/>
                <w:color w:val="auto"/>
              </w:rPr>
              <w:t>Total assets</w:t>
            </w: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w w:val="92"/>
              </w:rPr>
              <w:t>11,710,747,695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11,215,428,891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Payable for securities purchased</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142,775</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10,394,440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 under securities lending agreements</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71,025,568</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3,972,668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Interest purchased</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3,201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overdraft</w:t>
            </w:r>
          </w:p>
        </w:tc>
        <w:tc>
          <w:tcPr>
            <w:tcW w:w="5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12,640,567</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3"/>
        </w:trPr>
        <w:tc>
          <w:tcPr>
            <w:tcW w:w="3780" w:type="dxa"/>
            <w:vAlign w:val="bottom"/>
            <w:gridSpan w:val="3"/>
          </w:tcPr>
          <w:p>
            <w:pPr>
              <w:spacing w:after="0"/>
              <w:rPr>
                <w:sz w:val="20"/>
                <w:szCs w:val="20"/>
                <w:color w:val="auto"/>
              </w:rPr>
            </w:pPr>
            <w:r>
              <w:rPr>
                <w:rFonts w:ascii="Arial" w:cs="Arial" w:eastAsia="Arial" w:hAnsi="Arial"/>
                <w:sz w:val="13"/>
                <w:szCs w:val="13"/>
                <w:color w:val="auto"/>
              </w:rPr>
              <w:t>Accrued expenses</w:t>
            </w: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136,055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313,931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50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83,944,965</w:t>
            </w:r>
          </w:p>
        </w:tc>
        <w:tc>
          <w:tcPr>
            <w:tcW w:w="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14,684,240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780" w:type="dxa"/>
            <w:vAlign w:val="bottom"/>
            <w:gridSpan w:val="3"/>
          </w:tcPr>
          <w:p>
            <w:pPr>
              <w:spacing w:after="0"/>
              <w:rPr>
                <w:sz w:val="20"/>
                <w:szCs w:val="20"/>
                <w:color w:val="auto"/>
              </w:rPr>
            </w:pPr>
            <w:r>
              <w:rPr>
                <w:rFonts w:ascii="Arial" w:cs="Arial" w:eastAsia="Arial" w:hAnsi="Arial"/>
                <w:sz w:val="13"/>
                <w:szCs w:val="13"/>
                <w:color w:val="auto"/>
              </w:rPr>
              <w:t>Net assets available for benefits</w:t>
            </w:r>
          </w:p>
        </w:tc>
        <w:tc>
          <w:tcPr>
            <w:tcW w:w="5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w w:val="92"/>
              </w:rPr>
              <w:t>11,626,802,730</w:t>
            </w:r>
          </w:p>
        </w:tc>
        <w:tc>
          <w:tcPr>
            <w:tcW w:w="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11,200,744,651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accompanying notes to financial statements are an integral part of these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880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7800" w:type="dxa"/>
            <w:vAlign w:val="bottom"/>
          </w:tcPr>
          <w:p>
            <w:pPr>
              <w:jc w:val="center"/>
              <w:ind w:left="1613"/>
              <w:spacing w:after="0"/>
              <w:rPr>
                <w:sz w:val="20"/>
                <w:szCs w:val="20"/>
                <w:color w:val="auto"/>
              </w:rPr>
            </w:pPr>
            <w:r>
              <w:rPr>
                <w:rFonts w:ascii="Arial" w:cs="Arial" w:eastAsia="Arial" w:hAnsi="Arial"/>
                <w:sz w:val="13"/>
                <w:szCs w:val="13"/>
                <w:b w:val="1"/>
                <w:bCs w:val="1"/>
                <w:color w:val="auto"/>
              </w:rPr>
              <w:t>THE JPMORGAN CHASE 401(k) SAVINGS PLAN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1"/>
              </w:rPr>
              <w:t>Statements of Changes in Net Assets Available for Benefits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3"/>
              </w:rPr>
              <w:t>For the Years Ended December 31, 2005 and 2004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2005</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80" w:type="dxa"/>
            <w:vAlign w:val="bottom"/>
            <w:gridSpan w:val="2"/>
          </w:tcPr>
          <w:p>
            <w:pPr>
              <w:ind w:left="140"/>
              <w:spacing w:after="0"/>
              <w:rPr>
                <w:sz w:val="20"/>
                <w:szCs w:val="20"/>
                <w:color w:val="auto"/>
              </w:rPr>
            </w:pPr>
            <w:r>
              <w:rPr>
                <w:rFonts w:ascii="Arial" w:cs="Arial" w:eastAsia="Arial" w:hAnsi="Arial"/>
                <w:sz w:val="13"/>
                <w:szCs w:val="13"/>
                <w:color w:val="auto"/>
              </w:rPr>
              <w:t>Employer</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221,556,987</w:t>
            </w: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138,714,586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Participants</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616,386,431</w:t>
            </w:r>
          </w:p>
        </w:tc>
        <w:tc>
          <w:tcPr>
            <w:tcW w:w="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338,477,702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Arial" w:cs="Arial" w:eastAsia="Arial" w:hAnsi="Arial"/>
                <w:sz w:val="13"/>
                <w:szCs w:val="13"/>
                <w:color w:val="auto"/>
              </w:rPr>
              <w:t>Total contributions</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837,943,418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477,192,288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activities: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tcPr>
          <w:p>
            <w:pPr>
              <w:ind w:left="280"/>
              <w:spacing w:after="0"/>
              <w:rPr>
                <w:sz w:val="20"/>
                <w:szCs w:val="20"/>
                <w:color w:val="auto"/>
              </w:rPr>
            </w:pPr>
            <w:r>
              <w:rPr>
                <w:rFonts w:ascii="Arial" w:cs="Arial" w:eastAsia="Arial" w:hAnsi="Arial"/>
                <w:sz w:val="13"/>
                <w:szCs w:val="13"/>
                <w:color w:val="auto"/>
              </w:rPr>
              <w:t>Dividends from JPMorgan Chase &amp; Co. common stock</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118,168,301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72,765,018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Interest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31,151,758</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29,309,635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tcPr>
          <w:p>
            <w:pPr>
              <w:ind w:left="280"/>
              <w:spacing w:after="0"/>
              <w:rPr>
                <w:sz w:val="20"/>
                <w:szCs w:val="20"/>
                <w:color w:val="auto"/>
              </w:rPr>
            </w:pPr>
            <w:r>
              <w:rPr>
                <w:rFonts w:ascii="Arial" w:cs="Arial" w:eastAsia="Arial" w:hAnsi="Arial"/>
                <w:sz w:val="13"/>
                <w:szCs w:val="13"/>
                <w:color w:val="auto"/>
              </w:rPr>
              <w:t>Other dividends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80,790,071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53,356,452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Investment income from Plan’s interest in Master Trust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54,212,156</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26,907,992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80" w:type="dxa"/>
            <w:vAlign w:val="bottom"/>
            <w:gridSpan w:val="2"/>
          </w:tcPr>
          <w:p>
            <w:pPr>
              <w:ind w:left="280"/>
              <w:spacing w:after="0"/>
              <w:rPr>
                <w:sz w:val="20"/>
                <w:szCs w:val="20"/>
                <w:color w:val="auto"/>
              </w:rPr>
            </w:pPr>
            <w:r>
              <w:rPr>
                <w:rFonts w:ascii="Arial" w:cs="Arial" w:eastAsia="Arial" w:hAnsi="Arial"/>
                <w:sz w:val="13"/>
                <w:szCs w:val="13"/>
                <w:color w:val="auto"/>
              </w:rPr>
              <w:t>Net appreciation in fair value of investments including Master Trust</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309,237,017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532,499,237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in net assets available for benefits derived from investment activities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593,559,303</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714,838,334</w:t>
            </w:r>
          </w:p>
        </w:tc>
        <w:tc>
          <w:tcPr>
            <w:tcW w:w="0" w:type="dxa"/>
            <w:vAlign w:val="bottom"/>
          </w:tcPr>
          <w:p>
            <w:pPr>
              <w:spacing w:after="0"/>
              <w:rPr>
                <w:sz w:val="1"/>
                <w:szCs w:val="1"/>
                <w:color w:val="auto"/>
              </w:rPr>
            </w:pPr>
          </w:p>
        </w:tc>
      </w:tr>
      <w:tr>
        <w:trPr>
          <w:trHeight w:val="323"/>
        </w:trPr>
        <w:tc>
          <w:tcPr>
            <w:tcW w:w="8800" w:type="dxa"/>
            <w:vAlign w:val="bottom"/>
            <w:gridSpan w:val="3"/>
          </w:tcPr>
          <w:p>
            <w:pPr>
              <w:spacing w:after="0"/>
              <w:rPr>
                <w:sz w:val="20"/>
                <w:szCs w:val="20"/>
                <w:color w:val="auto"/>
              </w:rPr>
            </w:pPr>
            <w:r>
              <w:rPr>
                <w:rFonts w:ascii="Arial" w:cs="Arial" w:eastAsia="Arial" w:hAnsi="Arial"/>
                <w:sz w:val="13"/>
                <w:szCs w:val="13"/>
                <w:color w:val="auto"/>
              </w:rPr>
              <w:t>Deductions: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Benefits paid to participants</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5"/>
              </w:rPr>
              <w:t>(1,020,380,915)</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(571,855,616)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gridSpan w:val="2"/>
          </w:tcPr>
          <w:p>
            <w:pPr>
              <w:ind w:left="14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3"/>
                <w:szCs w:val="13"/>
                <w:color w:val="auto"/>
              </w:rPr>
              <w:t>(1,403,071)</w:t>
            </w:r>
          </w:p>
        </w:tc>
        <w:tc>
          <w:tcPr>
            <w:tcW w:w="1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(310,230)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change during the year</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409,718,735</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619,864,776</w:t>
            </w:r>
          </w:p>
        </w:tc>
        <w:tc>
          <w:tcPr>
            <w:tcW w:w="0" w:type="dxa"/>
            <w:vAlign w:val="bottom"/>
          </w:tcPr>
          <w:p>
            <w:pPr>
              <w:spacing w:after="0"/>
              <w:rPr>
                <w:sz w:val="1"/>
                <w:szCs w:val="1"/>
                <w:color w:val="auto"/>
              </w:rPr>
            </w:pPr>
          </w:p>
        </w:tc>
      </w:tr>
      <w:tr>
        <w:trPr>
          <w:trHeight w:val="322"/>
        </w:trPr>
        <w:tc>
          <w:tcPr>
            <w:tcW w:w="8800" w:type="dxa"/>
            <w:vAlign w:val="bottom"/>
            <w:gridSpan w:val="3"/>
          </w:tcPr>
          <w:p>
            <w:pPr>
              <w:spacing w:after="0"/>
              <w:rPr>
                <w:sz w:val="20"/>
                <w:szCs w:val="20"/>
                <w:color w:val="auto"/>
              </w:rPr>
            </w:pPr>
            <w:r>
              <w:rPr>
                <w:rFonts w:ascii="Arial" w:cs="Arial" w:eastAsia="Arial" w:hAnsi="Arial"/>
                <w:sz w:val="13"/>
                <w:szCs w:val="13"/>
                <w:color w:val="auto"/>
              </w:rPr>
              <w:t>Transfers from other plans</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16,339,344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3,532,561,777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assets available for benefits at beginning of year</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11,200,744,651</w:t>
            </w:r>
          </w:p>
        </w:tc>
        <w:tc>
          <w:tcPr>
            <w:tcW w:w="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7,048,318,098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8800" w:type="dxa"/>
            <w:vAlign w:val="bottom"/>
            <w:gridSpan w:val="3"/>
          </w:tcPr>
          <w:p>
            <w:pPr>
              <w:spacing w:after="0"/>
              <w:rPr>
                <w:sz w:val="20"/>
                <w:szCs w:val="20"/>
                <w:color w:val="auto"/>
              </w:rPr>
            </w:pPr>
            <w:r>
              <w:rPr>
                <w:rFonts w:ascii="Arial" w:cs="Arial" w:eastAsia="Arial" w:hAnsi="Arial"/>
                <w:sz w:val="13"/>
                <w:szCs w:val="13"/>
                <w:color w:val="auto"/>
              </w:rPr>
              <w:t>Net assets available for benefits at end of year</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w w:val="92"/>
              </w:rPr>
              <w:t>11,626,802,730</w:t>
            </w:r>
          </w:p>
        </w:tc>
        <w:tc>
          <w:tcPr>
            <w:tcW w:w="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11,200,744,651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accompanying notes to financial statements are an integral part of these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460" w:hanging="459"/>
        <w:spacing w:after="0"/>
        <w:tabs>
          <w:tab w:leader="none" w:pos="46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Plan</w:t>
      </w:r>
    </w:p>
    <w:p>
      <w:pPr>
        <w:spacing w:after="0" w:line="95" w:lineRule="exact"/>
        <w:rPr>
          <w:sz w:val="20"/>
          <w:szCs w:val="20"/>
          <w:color w:val="auto"/>
        </w:rPr>
      </w:pPr>
    </w:p>
    <w:p>
      <w:pPr>
        <w:ind w:right="20" w:firstLine="334"/>
        <w:spacing w:after="0" w:line="295" w:lineRule="auto"/>
        <w:rPr>
          <w:sz w:val="20"/>
          <w:szCs w:val="20"/>
          <w:color w:val="auto"/>
        </w:rPr>
      </w:pPr>
      <w:r>
        <w:rPr>
          <w:rFonts w:ascii="Arial" w:cs="Arial" w:eastAsia="Arial" w:hAnsi="Arial"/>
          <w:sz w:val="12"/>
          <w:szCs w:val="12"/>
          <w:color w:val="auto"/>
        </w:rPr>
        <w:t>The JPMorgan Chase 401(k) Savings Plan (“Plan”) is a defined contribution plan sponsored by JPMorgan Chase Bank, National Association (“Bank”), a national banking association with branches in 17 states, and a wholly-owned bank subsidiary of JPMorgan Chase &amp; Co (“JPMorgan Chase” or the “Firm”). The Bank was organized in the legal form of a banking corporation under the laws of the State of New York on November 26, 1968, for an unlimited duration. On November 13, 2004, the Bank converted from a New York State banking corporation to a national banking association (“Conversion”). JPMorgan Chase is a financial holding company incorporated under Delaware law in 1968, a leading global financial services firm and one of the largest banking institutions in the United States, with operations worldwide. The Firm is a leader in investment banking, financial services for consumers and businesses, financial transaction processing, investment management, private banking and private equity.</w:t>
      </w:r>
    </w:p>
    <w:p>
      <w:pPr>
        <w:spacing w:after="0" w:line="39" w:lineRule="exact"/>
        <w:rPr>
          <w:sz w:val="20"/>
          <w:szCs w:val="20"/>
          <w:color w:val="auto"/>
        </w:rPr>
      </w:pPr>
    </w:p>
    <w:p>
      <w:pPr>
        <w:ind w:right="100" w:firstLine="336"/>
        <w:spacing w:after="0" w:line="294" w:lineRule="auto"/>
        <w:rPr>
          <w:sz w:val="20"/>
          <w:szCs w:val="20"/>
          <w:color w:val="auto"/>
        </w:rPr>
      </w:pPr>
      <w:r>
        <w:rPr>
          <w:rFonts w:ascii="Arial" w:cs="Arial" w:eastAsia="Arial" w:hAnsi="Arial"/>
          <w:sz w:val="13"/>
          <w:szCs w:val="13"/>
          <w:color w:val="auto"/>
        </w:rPr>
        <w:t>On July 1, 2004, Bank One Corporation merged with and into JPMorgan Chase. The Bank One Corporation Savings and Investment Plan merged with and into the Plan as of December 31, 2004. (See Note 11 for more details).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is a general description of the Plan. Participants should refer to the Plan document for a more complete description of the Plan.</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General</w:t>
      </w:r>
    </w:p>
    <w:p>
      <w:pPr>
        <w:spacing w:after="0" w:line="95" w:lineRule="exact"/>
        <w:rPr>
          <w:sz w:val="20"/>
          <w:szCs w:val="20"/>
          <w:color w:val="auto"/>
        </w:rPr>
      </w:pPr>
    </w:p>
    <w:p>
      <w:pPr>
        <w:ind w:right="20" w:firstLine="334"/>
        <w:spacing w:after="0" w:line="300" w:lineRule="auto"/>
        <w:rPr>
          <w:sz w:val="20"/>
          <w:szCs w:val="20"/>
          <w:color w:val="auto"/>
        </w:rPr>
      </w:pPr>
      <w:r>
        <w:rPr>
          <w:rFonts w:ascii="Arial" w:cs="Arial" w:eastAsia="Arial" w:hAnsi="Arial"/>
          <w:sz w:val="12"/>
          <w:szCs w:val="12"/>
          <w:color w:val="auto"/>
        </w:rPr>
        <w:t>The Plan enables eligible employees of JPMorgan Chase and certain of its affiliated companies to accumulate a fund, the value of which is to be applied for their benefit upon retirement or termination of employment. Under the Plan, a participant (“Participant”) may elect to have the Participant’s eligible compensation reduced on a pre-tax basis by a specified percentage; the amount of such reduction is contributed on the Participant’s behalf by the Participant’s contributing employer (“Contributing Employer”) and allocated to the Participant’s account under the Plan. The Contributing Employer will generally make a matching contribution (“Matching Contribution”) as discussed below. All amounts contributed to a Participant’s account under the Plan are held in a trust fund (“Trust Fund”).</w:t>
      </w:r>
    </w:p>
    <w:p>
      <w:pPr>
        <w:spacing w:after="0" w:line="36" w:lineRule="exact"/>
        <w:rPr>
          <w:sz w:val="20"/>
          <w:szCs w:val="20"/>
          <w:color w:val="auto"/>
        </w:rPr>
      </w:pPr>
    </w:p>
    <w:p>
      <w:pPr>
        <w:ind w:firstLine="336"/>
        <w:spacing w:after="0" w:line="310" w:lineRule="auto"/>
        <w:rPr>
          <w:sz w:val="20"/>
          <w:szCs w:val="20"/>
          <w:color w:val="auto"/>
        </w:rPr>
      </w:pPr>
      <w:r>
        <w:rPr>
          <w:rFonts w:ascii="Arial" w:cs="Arial" w:eastAsia="Arial" w:hAnsi="Arial"/>
          <w:sz w:val="12"/>
          <w:szCs w:val="12"/>
          <w:color w:val="auto"/>
        </w:rPr>
        <w:t>Full-time employees are eligible to enroll in the Plan as of their first day of employment. Beginning in 2005, part-time employees are eligible to participate after completing 90 days of service. Generally, any employee who is employed on an hourly, occasional, casual, temporary, seasonal, intern, or retainer basis, or an individual who is on a non-U.S. dollar payroll, or any individual who would be deemed to be an employee of a Contributing Employer under the employee leasing provisions of Section 414(n) of the Internal Revenue Code of 1986, as amended (“Code”), is not eligible to participate in the Plan.</w:t>
      </w:r>
    </w:p>
    <w:p>
      <w:pPr>
        <w:spacing w:after="0" w:line="30" w:lineRule="exact"/>
        <w:rPr>
          <w:sz w:val="20"/>
          <w:szCs w:val="20"/>
          <w:color w:val="auto"/>
        </w:rPr>
      </w:pPr>
    </w:p>
    <w:p>
      <w:pPr>
        <w:jc w:val="both"/>
        <w:ind w:right="160" w:firstLine="334"/>
        <w:spacing w:after="0" w:line="276" w:lineRule="auto"/>
        <w:rPr>
          <w:sz w:val="20"/>
          <w:szCs w:val="20"/>
          <w:color w:val="auto"/>
        </w:rPr>
      </w:pPr>
      <w:r>
        <w:rPr>
          <w:rFonts w:ascii="Arial" w:cs="Arial" w:eastAsia="Arial" w:hAnsi="Arial"/>
          <w:sz w:val="13"/>
          <w:szCs w:val="13"/>
          <w:color w:val="auto"/>
        </w:rPr>
        <w:t>The Plan is administered by the Plan Administrator who is appointed by the Board of Directors of JPMorgan Chase or the Bank. The Plan complies with the Employee Retirement Income Security Act of 1974, as amended (“ERISA”). The Plan is designed to comply with Section 404(c) of ERISA and the related regulations. As a result, the Plan’s fiduciaries may be released from liability for any losses that result from the Participant’s individual investment decisions.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Contributions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Deferred Contributions</w:t>
      </w:r>
    </w:p>
    <w:p>
      <w:pPr>
        <w:spacing w:after="0" w:line="93" w:lineRule="exact"/>
        <w:rPr>
          <w:sz w:val="20"/>
          <w:szCs w:val="20"/>
          <w:color w:val="auto"/>
        </w:rPr>
      </w:pPr>
    </w:p>
    <w:p>
      <w:pPr>
        <w:jc w:val="both"/>
        <w:ind w:right="100" w:firstLine="334"/>
        <w:spacing w:after="0" w:line="300" w:lineRule="auto"/>
        <w:rPr>
          <w:sz w:val="20"/>
          <w:szCs w:val="20"/>
          <w:color w:val="auto"/>
        </w:rPr>
      </w:pPr>
      <w:r>
        <w:rPr>
          <w:rFonts w:ascii="Arial" w:cs="Arial" w:eastAsia="Arial" w:hAnsi="Arial"/>
          <w:sz w:val="12"/>
          <w:szCs w:val="12"/>
          <w:color w:val="auto"/>
        </w:rPr>
        <w:t>The Plan allows Participants to defer on a pre-tax basis through payroll deductions up to 20% (in 1% increments) of their eligible compensation per pay period subject to certain legal limitations (“Deferred Contributions”). Prior to 2005, the Plan limited certain highly compensated employees to a 5% deferral rate. Eligible compensation generally means base salary plus applicable job differential pay (i.e., shift pay). In certain situations, eligible compensation includes other cash earnings (e.g., commissions, draws, and overrides) paid under certain plans that provide compensation in lieu of base salary. Eligible compensation excludes overtime, bonuses, special pay, or any other additional compensation and is not reduced by pre-tax contributions under this Plan and under certain other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jc w:val="both"/>
        <w:ind w:right="80"/>
        <w:spacing w:after="0" w:line="276" w:lineRule="auto"/>
        <w:rPr>
          <w:sz w:val="20"/>
          <w:szCs w:val="20"/>
          <w:color w:val="auto"/>
        </w:rPr>
      </w:pPr>
      <w:r>
        <w:rPr>
          <w:rFonts w:ascii="Arial" w:cs="Arial" w:eastAsia="Arial" w:hAnsi="Arial"/>
          <w:sz w:val="13"/>
          <w:szCs w:val="13"/>
          <w:color w:val="auto"/>
        </w:rPr>
        <w:t>plans. The maximum amount of Deferred Compensation may not exceed the applicable statutory limit, i.e., $14,000 in 2005 and $13,000 in 2004. The maximum annual eligible compensation under the Plan may not exceed the applicable statutory limit under Section 401(a) (17) of the Code, i.e., $210,000 in 2005 and $205,000 in 2004. In addition, Participants who are age 50 or older are permitted to make additional pre-tax contributions known as “catch-up” contributions. The applicable statutory limit for catch-up contributions is $4,000 in 2005 and $3,000 in 2004.</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Employer Contributions</w:t>
      </w:r>
    </w:p>
    <w:p>
      <w:pPr>
        <w:spacing w:after="0" w:line="93" w:lineRule="exact"/>
        <w:rPr>
          <w:sz w:val="20"/>
          <w:szCs w:val="20"/>
          <w:color w:val="auto"/>
        </w:rPr>
      </w:pPr>
    </w:p>
    <w:p>
      <w:pPr>
        <w:ind w:right="180" w:firstLine="336"/>
        <w:spacing w:after="0" w:line="270" w:lineRule="auto"/>
        <w:rPr>
          <w:sz w:val="20"/>
          <w:szCs w:val="20"/>
          <w:color w:val="auto"/>
        </w:rPr>
      </w:pPr>
      <w:r>
        <w:rPr>
          <w:rFonts w:ascii="Arial" w:cs="Arial" w:eastAsia="Arial" w:hAnsi="Arial"/>
          <w:sz w:val="13"/>
          <w:szCs w:val="13"/>
          <w:color w:val="auto"/>
        </w:rPr>
        <w:t>Generally, except as discussed below, each Contributing Employer makes a matching contribution on behalf of each Participant who has completed one year of service in an amount equal to 100% of such Participant’s Deferred Contributions up to 5% of such Participant’s eligible compensation each pay period. Participants whose annual total cash compensation is $250,000 or more are not eligible to receive matching contributions. This determination is made as of each August 1 and applies for the next succeeding calendar year. Prior to 2005, this provision only applied to participants in the following business segments or units: Investment Bank, Asset &amp; Wealth Management, the Private Equity business, and the Market Risk Management unit.</w:t>
      </w:r>
    </w:p>
    <w:p>
      <w:pPr>
        <w:spacing w:after="0" w:line="53" w:lineRule="exact"/>
        <w:rPr>
          <w:sz w:val="20"/>
          <w:szCs w:val="20"/>
          <w:color w:val="auto"/>
        </w:rPr>
      </w:pPr>
    </w:p>
    <w:p>
      <w:pPr>
        <w:ind w:firstLine="336"/>
        <w:spacing w:after="0" w:line="267" w:lineRule="auto"/>
        <w:rPr>
          <w:sz w:val="20"/>
          <w:szCs w:val="20"/>
          <w:color w:val="auto"/>
        </w:rPr>
      </w:pPr>
      <w:r>
        <w:rPr>
          <w:rFonts w:ascii="Arial" w:cs="Arial" w:eastAsia="Arial" w:hAnsi="Arial"/>
          <w:sz w:val="13"/>
          <w:szCs w:val="13"/>
          <w:color w:val="auto"/>
        </w:rPr>
        <w:t>Prior to 2005, the Plan provided for a “matching true-up contribution” feature. Under the “matching true-up contribution” feature, at the end of each calendar year, the Deferred Contributions as a percentage of eligible compensation of a Participant who is employed on December 31 was compared to that Participant’s average rate of Matching Contributions as a percentage of eligible compensation. Eligible compensation was based on the period during the calendar year in which the Participant was eligible for Matching Contributions. If the Participant’s Deferred Contribution rate (but not more than 5%) exceeded the Participant’s average rate of Matching Contributions, the Participant received a matching true-up contribution equal to such excess. The balance of the annual matching true-up for the year was automatically credited to the account of the eligible participant early in the following year.</w:t>
      </w:r>
    </w:p>
    <w:p>
      <w:pPr>
        <w:spacing w:after="0" w:line="56" w:lineRule="exact"/>
        <w:rPr>
          <w:sz w:val="20"/>
          <w:szCs w:val="20"/>
          <w:color w:val="auto"/>
        </w:rPr>
      </w:pPr>
    </w:p>
    <w:p>
      <w:pPr>
        <w:ind w:right="220" w:firstLine="329"/>
        <w:spacing w:after="0" w:line="294" w:lineRule="auto"/>
        <w:rPr>
          <w:sz w:val="20"/>
          <w:szCs w:val="20"/>
          <w:color w:val="auto"/>
        </w:rPr>
      </w:pPr>
      <w:r>
        <w:rPr>
          <w:rFonts w:ascii="Arial" w:cs="Arial" w:eastAsia="Arial" w:hAnsi="Arial"/>
          <w:sz w:val="13"/>
          <w:szCs w:val="13"/>
          <w:color w:val="auto"/>
        </w:rPr>
        <w:t>A Participant may elect to have 100% of their Matching Contributions invested in the same manner as their Deferred Contributions. If a Participant fails to make such an election, Matching Contributions will be invested in the Plan’s JPMorgan Chase Common Stock Fund.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Rollover Contributions</w:t>
      </w:r>
    </w:p>
    <w:p>
      <w:pPr>
        <w:spacing w:after="0" w:line="95" w:lineRule="exact"/>
        <w:rPr>
          <w:sz w:val="20"/>
          <w:szCs w:val="20"/>
          <w:color w:val="auto"/>
        </w:rPr>
      </w:pPr>
    </w:p>
    <w:p>
      <w:pPr>
        <w:ind w:right="260" w:firstLine="334"/>
        <w:spacing w:after="0" w:line="294" w:lineRule="auto"/>
        <w:rPr>
          <w:sz w:val="20"/>
          <w:szCs w:val="20"/>
          <w:color w:val="auto"/>
        </w:rPr>
      </w:pPr>
      <w:r>
        <w:rPr>
          <w:rFonts w:ascii="Arial" w:cs="Arial" w:eastAsia="Arial" w:hAnsi="Arial"/>
          <w:sz w:val="13"/>
          <w:szCs w:val="13"/>
          <w:color w:val="auto"/>
        </w:rPr>
        <w:t>The Plan accepts qualifying rollover contributions made by Participants in cash from qualified retirement plans of other employers, including; qualified traditional individual retirement accounts (IRA’s); contributory individual retirement accounts; and governmental plans. After-tax rollovers are not accepted by the Plan.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Dividend Election</w:t>
      </w:r>
    </w:p>
    <w:p>
      <w:pPr>
        <w:spacing w:after="0" w:line="95" w:lineRule="exact"/>
        <w:rPr>
          <w:sz w:val="20"/>
          <w:szCs w:val="20"/>
          <w:color w:val="auto"/>
        </w:rPr>
      </w:pPr>
    </w:p>
    <w:p>
      <w:pPr>
        <w:ind w:right="80" w:firstLine="329"/>
        <w:spacing w:after="0" w:line="276" w:lineRule="auto"/>
        <w:rPr>
          <w:sz w:val="20"/>
          <w:szCs w:val="20"/>
          <w:color w:val="auto"/>
        </w:rPr>
      </w:pPr>
      <w:r>
        <w:rPr>
          <w:rFonts w:ascii="Arial" w:cs="Arial" w:eastAsia="Arial" w:hAnsi="Arial"/>
          <w:sz w:val="13"/>
          <w:szCs w:val="13"/>
          <w:color w:val="auto"/>
        </w:rPr>
        <w:t>A Participant may elect to have any vested JPMorgan Chase Common Stock Fund dividend income distributed to them on a quarterly basis; the dividend payments are not subject to an early distribution tax penalty. If a Participant makes no election, the dividend income will automatically be reinvested in the Participant’s account in that Fund. Prior to 2005, dividend payments with respect to unvested matching contributions were automatically reinvested in the Participant’s account in that Fund.</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Vesting</w:t>
      </w:r>
    </w:p>
    <w:p>
      <w:pPr>
        <w:spacing w:after="0" w:line="95" w:lineRule="exact"/>
        <w:rPr>
          <w:sz w:val="20"/>
          <w:szCs w:val="20"/>
          <w:color w:val="auto"/>
        </w:rPr>
      </w:pPr>
    </w:p>
    <w:p>
      <w:pPr>
        <w:jc w:val="both"/>
        <w:ind w:right="140" w:firstLine="329"/>
        <w:spacing w:after="0" w:line="310" w:lineRule="auto"/>
        <w:rPr>
          <w:sz w:val="20"/>
          <w:szCs w:val="20"/>
          <w:color w:val="auto"/>
        </w:rPr>
      </w:pPr>
      <w:r>
        <w:rPr>
          <w:rFonts w:ascii="Arial" w:cs="Arial" w:eastAsia="Arial" w:hAnsi="Arial"/>
          <w:sz w:val="12"/>
          <w:szCs w:val="12"/>
          <w:color w:val="auto"/>
        </w:rPr>
        <w:t>A Participant’s Deferred Contributions are always 100% vested, including any associated investment performance (or “earnings”). Effective January 1, 2005, Participants were immediately 100% vested in the value of the Matching Contributions, including any associated investment performance. Prior to January 1, 2005, a Participant became vested in the Plan after completing three years of service. However, if a Participant was involuntarily terminated due to job elimination, the Participant became fully vested in the value of their account balance regardless of their years of service.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ind w:right="40" w:firstLine="336"/>
        <w:spacing w:after="0" w:line="294" w:lineRule="auto"/>
        <w:rPr>
          <w:sz w:val="20"/>
          <w:szCs w:val="20"/>
          <w:color w:val="auto"/>
        </w:rPr>
      </w:pPr>
      <w:r>
        <w:rPr>
          <w:rFonts w:ascii="Arial" w:cs="Arial" w:eastAsia="Arial" w:hAnsi="Arial"/>
          <w:sz w:val="13"/>
          <w:szCs w:val="13"/>
          <w:color w:val="auto"/>
        </w:rPr>
        <w:t>Matching Contributions that were forfeited prior to January 1, 2005 were used to reduce a Contributing Employer’s future Matching Contributions and/or for administrative expenses. Forfeitures for the year ended December 31, 2004 was $4,028,392.</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Distributions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Withdrawal of Contributions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Plan allows a Participant to withdraw all or any portion of their vested account balance attributable to after-tax contributions, if any, or contributions rolled over from another qualified plan or IRA.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Certain individuals who participated in prior plans may also withdraw other types of nonforfeitable Employer Contributions, subject to certain restrictions.</w:t>
      </w:r>
    </w:p>
    <w:p>
      <w:pPr>
        <w:spacing w:after="0" w:line="82" w:lineRule="exact"/>
        <w:rPr>
          <w:sz w:val="20"/>
          <w:szCs w:val="20"/>
          <w:color w:val="auto"/>
        </w:rPr>
      </w:pPr>
    </w:p>
    <w:p>
      <w:pPr>
        <w:ind w:firstLine="336"/>
        <w:spacing w:after="0" w:line="276" w:lineRule="auto"/>
        <w:rPr>
          <w:sz w:val="20"/>
          <w:szCs w:val="20"/>
          <w:color w:val="auto"/>
        </w:rPr>
      </w:pPr>
      <w:r>
        <w:rPr>
          <w:rFonts w:ascii="Arial" w:cs="Arial" w:eastAsia="Arial" w:hAnsi="Arial"/>
          <w:sz w:val="13"/>
          <w:szCs w:val="13"/>
          <w:color w:val="auto"/>
        </w:rPr>
        <w:t xml:space="preserve">Participants who have withdrawn all amounts permissible under the preceding paragraph may request to withdraw up to the remaining amount of their vested account balance only upon attaining age 59 </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8"/>
          <w:szCs w:val="8"/>
          <w:color w:val="auto"/>
        </w:rPr>
        <w:t>2</w:t>
      </w:r>
      <w:r>
        <w:rPr>
          <w:rFonts w:ascii="Arial" w:cs="Arial" w:eastAsia="Arial" w:hAnsi="Arial"/>
          <w:sz w:val="13"/>
          <w:szCs w:val="13"/>
          <w:color w:val="auto"/>
        </w:rPr>
        <w:t xml:space="preserve"> or for reasons of financial hardship, provided, however, that earnings realized after December 31, 1988, on Deferred Contributions and certain other deferred contributions under prior plans are not available for hardship withdrawal.</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Payment of Vested Benefits</w:t>
      </w:r>
    </w:p>
    <w:p>
      <w:pPr>
        <w:spacing w:after="0" w:line="93" w:lineRule="exact"/>
        <w:rPr>
          <w:sz w:val="20"/>
          <w:szCs w:val="20"/>
          <w:color w:val="auto"/>
        </w:rPr>
      </w:pPr>
    </w:p>
    <w:p>
      <w:pPr>
        <w:jc w:val="both"/>
        <w:ind w:right="160" w:firstLine="329"/>
        <w:spacing w:after="0" w:line="276" w:lineRule="auto"/>
        <w:rPr>
          <w:sz w:val="20"/>
          <w:szCs w:val="20"/>
          <w:color w:val="auto"/>
        </w:rPr>
      </w:pPr>
      <w:r>
        <w:rPr>
          <w:rFonts w:ascii="Arial" w:cs="Arial" w:eastAsia="Arial" w:hAnsi="Arial"/>
          <w:sz w:val="13"/>
          <w:szCs w:val="13"/>
          <w:color w:val="auto"/>
        </w:rPr>
        <w:t>A Participant who terminates employment may elect to receive the value of their vested benefits under the Plan. In the event of the death of a married Participant, fully vested benefits will be distributed to the Participant’s spouse or to another beneficiary if the spouse previously consented. An unmarried Participant may designate anyone as their beneficiary. If there is no spouse or living beneficiary on the date of the Participant’s death, then the value of the vested benefits is distributed to the Participant’s estate.</w:t>
      </w:r>
    </w:p>
    <w:p>
      <w:pPr>
        <w:spacing w:after="0" w:line="49" w:lineRule="exact"/>
        <w:rPr>
          <w:sz w:val="20"/>
          <w:szCs w:val="20"/>
          <w:color w:val="auto"/>
        </w:rPr>
      </w:pPr>
    </w:p>
    <w:p>
      <w:pPr>
        <w:ind w:right="160" w:firstLine="329"/>
        <w:spacing w:after="0" w:line="270" w:lineRule="auto"/>
        <w:rPr>
          <w:sz w:val="20"/>
          <w:szCs w:val="20"/>
          <w:color w:val="auto"/>
        </w:rPr>
      </w:pPr>
      <w:r>
        <w:rPr>
          <w:rFonts w:ascii="Arial" w:cs="Arial" w:eastAsia="Arial" w:hAnsi="Arial"/>
          <w:sz w:val="13"/>
          <w:szCs w:val="13"/>
          <w:color w:val="auto"/>
        </w:rPr>
        <w:t xml:space="preserve">A terminated Participant whose vested account balance under the Plan (including loans) is greater than $1,000 ($5,000 prior to 2005) may elect to (1) receive a lump sum payment; (2) obtain a rollover payment to an IRA or another employer’s qualified plan; (3) receive monthly (beginning in 2005), quarterly or annual installments of at least $500 over a period not exceeding their life expectancy, or (4) defer receipt of the distribution until April 1 of the year after they attain the age of 70 </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8"/>
          <w:szCs w:val="8"/>
          <w:color w:val="auto"/>
        </w:rPr>
        <w:t>2</w:t>
      </w:r>
      <w:r>
        <w:rPr>
          <w:rFonts w:ascii="Arial" w:cs="Arial" w:eastAsia="Arial" w:hAnsi="Arial"/>
          <w:sz w:val="13"/>
          <w:szCs w:val="13"/>
          <w:color w:val="auto"/>
        </w:rPr>
        <w:t>. If no election is made, then the account distribution will be deferred, automatically, until the month after the Participant attains age 65.</w:t>
      </w:r>
    </w:p>
    <w:p>
      <w:pPr>
        <w:spacing w:after="0" w:line="53" w:lineRule="exact"/>
        <w:rPr>
          <w:sz w:val="20"/>
          <w:szCs w:val="20"/>
          <w:color w:val="auto"/>
        </w:rPr>
      </w:pPr>
    </w:p>
    <w:p>
      <w:pPr>
        <w:ind w:right="180" w:firstLine="336"/>
        <w:spacing w:after="0" w:line="339" w:lineRule="auto"/>
        <w:rPr>
          <w:sz w:val="20"/>
          <w:szCs w:val="20"/>
          <w:color w:val="auto"/>
        </w:rPr>
      </w:pPr>
      <w:r>
        <w:rPr>
          <w:rFonts w:ascii="Arial" w:cs="Arial" w:eastAsia="Arial" w:hAnsi="Arial"/>
          <w:sz w:val="12"/>
          <w:szCs w:val="12"/>
          <w:color w:val="auto"/>
        </w:rPr>
        <w:t>If a terminated Participant’s vested account balance does not exceed $1,000 ($5,000 prior to 2005), the account balance, less any required income tax withholding, will be paid to the Participant in a single lump sum. However, if the Participant elects to roll over the distribution to an IRA or another employer’s qualified plan, the entire account balance will be distributed (i.e., there will be no tax withholding).</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Loans</w:t>
      </w:r>
    </w:p>
    <w:p>
      <w:pPr>
        <w:spacing w:after="0" w:line="95" w:lineRule="exact"/>
        <w:rPr>
          <w:sz w:val="20"/>
          <w:szCs w:val="20"/>
          <w:color w:val="auto"/>
        </w:rPr>
      </w:pPr>
    </w:p>
    <w:p>
      <w:pPr>
        <w:ind w:right="120" w:firstLine="334"/>
        <w:spacing w:after="0" w:line="295" w:lineRule="auto"/>
        <w:rPr>
          <w:sz w:val="20"/>
          <w:szCs w:val="20"/>
          <w:color w:val="auto"/>
        </w:rPr>
      </w:pPr>
      <w:r>
        <w:rPr>
          <w:rFonts w:ascii="Arial" w:cs="Arial" w:eastAsia="Arial" w:hAnsi="Arial"/>
          <w:sz w:val="12"/>
          <w:szCs w:val="12"/>
          <w:color w:val="auto"/>
        </w:rPr>
        <w:t>The Plan permits Participants to borrow a portion of their vested account balance without paying income taxes or incurring income tax penalties. The minimum loan amount is $1,000. The maximum aggregate amount of all loans to any Participant under the Plan is the lesser of $50,000 (reduced by the highest loan balance outstanding during the 12-month period preceding the date of the new loan) or 50% of the vested value of their account balance. The interest rate on a loan is based on the prime rate in effect on the first business day of the month, and it is fixed for the duration of the loan. Generally loans must be paid off within five years. If, however, the loan is for the purchase of a principal residence, the repayment period may be up to 15 years. A Participant is limited to no more than six loans outstanding at any time. Loan principal and interest are paid through payroll deductions. Loan transactions are reported in the Statements of net assets available for benefits as Loans to plan participants.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460" w:hanging="459"/>
        <w:spacing w:after="0"/>
        <w:tabs>
          <w:tab w:leader="none" w:pos="46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 Program</w:t>
      </w:r>
    </w:p>
    <w:p>
      <w:pPr>
        <w:spacing w:after="0" w:line="95" w:lineRule="exact"/>
        <w:rPr>
          <w:sz w:val="20"/>
          <w:szCs w:val="20"/>
          <w:color w:val="auto"/>
        </w:rPr>
      </w:pPr>
    </w:p>
    <w:p>
      <w:pPr>
        <w:ind w:right="160" w:firstLine="334"/>
        <w:spacing w:after="0" w:line="294" w:lineRule="auto"/>
        <w:rPr>
          <w:sz w:val="20"/>
          <w:szCs w:val="20"/>
          <w:color w:val="auto"/>
        </w:rPr>
      </w:pPr>
      <w:r>
        <w:rPr>
          <w:rFonts w:ascii="Arial" w:cs="Arial" w:eastAsia="Arial" w:hAnsi="Arial"/>
          <w:sz w:val="13"/>
          <w:szCs w:val="13"/>
          <w:color w:val="auto"/>
        </w:rPr>
        <w:t>The net assets available for benefits of the Plan at December 31, 2005 and 2004, are held in a Trust Fund administered by the Bank, as trustee (“Trustee”), to be invested and distributed in accordance with the Plan and the trust agreement under which the Trust Fund was established.</w:t>
      </w:r>
    </w:p>
    <w:p>
      <w:pPr>
        <w:spacing w:after="0" w:line="37" w:lineRule="exact"/>
        <w:rPr>
          <w:sz w:val="20"/>
          <w:szCs w:val="20"/>
          <w:color w:val="auto"/>
        </w:rPr>
      </w:pPr>
    </w:p>
    <w:p>
      <w:pPr>
        <w:ind w:right="100" w:firstLine="329"/>
        <w:spacing w:after="0" w:line="276" w:lineRule="auto"/>
        <w:rPr>
          <w:sz w:val="20"/>
          <w:szCs w:val="20"/>
          <w:color w:val="auto"/>
        </w:rPr>
      </w:pPr>
      <w:r>
        <w:rPr>
          <w:rFonts w:ascii="Arial" w:cs="Arial" w:eastAsia="Arial" w:hAnsi="Arial"/>
          <w:sz w:val="13"/>
          <w:szCs w:val="13"/>
          <w:color w:val="auto"/>
        </w:rPr>
        <w:t>As of December 31, 2005, the 26 investment options consist of 22 core investment funds, including six fixed-income funds, twelve domestic equity funds, and four international equity funds, the JPMorgan Chase common stock fund (each with a corresponding core master trust fund) and three lifestyle portfolios. The lifestyle portfolios invest in a fixed but different mix of core unit trust options to provide Participants with varying risks/return profiles.</w:t>
      </w:r>
    </w:p>
    <w:p>
      <w:pPr>
        <w:spacing w:after="0" w:line="49" w:lineRule="exact"/>
        <w:rPr>
          <w:sz w:val="20"/>
          <w:szCs w:val="20"/>
          <w:color w:val="auto"/>
        </w:rPr>
      </w:pPr>
    </w:p>
    <w:p>
      <w:pPr>
        <w:ind w:right="280" w:firstLine="336"/>
        <w:spacing w:after="0" w:line="294" w:lineRule="auto"/>
        <w:rPr>
          <w:sz w:val="20"/>
          <w:szCs w:val="20"/>
          <w:color w:val="auto"/>
        </w:rPr>
      </w:pPr>
      <w:r>
        <w:rPr>
          <w:rFonts w:ascii="Arial" w:cs="Arial" w:eastAsia="Arial" w:hAnsi="Arial"/>
          <w:sz w:val="13"/>
          <w:szCs w:val="13"/>
          <w:color w:val="auto"/>
        </w:rPr>
        <w:t>Fund transactions are processed on a daily basis. Master trust funds have been established to keep records of Participants’ daily transactions and account balances. JPMorgan Retirement Plan Services, a wholly-owned subsidiary of JPMorgan Chase, is the record keeper for the Plan.</w:t>
      </w:r>
    </w:p>
    <w:p>
      <w:pPr>
        <w:spacing w:after="0" w:line="37" w:lineRule="exact"/>
        <w:rPr>
          <w:sz w:val="20"/>
          <w:szCs w:val="20"/>
          <w:color w:val="auto"/>
        </w:rPr>
      </w:pPr>
    </w:p>
    <w:p>
      <w:pPr>
        <w:jc w:val="both"/>
        <w:ind w:right="120" w:firstLine="336"/>
        <w:spacing w:after="0" w:line="276" w:lineRule="auto"/>
        <w:rPr>
          <w:sz w:val="20"/>
          <w:szCs w:val="20"/>
          <w:color w:val="auto"/>
        </w:rPr>
      </w:pPr>
      <w:r>
        <w:rPr>
          <w:rFonts w:ascii="Arial" w:cs="Arial" w:eastAsia="Arial" w:hAnsi="Arial"/>
          <w:sz w:val="13"/>
          <w:szCs w:val="13"/>
          <w:color w:val="auto"/>
        </w:rPr>
        <w:t>Participants may elect to change the allocation of their account balances and contributions in the investment funds on a daily basis. Participant requests for fund reallocations, transfers and distributions are processed on a daily basis using net asset values. Changes become effective on the same business day if the New York Stock Exchange is open and the request is made before 4 p.m. Eastern Time, or by the close of the New York Stock Exchange, whichever is earlier. Otherwise, the changes become effective on the next business day.</w:t>
      </w:r>
    </w:p>
    <w:p>
      <w:pPr>
        <w:spacing w:after="0" w:line="49" w:lineRule="exact"/>
        <w:rPr>
          <w:sz w:val="20"/>
          <w:szCs w:val="20"/>
          <w:color w:val="auto"/>
        </w:rPr>
      </w:pPr>
    </w:p>
    <w:p>
      <w:pPr>
        <w:ind w:right="20" w:firstLine="329"/>
        <w:spacing w:after="0" w:line="276" w:lineRule="auto"/>
        <w:rPr>
          <w:sz w:val="20"/>
          <w:szCs w:val="20"/>
          <w:color w:val="auto"/>
        </w:rPr>
      </w:pPr>
      <w:r>
        <w:rPr>
          <w:rFonts w:ascii="Arial" w:cs="Arial" w:eastAsia="Arial" w:hAnsi="Arial"/>
          <w:sz w:val="13"/>
          <w:szCs w:val="13"/>
          <w:color w:val="auto"/>
        </w:rPr>
        <w:t>At its discretion, the Bank may place restrictions on investments in the funds and on daily transfers and reallocations among Funds. Certain limitations were placed on transfers and/or reallocations that could occur among the Plan’s four international funds. No amount – including any prior balance – can be transferred and/or reallocated out of the International Large Cap Index Fund, the International Large Cap Value Fund, International Large Cap Core Fund or the International Small Cap Fund for 30 calendar days from the date of the initial transfer/reallocation transaction.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brief description of the 26 investment funds (22 core investment funds with corresponding 22 core unit trust funds, the JPMorgan Chase Stock Fund, and the three lifestyle funds) follows: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Core Investment Funds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Fixed Income (six funds):</w:t>
      </w:r>
    </w:p>
    <w:p>
      <w:pPr>
        <w:spacing w:after="0" w:line="93" w:lineRule="exact"/>
        <w:rPr>
          <w:sz w:val="20"/>
          <w:szCs w:val="20"/>
          <w:color w:val="auto"/>
        </w:rPr>
      </w:pPr>
    </w:p>
    <w:p>
      <w:pPr>
        <w:ind w:firstLine="336"/>
        <w:spacing w:after="0" w:line="276" w:lineRule="auto"/>
        <w:rPr>
          <w:sz w:val="20"/>
          <w:szCs w:val="20"/>
          <w:color w:val="auto"/>
        </w:rPr>
      </w:pPr>
      <w:r>
        <w:rPr>
          <w:rFonts w:ascii="Arial" w:cs="Arial" w:eastAsia="Arial" w:hAnsi="Arial"/>
          <w:sz w:val="13"/>
          <w:szCs w:val="13"/>
          <w:color w:val="auto"/>
        </w:rPr>
        <w:t>Short-Term Fixed Income Fund – The Fund invests primarily in short-term, fixed-income securities issued or fully guaranteed by the United States government or its agencies, certificates of deposit, commercial paper, bankers’ acceptances, short-term corporate bonds, mortgage and asset-backed securities, floating-rate securities and repurchase agreements. The Fund may invest in units of collective trust funds that invest in such assets. The Fund is managed by two investment managers, JPMorgan Asset Management (USA) Inc. and Smith Graham &amp; Company.</w:t>
      </w:r>
    </w:p>
    <w:p>
      <w:pPr>
        <w:spacing w:after="0" w:line="49" w:lineRule="exact"/>
        <w:rPr>
          <w:sz w:val="20"/>
          <w:szCs w:val="20"/>
          <w:color w:val="auto"/>
        </w:rPr>
      </w:pPr>
    </w:p>
    <w:p>
      <w:pPr>
        <w:ind w:firstLine="336"/>
        <w:spacing w:after="0" w:line="267" w:lineRule="auto"/>
        <w:rPr>
          <w:sz w:val="20"/>
          <w:szCs w:val="20"/>
          <w:color w:val="auto"/>
        </w:rPr>
      </w:pPr>
      <w:r>
        <w:rPr>
          <w:rFonts w:ascii="Arial" w:cs="Arial" w:eastAsia="Arial" w:hAnsi="Arial"/>
          <w:sz w:val="13"/>
          <w:szCs w:val="13"/>
          <w:color w:val="auto"/>
        </w:rPr>
        <w:t>Stable Value Fund – The Fund invests in a portfolio of actively managed bonds as well as fixed-rate investment contracts (“FRICs”) issued by insurance companies and banks, and other stable value investments. The bond portfolio includes “book-value wrapper contracts” issued by banks or insurance companies, which tend to smooth returns over time and protect against losses on a daily basis. The investments may also include futures and other derivative instruments, and JPMorgan Asset Management (USA) Inc. managed commingled funds, that invest in the assets referred to above. Depending on anticipated Participant requests for reallocations or transfers, loans and withdrawals, the manager of the Fund is authorized to hold varying levels of cash or short-term liquid investments as cash reserves. The Fund is managed by JPMorgan Asset Management (USA) Inc.</w:t>
      </w:r>
    </w:p>
    <w:p>
      <w:pPr>
        <w:spacing w:after="0" w:line="56" w:lineRule="exact"/>
        <w:rPr>
          <w:sz w:val="20"/>
          <w:szCs w:val="20"/>
          <w:color w:val="auto"/>
        </w:rPr>
      </w:pPr>
    </w:p>
    <w:p>
      <w:pPr>
        <w:ind w:right="220" w:firstLine="336"/>
        <w:spacing w:after="0" w:line="294" w:lineRule="auto"/>
        <w:rPr>
          <w:sz w:val="20"/>
          <w:szCs w:val="20"/>
          <w:color w:val="auto"/>
        </w:rPr>
      </w:pPr>
      <w:r>
        <w:rPr>
          <w:rFonts w:ascii="Arial" w:cs="Arial" w:eastAsia="Arial" w:hAnsi="Arial"/>
          <w:sz w:val="13"/>
          <w:szCs w:val="13"/>
          <w:color w:val="auto"/>
        </w:rPr>
        <w:t>Government Inflation-Protected Bond Fund – The Fund primarily invests in inflation-indexed bonds issued by the U.S. government and U.S. government agencies and instrumentalities. Up to 20% of the Fund’s assets may be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invested in U.S. treasuries, agencies and instrumentalities that are not indexed to inflation. Investments may include futures, options, bond swaps and other derivatives, securities, and units in collective trust funds that invest in fixed-income securities. Depending on market conditions, as well as anticipated Participant requests for reallocations or transfers, loans, and withdrawals, the manager of the Fund is authorized to hold varying levels of cash or short-term liquid investments as cash reserves. The Fund is managed by Western Asset Management.</w:t>
      </w:r>
    </w:p>
    <w:p>
      <w:pPr>
        <w:spacing w:after="0" w:line="49" w:lineRule="exact"/>
        <w:rPr>
          <w:sz w:val="20"/>
          <w:szCs w:val="20"/>
          <w:color w:val="auto"/>
        </w:rPr>
      </w:pPr>
    </w:p>
    <w:p>
      <w:pPr>
        <w:ind w:right="80" w:firstLine="336"/>
        <w:spacing w:after="0" w:line="310" w:lineRule="auto"/>
        <w:rPr>
          <w:sz w:val="20"/>
          <w:szCs w:val="20"/>
          <w:color w:val="auto"/>
        </w:rPr>
      </w:pPr>
      <w:r>
        <w:rPr>
          <w:rFonts w:ascii="Arial" w:cs="Arial" w:eastAsia="Arial" w:hAnsi="Arial"/>
          <w:sz w:val="12"/>
          <w:szCs w:val="12"/>
          <w:color w:val="auto"/>
        </w:rPr>
        <w:t>Core Bond Fund (mutual fund) – This Fund became available on January 1, 2005. The Fund seeks to achieve its investment objective by purchasing the Ultra share class of the JPMorgan Core Bond Fund – a registered, open-ended investment company or mutual fund. The JPMorgan Core Bond Fund seeks to maximize total return by investing in all types of debt securities rated as investment grade (or unrated debt securities which the manager determines to be of comparable quality), as well as preferred stock and loan participations. The Fund is managed by JPMorgan Investment Advisors.</w:t>
      </w:r>
    </w:p>
    <w:p>
      <w:pPr>
        <w:spacing w:after="0" w:line="30" w:lineRule="exact"/>
        <w:rPr>
          <w:sz w:val="20"/>
          <w:szCs w:val="20"/>
          <w:color w:val="auto"/>
        </w:rPr>
      </w:pPr>
    </w:p>
    <w:p>
      <w:pPr>
        <w:jc w:val="both"/>
        <w:ind w:right="100" w:firstLine="336"/>
        <w:spacing w:after="0" w:line="270" w:lineRule="auto"/>
        <w:rPr>
          <w:sz w:val="20"/>
          <w:szCs w:val="20"/>
          <w:color w:val="auto"/>
        </w:rPr>
      </w:pPr>
      <w:r>
        <w:rPr>
          <w:rFonts w:ascii="Arial" w:cs="Arial" w:eastAsia="Arial" w:hAnsi="Arial"/>
          <w:sz w:val="13"/>
          <w:szCs w:val="13"/>
          <w:color w:val="auto"/>
        </w:rPr>
        <w:t>Intermediate Bond Fund – The Fund invests in bonds, notes, trust and participation certificates, insurance and bank contracts, and other evidences of indebtedness or property (secured or unsecured) with a fixed or floating-rate of return. These investments may include futures and derivatives, securities, and units in collective trust funds that invest in fixed-income securities. Depending on market conditions, as well as anticipated Participant requests for reallocations or transfers, loans, and withdrawals, the manager of the Fund is authorized to hold varying levels of cash or short-term liquid investments as cash reserves. The Fund is managed by Western Asset Management.</w:t>
      </w:r>
    </w:p>
    <w:p>
      <w:pPr>
        <w:spacing w:after="0" w:line="53" w:lineRule="exact"/>
        <w:rPr>
          <w:sz w:val="20"/>
          <w:szCs w:val="20"/>
          <w:color w:val="auto"/>
        </w:rPr>
      </w:pPr>
    </w:p>
    <w:p>
      <w:pPr>
        <w:jc w:val="both"/>
        <w:ind w:right="140" w:firstLine="336"/>
        <w:spacing w:after="0" w:line="270" w:lineRule="auto"/>
        <w:rPr>
          <w:sz w:val="20"/>
          <w:szCs w:val="20"/>
          <w:color w:val="auto"/>
        </w:rPr>
      </w:pPr>
      <w:r>
        <w:rPr>
          <w:rFonts w:ascii="Arial" w:cs="Arial" w:eastAsia="Arial" w:hAnsi="Arial"/>
          <w:sz w:val="13"/>
          <w:szCs w:val="13"/>
          <w:color w:val="auto"/>
        </w:rPr>
        <w:t>High Yield Bond Fund – The Fund invests in bonds, notes, convertible bonds, asset-backed securities, insurance and bank contracts and other evidence of indebtedness, shares of preferred stock, as well as equity securities received from restructured companies. These investments may include futures and derivatives, securities and units in collective trust funds that invest in fixed-income securities. The majority of the Fund’s investments are speculative. Depending on market conditions, as well as anticipated Participant requests for reallocations or transfers, loans, and withdrawals, the manager of the Fund is authorized to hold varying levels of cash or short-term liquid investments as cash reserves. The Fund is managed by Mackay Shields LLC.</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Domestic Equity (twelve funds):</w:t>
      </w:r>
    </w:p>
    <w:p>
      <w:pPr>
        <w:spacing w:after="0" w:line="93" w:lineRule="exact"/>
        <w:rPr>
          <w:sz w:val="20"/>
          <w:szCs w:val="20"/>
          <w:color w:val="auto"/>
        </w:rPr>
      </w:pPr>
    </w:p>
    <w:p>
      <w:pPr>
        <w:jc w:val="both"/>
        <w:ind w:right="200" w:firstLine="336"/>
        <w:spacing w:after="0" w:line="276" w:lineRule="auto"/>
        <w:rPr>
          <w:sz w:val="20"/>
          <w:szCs w:val="20"/>
          <w:color w:val="auto"/>
        </w:rPr>
      </w:pPr>
      <w:r>
        <w:rPr>
          <w:rFonts w:ascii="Arial" w:cs="Arial" w:eastAsia="Arial" w:hAnsi="Arial"/>
          <w:sz w:val="13"/>
          <w:szCs w:val="13"/>
          <w:color w:val="auto"/>
        </w:rPr>
        <w:t>Large Cap Value Index Fund – The Fund is passively managed as an indexed fund that invests directly or indirectly in stocks comprising the Russell 1000 Value Index and, from time to time, futures. The Fund is currently invested in a collective trust fund that invests in such stocks and futures. Depending on anticipated Participant requests for reallocations or transfers, loans, and withdrawals, the manager of the Fund is authorized to hold varying levels of cash or short-term investments as cash reserves. The Fund is managed by Barclays Global Investors, N.A.</w:t>
      </w:r>
    </w:p>
    <w:p>
      <w:pPr>
        <w:spacing w:after="0" w:line="49" w:lineRule="exact"/>
        <w:rPr>
          <w:sz w:val="20"/>
          <w:szCs w:val="20"/>
          <w:color w:val="auto"/>
        </w:rPr>
      </w:pPr>
    </w:p>
    <w:p>
      <w:pPr>
        <w:ind w:firstLine="336"/>
        <w:spacing w:after="0" w:line="267" w:lineRule="auto"/>
        <w:rPr>
          <w:sz w:val="20"/>
          <w:szCs w:val="20"/>
          <w:color w:val="auto"/>
        </w:rPr>
      </w:pPr>
      <w:r>
        <w:rPr>
          <w:rFonts w:ascii="Arial" w:cs="Arial" w:eastAsia="Arial" w:hAnsi="Arial"/>
          <w:sz w:val="13"/>
          <w:szCs w:val="13"/>
          <w:color w:val="auto"/>
        </w:rPr>
        <w:t>Large Cap Value Fund – The Fund generally invests in large-sized U.S. corporations that have a market capitalization in excess of $5 billion. The manager seeks to invest in attractively priced stocks of companies with promising financial outlooks and the potential for improved investor perception. The manager generally selects common stocks of companies with earnings, revenues, and dividend streams that are inexpensive relative to their history, sector, and/or the market as a whole. Depending on market conditions, as well as anticipated Participant requests for reallocations or transfers, and/or loans and withdrawals, the manager of the Fund is authorized to hold varying levels of cash or short-term liquid investments as cash reserves. The Fund was managed by AllianceBernstein (Alliance Capital Management L.P.). Effective December 31, 2005, the Fund is managed by T. Rowe Price Associates, Inc.</w:t>
      </w:r>
    </w:p>
    <w:p>
      <w:pPr>
        <w:spacing w:after="0" w:line="56" w:lineRule="exact"/>
        <w:rPr>
          <w:sz w:val="20"/>
          <w:szCs w:val="20"/>
          <w:color w:val="auto"/>
        </w:rPr>
      </w:pPr>
    </w:p>
    <w:p>
      <w:pPr>
        <w:ind w:right="60" w:firstLine="336"/>
        <w:spacing w:after="0" w:line="310" w:lineRule="auto"/>
        <w:rPr>
          <w:sz w:val="20"/>
          <w:szCs w:val="20"/>
          <w:color w:val="auto"/>
        </w:rPr>
      </w:pPr>
      <w:r>
        <w:rPr>
          <w:rFonts w:ascii="Arial" w:cs="Arial" w:eastAsia="Arial" w:hAnsi="Arial"/>
          <w:sz w:val="12"/>
          <w:szCs w:val="12"/>
          <w:color w:val="auto"/>
        </w:rPr>
        <w:t>Growth and Income Fund (mutual fund) – The Fund seeks to achieve its investment objectives by purchasing the institutional shares of the JPMorgan Value Opportunities Fund – a registered, open-ended investment company or mutual fund. The JPMorgan Value Opportunities Fund seeks long-term capital appreciation by investing at least 80% of its assets in equity securities of mid- and large-capitalization stocks at the time of purchase. The manager builds a portfolio that it believes has characteristics of undervalued securities. The Fund is managed by JPMorgan Asset Management (USA)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ind w:firstLine="336"/>
        <w:spacing w:after="0" w:line="276" w:lineRule="auto"/>
        <w:rPr>
          <w:sz w:val="20"/>
          <w:szCs w:val="20"/>
          <w:color w:val="auto"/>
        </w:rPr>
      </w:pPr>
      <w:r>
        <w:rPr>
          <w:rFonts w:ascii="Arial" w:cs="Arial" w:eastAsia="Arial" w:hAnsi="Arial"/>
          <w:sz w:val="13"/>
          <w:szCs w:val="13"/>
          <w:color w:val="auto"/>
        </w:rPr>
        <w:t>S&amp;P 500 Index Fund – The Fund is passively managed as an index fund that invests directly or indirectly in stocks comprising the S&amp;P 500 Index and, from time to time, futures. The Fund is currently invested in a collective trust fund that invests in such stocks and futures. Depending on anticipated Participant requests for reallocations or transfers, loans and withdrawals, the manager of the Fund is authorized to hold varying levels of cash or short-term liquid investments as cash reserves. The Fund is managed by Barclays Global Investors, N.A.</w:t>
      </w:r>
    </w:p>
    <w:p>
      <w:pPr>
        <w:spacing w:after="0" w:line="49" w:lineRule="exact"/>
        <w:rPr>
          <w:sz w:val="20"/>
          <w:szCs w:val="20"/>
          <w:color w:val="auto"/>
        </w:rPr>
      </w:pPr>
    </w:p>
    <w:p>
      <w:pPr>
        <w:ind w:right="120" w:firstLine="336"/>
        <w:spacing w:after="0" w:line="276" w:lineRule="auto"/>
        <w:rPr>
          <w:sz w:val="20"/>
          <w:szCs w:val="20"/>
          <w:color w:val="auto"/>
        </w:rPr>
      </w:pPr>
      <w:r>
        <w:rPr>
          <w:rFonts w:ascii="Arial" w:cs="Arial" w:eastAsia="Arial" w:hAnsi="Arial"/>
          <w:sz w:val="13"/>
          <w:szCs w:val="13"/>
          <w:color w:val="auto"/>
        </w:rPr>
        <w:t>Large Cap Growth Index Fund – The Fund is passively managed as an index fund that invests directly or indirectly in stocks comprising the Russell 1000 Growth Index and, from time to time, futures. The Fund is currently invested in a collective trust fund that invests in such stocks and futures. Depending on anticipated Participant requests for reallocations or transfers, loans and withdrawals, the manager of the Fund is authorized to hold varying levels of cash or short-term liquid investments as cash reserves. The Fund is managed by Barclays Global Investors, N.A.</w:t>
      </w:r>
    </w:p>
    <w:p>
      <w:pPr>
        <w:spacing w:after="0" w:line="49" w:lineRule="exact"/>
        <w:rPr>
          <w:sz w:val="20"/>
          <w:szCs w:val="20"/>
          <w:color w:val="auto"/>
        </w:rPr>
      </w:pPr>
    </w:p>
    <w:p>
      <w:pPr>
        <w:ind w:right="200" w:firstLine="336"/>
        <w:spacing w:after="0" w:line="270" w:lineRule="auto"/>
        <w:rPr>
          <w:sz w:val="20"/>
          <w:szCs w:val="20"/>
          <w:color w:val="auto"/>
        </w:rPr>
      </w:pPr>
      <w:r>
        <w:rPr>
          <w:rFonts w:ascii="Arial" w:cs="Arial" w:eastAsia="Arial" w:hAnsi="Arial"/>
          <w:sz w:val="13"/>
          <w:szCs w:val="13"/>
          <w:color w:val="auto"/>
        </w:rPr>
        <w:t>Large Cap Growth Fund – The Fund invests in common stocks of U.S. corporations that generally have a market capitalization in excess of $5 billion. The Fund may also invest in equity futures, options, derivatives and units in collective trust funds that invest in equity securities. The manager selects stocks that show potential for capital growth based on proprietary modeling of individual earnings and other research. The Fund will generally own 40-50 large-cap stocks categorized as positive business catalyst (i.e., possessing potential for positive change), stable growth and/or high growth. The Fund is managed by Janus Capital Management, LLC.</w:t>
      </w:r>
    </w:p>
    <w:p>
      <w:pPr>
        <w:spacing w:after="0" w:line="53" w:lineRule="exact"/>
        <w:rPr>
          <w:sz w:val="20"/>
          <w:szCs w:val="20"/>
          <w:color w:val="auto"/>
        </w:rPr>
      </w:pPr>
    </w:p>
    <w:p>
      <w:pPr>
        <w:ind w:right="40" w:firstLine="336"/>
        <w:spacing w:after="0" w:line="270" w:lineRule="auto"/>
        <w:rPr>
          <w:sz w:val="20"/>
          <w:szCs w:val="20"/>
          <w:color w:val="auto"/>
        </w:rPr>
      </w:pPr>
      <w:r>
        <w:rPr>
          <w:rFonts w:ascii="Arial" w:cs="Arial" w:eastAsia="Arial" w:hAnsi="Arial"/>
          <w:sz w:val="13"/>
          <w:szCs w:val="13"/>
          <w:color w:val="auto"/>
        </w:rPr>
        <w:t>Capital Growth Fund (mutual fund) – The Fund seeks to achieve its investment objective by purchasing the institutional shares of the American Century Ultra Fund – a registered open-ended investment company or mutual fund. The American Century Ultra Fund seeks long-term capital growth by investing in common stock of companies with accelerating earnings and revenue growth. The Fund generally invests in larger companies with market capitalization in excess of $5 billion. The Fund is managed by American Century Investment Management. JPMorgan Chase has a 43% interest in American Century Companies, Inc., which indirectly wholly-owns American Century Investment Management.</w:t>
      </w:r>
    </w:p>
    <w:p>
      <w:pPr>
        <w:spacing w:after="0" w:line="53" w:lineRule="exact"/>
        <w:rPr>
          <w:sz w:val="20"/>
          <w:szCs w:val="20"/>
          <w:color w:val="auto"/>
        </w:rPr>
      </w:pPr>
    </w:p>
    <w:p>
      <w:pPr>
        <w:ind w:right="160" w:firstLine="336"/>
        <w:spacing w:after="0" w:line="300" w:lineRule="auto"/>
        <w:rPr>
          <w:sz w:val="20"/>
          <w:szCs w:val="20"/>
          <w:color w:val="auto"/>
        </w:rPr>
      </w:pPr>
      <w:r>
        <w:rPr>
          <w:rFonts w:ascii="Arial" w:cs="Arial" w:eastAsia="Arial" w:hAnsi="Arial"/>
          <w:sz w:val="12"/>
          <w:szCs w:val="12"/>
          <w:color w:val="auto"/>
        </w:rPr>
        <w:t>Mid Cap Value Fund – The Fund generally invests in common stocks of medium-sized U.S. corporations that have a market capitalization of between $2 billion and $15 billion. The Fund strategy is to implement a value-based portfolio through the use of quantitative modelling, fundamental analysis, and risk controls designed to outperform its benchmark while minimizing portfolio risk. Depending on market conditions, as well as anticipated Participant requests for reallocations or transfers, and/or loans and withdrawals, the manager of the Fund is authorized to hold varying levels of cash or short-term liquid investments as cash reserves. The Fund was managed by Ariel Capital Management, LLC. Effective December 31, 2005, the Fund is managed by Earnest Partners, LLC.</w:t>
      </w:r>
    </w:p>
    <w:p>
      <w:pPr>
        <w:spacing w:after="0" w:line="36" w:lineRule="exact"/>
        <w:rPr>
          <w:sz w:val="20"/>
          <w:szCs w:val="20"/>
          <w:color w:val="auto"/>
        </w:rPr>
      </w:pPr>
    </w:p>
    <w:p>
      <w:pPr>
        <w:ind w:right="40" w:firstLine="336"/>
        <w:spacing w:after="0" w:line="310" w:lineRule="auto"/>
        <w:rPr>
          <w:sz w:val="20"/>
          <w:szCs w:val="20"/>
          <w:color w:val="auto"/>
        </w:rPr>
      </w:pPr>
      <w:r>
        <w:rPr>
          <w:rFonts w:ascii="Arial" w:cs="Arial" w:eastAsia="Arial" w:hAnsi="Arial"/>
          <w:sz w:val="12"/>
          <w:szCs w:val="12"/>
          <w:color w:val="auto"/>
        </w:rPr>
        <w:t>Mid Cap Growth Fund (mutual fund) – This Fund became available on January 1, 2005. The Fund seeks to achieve its investment objectives by purchasing the Select shares of the JPMorgan Capital Growth Fund – a registered, open-ended investment company or mutual fund. The JPMorgan Capital Growth Fund attempts to achieve long-term growth by investing in common stocks of medium sized companies (i.e., generally those with market capitalization of between $2 billion and $15 billion) with strong potential growth. This Fund is managed by JPMorgan Asset Management (USA) Inc.</w:t>
      </w:r>
    </w:p>
    <w:p>
      <w:pPr>
        <w:spacing w:after="0" w:line="30" w:lineRule="exact"/>
        <w:rPr>
          <w:sz w:val="20"/>
          <w:szCs w:val="20"/>
          <w:color w:val="auto"/>
        </w:rPr>
      </w:pPr>
    </w:p>
    <w:p>
      <w:pPr>
        <w:ind w:right="120" w:firstLine="336"/>
        <w:spacing w:after="0" w:line="276" w:lineRule="auto"/>
        <w:rPr>
          <w:sz w:val="20"/>
          <w:szCs w:val="20"/>
          <w:color w:val="auto"/>
        </w:rPr>
      </w:pPr>
      <w:r>
        <w:rPr>
          <w:rFonts w:ascii="Arial" w:cs="Arial" w:eastAsia="Arial" w:hAnsi="Arial"/>
          <w:sz w:val="13"/>
          <w:szCs w:val="13"/>
          <w:color w:val="auto"/>
        </w:rPr>
        <w:t>Small Cap Index Fund – The Fund is passively managed as an indexed fund that invests directly or indirectly in stocks of companies comprising the Russell 2000 Index and, from time to time, futures. The Fund is currently invested in a collective trust fund that invests in such stocks and futures. Depending on anticipated Participant requests for reallocations or transfers, loans and withdrawals, the manager of the Fund is authorized to hold varying levels of cash or short-term liquid investments as cash reserves. The Fund is managed by Barclays Global Investors, N.A.</w:t>
      </w:r>
    </w:p>
    <w:p>
      <w:pPr>
        <w:spacing w:after="0" w:line="49" w:lineRule="exact"/>
        <w:rPr>
          <w:sz w:val="20"/>
          <w:szCs w:val="20"/>
          <w:color w:val="auto"/>
        </w:rPr>
      </w:pPr>
    </w:p>
    <w:p>
      <w:pPr>
        <w:ind w:right="20" w:firstLine="336"/>
        <w:spacing w:after="0" w:line="276" w:lineRule="auto"/>
        <w:rPr>
          <w:sz w:val="20"/>
          <w:szCs w:val="20"/>
          <w:color w:val="auto"/>
        </w:rPr>
      </w:pPr>
      <w:r>
        <w:rPr>
          <w:rFonts w:ascii="Arial" w:cs="Arial" w:eastAsia="Arial" w:hAnsi="Arial"/>
          <w:sz w:val="13"/>
          <w:szCs w:val="13"/>
          <w:color w:val="auto"/>
        </w:rPr>
        <w:t>Small Cap Core Fund (mutual fund) – Effective December 7, 2004, the Fund seeks to achieve its investment objective by purchasing the Select shares of the JPMorgan Small Cap Core Fund – a registered, open ended investment company or mutual fund. The JPMorgan Small Cap Core Fund, under normal circumstances, invests at least 80% of its total assets in common stocks of small-cap companies (i.e., generally those with market capitalization under $1.5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billion at the time of investment). The Fund will generally own 500-700 small-cap stocks. The manager ranks companies in each sector group according to their relative value utilizing a variety of models that quantify its research team’s findings. The manager builds a portfolio using the research and valuation rankings as a basis. Prior to December 7, 2004, the Fund purchased institutional shares of the JPMorgan Small Cap Equity Fund. The Fund is managed by JPMorgan Asset Management (USA) Inc.</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Small Cap Blend Fund – This Fund became available on January 1, 2005. The Fund invests in common stock of U.S. corporations that generally have a market capitalization between $200 million and</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$2 billion. The Fund may also invest in equity futures, options, derivatives, and units in collective trust funds that invest in equity securities. The manager selects common stock of companies it considers to have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attractive valuations and superior projected earnings growth. The fund will generally own 110-135 small-cap stocks. Depending on market conditions, as well as anticipated Participants requests for allocations or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transfers, loans, and withdrawals, the manager of the Fund is authorized to hold varying levels of cash or short-term liquid investments as cash reserves. The Fund is managed by Jennison Associates, LLC.</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International Equity Funds (four funds):</w:t>
      </w:r>
    </w:p>
    <w:p>
      <w:pPr>
        <w:spacing w:after="0" w:line="93" w:lineRule="exact"/>
        <w:rPr>
          <w:sz w:val="20"/>
          <w:szCs w:val="20"/>
          <w:color w:val="auto"/>
        </w:rPr>
      </w:pPr>
    </w:p>
    <w:p>
      <w:pPr>
        <w:ind w:firstLine="336"/>
        <w:spacing w:after="0" w:line="265" w:lineRule="auto"/>
        <w:rPr>
          <w:sz w:val="20"/>
          <w:szCs w:val="20"/>
          <w:color w:val="auto"/>
        </w:rPr>
      </w:pPr>
      <w:r>
        <w:rPr>
          <w:rFonts w:ascii="Arial" w:cs="Arial" w:eastAsia="Arial" w:hAnsi="Arial"/>
          <w:sz w:val="13"/>
          <w:szCs w:val="13"/>
          <w:color w:val="auto"/>
        </w:rPr>
        <w:t>International Large Cap Value Fund – This Fund became available on January 1, 2005. The Fund invests primarily in the common stock of companies in developed countries located outside the U.S. Normally, the manager invests at least 80% of its total assets in stocks in at least ten foreign markets and invests the majority of its total assets in companies that pay dividends or repurchase their shares. The manager considers the following value characteristics in making investment decisions: low price-to-earnings ratio relative to the sector, high yield relative to the market, low price-to-book value ratio relative to the market, low price-to-cash flow ratio relative to the market and financial strength. The Fund may also invest in forward foreign currency contracts, equity futures, options, derivatives, and units in collective trust funds that invest in equity securities. The Fund may direct up to 5% of its assets in emerging market investments. Depending on market conditions, as well as anticipated Participants requests for allocations or transfers, loans, and withdrawals, the manager of the Fund is authorized to hold varying levels of cash or short-term liquid investments as cash reserves. The Fund is managed by Causeway Capital Management, LLC.</w:t>
      </w:r>
    </w:p>
    <w:p>
      <w:pPr>
        <w:spacing w:after="0" w:line="55" w:lineRule="exact"/>
        <w:rPr>
          <w:sz w:val="20"/>
          <w:szCs w:val="20"/>
          <w:color w:val="auto"/>
        </w:rPr>
      </w:pPr>
    </w:p>
    <w:p>
      <w:pPr>
        <w:ind w:right="120" w:firstLine="336"/>
        <w:spacing w:after="0" w:line="270" w:lineRule="auto"/>
        <w:rPr>
          <w:sz w:val="20"/>
          <w:szCs w:val="20"/>
          <w:color w:val="auto"/>
        </w:rPr>
      </w:pPr>
      <w:r>
        <w:rPr>
          <w:rFonts w:ascii="Arial" w:cs="Arial" w:eastAsia="Arial" w:hAnsi="Arial"/>
          <w:sz w:val="13"/>
          <w:szCs w:val="13"/>
          <w:color w:val="auto"/>
        </w:rPr>
        <w:t>International Large Cap Index Fund – The Fund is passively managed as an indexed fund that invests directly or indirectly in stocks comprising the Morgan Stanley Capital International (MSCI) Europe, Australasia and Far East (EAFE) index and, from time to time, in futures on such stocks. The Fund is currently invested in a collective trust fund that invests in such stocks and futures. Depending on market conditions, as well as anticipated Participant requests for reallocations or transfers, loans and withdrawals, the manager of the Fund is authorized to hold varying levels of cash or short-term liquid investments as cash reserves. The Fund is managed by Barclays Global Investors, N.A.</w:t>
      </w:r>
    </w:p>
    <w:p>
      <w:pPr>
        <w:spacing w:after="0" w:line="53" w:lineRule="exact"/>
        <w:rPr>
          <w:sz w:val="20"/>
          <w:szCs w:val="20"/>
          <w:color w:val="auto"/>
        </w:rPr>
      </w:pPr>
    </w:p>
    <w:p>
      <w:pPr>
        <w:jc w:val="both"/>
        <w:ind w:right="100" w:firstLine="336"/>
        <w:spacing w:after="0" w:line="300" w:lineRule="auto"/>
        <w:rPr>
          <w:sz w:val="20"/>
          <w:szCs w:val="20"/>
          <w:color w:val="auto"/>
        </w:rPr>
      </w:pPr>
      <w:r>
        <w:rPr>
          <w:rFonts w:ascii="Arial" w:cs="Arial" w:eastAsia="Arial" w:hAnsi="Arial"/>
          <w:sz w:val="12"/>
          <w:szCs w:val="12"/>
          <w:color w:val="auto"/>
        </w:rPr>
        <w:t>International Large Cap Core Fund – The Fund invests in common stocks of corporations incorporated or doing business primarily in Europe, Australasia, and Asia with market capitalizations generally in excess of $3 billion. The Fund may also invest in foreign currency contracts, equity futures, options, derivatives and units in collective trust funds that invest in equity securities. The Fund may direct up to 5% of its assets to emerging markets investments. Depending on market conditions, as well as anticipated Participant requests for reallocations or transfers, loans and withdrawals, the manager of the Fund is authorized to hold varying levels of cash or short-term liquid investments as cash reserves. The Fund is managed by JPMorgan Asset Management (London) Limited.</w:t>
      </w:r>
    </w:p>
    <w:p>
      <w:pPr>
        <w:spacing w:after="0" w:line="36" w:lineRule="exact"/>
        <w:rPr>
          <w:sz w:val="20"/>
          <w:szCs w:val="20"/>
          <w:color w:val="auto"/>
        </w:rPr>
      </w:pPr>
    </w:p>
    <w:p>
      <w:pPr>
        <w:ind w:right="60" w:firstLine="336"/>
        <w:spacing w:after="0" w:line="300" w:lineRule="auto"/>
        <w:rPr>
          <w:sz w:val="20"/>
          <w:szCs w:val="20"/>
          <w:color w:val="auto"/>
        </w:rPr>
      </w:pPr>
      <w:r>
        <w:rPr>
          <w:rFonts w:ascii="Arial" w:cs="Arial" w:eastAsia="Arial" w:hAnsi="Arial"/>
          <w:sz w:val="12"/>
          <w:szCs w:val="12"/>
          <w:color w:val="auto"/>
        </w:rPr>
        <w:t>International Small Cap Fund (mutual fund) – The Fund seeks to achieve its investment objective by purchasing shares of the American Century International Discovery Fund – a registered, open-ended investment company or mutual fund. The American Century International Discovery Fund invests in common stocks of non-U.S. companies with a market capitalization of between $1 billion and $3 billion at the time of purchase. The investment focus is primarily on developed countries. Beginning on September 30, 2005, the American Century International Discovery Fund imposed a 2% “redemption fee” on JPMorgan Chase 401(k) Savings Plan participants who transfer and/or reallocate balances into the International Small Cap Fund and then subsequently transfer and/or reallocate those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9" w:right="2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same balances out of that fund within 180 calendar days. The Fund is managed by American Century Investment Management.</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JPMorgan Chase Common Stock Fund:</w:t>
      </w:r>
    </w:p>
    <w:p>
      <w:pPr>
        <w:spacing w:after="0" w:line="95" w:lineRule="exact"/>
        <w:rPr>
          <w:sz w:val="20"/>
          <w:szCs w:val="20"/>
          <w:color w:val="auto"/>
        </w:rPr>
      </w:pPr>
    </w:p>
    <w:p>
      <w:pPr>
        <w:ind w:right="60" w:firstLine="336"/>
        <w:spacing w:after="0" w:line="267" w:lineRule="auto"/>
        <w:rPr>
          <w:sz w:val="20"/>
          <w:szCs w:val="20"/>
          <w:color w:val="auto"/>
        </w:rPr>
      </w:pPr>
      <w:r>
        <w:rPr>
          <w:rFonts w:ascii="Arial" w:cs="Arial" w:eastAsia="Arial" w:hAnsi="Arial"/>
          <w:sz w:val="13"/>
          <w:szCs w:val="13"/>
          <w:color w:val="auto"/>
        </w:rPr>
        <w:t>JPMorgan Chase Common Stock Fund – The Fund invests primarily in shares of common stock of JPMorgan Chase &amp; Co. The shares can be purchased directly from JPMorgan Chase out of its authorized but unissued shares of common stock, on the open market, or by the exercise of subscription, conversion, or other rights. Depending on market conditions, as well as anticipated Participant requests for reallocations or transfers, loans and withdrawals, the Fund will also hold varying levels of cash or short-term liquid investments (expected to range from 1% to 3% of the value of the Fund) as cash reserves. This Fund has been designated as a nonleveraged employee stock ownership plan. As such, and as previously discussed, a Participant invested in this Fund may elect to have any dividends attributable to their vested account balance paid directly to them rather than reinvested. The Fund is managed by the Trustee.</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Lifestyle Investment Portfolios (three funds):</w:t>
      </w:r>
    </w:p>
    <w:p>
      <w:pPr>
        <w:spacing w:after="0" w:line="95" w:lineRule="exact"/>
        <w:rPr>
          <w:sz w:val="20"/>
          <w:szCs w:val="20"/>
          <w:color w:val="auto"/>
        </w:rPr>
      </w:pPr>
    </w:p>
    <w:p>
      <w:pPr>
        <w:ind w:right="100" w:firstLine="334"/>
        <w:spacing w:after="0" w:line="276" w:lineRule="auto"/>
        <w:rPr>
          <w:sz w:val="20"/>
          <w:szCs w:val="20"/>
          <w:color w:val="auto"/>
        </w:rPr>
      </w:pPr>
      <w:r>
        <w:rPr>
          <w:rFonts w:ascii="Arial" w:cs="Arial" w:eastAsia="Arial" w:hAnsi="Arial"/>
          <w:sz w:val="13"/>
          <w:szCs w:val="13"/>
          <w:color w:val="auto"/>
        </w:rPr>
        <w:t>The assets of the lifestyle portfolios are invested in the 22 core funds in accordance with the investment allocation policy for these funds. Each fund consists of a pre-diversified combination of both fixed-income and equity core funds to match a particular investment style for each of the funds. Each of the funds is re-balanced each calendar quarter so that its investment mix continues to meet its particular investment objective, risk, and return profile.</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lifestyle portfolios are briefly described as follows:</w:t>
      </w:r>
    </w:p>
    <w:p>
      <w:pPr>
        <w:spacing w:after="0" w:line="93" w:lineRule="exact"/>
        <w:rPr>
          <w:sz w:val="20"/>
          <w:szCs w:val="20"/>
          <w:color w:val="auto"/>
        </w:rPr>
      </w:pPr>
    </w:p>
    <w:p>
      <w:pPr>
        <w:ind w:right="20" w:firstLine="336"/>
        <w:spacing w:after="0" w:line="339" w:lineRule="auto"/>
        <w:rPr>
          <w:sz w:val="20"/>
          <w:szCs w:val="20"/>
          <w:color w:val="auto"/>
        </w:rPr>
      </w:pPr>
      <w:r>
        <w:rPr>
          <w:rFonts w:ascii="Arial" w:cs="Arial" w:eastAsia="Arial" w:hAnsi="Arial"/>
          <w:sz w:val="12"/>
          <w:szCs w:val="12"/>
          <w:color w:val="auto"/>
        </w:rPr>
        <w:t>Moderately Conservative Lifestyle Portfolio – The Portfolio seeks to provide higher returns than those provided by the core fixed-income funds by including an exposure to equities (i.e., potentially higher stock market volatility and risk). This exposure is based on a target asset allocation policy of investing 60% of the Portfolio’s assets in specified fixed-income funds and 40% of its assets in specified equity funds.</w:t>
      </w:r>
    </w:p>
    <w:p>
      <w:pPr>
        <w:spacing w:after="0" w:line="14" w:lineRule="exact"/>
        <w:rPr>
          <w:sz w:val="20"/>
          <w:szCs w:val="20"/>
          <w:color w:val="auto"/>
        </w:rPr>
      </w:pPr>
    </w:p>
    <w:p>
      <w:pPr>
        <w:jc w:val="center"/>
        <w:spacing w:after="0" w:line="339" w:lineRule="auto"/>
        <w:rPr>
          <w:sz w:val="20"/>
          <w:szCs w:val="20"/>
          <w:color w:val="auto"/>
        </w:rPr>
      </w:pPr>
      <w:r>
        <w:rPr>
          <w:rFonts w:ascii="Arial" w:cs="Arial" w:eastAsia="Arial" w:hAnsi="Arial"/>
          <w:sz w:val="12"/>
          <w:szCs w:val="12"/>
          <w:color w:val="auto"/>
        </w:rPr>
        <w:t>Moderately Aggressive Lifestyle Portfolio – The Portfolio seeks to provide higher returns with a larger exposure to stocks (i.e., potentially higher stock market volatility and risk) than the Moderately Conservative Lifestyle Portfolio. This exposure is based on a target asset allocation policy of investing 40% of the Portfolio’s assets in specified fixed-income funds and 60% of its assets in specified equity funds.</w:t>
      </w:r>
    </w:p>
    <w:p>
      <w:pPr>
        <w:spacing w:after="0" w:line="14" w:lineRule="exact"/>
        <w:rPr>
          <w:sz w:val="20"/>
          <w:szCs w:val="20"/>
          <w:color w:val="auto"/>
        </w:rPr>
      </w:pPr>
    </w:p>
    <w:p>
      <w:pPr>
        <w:ind w:right="160" w:firstLine="329"/>
        <w:spacing w:after="0" w:line="339" w:lineRule="auto"/>
        <w:rPr>
          <w:sz w:val="20"/>
          <w:szCs w:val="20"/>
          <w:color w:val="auto"/>
        </w:rPr>
      </w:pPr>
      <w:r>
        <w:rPr>
          <w:rFonts w:ascii="Arial" w:cs="Arial" w:eastAsia="Arial" w:hAnsi="Arial"/>
          <w:sz w:val="12"/>
          <w:szCs w:val="12"/>
          <w:color w:val="auto"/>
        </w:rPr>
        <w:t>Aggressive Lifestyle Portfolio – The Portfolio seeks to provide the highest returns with more exposure to stocks (i.e., potentially the highest stock market volatility and risk) than any of the other lifestyle Portfolios. This exposure is based on a target asset allocation policy of investing 20% of the Portfolio’s assets in specified fixed-income funds and 80% of its assets in specified equity funds.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Loans to Participants</w:t>
      </w:r>
      <w:r>
        <w:rPr>
          <w:rFonts w:ascii="Arial" w:cs="Arial" w:eastAsia="Arial" w:hAnsi="Arial"/>
          <w:sz w:val="13"/>
          <w:szCs w:val="13"/>
          <w:b w:val="1"/>
          <w:bCs w:val="1"/>
          <w:i w:val="1"/>
          <w:iCs w:val="1"/>
          <w:color w:val="auto"/>
        </w:rPr>
        <w: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Under the loan program previously discussed, the Plan grants loans to eligible Participants.</w:t>
      </w:r>
    </w:p>
    <w:p>
      <w:pPr>
        <w:spacing w:after="0" w:line="91"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Basis of Presentation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accounting and financial reporting policies of the Plan conform to accounting principles generally accepted in the United States of America (“U.S. GAAP”).</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80"/>
          </w:cols>
          <w:pgMar w:left="220" w:top="349" w:right="29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Use of Estimates in the Preparation of Financial Statements</w:t>
      </w:r>
    </w:p>
    <w:p>
      <w:pPr>
        <w:spacing w:after="0" w:line="95" w:lineRule="exact"/>
        <w:rPr>
          <w:sz w:val="20"/>
          <w:szCs w:val="20"/>
          <w:color w:val="auto"/>
        </w:rPr>
      </w:pPr>
    </w:p>
    <w:p>
      <w:pPr>
        <w:ind w:right="20" w:firstLine="334"/>
        <w:spacing w:after="0" w:line="294" w:lineRule="auto"/>
        <w:rPr>
          <w:sz w:val="20"/>
          <w:szCs w:val="20"/>
          <w:color w:val="auto"/>
        </w:rPr>
      </w:pPr>
      <w:r>
        <w:rPr>
          <w:rFonts w:ascii="Arial" w:cs="Arial" w:eastAsia="Arial" w:hAnsi="Arial"/>
          <w:sz w:val="13"/>
          <w:szCs w:val="13"/>
          <w:color w:val="auto"/>
        </w:rPr>
        <w:t>The preparation of financial statements requires Plan management to make estimates and assumptions that affect the reported amounts of assets, liabilities and changes in net assets available for benefits, and disclosure of contingent assets and liabilities. Actual results could be different from these estimates.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Investment Valuation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Plan values the underlying investments of the Trust Fund as follows:</w:t>
      </w:r>
    </w:p>
    <w:p>
      <w:pPr>
        <w:spacing w:after="0" w:line="93" w:lineRule="exact"/>
        <w:rPr>
          <w:sz w:val="20"/>
          <w:szCs w:val="20"/>
          <w:color w:val="auto"/>
        </w:rPr>
      </w:pPr>
    </w:p>
    <w:p>
      <w:pPr>
        <w:ind w:firstLine="336"/>
        <w:spacing w:after="0" w:line="267" w:lineRule="auto"/>
        <w:rPr>
          <w:sz w:val="20"/>
          <w:szCs w:val="20"/>
          <w:color w:val="auto"/>
        </w:rPr>
      </w:pPr>
      <w:r>
        <w:rPr>
          <w:rFonts w:ascii="Arial" w:cs="Arial" w:eastAsia="Arial" w:hAnsi="Arial"/>
          <w:sz w:val="13"/>
          <w:szCs w:val="13"/>
          <w:color w:val="auto"/>
        </w:rPr>
        <w:t>U.S. government and federal agency obligations, U.S. government-sponsored enterprise obligations and corporate debt instruments are valued at the last reported bid (quoted market) price. Guaranteed investment contracts or group annuity contracts with insurance companies, which are benefits-responsive, are carried at contract value (cost plus accrued income). Investments in mutual funds, and common and collective trust funds are valued at the per unit amounts reported by such funds, which approximates fair value. JPMorgan Chase &amp; Co. common stock is valued at the closing price reported on the New York Stock Exchange Composite Transaction Tape. Common and Preferred stocks are valued at the closing price reported on the major market on which the individual securities are traded. Certificates of deposits, money market funds and loans to Participants are valued at cost, which approximates fair value.</w:t>
      </w:r>
    </w:p>
    <w:p>
      <w:pPr>
        <w:spacing w:after="0" w:line="56" w:lineRule="exact"/>
        <w:rPr>
          <w:sz w:val="20"/>
          <w:szCs w:val="20"/>
          <w:color w:val="auto"/>
        </w:rPr>
      </w:pPr>
    </w:p>
    <w:p>
      <w:pPr>
        <w:ind w:right="560" w:firstLine="334"/>
        <w:spacing w:after="0" w:line="294" w:lineRule="auto"/>
        <w:rPr>
          <w:sz w:val="20"/>
          <w:szCs w:val="20"/>
          <w:color w:val="auto"/>
        </w:rPr>
      </w:pPr>
      <w:r>
        <w:rPr>
          <w:rFonts w:ascii="Arial" w:cs="Arial" w:eastAsia="Arial" w:hAnsi="Arial"/>
          <w:sz w:val="13"/>
          <w:szCs w:val="13"/>
          <w:color w:val="auto"/>
        </w:rPr>
        <w:t>The Plan enters into transactions whereby securities are sold under agreements to repurchase those securities at an agreed-on price. Such agreements are carried at the amounts the securities will be subsequently repurchased plus accrued interest, which approximates fair value. The market value of securities to be repurchased is monitored on a regular basis.</w:t>
      </w:r>
    </w:p>
    <w:p>
      <w:pPr>
        <w:spacing w:after="0" w:line="37" w:lineRule="exact"/>
        <w:rPr>
          <w:sz w:val="20"/>
          <w:szCs w:val="20"/>
          <w:color w:val="auto"/>
        </w:rPr>
      </w:pPr>
    </w:p>
    <w:p>
      <w:pPr>
        <w:ind w:firstLine="336"/>
        <w:spacing w:after="0" w:line="270" w:lineRule="auto"/>
        <w:rPr>
          <w:sz w:val="20"/>
          <w:szCs w:val="20"/>
          <w:color w:val="auto"/>
        </w:rPr>
      </w:pPr>
      <w:r>
        <w:rPr>
          <w:rFonts w:ascii="Arial" w:cs="Arial" w:eastAsia="Arial" w:hAnsi="Arial"/>
          <w:sz w:val="13"/>
          <w:szCs w:val="13"/>
          <w:color w:val="auto"/>
        </w:rPr>
        <w:t>Derivative receivables and derivative payables are comprised of forward foreign exchange contracts and exchange traded futures and options contracts. Forward foreign exchange contracts are valued at their estimated fair value based on current prices for the underlying currencies that are obtained from independent market quotations. Exchange traded futures and options contracts are valued at market values based upon the last reported sales price on the principal exchange on which the contracts are traded with the resulting changes in contract values being recorded as unrealized net gains (losses) which are included in net appreciation.</w:t>
      </w:r>
    </w:p>
    <w:p>
      <w:pPr>
        <w:spacing w:after="0" w:line="53" w:lineRule="exact"/>
        <w:rPr>
          <w:sz w:val="20"/>
          <w:szCs w:val="20"/>
          <w:color w:val="auto"/>
        </w:rPr>
      </w:pPr>
    </w:p>
    <w:p>
      <w:pPr>
        <w:ind w:right="440" w:firstLine="334"/>
        <w:spacing w:after="0" w:line="294" w:lineRule="auto"/>
        <w:rPr>
          <w:sz w:val="20"/>
          <w:szCs w:val="20"/>
          <w:color w:val="auto"/>
        </w:rPr>
      </w:pPr>
      <w:r>
        <w:rPr>
          <w:rFonts w:ascii="Arial" w:cs="Arial" w:eastAsia="Arial" w:hAnsi="Arial"/>
          <w:sz w:val="13"/>
          <w:szCs w:val="13"/>
          <w:color w:val="auto"/>
        </w:rPr>
        <w:t>The values of assets in common collective trust funds are recorded on a daily basis to match the values of assets invested in the core investment funds, which are valued as reported by the investment managers.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Securities Transactions</w:t>
      </w:r>
    </w:p>
    <w:p>
      <w:pPr>
        <w:spacing w:after="0" w:line="95" w:lineRule="exact"/>
        <w:rPr>
          <w:sz w:val="20"/>
          <w:szCs w:val="20"/>
          <w:color w:val="auto"/>
        </w:rPr>
      </w:pPr>
    </w:p>
    <w:p>
      <w:pPr>
        <w:ind w:right="140" w:firstLine="336"/>
        <w:spacing w:after="0" w:line="267" w:lineRule="auto"/>
        <w:rPr>
          <w:sz w:val="20"/>
          <w:szCs w:val="20"/>
          <w:color w:val="auto"/>
        </w:rPr>
      </w:pPr>
      <w:r>
        <w:rPr>
          <w:rFonts w:ascii="Arial" w:cs="Arial" w:eastAsia="Arial" w:hAnsi="Arial"/>
          <w:sz w:val="13"/>
          <w:szCs w:val="13"/>
          <w:color w:val="auto"/>
        </w:rPr>
        <w:t>Securities transactions are recorded on a trade-date basis. Realized gains (losses) are computed based on the average cost of securities sold. Dividend income is recorded on the ex-dividend date. Interest income is accounted for on the accrual basis. Participants who invest in the JPMorgan Chase Common Stock Fund may receive in-kind distributions of shares by making a formal election. Realized gains (losses) to the Plan resulting from these distributions are based on the difference between the average cost and the value of the stock distributed on the valuation date of the distribution. Securities, cash and other assets and liabilities denominated in foreign currencies are translated into U.S. dollars at the current prevailing market rates as of the date of the Statement of Net Assets Available for Benefits. Income and expenses are translated at the exchange rates prevailing at the date of the transaction.</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Participant Withdrawals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Participant withdrawals are recorded when paid.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9" w:right="2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Differences between Financial Statements and Form 5500</w:t>
      </w:r>
    </w:p>
    <w:p>
      <w:pPr>
        <w:spacing w:after="0" w:line="95" w:lineRule="exact"/>
        <w:rPr>
          <w:sz w:val="20"/>
          <w:szCs w:val="20"/>
          <w:color w:val="auto"/>
        </w:rPr>
      </w:pPr>
    </w:p>
    <w:p>
      <w:pPr>
        <w:ind w:firstLine="334"/>
        <w:spacing w:after="0" w:line="294" w:lineRule="auto"/>
        <w:rPr>
          <w:sz w:val="20"/>
          <w:szCs w:val="20"/>
          <w:color w:val="auto"/>
        </w:rPr>
      </w:pPr>
      <w:r>
        <w:rPr>
          <w:rFonts w:ascii="Arial" w:cs="Arial" w:eastAsia="Arial" w:hAnsi="Arial"/>
          <w:sz w:val="13"/>
          <w:szCs w:val="13"/>
          <w:color w:val="auto"/>
        </w:rPr>
        <w:t>The Plan calculates realized gains (losses) and unrealized appreciation (depreciation) as the difference between current market value and cost. Internal Revenue Service (“IRS”) Form 5500 calculates realized gains (losses) and unrealized appreciation (depreciation) as the difference between current market value and market value at the prior period year-end.</w:t>
      </w:r>
    </w:p>
    <w:p>
      <w:pPr>
        <w:spacing w:after="0" w:line="37" w:lineRule="exact"/>
        <w:rPr>
          <w:sz w:val="20"/>
          <w:szCs w:val="20"/>
          <w:color w:val="auto"/>
        </w:rPr>
      </w:pPr>
    </w:p>
    <w:p>
      <w:pPr>
        <w:ind w:right="120" w:firstLine="334"/>
        <w:spacing w:after="0" w:line="294" w:lineRule="auto"/>
        <w:rPr>
          <w:sz w:val="20"/>
          <w:szCs w:val="20"/>
          <w:color w:val="auto"/>
        </w:rPr>
      </w:pPr>
      <w:r>
        <w:rPr>
          <w:rFonts w:ascii="Arial" w:cs="Arial" w:eastAsia="Arial" w:hAnsi="Arial"/>
          <w:sz w:val="13"/>
          <w:szCs w:val="13"/>
          <w:color w:val="auto"/>
        </w:rPr>
        <w:t>The Plan does not reflect as liabilities amounts allocated to the accounts of Participants who have elected to withdraw from the Plan but have not yet been paid. The Department of Labor, however, requires that these amounts be reported as a liability on Form 5500.</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is a reconciliation of net assets available for benefits as disclosed in the financial statements to the Form 5500: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6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At 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2005</w:t>
            </w:r>
          </w:p>
        </w:tc>
        <w:tc>
          <w:tcPr>
            <w:tcW w:w="64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Net assets available for benefits per the financial statements</w:t>
            </w:r>
          </w:p>
        </w:tc>
        <w:tc>
          <w:tcPr>
            <w:tcW w:w="266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$ 11,626,802,730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$ 11,200,744,651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20" w:type="dxa"/>
            <w:vAlign w:val="bottom"/>
          </w:tcPr>
          <w:p>
            <w:pPr>
              <w:spacing w:after="0"/>
              <w:rPr>
                <w:sz w:val="20"/>
                <w:szCs w:val="20"/>
                <w:color w:val="auto"/>
              </w:rPr>
            </w:pPr>
            <w:r>
              <w:rPr>
                <w:rFonts w:ascii="Arial" w:cs="Arial" w:eastAsia="Arial" w:hAnsi="Arial"/>
                <w:sz w:val="13"/>
                <w:szCs w:val="13"/>
                <w:color w:val="auto"/>
              </w:rPr>
              <w:t>Less:  Amounts allocated to withdrawing Participants</w:t>
            </w:r>
          </w:p>
        </w:tc>
        <w:tc>
          <w:tcPr>
            <w:tcW w:w="106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3"/>
                <w:szCs w:val="13"/>
                <w:color w:val="auto"/>
              </w:rPr>
              <w:t>(2,375,189)</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(539,227)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Net assets available for benefits per Form 5500</w:t>
            </w:r>
          </w:p>
        </w:tc>
        <w:tc>
          <w:tcPr>
            <w:tcW w:w="1060" w:type="dxa"/>
            <w:vAlign w:val="bottom"/>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$ 11,624,427,541</w:t>
            </w:r>
          </w:p>
        </w:tc>
        <w:tc>
          <w:tcPr>
            <w:tcW w:w="640" w:type="dxa"/>
            <w:vAlign w:val="bottom"/>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$ 11,200,205,424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320"/>
              <w:spacing w:after="0"/>
              <w:rPr>
                <w:sz w:val="20"/>
                <w:szCs w:val="20"/>
                <w:color w:val="auto"/>
              </w:rPr>
            </w:pPr>
            <w:r>
              <w:rPr>
                <w:rFonts w:ascii="Arial" w:cs="Arial" w:eastAsia="Arial" w:hAnsi="Arial"/>
                <w:sz w:val="13"/>
                <w:szCs w:val="13"/>
                <w:color w:val="auto"/>
              </w:rPr>
              <w:t>The following is a reconciliation of benefits paid to Participants as disclosed in the financial statements to Form 5500:</w:t>
            </w: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r>
      <w:tr>
        <w:trPr>
          <w:trHeight w:val="152"/>
        </w:trPr>
        <w:tc>
          <w:tcPr>
            <w:tcW w:w="3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2005</w:t>
            </w:r>
          </w:p>
        </w:tc>
        <w:tc>
          <w:tcPr>
            <w:tcW w:w="66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3"/>
                <w:szCs w:val="13"/>
                <w:color w:val="auto"/>
              </w:rPr>
            </w:pPr>
          </w:p>
        </w:tc>
      </w:tr>
      <w:tr>
        <w:trPr>
          <w:trHeight w:val="151"/>
        </w:trPr>
        <w:tc>
          <w:tcPr>
            <w:tcW w:w="9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Benefits paid to Participants per the financial statements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1"/>
              </w:rPr>
              <w:t>$ 1,020,380,915</w:t>
            </w:r>
          </w:p>
        </w:tc>
        <w:tc>
          <w:tcPr>
            <w:tcW w:w="6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$ 571,855,616</w:t>
            </w: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rPr>
              <w:t>Add:</w:t>
            </w:r>
          </w:p>
        </w:tc>
        <w:tc>
          <w:tcPr>
            <w:tcW w:w="8700" w:type="dxa"/>
            <w:vAlign w:val="bottom"/>
          </w:tcPr>
          <w:p>
            <w:pPr>
              <w:ind w:left="40"/>
              <w:spacing w:after="0"/>
              <w:rPr>
                <w:sz w:val="20"/>
                <w:szCs w:val="20"/>
                <w:color w:val="auto"/>
              </w:rPr>
            </w:pPr>
            <w:r>
              <w:rPr>
                <w:rFonts w:ascii="Arial" w:cs="Arial" w:eastAsia="Arial" w:hAnsi="Arial"/>
                <w:sz w:val="13"/>
                <w:szCs w:val="13"/>
                <w:color w:val="auto"/>
              </w:rPr>
              <w:t>Amounts allocated to withdrawing Participants at end of year</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2,375,189</w:t>
            </w:r>
          </w:p>
        </w:tc>
        <w:tc>
          <w:tcPr>
            <w:tcW w:w="6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539,227</w:t>
            </w: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6"/>
              </w:rPr>
              <w:t>Less:</w:t>
            </w:r>
          </w:p>
        </w:tc>
        <w:tc>
          <w:tcPr>
            <w:tcW w:w="87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Amounts allocated to withdrawing Participants at beginning of year</w:t>
            </w: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(539,227)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(1,850,063)</w:t>
            </w:r>
          </w:p>
        </w:tc>
      </w:tr>
      <w:tr>
        <w:trPr>
          <w:trHeight w:val="20"/>
        </w:trPr>
        <w:tc>
          <w:tcPr>
            <w:tcW w:w="9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3"/>
                <w:szCs w:val="13"/>
                <w:color w:val="auto"/>
              </w:rPr>
              <w:t>Benefits paid to Participants per Form 5500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w w:val="91"/>
              </w:rPr>
              <w:t>$ 1,022,216,877</w:t>
            </w: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$ 570,544,780</w:t>
            </w:r>
          </w:p>
        </w:tc>
      </w:tr>
      <w:tr>
        <w:trPr>
          <w:trHeight w:val="20"/>
        </w:trPr>
        <w:tc>
          <w:tcPr>
            <w:tcW w:w="3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Amounts allocated to withdrawals by Participants that have been processed and approved for payment prior to December 31, but are not yet paid as of that date are recorded on the Form 5500 as benefits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paid.</w:t>
      </w:r>
    </w:p>
    <w:p>
      <w:pPr>
        <w:spacing w:after="0" w:line="80" w:lineRule="exact"/>
        <w:rPr>
          <w:sz w:val="20"/>
          <w:szCs w:val="20"/>
          <w:color w:val="auto"/>
        </w:rPr>
      </w:pPr>
    </w:p>
    <w:p>
      <w:pPr>
        <w:ind w:left="460" w:hanging="459"/>
        <w:spacing w:after="0"/>
        <w:tabs>
          <w:tab w:leader="none" w:pos="46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Investments that represent five percent or more of the Plan’s net assets available for benefits at December 31, 2005 and 2004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433"/>
              <w:spacing w:after="0"/>
              <w:rPr>
                <w:sz w:val="20"/>
                <w:szCs w:val="20"/>
                <w:color w:val="auto"/>
              </w:rPr>
            </w:pPr>
            <w:r>
              <w:rPr>
                <w:rFonts w:ascii="Arial" w:cs="Arial" w:eastAsia="Arial" w:hAnsi="Arial"/>
                <w:sz w:val="13"/>
                <w:szCs w:val="13"/>
                <w:b w:val="1"/>
                <w:bCs w:val="1"/>
                <w:color w:val="auto"/>
              </w:rPr>
              <w:t>Number of</w:t>
            </w: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Description</w:t>
            </w:r>
          </w:p>
        </w:tc>
        <w:tc>
          <w:tcPr>
            <w:tcW w:w="460" w:type="dxa"/>
            <w:vAlign w:val="bottom"/>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 or Units</w:t>
            </w:r>
          </w:p>
        </w:tc>
        <w:tc>
          <w:tcPr>
            <w:tcW w:w="460" w:type="dxa"/>
            <w:vAlign w:val="bottom"/>
          </w:tcPr>
          <w:p>
            <w:pPr>
              <w:spacing w:after="0"/>
              <w:rPr>
                <w:sz w:val="15"/>
                <w:szCs w:val="15"/>
                <w:color w:val="auto"/>
              </w:rPr>
            </w:pPr>
          </w:p>
        </w:tc>
        <w:tc>
          <w:tcPr>
            <w:tcW w:w="162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Cost</w:t>
            </w:r>
          </w:p>
        </w:tc>
        <w:tc>
          <w:tcPr>
            <w:tcW w:w="460" w:type="dxa"/>
            <w:vAlign w:val="bottom"/>
          </w:tcPr>
          <w:p>
            <w:pPr>
              <w:spacing w:after="0"/>
              <w:rPr>
                <w:sz w:val="15"/>
                <w:szCs w:val="15"/>
                <w:color w:val="auto"/>
              </w:rPr>
            </w:pPr>
          </w:p>
        </w:tc>
        <w:tc>
          <w:tcPr>
            <w:tcW w:w="16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2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52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At December 31, 2005:</w:t>
            </w:r>
          </w:p>
        </w:tc>
        <w:tc>
          <w:tcPr>
            <w:tcW w:w="4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2"/>
        </w:trPr>
        <w:tc>
          <w:tcPr>
            <w:tcW w:w="5240" w:type="dxa"/>
            <w:vAlign w:val="bottom"/>
            <w:gridSpan w:val="3"/>
          </w:tcPr>
          <w:p>
            <w:pPr>
              <w:spacing w:after="0"/>
              <w:rPr>
                <w:sz w:val="20"/>
                <w:szCs w:val="20"/>
                <w:color w:val="auto"/>
              </w:rPr>
            </w:pPr>
            <w:r>
              <w:rPr>
                <w:rFonts w:ascii="Arial" w:cs="Arial" w:eastAsia="Arial" w:hAnsi="Arial"/>
                <w:sz w:val="13"/>
                <w:szCs w:val="13"/>
                <w:color w:val="auto"/>
              </w:rPr>
              <w:t>JPMorgan Chase &amp; Co. common stock</w:t>
            </w:r>
          </w:p>
        </w:tc>
        <w:tc>
          <w:tcPr>
            <w:tcW w:w="2060" w:type="dxa"/>
            <w:vAlign w:val="bottom"/>
            <w:gridSpan w:val="2"/>
          </w:tcPr>
          <w:p>
            <w:pPr>
              <w:jc w:val="right"/>
              <w:ind w:right="493"/>
              <w:spacing w:after="0"/>
              <w:rPr>
                <w:sz w:val="20"/>
                <w:szCs w:val="20"/>
                <w:color w:val="auto"/>
              </w:rPr>
            </w:pPr>
            <w:r>
              <w:rPr>
                <w:rFonts w:ascii="Arial" w:cs="Arial" w:eastAsia="Arial" w:hAnsi="Arial"/>
                <w:sz w:val="13"/>
                <w:szCs w:val="13"/>
                <w:color w:val="auto"/>
              </w:rPr>
              <w:t>84,716,723</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$3,167,613,596</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$3,362,406,736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BGI Equity Index Fund</w:t>
            </w:r>
          </w:p>
        </w:tc>
        <w:tc>
          <w:tcPr>
            <w:tcW w:w="206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71,655,902</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1,175,885,648</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1,281,207,521</w:t>
            </w:r>
          </w:p>
        </w:tc>
        <w:tc>
          <w:tcPr>
            <w:tcW w:w="0" w:type="dxa"/>
            <w:vAlign w:val="bottom"/>
          </w:tcPr>
          <w:p>
            <w:pPr>
              <w:spacing w:after="0"/>
              <w:rPr>
                <w:sz w:val="1"/>
                <w:szCs w:val="1"/>
                <w:color w:val="auto"/>
              </w:rPr>
            </w:pPr>
          </w:p>
        </w:tc>
      </w:tr>
      <w:tr>
        <w:trPr>
          <w:trHeight w:val="322"/>
        </w:trPr>
        <w:tc>
          <w:tcPr>
            <w:tcW w:w="5240" w:type="dxa"/>
            <w:vAlign w:val="bottom"/>
            <w:gridSpan w:val="3"/>
          </w:tcPr>
          <w:p>
            <w:pPr>
              <w:spacing w:after="0"/>
              <w:rPr>
                <w:sz w:val="20"/>
                <w:szCs w:val="20"/>
                <w:color w:val="auto"/>
              </w:rPr>
            </w:pPr>
            <w:r>
              <w:rPr>
                <w:rFonts w:ascii="Arial" w:cs="Arial" w:eastAsia="Arial" w:hAnsi="Arial"/>
                <w:sz w:val="13"/>
                <w:szCs w:val="13"/>
                <w:color w:val="auto"/>
              </w:rPr>
              <w:t>JPM TR I Small Cap Core Fund Select</w:t>
            </w:r>
          </w:p>
        </w:tc>
        <w:tc>
          <w:tcPr>
            <w:tcW w:w="2060" w:type="dxa"/>
            <w:vAlign w:val="bottom"/>
            <w:gridSpan w:val="2"/>
          </w:tcPr>
          <w:p>
            <w:pPr>
              <w:jc w:val="right"/>
              <w:ind w:right="493"/>
              <w:spacing w:after="0"/>
              <w:rPr>
                <w:sz w:val="20"/>
                <w:szCs w:val="20"/>
                <w:color w:val="auto"/>
              </w:rPr>
            </w:pPr>
            <w:r>
              <w:rPr>
                <w:rFonts w:ascii="Arial" w:cs="Arial" w:eastAsia="Arial" w:hAnsi="Arial"/>
                <w:sz w:val="13"/>
                <w:szCs w:val="13"/>
                <w:color w:val="auto"/>
              </w:rPr>
              <w:t>12,965,029</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579,438,813</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570,331,647</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3380" w:type="dxa"/>
            <w:vAlign w:val="bottom"/>
            <w:gridSpan w:val="4"/>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right"/>
              <w:spacing w:after="0"/>
              <w:rPr>
                <w:sz w:val="20"/>
                <w:szCs w:val="20"/>
                <w:color w:val="auto"/>
              </w:rPr>
            </w:pPr>
            <w:r>
              <w:rPr>
                <w:rFonts w:ascii="Arial" w:cs="Arial" w:eastAsia="Arial" w:hAnsi="Arial"/>
                <w:sz w:val="13"/>
                <w:szCs w:val="13"/>
                <w:b w:val="1"/>
                <w:bCs w:val="1"/>
                <w:color w:val="auto"/>
              </w:rPr>
              <w:t>THE JPMORGAN CHASE 401(k) SAVINGS PLAN</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92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NOTES TO FINANCIAL STATEMENTS</w:t>
            </w: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Number of</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80" w:type="dxa"/>
            <w:vAlign w:val="bottom"/>
            <w:gridSpan w:val="4"/>
          </w:tcPr>
          <w:p>
            <w:pPr>
              <w:spacing w:after="0"/>
              <w:rPr>
                <w:sz w:val="20"/>
                <w:szCs w:val="20"/>
                <w:color w:val="auto"/>
              </w:rPr>
            </w:pPr>
            <w:r>
              <w:rPr>
                <w:rFonts w:ascii="Arial" w:cs="Arial" w:eastAsia="Arial" w:hAnsi="Arial"/>
                <w:sz w:val="13"/>
                <w:szCs w:val="13"/>
                <w:b w:val="1"/>
                <w:bCs w:val="1"/>
                <w:color w:val="auto"/>
              </w:rPr>
              <w:t>At December 31, 2004:</w:t>
            </w:r>
          </w:p>
        </w:tc>
        <w:tc>
          <w:tcPr>
            <w:tcW w:w="2320" w:type="dxa"/>
            <w:vAlign w:val="bottom"/>
          </w:tcPr>
          <w:p>
            <w:pPr>
              <w:spacing w:after="0"/>
              <w:rPr>
                <w:sz w:val="13"/>
                <w:szCs w:val="13"/>
                <w:color w:val="auto"/>
              </w:rPr>
            </w:pPr>
          </w:p>
        </w:tc>
        <w:tc>
          <w:tcPr>
            <w:tcW w:w="1600" w:type="dxa"/>
            <w:vAlign w:val="bottom"/>
          </w:tcPr>
          <w:p>
            <w:pPr>
              <w:jc w:val="right"/>
              <w:ind w:right="293"/>
              <w:spacing w:after="0"/>
              <w:rPr>
                <w:sz w:val="20"/>
                <w:szCs w:val="20"/>
                <w:color w:val="auto"/>
              </w:rPr>
            </w:pPr>
            <w:r>
              <w:rPr>
                <w:rFonts w:ascii="Arial" w:cs="Arial" w:eastAsia="Arial" w:hAnsi="Arial"/>
                <w:sz w:val="13"/>
                <w:szCs w:val="13"/>
                <w:b w:val="1"/>
                <w:bCs w:val="1"/>
                <w:color w:val="auto"/>
              </w:rPr>
              <w:t>Shares or Units</w:t>
            </w:r>
          </w:p>
        </w:tc>
        <w:tc>
          <w:tcPr>
            <w:tcW w:w="460" w:type="dxa"/>
            <w:vAlign w:val="bottom"/>
          </w:tcPr>
          <w:p>
            <w:pPr>
              <w:spacing w:after="0"/>
              <w:rPr>
                <w:sz w:val="13"/>
                <w:szCs w:val="13"/>
                <w:color w:val="auto"/>
              </w:rPr>
            </w:pPr>
          </w:p>
        </w:tc>
        <w:tc>
          <w:tcPr>
            <w:tcW w:w="1620" w:type="dxa"/>
            <w:vAlign w:val="bottom"/>
          </w:tcPr>
          <w:p>
            <w:pPr>
              <w:jc w:val="right"/>
              <w:ind w:right="613"/>
              <w:spacing w:after="0"/>
              <w:rPr>
                <w:sz w:val="20"/>
                <w:szCs w:val="20"/>
                <w:color w:val="auto"/>
              </w:rPr>
            </w:pPr>
            <w:r>
              <w:rPr>
                <w:rFonts w:ascii="Arial" w:cs="Arial" w:eastAsia="Arial" w:hAnsi="Arial"/>
                <w:sz w:val="13"/>
                <w:szCs w:val="13"/>
                <w:b w:val="1"/>
                <w:bCs w:val="1"/>
                <w:color w:val="auto"/>
              </w:rPr>
              <w:t>Cost</w:t>
            </w:r>
          </w:p>
        </w:tc>
        <w:tc>
          <w:tcPr>
            <w:tcW w:w="460" w:type="dxa"/>
            <w:vAlign w:val="bottom"/>
          </w:tcPr>
          <w:p>
            <w:pPr>
              <w:spacing w:after="0"/>
              <w:rPr>
                <w:sz w:val="13"/>
                <w:szCs w:val="13"/>
                <w:color w:val="auto"/>
              </w:rPr>
            </w:pPr>
          </w:p>
        </w:tc>
        <w:tc>
          <w:tcPr>
            <w:tcW w:w="1620" w:type="dxa"/>
            <w:vAlign w:val="bottom"/>
          </w:tcPr>
          <w:p>
            <w:pPr>
              <w:jc w:val="right"/>
              <w:ind w:right="4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JPMorgan Chase &amp; Co. common stock</w:t>
            </w:r>
          </w:p>
        </w:tc>
        <w:tc>
          <w:tcPr>
            <w:tcW w:w="392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88,695,982</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$2,848,089,052</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$3,460,030,273</w:t>
            </w:r>
          </w:p>
        </w:tc>
        <w:tc>
          <w:tcPr>
            <w:tcW w:w="0" w:type="dxa"/>
            <w:vAlign w:val="bottom"/>
          </w:tcPr>
          <w:p>
            <w:pPr>
              <w:spacing w:after="0"/>
              <w:rPr>
                <w:sz w:val="1"/>
                <w:szCs w:val="1"/>
                <w:color w:val="auto"/>
              </w:rPr>
            </w:pPr>
          </w:p>
        </w:tc>
      </w:tr>
      <w:tr>
        <w:trPr>
          <w:trHeight w:val="322"/>
        </w:trPr>
        <w:tc>
          <w:tcPr>
            <w:tcW w:w="3380" w:type="dxa"/>
            <w:vAlign w:val="bottom"/>
            <w:gridSpan w:val="4"/>
          </w:tcPr>
          <w:p>
            <w:pPr>
              <w:spacing w:after="0"/>
              <w:rPr>
                <w:sz w:val="20"/>
                <w:szCs w:val="20"/>
                <w:color w:val="auto"/>
              </w:rPr>
            </w:pPr>
            <w:r>
              <w:rPr>
                <w:rFonts w:ascii="Arial" w:cs="Arial" w:eastAsia="Arial" w:hAnsi="Arial"/>
                <w:sz w:val="13"/>
                <w:szCs w:val="13"/>
                <w:color w:val="auto"/>
              </w:rPr>
              <w:t>BGI Equity Index Fund</w:t>
            </w:r>
          </w:p>
        </w:tc>
        <w:tc>
          <w:tcPr>
            <w:tcW w:w="3920" w:type="dxa"/>
            <w:vAlign w:val="bottom"/>
            <w:gridSpan w:val="2"/>
          </w:tcPr>
          <w:p>
            <w:pPr>
              <w:jc w:val="right"/>
              <w:ind w:right="493"/>
              <w:spacing w:after="0"/>
              <w:rPr>
                <w:sz w:val="20"/>
                <w:szCs w:val="20"/>
                <w:color w:val="auto"/>
              </w:rPr>
            </w:pPr>
            <w:r>
              <w:rPr>
                <w:rFonts w:ascii="Arial" w:cs="Arial" w:eastAsia="Arial" w:hAnsi="Arial"/>
                <w:sz w:val="13"/>
                <w:szCs w:val="13"/>
                <w:color w:val="auto"/>
              </w:rPr>
              <w:t>51,968,426</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821,995,097</w:t>
            </w:r>
          </w:p>
        </w:tc>
        <w:tc>
          <w:tcPr>
            <w:tcW w:w="2080" w:type="dxa"/>
            <w:vAlign w:val="bottom"/>
            <w:gridSpan w:val="2"/>
          </w:tcPr>
          <w:p>
            <w:pPr>
              <w:jc w:val="right"/>
              <w:ind w:right="393"/>
              <w:spacing w:after="0"/>
              <w:rPr>
                <w:sz w:val="20"/>
                <w:szCs w:val="20"/>
                <w:color w:val="auto"/>
              </w:rPr>
            </w:pPr>
            <w:r>
              <w:rPr>
                <w:rFonts w:ascii="Arial" w:cs="Arial" w:eastAsia="Arial" w:hAnsi="Arial"/>
                <w:sz w:val="13"/>
                <w:szCs w:val="13"/>
                <w:color w:val="auto"/>
              </w:rPr>
              <w:t>885,022,293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JPMorgan Select Group — Select Equity Fund</w:t>
            </w:r>
          </w:p>
        </w:tc>
        <w:tc>
          <w:tcPr>
            <w:tcW w:w="3920" w:type="dxa"/>
            <w:vAlign w:val="bottom"/>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12,472,871</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560,738,367</w:t>
            </w:r>
          </w:p>
        </w:tc>
        <w:tc>
          <w:tcPr>
            <w:tcW w:w="20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542,070,956</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20" w:firstLine="334"/>
        <w:spacing w:after="0" w:line="339" w:lineRule="auto"/>
        <w:rPr>
          <w:sz w:val="20"/>
          <w:szCs w:val="20"/>
          <w:color w:val="auto"/>
        </w:rPr>
      </w:pPr>
      <w:r>
        <w:rPr>
          <w:rFonts w:ascii="Arial" w:cs="Arial" w:eastAsia="Arial" w:hAnsi="Arial"/>
          <w:sz w:val="12"/>
          <w:szCs w:val="12"/>
          <w:color w:val="auto"/>
        </w:rPr>
        <w:t>The Plan participates in a securities lending program administered by JPMorgan Chase. Under the program, borrowers are required to provide collateral equal to a minimum of 102% of the fair value of the loaned securities in the form of cash, U.S. government securities, U.S. government-sponsored enterprise obligations, or other qualifying securities. The Bank bears all the costs of the program.</w:t>
      </w:r>
    </w:p>
    <w:p>
      <w:pPr>
        <w:spacing w:after="0" w:line="14" w:lineRule="exact"/>
        <w:rPr>
          <w:sz w:val="20"/>
          <w:szCs w:val="20"/>
          <w:color w:val="auto"/>
        </w:rPr>
      </w:pPr>
    </w:p>
    <w:p>
      <w:pPr>
        <w:ind w:right="20" w:firstLine="336"/>
        <w:spacing w:after="0" w:line="276" w:lineRule="auto"/>
        <w:rPr>
          <w:sz w:val="20"/>
          <w:szCs w:val="20"/>
          <w:color w:val="auto"/>
        </w:rPr>
      </w:pPr>
      <w:r>
        <w:rPr>
          <w:rFonts w:ascii="Arial" w:cs="Arial" w:eastAsia="Arial" w:hAnsi="Arial"/>
          <w:sz w:val="13"/>
          <w:szCs w:val="13"/>
          <w:color w:val="auto"/>
        </w:rPr>
        <w:t>Income earned by the Plan under the program was $136,529 and $9,850 in 2005 and 2004, respectively, which is recorded in interest income in the Statement of Changes in Net Assets Available for Benefits. At December 31, 2005 and 2004, common stock, U.S. government-sponsored enterprise obligations and corporate debt instruments of the Plan with an aggregate fair value of approximately $69,141,572 and $6,869,658, respectively, had been loaned under this program.</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During the years ended December 31, 2005 and 2004, the Plan’s investments generated net appreciation (depreciation)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tcPr>
          <w:p>
            <w:pPr>
              <w:ind w:left="3820"/>
              <w:spacing w:after="0"/>
              <w:rPr>
                <w:sz w:val="20"/>
                <w:szCs w:val="20"/>
                <w:color w:val="auto"/>
              </w:rPr>
            </w:pPr>
            <w:r>
              <w:rPr>
                <w:rFonts w:ascii="Arial" w:cs="Arial" w:eastAsia="Arial" w:hAnsi="Arial"/>
                <w:sz w:val="13"/>
                <w:szCs w:val="13"/>
                <w:b w:val="1"/>
                <w:bCs w:val="1"/>
                <w:color w:val="auto"/>
              </w:rPr>
              <w:t>Description</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2005</w:t>
            </w:r>
          </w:p>
        </w:tc>
        <w:tc>
          <w:tcPr>
            <w:tcW w:w="660" w:type="dxa"/>
            <w:vAlign w:val="bottom"/>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Based on quoted market prices:</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JPMorgan Chase &amp; Co. and other common stocks</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55,419,454</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$ 112,571,705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Common/collective trust funds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105,149,555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23,975,424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Plan’s share of Master Trust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88,657,785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92,439,455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Registered investment companies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60,185,351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292,889,635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Corporate debt instruments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(129,904)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(733,018)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government and federal agency obligations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(15,820)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U. S. government-sponsored enterprise obligations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(47,378)</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(30,727)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receivables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11,401,215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Other investments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309,234,863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532,497,863</w:t>
            </w:r>
          </w:p>
        </w:tc>
        <w:tc>
          <w:tcPr>
            <w:tcW w:w="0" w:type="dxa"/>
            <w:vAlign w:val="bottom"/>
          </w:tcPr>
          <w:p>
            <w:pPr>
              <w:spacing w:after="0"/>
              <w:rPr>
                <w:sz w:val="1"/>
                <w:szCs w:val="1"/>
                <w:color w:val="auto"/>
              </w:rPr>
            </w:pPr>
          </w:p>
        </w:tc>
      </w:tr>
      <w:tr>
        <w:trPr>
          <w:trHeight w:val="323"/>
        </w:trPr>
        <w:tc>
          <w:tcPr>
            <w:tcW w:w="8560" w:type="dxa"/>
            <w:vAlign w:val="bottom"/>
            <w:gridSpan w:val="3"/>
          </w:tcPr>
          <w:p>
            <w:pPr>
              <w:spacing w:after="0"/>
              <w:rPr>
                <w:sz w:val="20"/>
                <w:szCs w:val="20"/>
                <w:color w:val="auto"/>
              </w:rPr>
            </w:pPr>
            <w:r>
              <w:rPr>
                <w:rFonts w:ascii="Arial" w:cs="Arial" w:eastAsia="Arial" w:hAnsi="Arial"/>
                <w:sz w:val="13"/>
                <w:szCs w:val="13"/>
                <w:color w:val="auto"/>
              </w:rPr>
              <w:t>Based on estimated fair value as determined by the Trustee:</w:t>
            </w: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debt instruments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(412)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Limited partnership</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2,467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Certificates of deposit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Pr>
          <w:p>
            <w:pPr>
              <w:ind w:left="40"/>
              <w:spacing w:after="0"/>
              <w:rPr>
                <w:sz w:val="20"/>
                <w:szCs w:val="20"/>
                <w:color w:val="auto"/>
              </w:rPr>
            </w:pPr>
            <w:r>
              <w:rPr>
                <w:rFonts w:ascii="Arial" w:cs="Arial" w:eastAsia="Arial" w:hAnsi="Arial"/>
                <w:sz w:val="13"/>
                <w:szCs w:val="13"/>
                <w:color w:val="auto"/>
              </w:rPr>
              <w:t>Total based on estimated fair value</w:t>
            </w:r>
          </w:p>
        </w:tc>
        <w:tc>
          <w:tcPr>
            <w:tcW w:w="5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2,154</w:t>
            </w:r>
          </w:p>
        </w:tc>
        <w:tc>
          <w:tcPr>
            <w:tcW w:w="6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appreciation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309,237,017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$ 532,499,237</w:t>
            </w:r>
          </w:p>
        </w:tc>
        <w:tc>
          <w:tcPr>
            <w:tcW w:w="0" w:type="dxa"/>
            <w:vAlign w:val="bottom"/>
          </w:tcPr>
          <w:p>
            <w:pPr>
              <w:spacing w:after="0"/>
              <w:rPr>
                <w:sz w:val="1"/>
                <w:szCs w:val="1"/>
                <w:color w:val="auto"/>
              </w:rPr>
            </w:pPr>
          </w:p>
        </w:tc>
      </w:tr>
      <w:tr>
        <w:trPr>
          <w:trHeight w:val="20"/>
        </w:trPr>
        <w:tc>
          <w:tcPr>
            <w:tcW w:w="1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1"/>
              </w:rPr>
              <w:t>5.</w:t>
            </w:r>
          </w:p>
        </w:tc>
        <w:tc>
          <w:tcPr>
            <w:tcW w:w="84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Master Trust</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 w:type="dxa"/>
            <w:vAlign w:val="bottom"/>
            <w:gridSpan w:val="2"/>
            <w:vMerge w:val="continue"/>
          </w:tcPr>
          <w:p>
            <w:pPr>
              <w:spacing w:after="0"/>
              <w:rPr>
                <w:sz w:val="19"/>
                <w:szCs w:val="19"/>
                <w:color w:val="auto"/>
              </w:rPr>
            </w:pPr>
          </w:p>
        </w:tc>
        <w:tc>
          <w:tcPr>
            <w:tcW w:w="84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334"/>
        <w:spacing w:after="0" w:line="300" w:lineRule="auto"/>
        <w:rPr>
          <w:sz w:val="20"/>
          <w:szCs w:val="20"/>
          <w:color w:val="auto"/>
        </w:rPr>
      </w:pPr>
      <w:r>
        <w:rPr>
          <w:rFonts w:ascii="Arial" w:cs="Arial" w:eastAsia="Arial" w:hAnsi="Arial"/>
          <w:sz w:val="12"/>
          <w:szCs w:val="12"/>
          <w:color w:val="auto"/>
        </w:rPr>
        <w:t>The Plan participates in the Master Trust For Certain Investment Funds of The JPMorgan Chase Retirement and 401(k) Savings Plans (“Master Trust”). The Bank is the trustee for the Master Trust. The Plan’s accounts in the Master Trust are credited with income, gains or losses in respect of the Plan’s assets held in the Master Trust. Additionally, the Plan may invest in one of the Master Trust’s investment funds (“Funds”) in equal increments called units (“Units”). Each Unit represents an equal right to share in the applicable Fund’s net earnings, gains and losses. No Unit has priority or preference over any other Unit of the applicable Fund. The Plan’s percentage interest in the net assets of the Master Trust at fair value was approximately 56% and 38% at December 31, 2005 and 2004,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FINANCIAL STATEMENTS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underlying investments of the Master Trust was valued as follows:</w:t>
      </w:r>
    </w:p>
    <w:p>
      <w:pPr>
        <w:spacing w:after="0" w:line="93" w:lineRule="exact"/>
        <w:rPr>
          <w:sz w:val="20"/>
          <w:szCs w:val="20"/>
          <w:color w:val="auto"/>
        </w:rPr>
      </w:pPr>
    </w:p>
    <w:p>
      <w:pPr>
        <w:ind w:firstLine="336"/>
        <w:spacing w:after="0" w:line="276" w:lineRule="auto"/>
        <w:rPr>
          <w:sz w:val="20"/>
          <w:szCs w:val="20"/>
          <w:color w:val="auto"/>
        </w:rPr>
      </w:pPr>
      <w:r>
        <w:rPr>
          <w:rFonts w:ascii="Arial" w:cs="Arial" w:eastAsia="Arial" w:hAnsi="Arial"/>
          <w:sz w:val="13"/>
          <w:szCs w:val="13"/>
          <w:color w:val="auto"/>
        </w:rPr>
        <w:t>U.S. government and federal agency obligations, U.S. government-sponsored enterprise obligations, corporate debt instruments and other investments, which includes obligations of state and political subdivisions, and non-U.S. government debt instruments are valued at the last quoted bid price. Investments in common and collective trust funds are valued at the per unit amounts reported by such funds, which approximates fair value. Common and preferred stocks are valued at the closing price reported on the major market on which the individual securities are traded.</w:t>
      </w:r>
    </w:p>
    <w:p>
      <w:pPr>
        <w:spacing w:after="0" w:line="49" w:lineRule="exact"/>
        <w:rPr>
          <w:sz w:val="20"/>
          <w:szCs w:val="20"/>
          <w:color w:val="auto"/>
        </w:rPr>
      </w:pPr>
    </w:p>
    <w:p>
      <w:pPr>
        <w:ind w:right="40" w:firstLine="336"/>
        <w:spacing w:after="0" w:line="276" w:lineRule="auto"/>
        <w:rPr>
          <w:sz w:val="20"/>
          <w:szCs w:val="20"/>
          <w:color w:val="auto"/>
        </w:rPr>
      </w:pPr>
      <w:r>
        <w:rPr>
          <w:rFonts w:ascii="Arial" w:cs="Arial" w:eastAsia="Arial" w:hAnsi="Arial"/>
          <w:sz w:val="13"/>
          <w:szCs w:val="13"/>
          <w:color w:val="auto"/>
        </w:rPr>
        <w:t>Derivative receivables and derivative payables are comprised of forward foreign exchange contracts and exchange traded futures and options contracts. Forward foreign exchange contracts are valued at estimated fair value obtained from independent market quotations. Exchange traded futures and options contracts are valued at market values based upon the last reported sales price on the principal exchange on which the contracts are traded with the resulting changes in contract values being recorded as unrealized net gains (losses).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net Assets of the Master Trust at fair value were as follows at December 31, 2005 and 2004:</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Arial" w:cs="Arial" w:eastAsia="Arial" w:hAnsi="Arial"/>
                <w:sz w:val="13"/>
                <w:szCs w:val="13"/>
                <w:b w:val="1"/>
                <w:bCs w:val="1"/>
                <w:color w:val="auto"/>
              </w:rPr>
              <w:t>2005</w:t>
            </w:r>
          </w:p>
        </w:tc>
        <w:tc>
          <w:tcPr>
            <w:tcW w:w="32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81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Common and preferred stocks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1"/>
              </w:rPr>
              <w:t>$ 1,560,155,528</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$ 1,454,976,773</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Corporate debt instruments</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1,048,921,136</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680,248,391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Common/collective trust funds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248,099,309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194,640,422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U.S. government and federal agency obligations</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623,405,878</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523,606,052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U.S. government-sponsored enterprise obligations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261,601,240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50,652,091</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Derivative receivables</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8,910,201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6,082,025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Foreign government obligations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10,476,832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5,703,446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Cash</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11,302,980</w:t>
            </w:r>
          </w:p>
        </w:tc>
        <w:tc>
          <w:tcPr>
            <w:tcW w:w="1260" w:type="dxa"/>
            <w:vAlign w:val="bottom"/>
            <w:gridSpan w:val="3"/>
          </w:tcPr>
          <w:p>
            <w:pPr>
              <w:jc w:val="right"/>
              <w:ind w:right="100"/>
              <w:spacing w:after="0"/>
              <w:rPr>
                <w:sz w:val="20"/>
                <w:szCs w:val="20"/>
                <w:color w:val="auto"/>
              </w:rPr>
            </w:pPr>
            <w:r>
              <w:rPr>
                <w:rFonts w:ascii="Arial" w:cs="Arial" w:eastAsia="Arial" w:hAnsi="Arial"/>
                <w:sz w:val="13"/>
                <w:szCs w:val="13"/>
                <w:color w:val="auto"/>
              </w:rPr>
              <w:t>14,575,806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Investment income receivable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17,717,869</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13,200,075</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Receivables for securities sold</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12,037,171</w:t>
            </w:r>
          </w:p>
        </w:tc>
        <w:tc>
          <w:tcPr>
            <w:tcW w:w="1260" w:type="dxa"/>
            <w:vAlign w:val="bottom"/>
            <w:gridSpan w:val="3"/>
          </w:tcPr>
          <w:p>
            <w:pPr>
              <w:jc w:val="right"/>
              <w:ind w:right="100"/>
              <w:spacing w:after="0"/>
              <w:rPr>
                <w:sz w:val="20"/>
                <w:szCs w:val="20"/>
                <w:color w:val="auto"/>
              </w:rPr>
            </w:pPr>
            <w:r>
              <w:rPr>
                <w:rFonts w:ascii="Arial" w:cs="Arial" w:eastAsia="Arial" w:hAnsi="Arial"/>
                <w:sz w:val="13"/>
                <w:szCs w:val="13"/>
                <w:color w:val="auto"/>
              </w:rPr>
              <w:t>287,727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Payables for securities purchased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(278,789,960)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(84,923,704)</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3"/>
                <w:szCs w:val="13"/>
                <w:color w:val="auto"/>
              </w:rPr>
              <w:t>Derivative payables</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(6,267,365)</w:t>
            </w:r>
          </w:p>
        </w:tc>
        <w:tc>
          <w:tcPr>
            <w:tcW w:w="1260" w:type="dxa"/>
            <w:vAlign w:val="bottom"/>
            <w:gridSpan w:val="3"/>
          </w:tcPr>
          <w:p>
            <w:pPr>
              <w:jc w:val="right"/>
              <w:ind w:right="60"/>
              <w:spacing w:after="0"/>
              <w:rPr>
                <w:sz w:val="20"/>
                <w:szCs w:val="20"/>
                <w:color w:val="auto"/>
              </w:rPr>
            </w:pPr>
            <w:r>
              <w:rPr>
                <w:rFonts w:ascii="Arial" w:cs="Arial" w:eastAsia="Arial" w:hAnsi="Arial"/>
                <w:sz w:val="13"/>
                <w:szCs w:val="13"/>
                <w:color w:val="auto"/>
              </w:rPr>
              <w:t>(5,771,469)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Payable under securities lending agreements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(540,567,556)</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(279,597,605)</w:t>
            </w:r>
          </w:p>
        </w:tc>
        <w:tc>
          <w:tcPr>
            <w:tcW w:w="0" w:type="dxa"/>
            <w:vAlign w:val="bottom"/>
          </w:tcPr>
          <w:p>
            <w:pPr>
              <w:spacing w:after="0"/>
              <w:rPr>
                <w:sz w:val="1"/>
                <w:szCs w:val="1"/>
                <w:color w:val="auto"/>
              </w:rPr>
            </w:pPr>
          </w:p>
        </w:tc>
      </w:tr>
      <w:tr>
        <w:trPr>
          <w:trHeight w:val="323"/>
        </w:trPr>
        <w:tc>
          <w:tcPr>
            <w:tcW w:w="8200" w:type="dxa"/>
            <w:vAlign w:val="bottom"/>
            <w:gridSpan w:val="2"/>
          </w:tcPr>
          <w:p>
            <w:pPr>
              <w:spacing w:after="0"/>
              <w:rPr>
                <w:sz w:val="20"/>
                <w:szCs w:val="20"/>
                <w:color w:val="auto"/>
              </w:rPr>
            </w:pPr>
            <w:r>
              <w:rPr>
                <w:rFonts w:ascii="Arial" w:cs="Arial" w:eastAsia="Arial" w:hAnsi="Arial"/>
                <w:sz w:val="13"/>
                <w:szCs w:val="13"/>
                <w:color w:val="auto"/>
              </w:rPr>
              <w:t>Accrued expenses</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(525,472)</w:t>
            </w:r>
          </w:p>
        </w:tc>
        <w:tc>
          <w:tcPr>
            <w:tcW w:w="1260" w:type="dxa"/>
            <w:vAlign w:val="bottom"/>
            <w:gridSpan w:val="3"/>
          </w:tcPr>
          <w:p>
            <w:pPr>
              <w:jc w:val="right"/>
              <w:ind w:right="60"/>
              <w:spacing w:after="0"/>
              <w:rPr>
                <w:sz w:val="20"/>
                <w:szCs w:val="20"/>
                <w:color w:val="auto"/>
              </w:rPr>
            </w:pPr>
            <w:r>
              <w:rPr>
                <w:rFonts w:ascii="Arial" w:cs="Arial" w:eastAsia="Arial" w:hAnsi="Arial"/>
                <w:sz w:val="13"/>
                <w:szCs w:val="13"/>
                <w:color w:val="auto"/>
              </w:rPr>
              <w:t>(448,724)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assets of the Master Trust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1"/>
              </w:rPr>
              <w:t>$ 2,976,477,791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$ 2,573,231,306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60"/>
          </w:cols>
          <w:pgMar w:left="220" w:top="349"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8800" w:type="dxa"/>
            <w:vAlign w:val="bottom"/>
            <w:gridSpan w:val="4"/>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800" w:type="dxa"/>
            <w:vAlign w:val="bottom"/>
          </w:tcPr>
          <w:p>
            <w:pPr>
              <w:jc w:val="center"/>
              <w:ind w:left="1613"/>
              <w:spacing w:after="0"/>
              <w:rPr>
                <w:sz w:val="20"/>
                <w:szCs w:val="20"/>
                <w:color w:val="auto"/>
              </w:rPr>
            </w:pPr>
            <w:r>
              <w:rPr>
                <w:rFonts w:ascii="Arial" w:cs="Arial" w:eastAsia="Arial" w:hAnsi="Arial"/>
                <w:sz w:val="13"/>
                <w:szCs w:val="13"/>
                <w:b w:val="1"/>
                <w:bCs w:val="1"/>
                <w:color w:val="auto"/>
              </w:rPr>
              <w:t>THE JPMORGAN CHASE 401(k) SAVINGS PLAN</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0" w:type="dxa"/>
            <w:vAlign w:val="bottom"/>
          </w:tcPr>
          <w:p>
            <w:pPr>
              <w:jc w:val="center"/>
              <w:ind w:left="1593"/>
              <w:spacing w:after="0"/>
              <w:rPr>
                <w:sz w:val="20"/>
                <w:szCs w:val="20"/>
                <w:color w:val="auto"/>
              </w:rPr>
            </w:pPr>
            <w:r>
              <w:rPr>
                <w:rFonts w:ascii="Arial" w:cs="Arial" w:eastAsia="Arial" w:hAnsi="Arial"/>
                <w:sz w:val="13"/>
                <w:szCs w:val="13"/>
                <w:b w:val="1"/>
                <w:bCs w:val="1"/>
                <w:color w:val="auto"/>
              </w:rPr>
              <w:t>NOTES TO FINANCIAL STATEMENTS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8580" w:type="dxa"/>
            <w:vAlign w:val="bottom"/>
            <w:gridSpan w:val="3"/>
          </w:tcPr>
          <w:p>
            <w:pPr>
              <w:ind w:left="120"/>
              <w:spacing w:after="0"/>
              <w:rPr>
                <w:sz w:val="20"/>
                <w:szCs w:val="20"/>
                <w:color w:val="auto"/>
              </w:rPr>
            </w:pPr>
            <w:r>
              <w:rPr>
                <w:rFonts w:ascii="Arial" w:cs="Arial" w:eastAsia="Arial" w:hAnsi="Arial"/>
                <w:sz w:val="13"/>
                <w:szCs w:val="13"/>
                <w:color w:val="auto"/>
              </w:rPr>
              <w:t>Investment income for the Master Trust were as follows at December 31, 2005 and 2004:</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2005</w:t>
            </w:r>
          </w:p>
        </w:tc>
        <w:tc>
          <w:tcPr>
            <w:tcW w:w="600" w:type="dxa"/>
            <w:vAlign w:val="bottom"/>
          </w:tcPr>
          <w:p>
            <w:pPr>
              <w:spacing w:after="0"/>
              <w:rPr>
                <w:sz w:val="24"/>
                <w:szCs w:val="2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60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appreciation (depreciation) in fair values of investments:</w:t>
            </w: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
          </w:tcPr>
          <w:p>
            <w:pPr>
              <w:ind w:left="160"/>
              <w:spacing w:after="0"/>
              <w:rPr>
                <w:sz w:val="20"/>
                <w:szCs w:val="20"/>
                <w:color w:val="auto"/>
              </w:rPr>
            </w:pPr>
            <w:r>
              <w:rPr>
                <w:rFonts w:ascii="Arial" w:cs="Arial" w:eastAsia="Arial" w:hAnsi="Arial"/>
                <w:sz w:val="13"/>
                <w:szCs w:val="13"/>
                <w:color w:val="auto"/>
              </w:rPr>
              <w:t>Common and preferred stocks</w:t>
            </w:r>
          </w:p>
        </w:tc>
        <w:tc>
          <w:tcPr>
            <w:tcW w:w="1380" w:type="dxa"/>
            <w:vAlign w:val="bottom"/>
            <w:gridSpan w:val="2"/>
          </w:tcPr>
          <w:p>
            <w:pPr>
              <w:jc w:val="right"/>
              <w:ind w:right="600"/>
              <w:spacing w:after="0"/>
              <w:rPr>
                <w:sz w:val="20"/>
                <w:szCs w:val="20"/>
                <w:color w:val="auto"/>
              </w:rPr>
            </w:pPr>
            <w:r>
              <w:rPr>
                <w:rFonts w:ascii="Arial" w:cs="Arial" w:eastAsia="Arial" w:hAnsi="Arial"/>
                <w:sz w:val="13"/>
                <w:szCs w:val="13"/>
                <w:color w:val="auto"/>
                <w:w w:val="91"/>
              </w:rPr>
              <w:t>$ 116,294,675</w:t>
            </w:r>
          </w:p>
        </w:tc>
        <w:tc>
          <w:tcPr>
            <w:tcW w:w="780" w:type="dxa"/>
            <w:vAlign w:val="bottom"/>
          </w:tcPr>
          <w:p>
            <w:pPr>
              <w:jc w:val="right"/>
              <w:spacing w:after="0"/>
              <w:rPr>
                <w:sz w:val="20"/>
                <w:szCs w:val="20"/>
                <w:color w:val="auto"/>
              </w:rPr>
            </w:pPr>
            <w:r>
              <w:rPr>
                <w:rFonts w:ascii="Arial" w:cs="Arial" w:eastAsia="Arial" w:hAnsi="Arial"/>
                <w:sz w:val="13"/>
                <w:szCs w:val="13"/>
                <w:color w:val="auto"/>
                <w:w w:val="91"/>
              </w:rPr>
              <w:t>$ 206,409,580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Corporate debt instruments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(22,043,630)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8,151,527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tcPr>
          <w:p>
            <w:pPr>
              <w:ind w:left="160"/>
              <w:spacing w:after="0"/>
              <w:rPr>
                <w:sz w:val="20"/>
                <w:szCs w:val="20"/>
                <w:color w:val="auto"/>
              </w:rPr>
            </w:pPr>
            <w:r>
              <w:rPr>
                <w:rFonts w:ascii="Arial" w:cs="Arial" w:eastAsia="Arial" w:hAnsi="Arial"/>
                <w:sz w:val="13"/>
                <w:szCs w:val="13"/>
                <w:color w:val="auto"/>
              </w:rPr>
              <w:t>Common/collective trust funds</w:t>
            </w:r>
          </w:p>
        </w:tc>
        <w:tc>
          <w:tcPr>
            <w:tcW w:w="1380" w:type="dxa"/>
            <w:vAlign w:val="bottom"/>
            <w:gridSpan w:val="2"/>
          </w:tcPr>
          <w:p>
            <w:pPr>
              <w:jc w:val="right"/>
              <w:ind w:right="560"/>
              <w:spacing w:after="0"/>
              <w:rPr>
                <w:sz w:val="20"/>
                <w:szCs w:val="20"/>
                <w:color w:val="auto"/>
              </w:rPr>
            </w:pPr>
            <w:r>
              <w:rPr>
                <w:rFonts w:ascii="Arial" w:cs="Arial" w:eastAsia="Arial" w:hAnsi="Arial"/>
                <w:sz w:val="13"/>
                <w:szCs w:val="13"/>
                <w:color w:val="auto"/>
              </w:rPr>
              <w:t>(7,803)</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U.S. government and federal agency obligations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(3,114,899)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11,350,794</w:t>
            </w:r>
          </w:p>
        </w:tc>
        <w:tc>
          <w:tcPr>
            <w:tcW w:w="0" w:type="dxa"/>
            <w:vAlign w:val="bottom"/>
          </w:tcPr>
          <w:p>
            <w:pPr>
              <w:spacing w:after="0"/>
              <w:rPr>
                <w:sz w:val="1"/>
                <w:szCs w:val="1"/>
                <w:color w:val="auto"/>
              </w:rPr>
            </w:pPr>
          </w:p>
        </w:tc>
      </w:tr>
      <w:tr>
        <w:trPr>
          <w:trHeight w:val="32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
          </w:tcPr>
          <w:p>
            <w:pPr>
              <w:ind w:left="160"/>
              <w:spacing w:after="0"/>
              <w:rPr>
                <w:sz w:val="20"/>
                <w:szCs w:val="20"/>
                <w:color w:val="auto"/>
              </w:rPr>
            </w:pPr>
            <w:r>
              <w:rPr>
                <w:rFonts w:ascii="Arial" w:cs="Arial" w:eastAsia="Arial" w:hAnsi="Arial"/>
                <w:sz w:val="13"/>
                <w:szCs w:val="13"/>
                <w:color w:val="auto"/>
              </w:rPr>
              <w:t>U.S. government-sponsored enterprise obligations</w:t>
            </w:r>
          </w:p>
        </w:tc>
        <w:tc>
          <w:tcPr>
            <w:tcW w:w="1380" w:type="dxa"/>
            <w:vAlign w:val="bottom"/>
            <w:gridSpan w:val="2"/>
          </w:tcPr>
          <w:p>
            <w:pPr>
              <w:jc w:val="right"/>
              <w:ind w:right="560"/>
              <w:spacing w:after="0"/>
              <w:rPr>
                <w:sz w:val="20"/>
                <w:szCs w:val="20"/>
                <w:color w:val="auto"/>
              </w:rPr>
            </w:pPr>
            <w:r>
              <w:rPr>
                <w:rFonts w:ascii="Arial" w:cs="Arial" w:eastAsia="Arial" w:hAnsi="Arial"/>
                <w:sz w:val="13"/>
                <w:szCs w:val="13"/>
                <w:color w:val="auto"/>
              </w:rPr>
              <w:t>(1,745,914)</w:t>
            </w:r>
          </w:p>
        </w:tc>
        <w:tc>
          <w:tcPr>
            <w:tcW w:w="780" w:type="dxa"/>
            <w:vAlign w:val="bottom"/>
          </w:tcPr>
          <w:p>
            <w:pPr>
              <w:jc w:val="right"/>
              <w:spacing w:after="0"/>
              <w:rPr>
                <w:sz w:val="20"/>
                <w:szCs w:val="20"/>
                <w:color w:val="auto"/>
              </w:rPr>
            </w:pPr>
            <w:r>
              <w:rPr>
                <w:rFonts w:ascii="Arial" w:cs="Arial" w:eastAsia="Arial" w:hAnsi="Arial"/>
                <w:sz w:val="13"/>
                <w:szCs w:val="13"/>
                <w:color w:val="auto"/>
              </w:rPr>
              <w:t>1,552,261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Derivative receivables (payables), net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(10,556,450)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408,439</w:t>
            </w: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
          </w:tcPr>
          <w:p>
            <w:pPr>
              <w:ind w:left="160"/>
              <w:spacing w:after="0"/>
              <w:rPr>
                <w:sz w:val="20"/>
                <w:szCs w:val="20"/>
                <w:color w:val="auto"/>
              </w:rPr>
            </w:pPr>
            <w:r>
              <w:rPr>
                <w:rFonts w:ascii="Arial" w:cs="Arial" w:eastAsia="Arial" w:hAnsi="Arial"/>
                <w:sz w:val="13"/>
                <w:szCs w:val="13"/>
                <w:color w:val="auto"/>
              </w:rPr>
              <w:t>Debt securities issued by non-U.S. governments</w:t>
            </w:r>
          </w:p>
        </w:tc>
        <w:tc>
          <w:tcPr>
            <w:tcW w:w="1380" w:type="dxa"/>
            <w:vAlign w:val="bottom"/>
            <w:gridSpan w:val="2"/>
          </w:tcPr>
          <w:p>
            <w:pPr>
              <w:jc w:val="right"/>
              <w:ind w:right="600"/>
              <w:spacing w:after="0"/>
              <w:rPr>
                <w:sz w:val="20"/>
                <w:szCs w:val="20"/>
                <w:color w:val="auto"/>
              </w:rPr>
            </w:pPr>
            <w:r>
              <w:rPr>
                <w:rFonts w:ascii="Arial" w:cs="Arial" w:eastAsia="Arial" w:hAnsi="Arial"/>
                <w:sz w:val="13"/>
                <w:szCs w:val="13"/>
                <w:color w:val="auto"/>
              </w:rPr>
              <w:t>806,005</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241,413</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Foreign currency cash</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(212,276)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53,174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
          </w:tcPr>
          <w:p>
            <w:pPr>
              <w:ind w:left="160"/>
              <w:spacing w:after="0"/>
              <w:rPr>
                <w:sz w:val="20"/>
                <w:szCs w:val="20"/>
                <w:color w:val="auto"/>
              </w:rPr>
            </w:pPr>
            <w:r>
              <w:rPr>
                <w:rFonts w:ascii="Arial" w:cs="Arial" w:eastAsia="Arial" w:hAnsi="Arial"/>
                <w:sz w:val="13"/>
                <w:szCs w:val="13"/>
                <w:color w:val="auto"/>
              </w:rPr>
              <w:t>Other investments</w:t>
            </w:r>
          </w:p>
        </w:tc>
        <w:tc>
          <w:tcPr>
            <w:tcW w:w="1380" w:type="dxa"/>
            <w:vAlign w:val="bottom"/>
            <w:gridSpan w:val="2"/>
          </w:tcPr>
          <w:p>
            <w:pPr>
              <w:jc w:val="right"/>
              <w:ind w:right="560"/>
              <w:spacing w:after="0"/>
              <w:rPr>
                <w:sz w:val="20"/>
                <w:szCs w:val="20"/>
                <w:color w:val="auto"/>
              </w:rPr>
            </w:pPr>
            <w:r>
              <w:rPr>
                <w:rFonts w:ascii="Arial" w:cs="Arial" w:eastAsia="Arial" w:hAnsi="Arial"/>
                <w:sz w:val="13"/>
                <w:szCs w:val="13"/>
                <w:color w:val="auto"/>
              </w:rPr>
              <w:t>(1,218)</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(170,155)</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Total Net Appreciation</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79,418,490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227,997,033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220" w:type="dxa"/>
            <w:vAlign w:val="bottom"/>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Arial" w:cs="Arial" w:eastAsia="Arial" w:hAnsi="Arial"/>
                <w:sz w:val="13"/>
                <w:szCs w:val="13"/>
                <w:color w:val="auto"/>
              </w:rPr>
              <w:t>Interest</w:t>
            </w:r>
          </w:p>
        </w:tc>
        <w:tc>
          <w:tcPr>
            <w:tcW w:w="1380" w:type="dxa"/>
            <w:vAlign w:val="bottom"/>
            <w:gridSpan w:val="2"/>
          </w:tcPr>
          <w:p>
            <w:pPr>
              <w:jc w:val="right"/>
              <w:ind w:right="600"/>
              <w:spacing w:after="0"/>
              <w:rPr>
                <w:sz w:val="20"/>
                <w:szCs w:val="20"/>
                <w:color w:val="auto"/>
              </w:rPr>
            </w:pPr>
            <w:r>
              <w:rPr>
                <w:rFonts w:ascii="Arial" w:cs="Arial" w:eastAsia="Arial" w:hAnsi="Arial"/>
                <w:sz w:val="13"/>
                <w:szCs w:val="13"/>
                <w:color w:val="auto"/>
              </w:rPr>
              <w:t>63,791,229</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45,132,542</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36,220,260</w:t>
            </w:r>
          </w:p>
        </w:tc>
        <w:tc>
          <w:tcPr>
            <w:tcW w:w="6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26,565,815</w:t>
            </w: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Arial" w:cs="Arial" w:eastAsia="Arial" w:hAnsi="Arial"/>
                <w:sz w:val="13"/>
                <w:szCs w:val="13"/>
                <w:color w:val="auto"/>
              </w:rPr>
              <w:t>Net investment income for the Master Trust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$ 179,429,979</w:t>
            </w:r>
          </w:p>
        </w:tc>
        <w:tc>
          <w:tcPr>
            <w:tcW w:w="60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$ 299,695,390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line="20" w:lineRule="exact"/>
              <w:rPr>
                <w:sz w:val="1"/>
                <w:szCs w:val="1"/>
                <w:color w:val="auto"/>
              </w:rPr>
            </w:pPr>
          </w:p>
        </w:tc>
        <w:tc>
          <w:tcPr>
            <w:tcW w:w="84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Derivative Receivables and Derivative Payables</w:t>
            </w: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40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firstLine="336"/>
        <w:spacing w:after="0" w:line="276" w:lineRule="auto"/>
        <w:rPr>
          <w:sz w:val="20"/>
          <w:szCs w:val="20"/>
          <w:color w:val="auto"/>
        </w:rPr>
      </w:pPr>
      <w:r>
        <w:rPr>
          <w:rFonts w:ascii="Arial" w:cs="Arial" w:eastAsia="Arial" w:hAnsi="Arial"/>
          <w:sz w:val="13"/>
          <w:szCs w:val="13"/>
          <w:color w:val="auto"/>
        </w:rPr>
        <w:t>In the normal course of business, the Plan utilizes derivative instruments to manage exposures to fluctuations in interest and currency rates. The Plan utilizes options and futures contracts in the Intermediate Bond Fund and foreign exchange contracts in the High Yield Bond Fund. These financial instruments are recorded at fair value as derivative receivables and payables in the statement of net assets available for benefits. See Note 5 for a summary of the Plan’s interest in the “Master Trust” which includes derivative instruments at December 31, 2005 and 2004.</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Foreign Exchange Contracts</w:t>
      </w:r>
    </w:p>
    <w:p>
      <w:pPr>
        <w:spacing w:after="0" w:line="95" w:lineRule="exact"/>
        <w:rPr>
          <w:sz w:val="20"/>
          <w:szCs w:val="20"/>
          <w:color w:val="auto"/>
        </w:rPr>
      </w:pPr>
    </w:p>
    <w:p>
      <w:pPr>
        <w:ind w:right="240" w:firstLine="329"/>
        <w:spacing w:after="0" w:line="294" w:lineRule="auto"/>
        <w:rPr>
          <w:sz w:val="20"/>
          <w:szCs w:val="20"/>
          <w:color w:val="auto"/>
        </w:rPr>
      </w:pPr>
      <w:r>
        <w:rPr>
          <w:rFonts w:ascii="Arial" w:cs="Arial" w:eastAsia="Arial" w:hAnsi="Arial"/>
          <w:sz w:val="13"/>
          <w:szCs w:val="13"/>
          <w:color w:val="auto"/>
        </w:rPr>
        <w:t>A foreign exchange contract obligates one party to purchase and the other party to sell a specific currency at a set price on a future date. To hedge against foreign exchange rate risks on foreign currency denominated transactions and holdings, or for investment purposes, the Plan may buy or sell foreign forward exchange contracts.</w:t>
      </w:r>
    </w:p>
    <w:p>
      <w:pPr>
        <w:spacing w:after="0" w:line="37" w:lineRule="exact"/>
        <w:rPr>
          <w:sz w:val="20"/>
          <w:szCs w:val="20"/>
          <w:color w:val="auto"/>
        </w:rPr>
      </w:pPr>
    </w:p>
    <w:p>
      <w:pPr>
        <w:ind w:right="120" w:firstLine="334"/>
        <w:spacing w:after="0" w:line="294" w:lineRule="auto"/>
        <w:rPr>
          <w:sz w:val="20"/>
          <w:szCs w:val="20"/>
          <w:color w:val="auto"/>
        </w:rPr>
      </w:pPr>
      <w:r>
        <w:rPr>
          <w:rFonts w:ascii="Arial" w:cs="Arial" w:eastAsia="Arial" w:hAnsi="Arial"/>
          <w:sz w:val="13"/>
          <w:szCs w:val="13"/>
          <w:color w:val="auto"/>
        </w:rPr>
        <w:t>The Plan’s risks include giving up the opportunity for profit in a hedge transaction and unanticipated movements in the value of a foreign currency relative to the U.S. dollar in transactions entered into for investment purposes. The Plan is also subject to the credit risk that the counterparty to a foreign currency contract will not fulfill its obligation under the contract.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343" w:right="2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Options and Futures Contracts</w:t>
      </w:r>
    </w:p>
    <w:p>
      <w:pPr>
        <w:spacing w:after="0" w:line="95" w:lineRule="exact"/>
        <w:rPr>
          <w:sz w:val="20"/>
          <w:szCs w:val="20"/>
          <w:color w:val="auto"/>
        </w:rPr>
      </w:pPr>
    </w:p>
    <w:p>
      <w:pPr>
        <w:ind w:right="20" w:firstLine="336"/>
        <w:spacing w:after="0" w:line="294" w:lineRule="auto"/>
        <w:rPr>
          <w:sz w:val="20"/>
          <w:szCs w:val="20"/>
          <w:color w:val="auto"/>
        </w:rPr>
      </w:pPr>
      <w:r>
        <w:rPr>
          <w:rFonts w:ascii="Arial" w:cs="Arial" w:eastAsia="Arial" w:hAnsi="Arial"/>
          <w:sz w:val="13"/>
          <w:szCs w:val="13"/>
          <w:color w:val="auto"/>
        </w:rPr>
        <w:t>By writing options, the Plan receives a premium and becomes obligated during the term of the option to purchase or sell a specified instrument at a set price if the option is exercised. By purchasing options, the Plan pays a premium to buy or sell a specified instrument at a set price during the term of the option.</w:t>
      </w:r>
    </w:p>
    <w:p>
      <w:pPr>
        <w:spacing w:after="0" w:line="37" w:lineRule="exact"/>
        <w:rPr>
          <w:sz w:val="20"/>
          <w:szCs w:val="20"/>
          <w:color w:val="auto"/>
        </w:rPr>
      </w:pPr>
    </w:p>
    <w:p>
      <w:pPr>
        <w:jc w:val="both"/>
        <w:ind w:firstLine="336"/>
        <w:spacing w:after="0" w:line="276" w:lineRule="auto"/>
        <w:rPr>
          <w:sz w:val="20"/>
          <w:szCs w:val="20"/>
          <w:color w:val="auto"/>
        </w:rPr>
      </w:pPr>
      <w:r>
        <w:rPr>
          <w:rFonts w:ascii="Arial" w:cs="Arial" w:eastAsia="Arial" w:hAnsi="Arial"/>
          <w:sz w:val="13"/>
          <w:szCs w:val="13"/>
          <w:color w:val="auto"/>
        </w:rPr>
        <w:t>Futures contracts are contracts for delayed delivery of specified instruments in which the seller agrees to make delivery at a specified future date of a specified instrument, at a specified price or yield. Upon entering into an options or futures contract, the Plan is required to deposit either cash or securities in an amount (initial margin) equal to a certain percentage of the contract value. As these contracts are marked-to-market on daily basis, subsequent payments (variation margin) are made or received by the Plan each day.</w:t>
      </w:r>
    </w:p>
    <w:p>
      <w:pPr>
        <w:spacing w:after="0" w:line="49" w:lineRule="exact"/>
        <w:rPr>
          <w:sz w:val="20"/>
          <w:szCs w:val="20"/>
          <w:color w:val="auto"/>
        </w:rPr>
      </w:pPr>
    </w:p>
    <w:p>
      <w:pPr>
        <w:ind w:right="180" w:firstLine="334"/>
        <w:spacing w:after="0" w:line="276" w:lineRule="auto"/>
        <w:rPr>
          <w:sz w:val="20"/>
          <w:szCs w:val="20"/>
          <w:color w:val="auto"/>
        </w:rPr>
      </w:pPr>
      <w:r>
        <w:rPr>
          <w:rFonts w:ascii="Arial" w:cs="Arial" w:eastAsia="Arial" w:hAnsi="Arial"/>
          <w:sz w:val="13"/>
          <w:szCs w:val="13"/>
          <w:color w:val="auto"/>
        </w:rPr>
        <w:t>The Plan is subject to option price volatility risk and the risk that futures contract may not correlate with the prices of the portfolio securities. The Plan’s activities in these contracts are conducted through regulated exchanges, which do not result in counterparty credit risks since the exchanges assume the default risk of the counterparty, and generally require margin deposits of cash or securities as collateral to minimize potential credit risk. Liquidity risk may arise if there is insufficient trading activity on the options and futures exchange.</w:t>
      </w:r>
    </w:p>
    <w:p>
      <w:pPr>
        <w:spacing w:after="0" w:line="49" w:lineRule="exact"/>
        <w:rPr>
          <w:sz w:val="20"/>
          <w:szCs w:val="20"/>
          <w:color w:val="auto"/>
        </w:rPr>
      </w:pPr>
    </w:p>
    <w:p>
      <w:pPr>
        <w:ind w:right="20" w:firstLine="329"/>
        <w:spacing w:after="0" w:line="276" w:lineRule="auto"/>
        <w:rPr>
          <w:sz w:val="20"/>
          <w:szCs w:val="20"/>
          <w:color w:val="auto"/>
        </w:rPr>
      </w:pPr>
      <w:r>
        <w:rPr>
          <w:rFonts w:ascii="Arial" w:cs="Arial" w:eastAsia="Arial" w:hAnsi="Arial"/>
          <w:sz w:val="13"/>
          <w:szCs w:val="13"/>
          <w:color w:val="auto"/>
        </w:rPr>
        <w:t>A further risk in buying an option is that the Plan pays a premium whether or not the option is exercised. The risk in writing a call option is that the Plan gives up the opportunity for profit if the market price of the security increases and the option is exercised. The risk in writing a put option is that the Plan may incur a loss if the market price of the security decreases and the option is exercised. Risks may arise from movements in securities values and interest rates, and from the risk of not being able to enter into a closing transaction if a liquid secondary market does not exist.</w:t>
      </w:r>
    </w:p>
    <w:p>
      <w:pPr>
        <w:spacing w:after="0" w:line="47"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Plan Expenses</w:t>
      </w:r>
    </w:p>
    <w:p>
      <w:pPr>
        <w:spacing w:after="0" w:line="95" w:lineRule="exact"/>
        <w:rPr>
          <w:sz w:val="20"/>
          <w:szCs w:val="20"/>
          <w:color w:val="auto"/>
        </w:rPr>
      </w:pPr>
    </w:p>
    <w:p>
      <w:pPr>
        <w:ind w:right="200" w:firstLine="336"/>
        <w:spacing w:after="0" w:line="276" w:lineRule="auto"/>
        <w:rPr>
          <w:sz w:val="20"/>
          <w:szCs w:val="20"/>
          <w:color w:val="auto"/>
        </w:rPr>
      </w:pPr>
      <w:r>
        <w:rPr>
          <w:rFonts w:ascii="Arial" w:cs="Arial" w:eastAsia="Arial" w:hAnsi="Arial"/>
          <w:sz w:val="13"/>
          <w:szCs w:val="13"/>
          <w:color w:val="auto"/>
        </w:rPr>
        <w:t>Unless paid by the Contributing Employers, the Trustee will pay the expenses of the Plan using Plan assets. The following expenses are paid by the Plan: (a) taxes upon or with respect to the assets in the Trust Fund or related income, (b) brokerage costs, (c) other expenses in connection with the purchase and sale of assets by the managers of Funds, (d) fees paid for asset management or record keeping and (e) certain overhead expenses directly attributable to the administration of the Plan.</w:t>
      </w:r>
    </w:p>
    <w:p>
      <w:pPr>
        <w:spacing w:after="0" w:line="47" w:lineRule="exact"/>
        <w:rPr>
          <w:sz w:val="20"/>
          <w:szCs w:val="20"/>
          <w:color w:val="auto"/>
        </w:rPr>
      </w:pPr>
    </w:p>
    <w:p>
      <w:pPr>
        <w:ind w:left="460" w:hanging="459"/>
        <w:spacing w:after="0"/>
        <w:tabs>
          <w:tab w:leader="none" w:pos="46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Trust Funds Transactions with Affiliated Parties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is a summary of transactions with parties affiliated with the Plan for the years ended December 31, 2005 and 2004:</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 Proceeds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1"/>
              </w:rPr>
              <w:t>from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1"/>
              </w:rPr>
              <w:t>Redemptions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133"/>
              <w:spacing w:after="0"/>
              <w:rPr>
                <w:sz w:val="20"/>
                <w:szCs w:val="20"/>
                <w:color w:val="auto"/>
              </w:rPr>
            </w:pPr>
            <w:r>
              <w:rPr>
                <w:rFonts w:ascii="Arial" w:cs="Arial" w:eastAsia="Arial" w:hAnsi="Arial"/>
                <w:sz w:val="13"/>
                <w:szCs w:val="13"/>
                <w:b w:val="1"/>
                <w:bCs w:val="1"/>
                <w:color w:val="auto"/>
              </w:rPr>
              <w:t>Aggregate Cost</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3"/>
              </w:rPr>
              <w:t>Distributions to</w:t>
            </w:r>
          </w:p>
        </w:tc>
        <w:tc>
          <w:tcPr>
            <w:tcW w:w="0" w:type="dxa"/>
            <w:vAlign w:val="bottom"/>
          </w:tcPr>
          <w:p>
            <w:pPr>
              <w:spacing w:after="0"/>
              <w:rPr>
                <w:sz w:val="1"/>
                <w:szCs w:val="1"/>
                <w:color w:val="auto"/>
              </w:rPr>
            </w:pPr>
          </w:p>
        </w:tc>
      </w:tr>
      <w:tr>
        <w:trPr>
          <w:trHeight w:val="174"/>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 2005</w:t>
            </w:r>
          </w:p>
        </w:tc>
        <w:tc>
          <w:tcPr>
            <w:tcW w:w="440" w:type="dxa"/>
            <w:vAlign w:val="bottom"/>
          </w:tcPr>
          <w:p>
            <w:pPr>
              <w:spacing w:after="0"/>
              <w:rPr>
                <w:sz w:val="15"/>
                <w:szCs w:val="15"/>
                <w:color w:val="auto"/>
              </w:rPr>
            </w:pPr>
          </w:p>
        </w:tc>
        <w:tc>
          <w:tcPr>
            <w:tcW w:w="1300" w:type="dxa"/>
            <w:vAlign w:val="bottom"/>
          </w:tcPr>
          <w:p>
            <w:pPr>
              <w:jc w:val="right"/>
              <w:ind w:right="213"/>
              <w:spacing w:after="0"/>
              <w:rPr>
                <w:sz w:val="20"/>
                <w:szCs w:val="20"/>
                <w:color w:val="auto"/>
              </w:rPr>
            </w:pPr>
            <w:r>
              <w:rPr>
                <w:rFonts w:ascii="Arial" w:cs="Arial" w:eastAsia="Arial" w:hAnsi="Arial"/>
                <w:sz w:val="13"/>
                <w:szCs w:val="13"/>
                <w:b w:val="1"/>
                <w:bCs w:val="1"/>
                <w:color w:val="auto"/>
              </w:rPr>
              <w:t>of Purchases</w:t>
            </w:r>
          </w:p>
        </w:tc>
        <w:tc>
          <w:tcPr>
            <w:tcW w:w="4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4"/>
              </w:rPr>
              <w:t>Participants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69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JPMorgan Domestic Liquidity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$2,257,059,033</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$2,278,857,849</w:t>
            </w:r>
          </w:p>
        </w:tc>
        <w:tc>
          <w:tcPr>
            <w:tcW w:w="0" w:type="dxa"/>
            <w:vAlign w:val="bottom"/>
          </w:tcPr>
          <w:p>
            <w:pPr>
              <w:spacing w:after="0"/>
              <w:rPr>
                <w:sz w:val="1"/>
                <w:szCs w:val="1"/>
                <w:color w:val="auto"/>
              </w:rPr>
            </w:pPr>
          </w:p>
        </w:tc>
      </w:tr>
      <w:tr>
        <w:trPr>
          <w:trHeight w:val="322"/>
        </w:trPr>
        <w:tc>
          <w:tcPr>
            <w:tcW w:w="6940" w:type="dxa"/>
            <w:vAlign w:val="bottom"/>
            <w:gridSpan w:val="2"/>
          </w:tcPr>
          <w:p>
            <w:pPr>
              <w:spacing w:after="0"/>
              <w:rPr>
                <w:sz w:val="20"/>
                <w:szCs w:val="20"/>
                <w:color w:val="auto"/>
              </w:rPr>
            </w:pPr>
            <w:r>
              <w:rPr>
                <w:rFonts w:ascii="Arial" w:cs="Arial" w:eastAsia="Arial" w:hAnsi="Arial"/>
                <w:sz w:val="13"/>
                <w:szCs w:val="13"/>
                <w:color w:val="auto"/>
              </w:rPr>
              <w:t>JPMorgan Chase &amp; Co. common stock</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360,536,903</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433,693,508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American Century International Small Cap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81,689,286</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25,848,904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20" w:type="dxa"/>
            <w:vAlign w:val="bottom"/>
          </w:tcPr>
          <w:p>
            <w:pPr>
              <w:spacing w:after="0"/>
              <w:rPr>
                <w:sz w:val="20"/>
                <w:szCs w:val="20"/>
                <w:color w:val="auto"/>
              </w:rPr>
            </w:pPr>
            <w:r>
              <w:rPr>
                <w:rFonts w:ascii="Arial" w:cs="Arial" w:eastAsia="Arial" w:hAnsi="Arial"/>
                <w:sz w:val="13"/>
                <w:szCs w:val="13"/>
                <w:color w:val="auto"/>
              </w:rPr>
              <w:t>American Century Ultra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43,600,016</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19,699,540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Fund managed by JPMorgan Investment Advisors:</w:t>
            </w: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20" w:type="dxa"/>
            <w:vAlign w:val="bottom"/>
          </w:tcPr>
          <w:p>
            <w:pPr>
              <w:ind w:left="140"/>
              <w:spacing w:after="0"/>
              <w:rPr>
                <w:sz w:val="20"/>
                <w:szCs w:val="20"/>
                <w:color w:val="auto"/>
              </w:rPr>
            </w:pPr>
            <w:r>
              <w:rPr>
                <w:rFonts w:ascii="Arial" w:cs="Arial" w:eastAsia="Arial" w:hAnsi="Arial"/>
                <w:sz w:val="13"/>
                <w:szCs w:val="13"/>
                <w:color w:val="auto"/>
              </w:rPr>
              <w:t>Core Bond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42,187,863</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28,632,683</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Funds managed by JPMorgan Asset Management (USA) Inc.:</w:t>
            </w: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ind w:left="140"/>
              <w:spacing w:after="0"/>
              <w:rPr>
                <w:sz w:val="20"/>
                <w:szCs w:val="20"/>
                <w:color w:val="auto"/>
              </w:rPr>
            </w:pPr>
            <w:r>
              <w:rPr>
                <w:rFonts w:ascii="Arial" w:cs="Arial" w:eastAsia="Arial" w:hAnsi="Arial"/>
                <w:sz w:val="13"/>
                <w:szCs w:val="13"/>
                <w:color w:val="auto"/>
              </w:rPr>
              <w:t>Short-Term Fixed Income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2,806,100,161</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2,554,956,719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Growth and Income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565,213,575</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516,943,702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ind w:left="140"/>
              <w:spacing w:after="0"/>
              <w:rPr>
                <w:sz w:val="20"/>
                <w:szCs w:val="20"/>
                <w:color w:val="auto"/>
              </w:rPr>
            </w:pPr>
            <w:r>
              <w:rPr>
                <w:rFonts w:ascii="Arial" w:cs="Arial" w:eastAsia="Arial" w:hAnsi="Arial"/>
                <w:sz w:val="13"/>
                <w:szCs w:val="13"/>
                <w:color w:val="auto"/>
              </w:rPr>
              <w:t>Stable Value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518,283,769</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434,530,249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 Cap Growth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241,312,352</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190,889,191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20" w:type="dxa"/>
            <w:vAlign w:val="bottom"/>
          </w:tcPr>
          <w:p>
            <w:pPr>
              <w:ind w:left="140"/>
              <w:spacing w:after="0"/>
              <w:rPr>
                <w:sz w:val="20"/>
                <w:szCs w:val="20"/>
                <w:color w:val="auto"/>
              </w:rPr>
            </w:pPr>
            <w:r>
              <w:rPr>
                <w:rFonts w:ascii="Arial" w:cs="Arial" w:eastAsia="Arial" w:hAnsi="Arial"/>
                <w:sz w:val="13"/>
                <w:szCs w:val="13"/>
                <w:color w:val="auto"/>
              </w:rPr>
              <w:t>Small Cap Core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110,816,117</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92,542,292</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International Large Cap Core Fund (managed by JPMorgan Asset Management (London) Limited)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208,366,164</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51,710,508</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349"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7340" w:type="dxa"/>
            <w:vAlign w:val="bottom"/>
            <w:gridSpan w:val="4"/>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340" w:type="dxa"/>
            <w:vAlign w:val="bottom"/>
          </w:tcPr>
          <w:p>
            <w:pPr>
              <w:jc w:val="center"/>
              <w:ind w:left="3073"/>
              <w:spacing w:after="0"/>
              <w:rPr>
                <w:sz w:val="20"/>
                <w:szCs w:val="20"/>
                <w:color w:val="auto"/>
              </w:rPr>
            </w:pPr>
            <w:r>
              <w:rPr>
                <w:rFonts w:ascii="Arial" w:cs="Arial" w:eastAsia="Arial" w:hAnsi="Arial"/>
                <w:sz w:val="13"/>
                <w:szCs w:val="13"/>
                <w:b w:val="1"/>
                <w:bCs w:val="1"/>
                <w:color w:val="auto"/>
              </w:rPr>
              <w:t>THE JPMORGAN CHASE 401(k) SAVINGS PLAN</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40" w:type="dxa"/>
            <w:vAlign w:val="bottom"/>
          </w:tcPr>
          <w:p>
            <w:pPr>
              <w:jc w:val="center"/>
              <w:ind w:left="3053"/>
              <w:spacing w:after="0"/>
              <w:rPr>
                <w:sz w:val="20"/>
                <w:szCs w:val="20"/>
                <w:color w:val="auto"/>
              </w:rPr>
            </w:pPr>
            <w:r>
              <w:rPr>
                <w:rFonts w:ascii="Arial" w:cs="Arial" w:eastAsia="Arial" w:hAnsi="Arial"/>
                <w:sz w:val="13"/>
                <w:szCs w:val="13"/>
                <w:b w:val="1"/>
                <w:bCs w:val="1"/>
                <w:color w:val="auto"/>
              </w:rPr>
              <w:t>NOTES TO FINANCIAL STATEMENTS</w:t>
            </w: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 Proceeds</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1"/>
              </w:rPr>
              <w:t>from Sales,</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1"/>
              </w:rPr>
              <w:t>Redemptions and</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133"/>
              <w:spacing w:after="0"/>
              <w:rPr>
                <w:sz w:val="20"/>
                <w:szCs w:val="20"/>
                <w:color w:val="auto"/>
              </w:rPr>
            </w:pPr>
            <w:r>
              <w:rPr>
                <w:rFonts w:ascii="Arial" w:cs="Arial" w:eastAsia="Arial" w:hAnsi="Arial"/>
                <w:sz w:val="13"/>
                <w:szCs w:val="13"/>
                <w:b w:val="1"/>
                <w:bCs w:val="1"/>
                <w:color w:val="auto"/>
              </w:rPr>
              <w:t>Aggregate Cost</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3"/>
              </w:rPr>
              <w:t>Distributions to</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7080" w:type="dxa"/>
            <w:vAlign w:val="bottom"/>
            <w:gridSpan w:val="3"/>
          </w:tcPr>
          <w:p>
            <w:pPr>
              <w:ind w:left="140"/>
              <w:spacing w:after="0"/>
              <w:rPr>
                <w:sz w:val="20"/>
                <w:szCs w:val="20"/>
                <w:color w:val="auto"/>
              </w:rPr>
            </w:pPr>
            <w:r>
              <w:rPr>
                <w:rFonts w:ascii="Arial" w:cs="Arial" w:eastAsia="Arial" w:hAnsi="Arial"/>
                <w:sz w:val="13"/>
                <w:szCs w:val="13"/>
                <w:b w:val="1"/>
                <w:bCs w:val="1"/>
                <w:color w:val="auto"/>
              </w:rPr>
              <w:t>For the Year Ended December 31, 2004</w:t>
            </w:r>
          </w:p>
        </w:tc>
        <w:tc>
          <w:tcPr>
            <w:tcW w:w="440" w:type="dxa"/>
            <w:vAlign w:val="bottom"/>
          </w:tcPr>
          <w:p>
            <w:pPr>
              <w:spacing w:after="0"/>
              <w:rPr>
                <w:sz w:val="15"/>
                <w:szCs w:val="15"/>
                <w:color w:val="auto"/>
              </w:rPr>
            </w:pPr>
          </w:p>
        </w:tc>
        <w:tc>
          <w:tcPr>
            <w:tcW w:w="1300" w:type="dxa"/>
            <w:vAlign w:val="bottom"/>
          </w:tcPr>
          <w:p>
            <w:pPr>
              <w:jc w:val="right"/>
              <w:ind w:right="213"/>
              <w:spacing w:after="0"/>
              <w:rPr>
                <w:sz w:val="20"/>
                <w:szCs w:val="20"/>
                <w:color w:val="auto"/>
              </w:rPr>
            </w:pPr>
            <w:r>
              <w:rPr>
                <w:rFonts w:ascii="Arial" w:cs="Arial" w:eastAsia="Arial" w:hAnsi="Arial"/>
                <w:sz w:val="13"/>
                <w:szCs w:val="13"/>
                <w:b w:val="1"/>
                <w:bCs w:val="1"/>
                <w:color w:val="auto"/>
              </w:rPr>
              <w:t>of Purchases</w:t>
            </w:r>
          </w:p>
        </w:tc>
        <w:tc>
          <w:tcPr>
            <w:tcW w:w="4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4"/>
              </w:rPr>
              <w:t>Participants</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3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JPMorgan Domestic Liquidity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$1,622,320,431</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$1,625,137,736</w:t>
            </w: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7080" w:type="dxa"/>
            <w:vAlign w:val="bottom"/>
            <w:gridSpan w:val="3"/>
          </w:tcPr>
          <w:p>
            <w:pPr>
              <w:ind w:left="140"/>
              <w:spacing w:after="0"/>
              <w:rPr>
                <w:sz w:val="20"/>
                <w:szCs w:val="20"/>
                <w:color w:val="auto"/>
              </w:rPr>
            </w:pPr>
            <w:r>
              <w:rPr>
                <w:rFonts w:ascii="Arial" w:cs="Arial" w:eastAsia="Arial" w:hAnsi="Arial"/>
                <w:sz w:val="13"/>
                <w:szCs w:val="13"/>
                <w:color w:val="auto"/>
              </w:rPr>
              <w:t>JPMorgan Chase &amp; Co. common stock</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256,256,429</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269,328,832</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Century International Small Cap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29,499,453</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18,333,113</w:t>
            </w: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7080" w:type="dxa"/>
            <w:vAlign w:val="bottom"/>
            <w:gridSpan w:val="3"/>
          </w:tcPr>
          <w:p>
            <w:pPr>
              <w:ind w:left="140"/>
              <w:spacing w:after="0"/>
              <w:rPr>
                <w:sz w:val="20"/>
                <w:szCs w:val="20"/>
                <w:color w:val="auto"/>
              </w:rPr>
            </w:pPr>
            <w:r>
              <w:rPr>
                <w:rFonts w:ascii="Arial" w:cs="Arial" w:eastAsia="Arial" w:hAnsi="Arial"/>
                <w:sz w:val="13"/>
                <w:szCs w:val="13"/>
                <w:color w:val="auto"/>
              </w:rPr>
              <w:t>American Century Ultra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17,756,427</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17,841,131</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Funds managed by JPMorgan Asset Management (USA) Inc.:</w:t>
            </w: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40" w:type="dxa"/>
            <w:vAlign w:val="bottom"/>
            <w:gridSpan w:val="2"/>
          </w:tcPr>
          <w:p>
            <w:pPr>
              <w:ind w:left="160"/>
              <w:spacing w:after="0"/>
              <w:rPr>
                <w:sz w:val="20"/>
                <w:szCs w:val="20"/>
                <w:color w:val="auto"/>
              </w:rPr>
            </w:pPr>
            <w:r>
              <w:rPr>
                <w:rFonts w:ascii="Arial" w:cs="Arial" w:eastAsia="Arial" w:hAnsi="Arial"/>
                <w:sz w:val="13"/>
                <w:szCs w:val="13"/>
                <w:color w:val="auto"/>
              </w:rPr>
              <w:t>Stable Value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737,898,042</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662,276,418</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Short-Term Fixed Income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545,050,645</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566,159,355</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40" w:type="dxa"/>
            <w:vAlign w:val="bottom"/>
            <w:gridSpan w:val="2"/>
          </w:tcPr>
          <w:p>
            <w:pPr>
              <w:ind w:left="160"/>
              <w:spacing w:after="0"/>
              <w:rPr>
                <w:sz w:val="20"/>
                <w:szCs w:val="20"/>
                <w:color w:val="auto"/>
              </w:rPr>
            </w:pPr>
            <w:r>
              <w:rPr>
                <w:rFonts w:ascii="Arial" w:cs="Arial" w:eastAsia="Arial" w:hAnsi="Arial"/>
                <w:sz w:val="13"/>
                <w:szCs w:val="13"/>
                <w:color w:val="auto"/>
              </w:rPr>
              <w:t>Small Cap Core Fund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518,017,564</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1,077,099,857</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Growth and Income Fund</w:t>
            </w:r>
          </w:p>
        </w:tc>
        <w:tc>
          <w:tcPr>
            <w:tcW w:w="174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35,465,594</w:t>
            </w:r>
          </w:p>
        </w:tc>
        <w:tc>
          <w:tcPr>
            <w:tcW w:w="19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42,474,174</w:t>
            </w: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7080" w:type="dxa"/>
            <w:vAlign w:val="bottom"/>
            <w:gridSpan w:val="3"/>
          </w:tcPr>
          <w:p>
            <w:pPr>
              <w:ind w:left="140"/>
              <w:spacing w:after="0"/>
              <w:rPr>
                <w:sz w:val="20"/>
                <w:szCs w:val="20"/>
                <w:color w:val="auto"/>
              </w:rPr>
            </w:pPr>
            <w:r>
              <w:rPr>
                <w:rFonts w:ascii="Arial" w:cs="Arial" w:eastAsia="Arial" w:hAnsi="Arial"/>
                <w:sz w:val="13"/>
                <w:szCs w:val="13"/>
                <w:color w:val="auto"/>
              </w:rPr>
              <w:t>International Large Cap Core Fund (managed by JPMorgan Asset Management (London) Limited)</w:t>
            </w:r>
          </w:p>
        </w:tc>
        <w:tc>
          <w:tcPr>
            <w:tcW w:w="1740" w:type="dxa"/>
            <w:vAlign w:val="bottom"/>
            <w:gridSpan w:val="2"/>
          </w:tcPr>
          <w:p>
            <w:pPr>
              <w:jc w:val="right"/>
              <w:ind w:right="193"/>
              <w:spacing w:after="0"/>
              <w:rPr>
                <w:sz w:val="20"/>
                <w:szCs w:val="20"/>
                <w:color w:val="auto"/>
              </w:rPr>
            </w:pPr>
            <w:r>
              <w:rPr>
                <w:rFonts w:ascii="Arial" w:cs="Arial" w:eastAsia="Arial" w:hAnsi="Arial"/>
                <w:sz w:val="13"/>
                <w:szCs w:val="13"/>
                <w:color w:val="auto"/>
              </w:rPr>
              <w:t>24,501,847</w:t>
            </w:r>
          </w:p>
        </w:tc>
        <w:tc>
          <w:tcPr>
            <w:tcW w:w="1980" w:type="dxa"/>
            <w:vAlign w:val="bottom"/>
            <w:gridSpan w:val="2"/>
          </w:tcPr>
          <w:p>
            <w:pPr>
              <w:jc w:val="right"/>
              <w:ind w:right="313"/>
              <w:spacing w:after="0"/>
              <w:rPr>
                <w:sz w:val="20"/>
                <w:szCs w:val="20"/>
                <w:color w:val="auto"/>
              </w:rPr>
            </w:pPr>
            <w:r>
              <w:rPr>
                <w:rFonts w:ascii="Arial" w:cs="Arial" w:eastAsia="Arial" w:hAnsi="Arial"/>
                <w:sz w:val="13"/>
                <w:szCs w:val="13"/>
                <w:color w:val="auto"/>
              </w:rPr>
              <w:t>11,378,890</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0"/>
                <w:szCs w:val="20"/>
                <w:color w:val="auto"/>
              </w:rPr>
            </w:pPr>
            <w:r>
              <w:rPr>
                <w:rFonts w:ascii="Arial" w:cs="Arial" w:eastAsia="Arial" w:hAnsi="Arial"/>
                <w:sz w:val="13"/>
                <w:szCs w:val="13"/>
                <w:b w:val="1"/>
                <w:bCs w:val="1"/>
                <w:color w:val="auto"/>
              </w:rPr>
              <w:t>9.</w:t>
            </w:r>
          </w:p>
        </w:tc>
        <w:tc>
          <w:tcPr>
            <w:tcW w:w="140" w:type="dxa"/>
            <w:vAlign w:val="bottom"/>
          </w:tcPr>
          <w:p>
            <w:pPr>
              <w:spacing w:after="0"/>
              <w:rPr>
                <w:sz w:val="21"/>
                <w:szCs w:val="21"/>
                <w:color w:val="auto"/>
              </w:rPr>
            </w:pPr>
          </w:p>
        </w:tc>
        <w:tc>
          <w:tcPr>
            <w:tcW w:w="6940" w:type="dxa"/>
            <w:vAlign w:val="bottom"/>
            <w:gridSpan w:val="2"/>
          </w:tcPr>
          <w:p>
            <w:pPr>
              <w:ind w:left="60"/>
              <w:spacing w:after="0"/>
              <w:rPr>
                <w:sz w:val="20"/>
                <w:szCs w:val="20"/>
                <w:color w:val="auto"/>
              </w:rPr>
            </w:pPr>
            <w:r>
              <w:rPr>
                <w:rFonts w:ascii="Arial" w:cs="Arial" w:eastAsia="Arial" w:hAnsi="Arial"/>
                <w:sz w:val="13"/>
                <w:szCs w:val="13"/>
                <w:b w:val="1"/>
                <w:bCs w:val="1"/>
                <w:color w:val="auto"/>
              </w:rPr>
              <w:t>Investments in Group Annuity Contracts Issued by Insurance Companies</w:t>
            </w: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firstLine="336"/>
        <w:spacing w:after="0" w:line="266" w:lineRule="auto"/>
        <w:rPr>
          <w:sz w:val="20"/>
          <w:szCs w:val="20"/>
          <w:color w:val="auto"/>
        </w:rPr>
      </w:pPr>
      <w:r>
        <w:rPr>
          <w:rFonts w:ascii="Arial" w:cs="Arial" w:eastAsia="Arial" w:hAnsi="Arial"/>
          <w:sz w:val="13"/>
          <w:szCs w:val="13"/>
          <w:color w:val="auto"/>
        </w:rPr>
        <w:t>On December 29, 2005, the FASB issued FASB Staff Position AAG INV-1 and SOP 94-4-1 (FSP), “Reporting of Fully Benefit-Responsive Investment Contracts Held by Certain Investment Companies Subject to the AICPA Investment Company Guide and Defined-Contribution Health and Welfare and Pension Plans.” This FSP amends the guidance in AICPA SOP 94-4, “Reporting of Investment Contracts Held by Health and Welfare Benefit Plans and Defined-Contribution Pension Plans,” and the presentation and disclosure of fully benefit-responsive investment contracts. The guidance in FSP is effective for financial statements for annual periods ending after December 15, 2006, and the Plan will adopt this guidance for the December 31, 2006 financial statements, with retroactive application to the 2005 financial statements. The Plan invests in fully-benefit responsive investment contracts, which are included in the financial statements at contract value as reported to the Plan by the issuers. Contract value represents contributions made under the contract, plus earnings, less withdrawals and administrative expenses.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Information with respect to group annuity contracts with insurance companies were as follows:</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jc w:val="right"/>
              <w:ind w:right="213"/>
              <w:spacing w:after="0"/>
              <w:rPr>
                <w:sz w:val="20"/>
                <w:szCs w:val="20"/>
                <w:color w:val="auto"/>
              </w:rPr>
            </w:pPr>
            <w:r>
              <w:rPr>
                <w:rFonts w:ascii="Arial" w:cs="Arial" w:eastAsia="Arial" w:hAnsi="Arial"/>
                <w:sz w:val="13"/>
                <w:szCs w:val="13"/>
                <w:b w:val="1"/>
                <w:bCs w:val="1"/>
                <w:color w:val="auto"/>
              </w:rPr>
              <w:t>JPMorgan Chase Plan</w:t>
            </w:r>
          </w:p>
        </w:tc>
        <w:tc>
          <w:tcPr>
            <w:tcW w:w="0" w:type="dxa"/>
            <w:vAlign w:val="bottom"/>
          </w:tcPr>
          <w:p>
            <w:pPr>
              <w:spacing w:after="0"/>
              <w:rPr>
                <w:sz w:val="1"/>
                <w:szCs w:val="1"/>
                <w:color w:val="auto"/>
              </w:rPr>
            </w:pPr>
          </w:p>
        </w:tc>
      </w:tr>
      <w:tr>
        <w:trPr>
          <w:trHeight w:val="174"/>
        </w:trPr>
        <w:tc>
          <w:tcPr>
            <w:tcW w:w="8360" w:type="dxa"/>
            <w:vAlign w:val="bottom"/>
            <w:gridSpan w:val="3"/>
          </w:tcPr>
          <w:p>
            <w:pPr>
              <w:spacing w:after="0"/>
              <w:rPr>
                <w:sz w:val="20"/>
                <w:szCs w:val="20"/>
                <w:color w:val="auto"/>
              </w:rPr>
            </w:pPr>
            <w:r>
              <w:rPr>
                <w:rFonts w:ascii="Arial" w:cs="Arial" w:eastAsia="Arial" w:hAnsi="Arial"/>
                <w:sz w:val="13"/>
                <w:szCs w:val="13"/>
                <w:b w:val="1"/>
                <w:bCs w:val="1"/>
                <w:color w:val="auto"/>
              </w:rPr>
              <w:t>At December 31, 2005</w:t>
            </w:r>
          </w:p>
        </w:tc>
        <w:tc>
          <w:tcPr>
            <w:tcW w:w="460" w:type="dxa"/>
            <w:vAlign w:val="bottom"/>
          </w:tcPr>
          <w:p>
            <w:pPr>
              <w:spacing w:after="0"/>
              <w:rPr>
                <w:sz w:val="15"/>
                <w:szCs w:val="15"/>
                <w:color w:val="auto"/>
              </w:rPr>
            </w:pPr>
          </w:p>
        </w:tc>
        <w:tc>
          <w:tcPr>
            <w:tcW w:w="1840" w:type="dxa"/>
            <w:vAlign w:val="bottom"/>
          </w:tcPr>
          <w:p>
            <w:pPr>
              <w:jc w:val="right"/>
              <w:ind w:right="233"/>
              <w:spacing w:after="0"/>
              <w:rPr>
                <w:sz w:val="20"/>
                <w:szCs w:val="20"/>
                <w:color w:val="auto"/>
              </w:rPr>
            </w:pPr>
            <w:r>
              <w:rPr>
                <w:rFonts w:ascii="Arial" w:cs="Arial" w:eastAsia="Arial" w:hAnsi="Arial"/>
                <w:sz w:val="13"/>
                <w:szCs w:val="13"/>
                <w:b w:val="1"/>
                <w:bCs w:val="1"/>
                <w:color w:val="auto"/>
              </w:rPr>
              <w:t>Investment Contracts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7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Contract Value</w:t>
            </w:r>
          </w:p>
        </w:tc>
        <w:tc>
          <w:tcPr>
            <w:tcW w:w="2300" w:type="dxa"/>
            <w:vAlign w:val="bottom"/>
            <w:gridSpan w:val="2"/>
            <w:shd w:val="clear" w:color="auto" w:fill="CCEEFF"/>
          </w:tcPr>
          <w:p>
            <w:pPr>
              <w:jc w:val="right"/>
              <w:ind w:right="473"/>
              <w:spacing w:after="0"/>
              <w:rPr>
                <w:sz w:val="20"/>
                <w:szCs w:val="20"/>
                <w:color w:val="auto"/>
              </w:rPr>
            </w:pPr>
            <w:r>
              <w:rPr>
                <w:rFonts w:ascii="Arial" w:cs="Arial" w:eastAsia="Arial" w:hAnsi="Arial"/>
                <w:sz w:val="13"/>
                <w:szCs w:val="13"/>
                <w:color w:val="auto"/>
              </w:rPr>
              <w:t>$1,677,691,605</w:t>
            </w:r>
          </w:p>
        </w:tc>
        <w:tc>
          <w:tcPr>
            <w:tcW w:w="0" w:type="dxa"/>
            <w:vAlign w:val="bottom"/>
          </w:tcPr>
          <w:p>
            <w:pPr>
              <w:spacing w:after="0"/>
              <w:rPr>
                <w:sz w:val="1"/>
                <w:szCs w:val="1"/>
                <w:color w:val="auto"/>
              </w:rPr>
            </w:pPr>
          </w:p>
        </w:tc>
      </w:tr>
      <w:tr>
        <w:trPr>
          <w:trHeight w:val="322"/>
        </w:trPr>
        <w:tc>
          <w:tcPr>
            <w:tcW w:w="8360" w:type="dxa"/>
            <w:vAlign w:val="bottom"/>
            <w:gridSpan w:val="3"/>
          </w:tcPr>
          <w:p>
            <w:pPr>
              <w:spacing w:after="0"/>
              <w:rPr>
                <w:sz w:val="20"/>
                <w:szCs w:val="20"/>
                <w:color w:val="auto"/>
              </w:rPr>
            </w:pPr>
            <w:r>
              <w:rPr>
                <w:rFonts w:ascii="Arial" w:cs="Arial" w:eastAsia="Arial" w:hAnsi="Arial"/>
                <w:sz w:val="13"/>
                <w:szCs w:val="13"/>
                <w:color w:val="auto"/>
              </w:rPr>
              <w:t>Fair Value</w:t>
            </w:r>
          </w:p>
        </w:tc>
        <w:tc>
          <w:tcPr>
            <w:tcW w:w="2300" w:type="dxa"/>
            <w:vAlign w:val="bottom"/>
            <w:gridSpan w:val="2"/>
          </w:tcPr>
          <w:p>
            <w:pPr>
              <w:jc w:val="right"/>
              <w:ind w:right="473"/>
              <w:spacing w:after="0"/>
              <w:rPr>
                <w:sz w:val="20"/>
                <w:szCs w:val="20"/>
                <w:color w:val="auto"/>
              </w:rPr>
            </w:pPr>
            <w:r>
              <w:rPr>
                <w:rFonts w:ascii="Arial" w:cs="Arial" w:eastAsia="Arial" w:hAnsi="Arial"/>
                <w:sz w:val="13"/>
                <w:szCs w:val="13"/>
                <w:color w:val="auto"/>
              </w:rPr>
              <w:t>$1,656,336,250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Crediting interest rate</w:t>
            </w:r>
          </w:p>
        </w:tc>
        <w:tc>
          <w:tcPr>
            <w:tcW w:w="23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322"/>
        </w:trPr>
        <w:tc>
          <w:tcPr>
            <w:tcW w:w="8360" w:type="dxa"/>
            <w:vAlign w:val="bottom"/>
            <w:gridSpan w:val="3"/>
          </w:tcPr>
          <w:p>
            <w:pPr>
              <w:spacing w:after="0"/>
              <w:rPr>
                <w:sz w:val="20"/>
                <w:szCs w:val="20"/>
                <w:color w:val="auto"/>
              </w:rPr>
            </w:pPr>
            <w:r>
              <w:rPr>
                <w:rFonts w:ascii="Arial" w:cs="Arial" w:eastAsia="Arial" w:hAnsi="Arial"/>
                <w:sz w:val="13"/>
                <w:szCs w:val="13"/>
                <w:color w:val="auto"/>
              </w:rPr>
              <w:t>Average yield for the year ended December 31, 2005</w:t>
            </w:r>
          </w:p>
        </w:tc>
        <w:tc>
          <w:tcPr>
            <w:tcW w:w="2300" w:type="dxa"/>
            <w:vAlign w:val="bottom"/>
            <w:gridSpan w:val="2"/>
          </w:tcPr>
          <w:p>
            <w:pPr>
              <w:jc w:val="right"/>
              <w:ind w:right="353"/>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83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At December 31, 2004</w:t>
            </w:r>
          </w:p>
        </w:tc>
        <w:tc>
          <w:tcPr>
            <w:tcW w:w="4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2"/>
        </w:trPr>
        <w:tc>
          <w:tcPr>
            <w:tcW w:w="8360" w:type="dxa"/>
            <w:vAlign w:val="bottom"/>
            <w:gridSpan w:val="3"/>
          </w:tcPr>
          <w:p>
            <w:pPr>
              <w:spacing w:after="0"/>
              <w:rPr>
                <w:sz w:val="20"/>
                <w:szCs w:val="20"/>
                <w:color w:val="auto"/>
              </w:rPr>
            </w:pPr>
            <w:r>
              <w:rPr>
                <w:rFonts w:ascii="Arial" w:cs="Arial" w:eastAsia="Arial" w:hAnsi="Arial"/>
                <w:sz w:val="13"/>
                <w:szCs w:val="13"/>
                <w:color w:val="auto"/>
              </w:rPr>
              <w:t>Contract Value</w:t>
            </w:r>
          </w:p>
        </w:tc>
        <w:tc>
          <w:tcPr>
            <w:tcW w:w="2300" w:type="dxa"/>
            <w:vAlign w:val="bottom"/>
            <w:gridSpan w:val="2"/>
          </w:tcPr>
          <w:p>
            <w:pPr>
              <w:jc w:val="right"/>
              <w:ind w:right="473"/>
              <w:spacing w:after="0"/>
              <w:rPr>
                <w:sz w:val="20"/>
                <w:szCs w:val="20"/>
                <w:color w:val="auto"/>
              </w:rPr>
            </w:pPr>
            <w:r>
              <w:rPr>
                <w:rFonts w:ascii="Arial" w:cs="Arial" w:eastAsia="Arial" w:hAnsi="Arial"/>
                <w:sz w:val="13"/>
                <w:szCs w:val="13"/>
                <w:color w:val="auto"/>
              </w:rPr>
              <w:t>$1,582,230,490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 Value</w:t>
            </w:r>
          </w:p>
        </w:tc>
        <w:tc>
          <w:tcPr>
            <w:tcW w:w="2300" w:type="dxa"/>
            <w:vAlign w:val="bottom"/>
            <w:gridSpan w:val="2"/>
            <w:shd w:val="clear" w:color="auto" w:fill="CCEEFF"/>
          </w:tcPr>
          <w:p>
            <w:pPr>
              <w:jc w:val="right"/>
              <w:ind w:right="473"/>
              <w:spacing w:after="0"/>
              <w:rPr>
                <w:sz w:val="20"/>
                <w:szCs w:val="20"/>
                <w:color w:val="auto"/>
              </w:rPr>
            </w:pPr>
            <w:r>
              <w:rPr>
                <w:rFonts w:ascii="Arial" w:cs="Arial" w:eastAsia="Arial" w:hAnsi="Arial"/>
                <w:sz w:val="13"/>
                <w:szCs w:val="13"/>
                <w:color w:val="auto"/>
              </w:rPr>
              <w:t>$1,604,411,778</w:t>
            </w:r>
          </w:p>
        </w:tc>
        <w:tc>
          <w:tcPr>
            <w:tcW w:w="0" w:type="dxa"/>
            <w:vAlign w:val="bottom"/>
          </w:tcPr>
          <w:p>
            <w:pPr>
              <w:spacing w:after="0"/>
              <w:rPr>
                <w:sz w:val="1"/>
                <w:szCs w:val="1"/>
                <w:color w:val="auto"/>
              </w:rPr>
            </w:pPr>
          </w:p>
        </w:tc>
      </w:tr>
      <w:tr>
        <w:trPr>
          <w:trHeight w:val="322"/>
        </w:trPr>
        <w:tc>
          <w:tcPr>
            <w:tcW w:w="8360" w:type="dxa"/>
            <w:vAlign w:val="bottom"/>
            <w:gridSpan w:val="3"/>
          </w:tcPr>
          <w:p>
            <w:pPr>
              <w:spacing w:after="0"/>
              <w:rPr>
                <w:sz w:val="20"/>
                <w:szCs w:val="20"/>
                <w:color w:val="auto"/>
              </w:rPr>
            </w:pPr>
            <w:r>
              <w:rPr>
                <w:rFonts w:ascii="Arial" w:cs="Arial" w:eastAsia="Arial" w:hAnsi="Arial"/>
                <w:sz w:val="13"/>
                <w:szCs w:val="13"/>
                <w:color w:val="auto"/>
              </w:rPr>
              <w:t>Crediting interest rate</w:t>
            </w:r>
          </w:p>
        </w:tc>
        <w:tc>
          <w:tcPr>
            <w:tcW w:w="2300" w:type="dxa"/>
            <w:vAlign w:val="bottom"/>
            <w:gridSpan w:val="2"/>
          </w:tcPr>
          <w:p>
            <w:pPr>
              <w:jc w:val="right"/>
              <w:ind w:right="353"/>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 for the year ended December 31, 2004</w:t>
            </w:r>
          </w:p>
        </w:tc>
        <w:tc>
          <w:tcPr>
            <w:tcW w:w="23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FINANCIAL STATEMENTS</w:t>
      </w:r>
    </w:p>
    <w:p>
      <w:pPr>
        <w:spacing w:after="0" w:line="93"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Tax Status and Federal Income Taxes</w:t>
      </w:r>
    </w:p>
    <w:p>
      <w:pPr>
        <w:spacing w:after="0" w:line="95" w:lineRule="exact"/>
        <w:rPr>
          <w:sz w:val="20"/>
          <w:szCs w:val="20"/>
          <w:color w:val="auto"/>
        </w:rPr>
      </w:pPr>
    </w:p>
    <w:p>
      <w:pPr>
        <w:ind w:right="20" w:firstLine="336"/>
        <w:spacing w:after="0" w:line="339" w:lineRule="auto"/>
        <w:rPr>
          <w:sz w:val="20"/>
          <w:szCs w:val="20"/>
          <w:color w:val="auto"/>
        </w:rPr>
      </w:pPr>
      <w:r>
        <w:rPr>
          <w:rFonts w:ascii="Arial" w:cs="Arial" w:eastAsia="Arial" w:hAnsi="Arial"/>
          <w:sz w:val="12"/>
          <w:szCs w:val="12"/>
          <w:color w:val="auto"/>
        </w:rPr>
        <w:t>On July 1, 2004, the Plan received a favorable letter of determination from the IRS stating that it qualified under Section 401(a) of the Code, and therefore, the related trust is exempt from taxation. The Plan is required to operate in accordance with the Code to maintain its qualified status. The Plan administrator believes the Plan has been operating in compliance with applicable requirements of the Code.</w:t>
      </w:r>
    </w:p>
    <w:p>
      <w:pPr>
        <w:spacing w:after="0" w:line="14" w:lineRule="exact"/>
        <w:rPr>
          <w:sz w:val="20"/>
          <w:szCs w:val="20"/>
          <w:color w:val="auto"/>
        </w:rPr>
      </w:pPr>
    </w:p>
    <w:p>
      <w:pPr>
        <w:ind w:right="240" w:firstLine="336"/>
        <w:spacing w:after="0" w:line="294" w:lineRule="auto"/>
        <w:rPr>
          <w:sz w:val="20"/>
          <w:szCs w:val="20"/>
          <w:color w:val="auto"/>
        </w:rPr>
      </w:pPr>
      <w:r>
        <w:rPr>
          <w:rFonts w:ascii="Arial" w:cs="Arial" w:eastAsia="Arial" w:hAnsi="Arial"/>
          <w:sz w:val="13"/>
          <w:szCs w:val="13"/>
          <w:color w:val="auto"/>
        </w:rPr>
        <w:t>Participants currently pay no U.S. federal income tax on contributing employer contributions or income earned by the Trust. When a Participant, or his or her beneficiary or estate, receives a distribution under the Plan, the distribution is generally taxable. The tax treatment of any distribution from the Trust depends on individual circumstances.</w:t>
      </w:r>
    </w:p>
    <w:p>
      <w:pPr>
        <w:spacing w:after="0" w:line="35"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Net Assets Transferred From Other Plans</w:t>
      </w:r>
    </w:p>
    <w:p>
      <w:pPr>
        <w:spacing w:after="0" w:line="95" w:lineRule="exact"/>
        <w:rPr>
          <w:sz w:val="20"/>
          <w:szCs w:val="20"/>
          <w:color w:val="auto"/>
        </w:rPr>
      </w:pPr>
    </w:p>
    <w:p>
      <w:pPr>
        <w:ind w:right="380" w:firstLine="336"/>
        <w:spacing w:after="0" w:line="294" w:lineRule="auto"/>
        <w:rPr>
          <w:sz w:val="20"/>
          <w:szCs w:val="20"/>
          <w:color w:val="auto"/>
        </w:rPr>
      </w:pPr>
      <w:r>
        <w:rPr>
          <w:rFonts w:ascii="Arial" w:cs="Arial" w:eastAsia="Arial" w:hAnsi="Arial"/>
          <w:sz w:val="13"/>
          <w:szCs w:val="13"/>
          <w:color w:val="auto"/>
        </w:rPr>
        <w:t>During 2005, JPMorgan Chase acquired all or some of the operations of certain entities and, accordingly, received a transfer of net assets with a total fair value of $16,339,344. The details of the 2005 transfers are as follows:</w:t>
      </w:r>
    </w:p>
    <w:p>
      <w:pPr>
        <w:spacing w:after="0" w:line="112" w:lineRule="exact"/>
        <w:rPr>
          <w:sz w:val="20"/>
          <w:szCs w:val="20"/>
          <w:color w:val="auto"/>
        </w:rPr>
      </w:pPr>
    </w:p>
    <w:tbl>
      <w:tblPr>
        <w:tblLayout w:type="fixed"/>
        <w:tblInd w:w="400" w:type="dxa"/>
        <w:tblCellMar>
          <w:top w:w="0" w:type="dxa"/>
          <w:left w:w="0" w:type="dxa"/>
          <w:bottom w:w="0" w:type="dxa"/>
          <w:right w:w="0" w:type="dxa"/>
        </w:tblCellMar>
      </w:tblPr>
      <w:tr>
        <w:trPr>
          <w:trHeight w:val="128"/>
        </w:trPr>
        <w:tc>
          <w:tcPr>
            <w:tcW w:w="9860" w:type="dxa"/>
            <w:vAlign w:val="bottom"/>
          </w:tcPr>
          <w:p>
            <w:pPr>
              <w:spacing w:after="0"/>
              <w:rPr>
                <w:sz w:val="11"/>
                <w:szCs w:val="11"/>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r>
      <w:tr>
        <w:trPr>
          <w:trHeight w:val="151"/>
        </w:trPr>
        <w:tc>
          <w:tcPr>
            <w:tcW w:w="9860" w:type="dxa"/>
            <w:vAlign w:val="bottom"/>
            <w:shd w:val="clear" w:color="auto" w:fill="CCEEFF"/>
          </w:tcPr>
          <w:p>
            <w:pPr>
              <w:spacing w:after="0"/>
              <w:rPr>
                <w:sz w:val="20"/>
                <w:szCs w:val="20"/>
                <w:color w:val="auto"/>
              </w:rPr>
            </w:pPr>
            <w:r>
              <w:rPr>
                <w:rFonts w:ascii="Arial" w:cs="Arial" w:eastAsia="Arial" w:hAnsi="Arial"/>
                <w:sz w:val="13"/>
                <w:szCs w:val="13"/>
                <w:color w:val="auto"/>
              </w:rPr>
              <w:t>Vastera, Inc.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$ 14,875,327</w:t>
            </w:r>
          </w:p>
        </w:tc>
      </w:tr>
      <w:tr>
        <w:trPr>
          <w:trHeight w:val="162"/>
        </w:trPr>
        <w:tc>
          <w:tcPr>
            <w:tcW w:w="9860" w:type="dxa"/>
            <w:vAlign w:val="bottom"/>
          </w:tcPr>
          <w:p>
            <w:pPr>
              <w:spacing w:after="0"/>
              <w:rPr>
                <w:sz w:val="20"/>
                <w:szCs w:val="20"/>
                <w:color w:val="auto"/>
              </w:rPr>
            </w:pPr>
            <w:r>
              <w:rPr>
                <w:rFonts w:ascii="Arial" w:cs="Arial" w:eastAsia="Arial" w:hAnsi="Arial"/>
                <w:sz w:val="13"/>
                <w:szCs w:val="13"/>
                <w:color w:val="auto"/>
              </w:rPr>
              <w:t>Neovest Holdings, Inc.</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1,464,017</w:t>
            </w:r>
          </w:p>
        </w:tc>
        <w:tc>
          <w:tcPr>
            <w:tcW w:w="100" w:type="dxa"/>
            <w:vAlign w:val="bottom"/>
          </w:tcPr>
          <w:p>
            <w:pPr>
              <w:spacing w:after="0"/>
              <w:rPr>
                <w:sz w:val="14"/>
                <w:szCs w:val="14"/>
                <w:color w:val="auto"/>
              </w:rPr>
            </w:pPr>
          </w:p>
        </w:tc>
      </w:tr>
      <w:tr>
        <w:trPr>
          <w:trHeight w:val="161"/>
        </w:trPr>
        <w:tc>
          <w:tcPr>
            <w:tcW w:w="9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$ 16,339,344</w:t>
            </w:r>
          </w:p>
        </w:tc>
      </w:tr>
      <w:tr>
        <w:trPr>
          <w:trHeight w:val="20"/>
        </w:trPr>
        <w:tc>
          <w:tcPr>
            <w:tcW w:w="9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firstLine="336"/>
        <w:spacing w:after="0" w:line="270" w:lineRule="auto"/>
        <w:rPr>
          <w:sz w:val="20"/>
          <w:szCs w:val="20"/>
          <w:color w:val="auto"/>
        </w:rPr>
      </w:pPr>
      <w:r>
        <w:rPr>
          <w:rFonts w:ascii="Arial" w:cs="Arial" w:eastAsia="Arial" w:hAnsi="Arial"/>
          <w:sz w:val="13"/>
          <w:szCs w:val="13"/>
          <w:color w:val="auto"/>
        </w:rPr>
        <w:t>Effective July 1, 2004, JPMorgan Chase &amp; Co. and Bank One Corporation merged their holding companies. The combined company is known as JPMorgan Chase &amp; Co. As a result of the merger, effective December 31, 2004, The Bank One Corporation Savings and Investment Plan (“Bank One Plan”) merged with and into the Plan, and all assets and liabilities of the Bank One Plan were transferred to the Plan. The transfer of net assets of $3,532,561,777 is shown on the accompanying statements of changes in net assets available for benefits as “Transfers from other plans, net.” The Plan had no other transfers of net assets during 2004.</w:t>
      </w:r>
    </w:p>
    <w:p>
      <w:pPr>
        <w:spacing w:after="0" w:line="51"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Risks and Uncertainties</w:t>
      </w:r>
    </w:p>
    <w:p>
      <w:pPr>
        <w:spacing w:after="0" w:line="95" w:lineRule="exact"/>
        <w:rPr>
          <w:sz w:val="20"/>
          <w:szCs w:val="20"/>
          <w:color w:val="auto"/>
        </w:rPr>
      </w:pPr>
    </w:p>
    <w:p>
      <w:pPr>
        <w:ind w:right="60" w:firstLine="334"/>
        <w:spacing w:after="0" w:line="276" w:lineRule="auto"/>
        <w:rPr>
          <w:sz w:val="20"/>
          <w:szCs w:val="20"/>
          <w:color w:val="auto"/>
        </w:rPr>
      </w:pPr>
      <w:r>
        <w:rPr>
          <w:rFonts w:ascii="Arial" w:cs="Arial" w:eastAsia="Arial" w:hAnsi="Arial"/>
          <w:sz w:val="13"/>
          <w:szCs w:val="13"/>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statements of net assets available for benefits</w:t>
      </w:r>
      <w:r>
        <w:rPr>
          <w:rFonts w:ascii="Arial" w:cs="Arial" w:eastAsia="Arial" w:hAnsi="Arial"/>
          <w:sz w:val="13"/>
          <w:szCs w:val="13"/>
          <w:b w:val="1"/>
          <w:bCs w:val="1"/>
          <w:color w:val="auto"/>
        </w:rPr>
        <w:t>.</w:t>
      </w:r>
    </w:p>
    <w:p>
      <w:pPr>
        <w:spacing w:after="0" w:line="49" w:lineRule="exact"/>
        <w:rPr>
          <w:sz w:val="20"/>
          <w:szCs w:val="20"/>
          <w:color w:val="auto"/>
        </w:rPr>
      </w:pPr>
    </w:p>
    <w:p>
      <w:pPr>
        <w:ind w:firstLine="334"/>
        <w:spacing w:after="0" w:line="276" w:lineRule="auto"/>
        <w:rPr>
          <w:sz w:val="20"/>
          <w:szCs w:val="20"/>
          <w:color w:val="auto"/>
        </w:rPr>
      </w:pPr>
      <w:r>
        <w:rPr>
          <w:rFonts w:ascii="Arial" w:cs="Arial" w:eastAsia="Arial" w:hAnsi="Arial"/>
          <w:sz w:val="13"/>
          <w:szCs w:val="13"/>
          <w:color w:val="auto"/>
        </w:rPr>
        <w:t>The Plan’s exposure to a concentration of credit risk is limited by the diversification of investments across 26 investment fund elections. Additionally, the investments within each fund election are further diversified into various financial instruments, with the exception of the JPMorgan Chase Common Stock Fund, which invests primarily in JPMorgan Chase &amp; Co. common stock. The Plan’s exposure to credit risk on guaranteed investment contracts is limited to the fair value of the contracts with each counterparty.</w:t>
      </w:r>
    </w:p>
    <w:p>
      <w:pPr>
        <w:spacing w:after="0" w:line="47"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Plan Termination</w:t>
      </w:r>
    </w:p>
    <w:p>
      <w:pPr>
        <w:spacing w:after="0" w:line="95" w:lineRule="exact"/>
        <w:rPr>
          <w:sz w:val="20"/>
          <w:szCs w:val="20"/>
          <w:color w:val="auto"/>
        </w:rPr>
      </w:pPr>
    </w:p>
    <w:p>
      <w:pPr>
        <w:ind w:right="160" w:firstLine="336"/>
        <w:spacing w:after="0" w:line="294" w:lineRule="auto"/>
        <w:rPr>
          <w:sz w:val="20"/>
          <w:szCs w:val="20"/>
          <w:color w:val="auto"/>
        </w:rPr>
      </w:pPr>
      <w:r>
        <w:rPr>
          <w:rFonts w:ascii="Arial" w:cs="Arial" w:eastAsia="Arial" w:hAnsi="Arial"/>
          <w:sz w:val="13"/>
          <w:szCs w:val="13"/>
          <w:color w:val="auto"/>
        </w:rPr>
        <w:t>JPMorgan Chase reserves the right to amend, modify or terminate the Plan at any time. In the event of termination, the value of Participants’ accounts will be paid in accordance with the provisions of the Plan and the provisions of ERISA.</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349" w:right="2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Plan number: 002 — EIN: 13/4994650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4"/>
              </w:rPr>
              <w:t>(c) Description of Investment including Maturity Date,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 Cost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(e) Current Value</w:t>
            </w:r>
          </w:p>
        </w:tc>
      </w:tr>
      <w:tr>
        <w:trPr>
          <w:trHeight w:val="152"/>
        </w:trPr>
        <w:tc>
          <w:tcPr>
            <w:tcW w:w="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COMMON STOCK:</w:t>
            </w:r>
          </w:p>
        </w:tc>
        <w:tc>
          <w:tcPr>
            <w:tcW w:w="24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ACTUANT CORP CLS`A`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20,300 shares</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913,915</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1,132,740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ADTRAN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34,400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733,523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1,023,056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ADVANCE AUTO PARTS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20,750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643,453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901,795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AGL RESOURCES</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31,000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1,066,571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1,079,110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AIRGAS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24,700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643,185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812,630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ALAMOSA HLDGS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71,700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919,852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1,334,337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ALLIANCE DATA SYSTEM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43,800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1,874,974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1,559,280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AMERICAN COMMERCIAL LINES</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15,500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328,144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469,495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AMERICAN STATES WATER CO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17,600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473,290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542,080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ANSWERTHINK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146,100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638,293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620,925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ASPEN INSURANCE HLDGS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54,200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1,332,492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1,282,914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ATHEROS COMMUNICATIONS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73,100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715,170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950,300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AVID TECHNOLOGIES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20,600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941,652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1,128,056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AVOCENT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30,100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857,350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818,419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BANK OF THE OZARKS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27,600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929,638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1,018,440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BENCHMARK ELECTRONICS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25,100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751,146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844,113</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BLACKBAUD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25,000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360,276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427,000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BOSTON PRIVATE FINNCL HLDGS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31,800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886,915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967,356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BRIGHT HORIZONS FAMILY SOLUTIONS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24,100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846,222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892,905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BROADWING CORPORATION</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156,200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959,510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945,010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BROOKS AUTOMATION INC</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51,200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661,154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641,536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CABOT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30,300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1,106,444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1,084,740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CALIFORNIA WATER SERVICE GROUP</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25,900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943,849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990,157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CARMIKE CINEMAS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37,800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1,276,872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958,608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CASUAL MALE RETAIL GROUP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102,600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716,084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628,938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CB RICHARD ELLIS GROUP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8,800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291,506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517,880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CENTURY ALUMINIUM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39,800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1,007,871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1,043,158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CERNER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10,100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626,354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918,191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COEUR D`ALENE MINECOM</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172,100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651,147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688,400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COMMONWEALTH TELEPHONE ENTERPRISES COM</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15,600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708,455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526,812</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CONSOLIDATED COMMU COM NPV</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44,800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588,535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581,952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COST PLUS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22,200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646,163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380,730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COVANCE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24,100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1,014,210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1,170,055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CV THERAPEUTICS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37,200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957,197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919,956</w:t>
            </w: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DENBURY RESOURCES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72,100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1,098,292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1,642,438</w:t>
            </w:r>
          </w:p>
        </w:tc>
      </w:tr>
      <w:tr>
        <w:trPr>
          <w:trHeight w:val="29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gridSpan w:val="2"/>
          </w:tcPr>
          <w:p>
            <w:pPr>
              <w:ind w:left="1340"/>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4"/>
              </w:rPr>
              <w:t>(c) Description of Investment including Maturity Date,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6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 Cost</w:t>
            </w: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rPr>
              <w:t>(e) Current Value</w:t>
            </w:r>
          </w:p>
        </w:tc>
      </w:tr>
      <w:tr>
        <w:trPr>
          <w:trHeight w:val="152"/>
        </w:trPr>
        <w:tc>
          <w:tcPr>
            <w:tcW w:w="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COMMON STOCK — (continued):</w:t>
            </w:r>
          </w:p>
        </w:tc>
        <w:tc>
          <w:tcPr>
            <w:tcW w:w="24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DEVRY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33,300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640,423</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666,000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DIGITAL RIVER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24,100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654,734</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716,734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DIGITAS INC COM STK NPV</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103,800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1,018,051</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1,299,576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DOBSON COMMNCTNS CORP CLASS`A`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94,300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636,686</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707,250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EATON VANCE CORP COM NON VTG</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93,700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2,380,666</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2,563,632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EDUCATION MANAGEMENT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81,100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2,608,834</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2,717,661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ENCORE ACQUISITION CO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39,950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968,804</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1,279,998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ENDEAVOR INTL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150,700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611,995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497,310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ENTERCOM COMMUNICATIONS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21,400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741,713</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634,938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ENTRAVISION CMMNCTNS CRP CLASS A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88,400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736,272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629,408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EPICOR SOFTWARE CORP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32,100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426,533</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453,573</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EQUINIX INC COM STK NPV</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48,800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1,950,747</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1,989,088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FAIRPOINT COMMUNICATIONS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59,300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1,023,926</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614,348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FIRST NIAGARA FINANCIAL GROUP INC COM</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34,200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460,236</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494,874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FTI CONSULTING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48,200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1,056,373</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1,322,608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GEVITY HR INC COM</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28,500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578,277</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733,020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GLADSTONE CAP CORP COM</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25,100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601,075</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536,638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GLADSTONE COMMERICAL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43,500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735,911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717,315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GLOBAL PAYMENTS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13,900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423,600</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647,879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GRACO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37,900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1,307,970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1,382,592</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GRAFTECH INTL LTD COM</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115,100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892,905</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715,922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GREY WOLF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81,300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452,988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628,449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GSI COMMERCE</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102,500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1,549,289</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1,546,725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HARRIS INTERACTIVE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85,700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623,021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369,367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HEARTLAND EXPRESS INC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123,900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2,598,616</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2,513,931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HEWITT ASSOCIATES COM CLASS A</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23,900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719,088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669,439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HOLLY CORP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13,100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783,029</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771,197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HORIZON HEALTH CORP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36,000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752,781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814,680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IDEX CORP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37,000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1,576,533</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1,521,070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I-FLOW CORP COM STK NPV</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46,800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650,771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684,216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IMAX CORP COM STK NPV</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92,300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788,357</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651,638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IMPAX LABORATORIES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75,400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1,095,904</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806,780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INFORMATICA CORP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62,400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599,261</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748,800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INSIGHT ENTERPRISE INC COM STK</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134,800 shares</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2,696,185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2,643,428</w:t>
            </w: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INTEGRA LIFESCIENCES HLDGS CORP COM STK</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28,000 shares</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988,439</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992,880</w:t>
            </w:r>
          </w:p>
        </w:tc>
      </w:tr>
      <w:tr>
        <w:trPr>
          <w:trHeight w:val="29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gridSpan w:val="2"/>
          </w:tcPr>
          <w:p>
            <w:pPr>
              <w:ind w:left="1340"/>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ind w:left="28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4"/>
        </w:trPr>
        <w:tc>
          <w:tcPr>
            <w:tcW w:w="3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(a)</w:t>
            </w:r>
          </w:p>
        </w:tc>
        <w:tc>
          <w:tcPr>
            <w:tcW w:w="140" w:type="dxa"/>
            <w:vAlign w:val="bottom"/>
          </w:tcPr>
          <w:p>
            <w:pPr>
              <w:spacing w:after="0"/>
              <w:rPr>
                <w:sz w:val="15"/>
                <w:szCs w:val="15"/>
                <w:color w:val="auto"/>
              </w:rPr>
            </w:pPr>
          </w:p>
        </w:tc>
        <w:tc>
          <w:tcPr>
            <w:tcW w:w="3720" w:type="dxa"/>
            <w:vAlign w:val="bottom"/>
          </w:tcPr>
          <w:p>
            <w:pPr>
              <w:ind w:left="28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20" w:type="dxa"/>
            <w:vAlign w:val="bottom"/>
          </w:tcPr>
          <w:p>
            <w:pPr>
              <w:spacing w:after="0"/>
              <w:rPr>
                <w:sz w:val="15"/>
                <w:szCs w:val="15"/>
                <w:color w:val="auto"/>
              </w:rPr>
            </w:pPr>
          </w:p>
        </w:tc>
        <w:tc>
          <w:tcPr>
            <w:tcW w:w="3700" w:type="dxa"/>
            <w:vAlign w:val="bottom"/>
          </w:tcPr>
          <w:p>
            <w:pPr>
              <w:ind w:left="40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20" w:type="dxa"/>
            <w:vAlign w:val="bottom"/>
          </w:tcPr>
          <w:p>
            <w:pPr>
              <w:spacing w:after="0"/>
              <w:rPr>
                <w:sz w:val="15"/>
                <w:szCs w:val="15"/>
                <w:color w:val="auto"/>
              </w:rPr>
            </w:pPr>
          </w:p>
        </w:tc>
        <w:tc>
          <w:tcPr>
            <w:tcW w:w="1420" w:type="dxa"/>
            <w:vAlign w:val="bottom"/>
            <w:gridSpan w:val="2"/>
          </w:tcPr>
          <w:p>
            <w:pPr>
              <w:ind w:left="260"/>
              <w:spacing w:after="0"/>
              <w:rPr>
                <w:sz w:val="20"/>
                <w:szCs w:val="20"/>
                <w:color w:val="auto"/>
              </w:rPr>
            </w:pPr>
            <w:r>
              <w:rPr>
                <w:rFonts w:ascii="Arial" w:cs="Arial" w:eastAsia="Arial" w:hAnsi="Arial"/>
                <w:sz w:val="13"/>
                <w:szCs w:val="13"/>
                <w:b w:val="1"/>
                <w:bCs w:val="1"/>
                <w:color w:val="auto"/>
              </w:rPr>
              <w:t>(d) Cost</w:t>
            </w:r>
          </w:p>
        </w:tc>
        <w:tc>
          <w:tcPr>
            <w:tcW w:w="17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 Current Value</w:t>
            </w:r>
          </w:p>
        </w:tc>
      </w:tr>
      <w:tr>
        <w:trPr>
          <w:trHeight w:val="152"/>
        </w:trPr>
        <w:tc>
          <w:tcPr>
            <w:tcW w:w="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COMMON STOCK — (continued):</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INTEGRATED DEVICE TECHNOLOGY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86,100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939,992</w:t>
            </w:r>
          </w:p>
        </w:tc>
        <w:tc>
          <w:tcPr>
            <w:tcW w:w="1520" w:type="dxa"/>
            <w:vAlign w:val="bottom"/>
          </w:tcPr>
          <w:p>
            <w:pPr>
              <w:jc w:val="right"/>
              <w:spacing w:after="0"/>
              <w:rPr>
                <w:sz w:val="20"/>
                <w:szCs w:val="20"/>
                <w:color w:val="auto"/>
              </w:rPr>
            </w:pPr>
            <w:r>
              <w:rPr>
                <w:rFonts w:ascii="Arial" w:cs="Arial" w:eastAsia="Arial" w:hAnsi="Arial"/>
                <w:sz w:val="13"/>
                <w:szCs w:val="13"/>
                <w:color w:val="auto"/>
              </w:rPr>
              <w:t>1,134,798</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INTEGRATED SILICON SOLUTIONS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120,100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934,842</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773,444</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INTERLINE BRANDS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68,700 shares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1,262,925</w:t>
            </w:r>
          </w:p>
        </w:tc>
        <w:tc>
          <w:tcPr>
            <w:tcW w:w="4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1,562,925</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INTERSIL CORP CLASS`A`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44,200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825,069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1,099,696</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INVACARE CORP COM STK NPV</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1,600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64,969</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50,384</w:t>
            </w: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IOWA TELECOMMUNICATIONS SVCS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58,900 shares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1,152,951</w:t>
            </w: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912,361</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IRON MOUNTAIN INC PA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30,800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931,610</w:t>
            </w:r>
          </w:p>
        </w:tc>
        <w:tc>
          <w:tcPr>
            <w:tcW w:w="1520" w:type="dxa"/>
            <w:vAlign w:val="bottom"/>
          </w:tcPr>
          <w:p>
            <w:pPr>
              <w:jc w:val="right"/>
              <w:spacing w:after="0"/>
              <w:rPr>
                <w:sz w:val="20"/>
                <w:szCs w:val="20"/>
                <w:color w:val="auto"/>
              </w:rPr>
            </w:pPr>
            <w:r>
              <w:rPr>
                <w:rFonts w:ascii="Arial" w:cs="Arial" w:eastAsia="Arial" w:hAnsi="Arial"/>
                <w:sz w:val="13"/>
                <w:szCs w:val="13"/>
                <w:color w:val="auto"/>
              </w:rPr>
              <w:t>1,300,376</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JER INVESTMENT TRU COM</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36,800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640,418</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623,760</w:t>
            </w:r>
          </w:p>
        </w:tc>
        <w:tc>
          <w:tcPr>
            <w:tcW w:w="220" w:type="dxa"/>
            <w:vAlign w:val="bottom"/>
            <w:shd w:val="clear" w:color="auto" w:fill="CCEEFF"/>
          </w:tcPr>
          <w:p>
            <w:pPr>
              <w:spacing w:after="0"/>
              <w:rPr>
                <w:sz w:val="14"/>
                <w:szCs w:val="14"/>
                <w:color w:val="auto"/>
              </w:rPr>
            </w:pPr>
          </w:p>
        </w:tc>
      </w:tr>
      <w:tr>
        <w:trPr>
          <w:trHeight w:val="161"/>
        </w:trPr>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JPMORGAN CHASE &amp; CO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84,716,723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3,167,613,596</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3,362,406,736</w:t>
            </w: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K&amp;F INDUSTRIES HOLDINGS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57,500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948,134</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883,200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KAYDON CORP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40,100 shares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1,173,448</w:t>
            </w:r>
          </w:p>
        </w:tc>
        <w:tc>
          <w:tcPr>
            <w:tcW w:w="4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1,288,814</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LA QUINTA PROPERTIES INC COM STK CLASS`B`</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58,200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466,443</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648,348</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LEGG CORP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20,200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342,613</w:t>
            </w:r>
          </w:p>
        </w:tc>
        <w:tc>
          <w:tcPr>
            <w:tcW w:w="1520" w:type="dxa"/>
            <w:vAlign w:val="bottom"/>
          </w:tcPr>
          <w:p>
            <w:pPr>
              <w:jc w:val="right"/>
              <w:spacing w:after="0"/>
              <w:rPr>
                <w:sz w:val="20"/>
                <w:szCs w:val="20"/>
                <w:color w:val="auto"/>
              </w:rPr>
            </w:pPr>
            <w:r>
              <w:rPr>
                <w:rFonts w:ascii="Arial" w:cs="Arial" w:eastAsia="Arial" w:hAnsi="Arial"/>
                <w:sz w:val="13"/>
                <w:szCs w:val="13"/>
                <w:color w:val="auto"/>
              </w:rPr>
              <w:t>351,076</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LIFEPOINT HOSPITALS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15,000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591,059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562,500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LIONBRIDGE TECHNOLOGIES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134,300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898,994</w:t>
            </w:r>
          </w:p>
        </w:tc>
        <w:tc>
          <w:tcPr>
            <w:tcW w:w="1520" w:type="dxa"/>
            <w:vAlign w:val="bottom"/>
          </w:tcPr>
          <w:p>
            <w:pPr>
              <w:jc w:val="right"/>
              <w:spacing w:after="0"/>
              <w:rPr>
                <w:sz w:val="20"/>
                <w:szCs w:val="20"/>
                <w:color w:val="auto"/>
              </w:rPr>
            </w:pPr>
            <w:r>
              <w:rPr>
                <w:rFonts w:ascii="Arial" w:cs="Arial" w:eastAsia="Arial" w:hAnsi="Arial"/>
                <w:sz w:val="13"/>
                <w:szCs w:val="13"/>
                <w:color w:val="auto"/>
              </w:rPr>
              <w:t>942,786</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LODGIAN INC COM</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30,000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323,945</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321,900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MEDICIS PHRMCTCL CORP CLASS`A`COM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18,900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643,435</w:t>
            </w:r>
          </w:p>
        </w:tc>
        <w:tc>
          <w:tcPr>
            <w:tcW w:w="1520" w:type="dxa"/>
            <w:vAlign w:val="bottom"/>
          </w:tcPr>
          <w:p>
            <w:pPr>
              <w:jc w:val="right"/>
              <w:spacing w:after="0"/>
              <w:rPr>
                <w:sz w:val="20"/>
                <w:szCs w:val="20"/>
                <w:color w:val="auto"/>
              </w:rPr>
            </w:pPr>
            <w:r>
              <w:rPr>
                <w:rFonts w:ascii="Arial" w:cs="Arial" w:eastAsia="Arial" w:hAnsi="Arial"/>
                <w:sz w:val="13"/>
                <w:szCs w:val="13"/>
                <w:color w:val="auto"/>
              </w:rPr>
              <w:t>605,745</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MERIDIAN GOLD INC COM NPV</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53,200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972,579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1,163,484</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MONTPELIER RE HOLDINGS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36,000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763,015</w:t>
            </w:r>
          </w:p>
        </w:tc>
        <w:tc>
          <w:tcPr>
            <w:tcW w:w="1520" w:type="dxa"/>
            <w:vAlign w:val="bottom"/>
          </w:tcPr>
          <w:p>
            <w:pPr>
              <w:jc w:val="right"/>
              <w:spacing w:after="0"/>
              <w:rPr>
                <w:sz w:val="20"/>
                <w:szCs w:val="20"/>
                <w:color w:val="auto"/>
              </w:rPr>
            </w:pPr>
            <w:r>
              <w:rPr>
                <w:rFonts w:ascii="Arial" w:cs="Arial" w:eastAsia="Arial" w:hAnsi="Arial"/>
                <w:sz w:val="13"/>
                <w:szCs w:val="13"/>
                <w:color w:val="auto"/>
              </w:rPr>
              <w:t>680,400</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NOVEN PHARMACEUTICALS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53,100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811,326</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803,403</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NUVASIVE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7,800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140,438</w:t>
            </w:r>
          </w:p>
        </w:tc>
        <w:tc>
          <w:tcPr>
            <w:tcW w:w="1520" w:type="dxa"/>
            <w:vAlign w:val="bottom"/>
          </w:tcPr>
          <w:p>
            <w:pPr>
              <w:jc w:val="right"/>
              <w:spacing w:after="0"/>
              <w:rPr>
                <w:sz w:val="20"/>
                <w:szCs w:val="20"/>
                <w:color w:val="auto"/>
              </w:rPr>
            </w:pPr>
            <w:r>
              <w:rPr>
                <w:rFonts w:ascii="Arial" w:cs="Arial" w:eastAsia="Arial" w:hAnsi="Arial"/>
                <w:sz w:val="13"/>
                <w:szCs w:val="13"/>
                <w:color w:val="auto"/>
              </w:rPr>
              <w:t>141,180</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ODYSSEY HEALTHCARE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58,500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805,444</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1,090,440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OPTION CARE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48,100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632,640</w:t>
            </w:r>
          </w:p>
        </w:tc>
        <w:tc>
          <w:tcPr>
            <w:tcW w:w="1520" w:type="dxa"/>
            <w:vAlign w:val="bottom"/>
          </w:tcPr>
          <w:p>
            <w:pPr>
              <w:jc w:val="right"/>
              <w:spacing w:after="0"/>
              <w:rPr>
                <w:sz w:val="20"/>
                <w:szCs w:val="20"/>
                <w:color w:val="auto"/>
              </w:rPr>
            </w:pPr>
            <w:r>
              <w:rPr>
                <w:rFonts w:ascii="Arial" w:cs="Arial" w:eastAsia="Arial" w:hAnsi="Arial"/>
                <w:sz w:val="13"/>
                <w:szCs w:val="13"/>
                <w:color w:val="auto"/>
              </w:rPr>
              <w:t>642,616</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PACKAGING CORP OF AMERICA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18,100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397,324</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415,395</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PC-TEL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79,300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636,023</w:t>
            </w:r>
          </w:p>
        </w:tc>
        <w:tc>
          <w:tcPr>
            <w:tcW w:w="1520" w:type="dxa"/>
            <w:vAlign w:val="bottom"/>
          </w:tcPr>
          <w:p>
            <w:pPr>
              <w:jc w:val="right"/>
              <w:spacing w:after="0"/>
              <w:rPr>
                <w:sz w:val="20"/>
                <w:szCs w:val="20"/>
                <w:color w:val="auto"/>
              </w:rPr>
            </w:pPr>
            <w:r>
              <w:rPr>
                <w:rFonts w:ascii="Arial" w:cs="Arial" w:eastAsia="Arial" w:hAnsi="Arial"/>
                <w:sz w:val="13"/>
                <w:szCs w:val="13"/>
                <w:color w:val="auto"/>
              </w:rPr>
              <w:t>694,668</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PERFORMANCE FOODS GROUP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60,300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1,677,113</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1,710,711</w:t>
            </w: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PNM RESOURCES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17,400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471,633</w:t>
            </w:r>
          </w:p>
        </w:tc>
        <w:tc>
          <w:tcPr>
            <w:tcW w:w="1520" w:type="dxa"/>
            <w:vAlign w:val="bottom"/>
          </w:tcPr>
          <w:p>
            <w:pPr>
              <w:jc w:val="right"/>
              <w:spacing w:after="0"/>
              <w:rPr>
                <w:sz w:val="20"/>
                <w:szCs w:val="20"/>
                <w:color w:val="auto"/>
              </w:rPr>
            </w:pPr>
            <w:r>
              <w:rPr>
                <w:rFonts w:ascii="Arial" w:cs="Arial" w:eastAsia="Arial" w:hAnsi="Arial"/>
                <w:sz w:val="13"/>
                <w:szCs w:val="13"/>
                <w:color w:val="auto"/>
              </w:rPr>
              <w:t>426,126</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POLYCOM INC COM STK</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54,400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883,971</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832,320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POWER INTEGRATIONS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37,500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751,871</w:t>
            </w:r>
          </w:p>
        </w:tc>
        <w:tc>
          <w:tcPr>
            <w:tcW w:w="1520" w:type="dxa"/>
            <w:vAlign w:val="bottom"/>
          </w:tcPr>
          <w:p>
            <w:pPr>
              <w:jc w:val="right"/>
              <w:spacing w:after="0"/>
              <w:rPr>
                <w:sz w:val="20"/>
                <w:szCs w:val="20"/>
                <w:color w:val="auto"/>
              </w:rPr>
            </w:pPr>
            <w:r>
              <w:rPr>
                <w:rFonts w:ascii="Arial" w:cs="Arial" w:eastAsia="Arial" w:hAnsi="Arial"/>
                <w:sz w:val="13"/>
                <w:szCs w:val="13"/>
                <w:color w:val="auto"/>
              </w:rPr>
              <w:t>892,875</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PRIDE INTL INCNEW COM</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62,800 shares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1,369,819</w:t>
            </w: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1,931,100</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PSS WORLD MEDICAL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65,100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931,642</w:t>
            </w:r>
          </w:p>
        </w:tc>
        <w:tc>
          <w:tcPr>
            <w:tcW w:w="1520" w:type="dxa"/>
            <w:vAlign w:val="bottom"/>
          </w:tcPr>
          <w:p>
            <w:pPr>
              <w:jc w:val="right"/>
              <w:spacing w:after="0"/>
              <w:rPr>
                <w:sz w:val="20"/>
                <w:szCs w:val="20"/>
                <w:color w:val="auto"/>
              </w:rPr>
            </w:pPr>
            <w:r>
              <w:rPr>
                <w:rFonts w:ascii="Arial" w:cs="Arial" w:eastAsia="Arial" w:hAnsi="Arial"/>
                <w:sz w:val="13"/>
                <w:szCs w:val="13"/>
                <w:color w:val="auto"/>
              </w:rPr>
              <w:t>966,084</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QUEST SOFWARE INC COM STK NPV</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79,700 shares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1,134,039</w:t>
            </w: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1,162,823</w:t>
            </w:r>
          </w:p>
        </w:tc>
        <w:tc>
          <w:tcPr>
            <w:tcW w:w="220" w:type="dxa"/>
            <w:vAlign w:val="bottom"/>
            <w:shd w:val="clear" w:color="auto" w:fill="CCEEFF"/>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RACKABLE SYSTEMS INC COM STK USD1</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27,000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335,007</w:t>
            </w:r>
          </w:p>
        </w:tc>
        <w:tc>
          <w:tcPr>
            <w:tcW w:w="1520" w:type="dxa"/>
            <w:vAlign w:val="bottom"/>
          </w:tcPr>
          <w:p>
            <w:pPr>
              <w:jc w:val="right"/>
              <w:spacing w:after="0"/>
              <w:rPr>
                <w:sz w:val="20"/>
                <w:szCs w:val="20"/>
                <w:color w:val="auto"/>
              </w:rPr>
            </w:pPr>
            <w:r>
              <w:rPr>
                <w:rFonts w:ascii="Arial" w:cs="Arial" w:eastAsia="Arial" w:hAnsi="Arial"/>
                <w:sz w:val="13"/>
                <w:szCs w:val="13"/>
                <w:color w:val="auto"/>
              </w:rPr>
              <w:t>768,960</w:t>
            </w:r>
          </w:p>
        </w:tc>
        <w:tc>
          <w:tcPr>
            <w:tcW w:w="220" w:type="dxa"/>
            <w:vAlign w:val="bottom"/>
          </w:tcPr>
          <w:p>
            <w:pPr>
              <w:spacing w:after="0"/>
              <w:rPr>
                <w:sz w:val="14"/>
                <w:szCs w:val="14"/>
                <w:color w:val="auto"/>
              </w:rPr>
            </w:pPr>
          </w:p>
        </w:tc>
      </w:tr>
      <w:tr>
        <w:trPr>
          <w:trHeight w:val="161"/>
        </w:trPr>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RADIO ONE INC COM STK CLASS`D`</w:t>
            </w:r>
          </w:p>
        </w:tc>
        <w:tc>
          <w:tcPr>
            <w:tcW w:w="2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111,800 shares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1,684,423</w:t>
            </w: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1,157,130</w:t>
            </w:r>
          </w:p>
        </w:tc>
        <w:tc>
          <w:tcPr>
            <w:tcW w:w="220" w:type="dxa"/>
            <w:vAlign w:val="bottom"/>
            <w:shd w:val="clear" w:color="auto" w:fill="CCEEFF"/>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RALCORP HOLDINGS INC COM STK</w:t>
            </w:r>
          </w:p>
        </w:tc>
        <w:tc>
          <w:tcPr>
            <w:tcW w:w="2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21,800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911,151</w:t>
            </w:r>
          </w:p>
        </w:tc>
        <w:tc>
          <w:tcPr>
            <w:tcW w:w="1520" w:type="dxa"/>
            <w:vAlign w:val="bottom"/>
          </w:tcPr>
          <w:p>
            <w:pPr>
              <w:jc w:val="right"/>
              <w:spacing w:after="0"/>
              <w:rPr>
                <w:sz w:val="20"/>
                <w:szCs w:val="20"/>
                <w:color w:val="auto"/>
              </w:rPr>
            </w:pPr>
            <w:r>
              <w:rPr>
                <w:rFonts w:ascii="Arial" w:cs="Arial" w:eastAsia="Arial" w:hAnsi="Arial"/>
                <w:sz w:val="13"/>
                <w:szCs w:val="13"/>
                <w:color w:val="auto"/>
              </w:rPr>
              <w:t>870,038</w:t>
            </w:r>
          </w:p>
        </w:tc>
        <w:tc>
          <w:tcPr>
            <w:tcW w:w="220" w:type="dxa"/>
            <w:vAlign w:val="bottom"/>
          </w:tcPr>
          <w:p>
            <w:pPr>
              <w:spacing w:after="0"/>
              <w:rPr>
                <w:sz w:val="14"/>
                <w:szCs w:val="14"/>
                <w:color w:val="auto"/>
              </w:rPr>
            </w:pPr>
          </w:p>
        </w:tc>
      </w:tr>
      <w:tr>
        <w:trPr>
          <w:trHeight w:val="292"/>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920" w:type="dxa"/>
            <w:vAlign w:val="bottom"/>
            <w:gridSpan w:val="2"/>
          </w:tcPr>
          <w:p>
            <w:pPr>
              <w:jc w:val="right"/>
              <w:ind w:right="2213"/>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7"/>
        </w:trPr>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4"/>
              </w:rPr>
              <w:t>(c) Description of Investment including Maturity Date,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5"/>
                <w:szCs w:val="15"/>
                <w:color w:val="auto"/>
              </w:rPr>
            </w:pPr>
          </w:p>
        </w:tc>
        <w:tc>
          <w:tcPr>
            <w:tcW w:w="3720" w:type="dxa"/>
            <w:vAlign w:val="bottom"/>
          </w:tcPr>
          <w:p>
            <w:pPr>
              <w:ind w:left="28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2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(d) Cost</w:t>
            </w:r>
          </w:p>
        </w:tc>
        <w:tc>
          <w:tcPr>
            <w:tcW w:w="17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 Current Value</w:t>
            </w:r>
          </w:p>
        </w:tc>
        <w:tc>
          <w:tcPr>
            <w:tcW w:w="0" w:type="dxa"/>
            <w:vAlign w:val="bottom"/>
          </w:tcPr>
          <w:p>
            <w:pPr>
              <w:spacing w:after="0"/>
              <w:rPr>
                <w:sz w:val="1"/>
                <w:szCs w:val="1"/>
                <w:color w:val="auto"/>
              </w:rPr>
            </w:pPr>
          </w:p>
        </w:tc>
      </w:tr>
      <w:tr>
        <w:trPr>
          <w:trHeight w:val="152"/>
        </w:trPr>
        <w:tc>
          <w:tcPr>
            <w:tcW w:w="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COMMON STOCK — (continued):</w:t>
            </w:r>
          </w:p>
        </w:tc>
        <w:tc>
          <w:tcPr>
            <w:tcW w:w="20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RARE HOSPITALITY INC COM STK NPV</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28,300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786,847</w:t>
            </w:r>
          </w:p>
        </w:tc>
        <w:tc>
          <w:tcPr>
            <w:tcW w:w="1520" w:type="dxa"/>
            <w:vAlign w:val="bottom"/>
          </w:tcPr>
          <w:p>
            <w:pPr>
              <w:jc w:val="right"/>
              <w:spacing w:after="0"/>
              <w:rPr>
                <w:sz w:val="20"/>
                <w:szCs w:val="20"/>
                <w:color w:val="auto"/>
              </w:rPr>
            </w:pPr>
            <w:r>
              <w:rPr>
                <w:rFonts w:ascii="Arial" w:cs="Arial" w:eastAsia="Arial" w:hAnsi="Arial"/>
                <w:sz w:val="13"/>
                <w:szCs w:val="13"/>
                <w:color w:val="auto"/>
              </w:rPr>
              <w:t>860,037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REGAL ENT GROUP CLASS`A`COM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67,100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1,312,883</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1,276,242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REGENT COMMUNICATIONS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109,000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594,822</w:t>
            </w:r>
          </w:p>
        </w:tc>
        <w:tc>
          <w:tcPr>
            <w:tcW w:w="1520" w:type="dxa"/>
            <w:vAlign w:val="bottom"/>
          </w:tcPr>
          <w:p>
            <w:pPr>
              <w:jc w:val="right"/>
              <w:spacing w:after="0"/>
              <w:rPr>
                <w:sz w:val="20"/>
                <w:szCs w:val="20"/>
                <w:color w:val="auto"/>
              </w:rPr>
            </w:pPr>
            <w:r>
              <w:rPr>
                <w:rFonts w:ascii="Arial" w:cs="Arial" w:eastAsia="Arial" w:hAnsi="Arial"/>
                <w:sz w:val="13"/>
                <w:szCs w:val="13"/>
                <w:color w:val="auto"/>
              </w:rPr>
              <w:t>505,760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REMINGTON OIL &amp; GAS CORP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22,600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655,189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824,900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REPUBLIC COMPANIES GROUP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56,000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784,417</w:t>
            </w:r>
          </w:p>
        </w:tc>
        <w:tc>
          <w:tcPr>
            <w:tcW w:w="1520" w:type="dxa"/>
            <w:vAlign w:val="bottom"/>
          </w:tcPr>
          <w:p>
            <w:pPr>
              <w:jc w:val="right"/>
              <w:spacing w:after="0"/>
              <w:rPr>
                <w:sz w:val="20"/>
                <w:szCs w:val="20"/>
                <w:color w:val="auto"/>
              </w:rPr>
            </w:pPr>
            <w:r>
              <w:rPr>
                <w:rFonts w:ascii="Arial" w:cs="Arial" w:eastAsia="Arial" w:hAnsi="Arial"/>
                <w:sz w:val="13"/>
                <w:szCs w:val="13"/>
                <w:color w:val="auto"/>
              </w:rPr>
              <w:t>866,880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ROGERS CORP CAP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31,400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1,203,754</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1,230,252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ROYAL GOLD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24,500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648,185</w:t>
            </w:r>
          </w:p>
        </w:tc>
        <w:tc>
          <w:tcPr>
            <w:tcW w:w="1520" w:type="dxa"/>
            <w:vAlign w:val="bottom"/>
          </w:tcPr>
          <w:p>
            <w:pPr>
              <w:jc w:val="right"/>
              <w:spacing w:after="0"/>
              <w:rPr>
                <w:sz w:val="20"/>
                <w:szCs w:val="20"/>
                <w:color w:val="auto"/>
              </w:rPr>
            </w:pPr>
            <w:r>
              <w:rPr>
                <w:rFonts w:ascii="Arial" w:cs="Arial" w:eastAsia="Arial" w:hAnsi="Arial"/>
                <w:sz w:val="13"/>
                <w:szCs w:val="13"/>
                <w:color w:val="auto"/>
              </w:rPr>
              <w:t>850,885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SBA COMMUNICATIONS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69,400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1,073,719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1,242,260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SCP POOL CORP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25,500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913,240</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949,110</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SEROLOGICAL CORP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29,000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664,119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572,460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SFBC INTERNATIONAL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46,400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1,162,206</w:t>
            </w:r>
          </w:p>
        </w:tc>
        <w:tc>
          <w:tcPr>
            <w:tcW w:w="1520" w:type="dxa"/>
            <w:vAlign w:val="bottom"/>
          </w:tcPr>
          <w:p>
            <w:pPr>
              <w:jc w:val="right"/>
              <w:spacing w:after="0"/>
              <w:rPr>
                <w:sz w:val="20"/>
                <w:szCs w:val="20"/>
                <w:color w:val="auto"/>
              </w:rPr>
            </w:pPr>
            <w:r>
              <w:rPr>
                <w:rFonts w:ascii="Arial" w:cs="Arial" w:eastAsia="Arial" w:hAnsi="Arial"/>
                <w:sz w:val="13"/>
                <w:szCs w:val="13"/>
                <w:color w:val="auto"/>
              </w:rPr>
              <w:t>742,864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SIERRA HEALTH SERVICES INC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9,800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761,663</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783,608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SPEEDWAY MOTOR SPORTS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12,100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454,671</w:t>
            </w:r>
          </w:p>
        </w:tc>
        <w:tc>
          <w:tcPr>
            <w:tcW w:w="1520" w:type="dxa"/>
            <w:vAlign w:val="bottom"/>
          </w:tcPr>
          <w:p>
            <w:pPr>
              <w:jc w:val="right"/>
              <w:spacing w:after="0"/>
              <w:rPr>
                <w:sz w:val="20"/>
                <w:szCs w:val="20"/>
                <w:color w:val="auto"/>
              </w:rPr>
            </w:pPr>
            <w:r>
              <w:rPr>
                <w:rFonts w:ascii="Arial" w:cs="Arial" w:eastAsia="Arial" w:hAnsi="Arial"/>
                <w:sz w:val="13"/>
                <w:szCs w:val="13"/>
                <w:color w:val="auto"/>
              </w:rPr>
              <w:t>419,507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STANCORP FINANCIAL GROUP COM STK NPV</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15,300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636,560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764,235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STERICYCLE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20,200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977,565</w:t>
            </w:r>
          </w:p>
        </w:tc>
        <w:tc>
          <w:tcPr>
            <w:tcW w:w="1520" w:type="dxa"/>
            <w:vAlign w:val="bottom"/>
          </w:tcPr>
          <w:p>
            <w:pPr>
              <w:jc w:val="right"/>
              <w:spacing w:after="0"/>
              <w:rPr>
                <w:sz w:val="20"/>
                <w:szCs w:val="20"/>
                <w:color w:val="auto"/>
              </w:rPr>
            </w:pPr>
            <w:r>
              <w:rPr>
                <w:rFonts w:ascii="Arial" w:cs="Arial" w:eastAsia="Arial" w:hAnsi="Arial"/>
                <w:sz w:val="13"/>
                <w:szCs w:val="13"/>
                <w:color w:val="auto"/>
              </w:rPr>
              <w:t>1,189,376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SUNSTONE HOTEL INVESTORS INC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45,300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992,518</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1,203,621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SUPERIOR WELL SERVICES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24,200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346,538</w:t>
            </w:r>
          </w:p>
        </w:tc>
        <w:tc>
          <w:tcPr>
            <w:tcW w:w="1520" w:type="dxa"/>
            <w:vAlign w:val="bottom"/>
          </w:tcPr>
          <w:p>
            <w:pPr>
              <w:jc w:val="right"/>
              <w:spacing w:after="0"/>
              <w:rPr>
                <w:sz w:val="20"/>
                <w:szCs w:val="20"/>
                <w:color w:val="auto"/>
              </w:rPr>
            </w:pPr>
            <w:r>
              <w:rPr>
                <w:rFonts w:ascii="Arial" w:cs="Arial" w:eastAsia="Arial" w:hAnsi="Arial"/>
                <w:sz w:val="13"/>
                <w:szCs w:val="13"/>
                <w:color w:val="auto"/>
              </w:rPr>
              <w:t>574,992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SYBRON DENTAL SPECIALTIES INC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18,400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806,886</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732,504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SYMMETRY MEDICAL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58,400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1,146,641</w:t>
            </w:r>
          </w:p>
        </w:tc>
        <w:tc>
          <w:tcPr>
            <w:tcW w:w="1520" w:type="dxa"/>
            <w:vAlign w:val="bottom"/>
          </w:tcPr>
          <w:p>
            <w:pPr>
              <w:jc w:val="right"/>
              <w:spacing w:after="0"/>
              <w:rPr>
                <w:sz w:val="20"/>
                <w:szCs w:val="20"/>
                <w:color w:val="auto"/>
              </w:rPr>
            </w:pPr>
            <w:r>
              <w:rPr>
                <w:rFonts w:ascii="Arial" w:cs="Arial" w:eastAsia="Arial" w:hAnsi="Arial"/>
                <w:sz w:val="13"/>
                <w:szCs w:val="13"/>
                <w:color w:val="auto"/>
              </w:rPr>
              <w:t>1,132,376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TEKELEC INC COM STK NPV</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59,500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926,136</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827,050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TIBCO SOFTWARE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50,200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346,232</w:t>
            </w:r>
          </w:p>
        </w:tc>
        <w:tc>
          <w:tcPr>
            <w:tcW w:w="1520" w:type="dxa"/>
            <w:vAlign w:val="bottom"/>
          </w:tcPr>
          <w:p>
            <w:pPr>
              <w:jc w:val="right"/>
              <w:spacing w:after="0"/>
              <w:rPr>
                <w:sz w:val="20"/>
                <w:szCs w:val="20"/>
                <w:color w:val="auto"/>
              </w:rPr>
            </w:pPr>
            <w:r>
              <w:rPr>
                <w:rFonts w:ascii="Arial" w:cs="Arial" w:eastAsia="Arial" w:hAnsi="Arial"/>
                <w:sz w:val="13"/>
                <w:szCs w:val="13"/>
                <w:color w:val="auto"/>
              </w:rPr>
              <w:t>374,994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TTM TECHNOLOGIES INC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69,200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687,009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650,480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UCBH HLDGS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133,400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2,509,513</w:t>
            </w:r>
          </w:p>
        </w:tc>
        <w:tc>
          <w:tcPr>
            <w:tcW w:w="1520" w:type="dxa"/>
            <w:vAlign w:val="bottom"/>
          </w:tcPr>
          <w:p>
            <w:pPr>
              <w:jc w:val="right"/>
              <w:spacing w:after="0"/>
              <w:rPr>
                <w:sz w:val="20"/>
                <w:szCs w:val="20"/>
                <w:color w:val="auto"/>
              </w:rPr>
            </w:pPr>
            <w:r>
              <w:rPr>
                <w:rFonts w:ascii="Arial" w:cs="Arial" w:eastAsia="Arial" w:hAnsi="Arial"/>
                <w:sz w:val="13"/>
                <w:szCs w:val="13"/>
                <w:color w:val="auto"/>
              </w:rPr>
              <w:t>2,385,192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UNITED NATURAL FOODS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22,300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628,609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588,720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UNIVERSAL COMPRESSION HLDS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40,400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1,430,040</w:t>
            </w:r>
          </w:p>
        </w:tc>
        <w:tc>
          <w:tcPr>
            <w:tcW w:w="1520" w:type="dxa"/>
            <w:vAlign w:val="bottom"/>
          </w:tcPr>
          <w:p>
            <w:pPr>
              <w:jc w:val="right"/>
              <w:spacing w:after="0"/>
              <w:rPr>
                <w:sz w:val="20"/>
                <w:szCs w:val="20"/>
                <w:color w:val="auto"/>
              </w:rPr>
            </w:pPr>
            <w:r>
              <w:rPr>
                <w:rFonts w:ascii="Arial" w:cs="Arial" w:eastAsia="Arial" w:hAnsi="Arial"/>
                <w:sz w:val="13"/>
                <w:szCs w:val="13"/>
                <w:color w:val="auto"/>
              </w:rPr>
              <w:t>1,661,248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WCI COMMUNITIES INC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26,000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672,520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698,100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WESCO INTERNATIONAL INC COM STK</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25,700 shares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784,360</w:t>
            </w:r>
          </w:p>
        </w:tc>
        <w:tc>
          <w:tcPr>
            <w:tcW w:w="1520" w:type="dxa"/>
            <w:vAlign w:val="bottom"/>
          </w:tcPr>
          <w:p>
            <w:pPr>
              <w:jc w:val="right"/>
              <w:spacing w:after="0"/>
              <w:rPr>
                <w:sz w:val="20"/>
                <w:szCs w:val="20"/>
                <w:color w:val="auto"/>
              </w:rPr>
            </w:pPr>
            <w:r>
              <w:rPr>
                <w:rFonts w:ascii="Arial" w:cs="Arial" w:eastAsia="Arial" w:hAnsi="Arial"/>
                <w:sz w:val="13"/>
                <w:szCs w:val="13"/>
                <w:color w:val="auto"/>
              </w:rPr>
              <w:t>1,098,161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WEST CORPORATION COM STK</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44,200 shares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1,554,503</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1,863,030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vMerge w:val="restart"/>
          </w:tcPr>
          <w:p>
            <w:pPr>
              <w:ind w:left="300"/>
              <w:spacing w:after="0"/>
              <w:rPr>
                <w:sz w:val="20"/>
                <w:szCs w:val="20"/>
                <w:color w:val="auto"/>
              </w:rPr>
            </w:pPr>
            <w:r>
              <w:rPr>
                <w:rFonts w:ascii="Arial" w:cs="Arial" w:eastAsia="Arial" w:hAnsi="Arial"/>
                <w:sz w:val="13"/>
                <w:szCs w:val="13"/>
                <w:color w:val="auto"/>
              </w:rPr>
              <w:t>Total Common Stock</w:t>
            </w: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40" w:type="dxa"/>
            <w:vAlign w:val="bottom"/>
            <w:gridSpan w:val="3"/>
          </w:tcPr>
          <w:p>
            <w:pPr>
              <w:spacing w:after="0"/>
              <w:rPr>
                <w:sz w:val="14"/>
                <w:szCs w:val="14"/>
                <w:color w:val="auto"/>
              </w:rPr>
            </w:pPr>
          </w:p>
        </w:tc>
        <w:tc>
          <w:tcPr>
            <w:tcW w:w="17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3,285,964,943</w:t>
            </w:r>
          </w:p>
        </w:tc>
        <w:tc>
          <w:tcPr>
            <w:tcW w:w="17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3,486,813,922</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Common/Collective Trust Funds:</w:t>
            </w:r>
          </w:p>
        </w:tc>
        <w:tc>
          <w:tcPr>
            <w:tcW w:w="20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BGI EAFE INDEX FUND CL F</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3,467,557 units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63,717,342</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84,122,930</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BGI EQUITY INDEX FUND CL F</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71,655,902 units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1,175,885,648</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1,281,207,522</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ind w:left="160"/>
              <w:spacing w:after="0"/>
              <w:rPr>
                <w:sz w:val="20"/>
                <w:szCs w:val="20"/>
                <w:color w:val="auto"/>
              </w:rPr>
            </w:pPr>
            <w:r>
              <w:rPr>
                <w:rFonts w:ascii="Arial" w:cs="Arial" w:eastAsia="Arial" w:hAnsi="Arial"/>
                <w:sz w:val="13"/>
                <w:szCs w:val="13"/>
                <w:color w:val="auto"/>
              </w:rPr>
              <w:t>BGI RUSSELL 1000 GROWTH FUND CL F</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48,614,173 units</w:t>
            </w:r>
          </w:p>
        </w:tc>
        <w:tc>
          <w:tcPr>
            <w:tcW w:w="1640" w:type="dxa"/>
            <w:vAlign w:val="bottom"/>
            <w:gridSpan w:val="3"/>
          </w:tcPr>
          <w:p>
            <w:pPr>
              <w:jc w:val="right"/>
              <w:ind w:right="440"/>
              <w:spacing w:after="0"/>
              <w:rPr>
                <w:sz w:val="20"/>
                <w:szCs w:val="20"/>
                <w:color w:val="auto"/>
              </w:rPr>
            </w:pPr>
            <w:r>
              <w:rPr>
                <w:rFonts w:ascii="Arial" w:cs="Arial" w:eastAsia="Arial" w:hAnsi="Arial"/>
                <w:sz w:val="13"/>
                <w:szCs w:val="13"/>
                <w:color w:val="auto"/>
              </w:rPr>
              <w:t>362,265,221</w:t>
            </w:r>
          </w:p>
        </w:tc>
        <w:tc>
          <w:tcPr>
            <w:tcW w:w="1520" w:type="dxa"/>
            <w:vAlign w:val="bottom"/>
          </w:tcPr>
          <w:p>
            <w:pPr>
              <w:jc w:val="right"/>
              <w:spacing w:after="0"/>
              <w:rPr>
                <w:sz w:val="20"/>
                <w:szCs w:val="20"/>
                <w:color w:val="auto"/>
              </w:rPr>
            </w:pPr>
            <w:r>
              <w:rPr>
                <w:rFonts w:ascii="Arial" w:cs="Arial" w:eastAsia="Arial" w:hAnsi="Arial"/>
                <w:sz w:val="13"/>
                <w:szCs w:val="13"/>
                <w:color w:val="auto"/>
              </w:rPr>
              <w:t>377,245,981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BGI RUSSELL 1000 VALUE FUND CL F</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12,650,414 units</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132,750,805</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166,732,451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900" w:type="dxa"/>
            <w:vAlign w:val="bottom"/>
            <w:gridSpan w:val="2"/>
          </w:tcPr>
          <w:p>
            <w:pPr>
              <w:jc w:val="right"/>
              <w:ind w:right="2213"/>
              <w:spacing w:after="0"/>
              <w:rPr>
                <w:sz w:val="20"/>
                <w:szCs w:val="20"/>
                <w:color w:val="auto"/>
              </w:rPr>
            </w:pPr>
            <w:r>
              <w:rPr>
                <w:rFonts w:ascii="Arial" w:cs="Arial" w:eastAsia="Arial" w:hAnsi="Arial"/>
                <w:sz w:val="13"/>
                <w:szCs w:val="13"/>
                <w:color w:val="auto"/>
              </w:rPr>
              <w:t>26</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5"/>
              </w:rPr>
              <w:t>(c) Description of Investment including Maturity Date,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0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(d) Cost</w:t>
            </w:r>
          </w:p>
        </w:tc>
        <w:tc>
          <w:tcPr>
            <w:tcW w:w="420" w:type="dxa"/>
            <w:vAlign w:val="bottom"/>
          </w:tcPr>
          <w:p>
            <w:pPr>
              <w:spacing w:after="0"/>
              <w:rPr>
                <w:sz w:val="15"/>
                <w:szCs w:val="15"/>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 Current Value</w:t>
            </w:r>
          </w:p>
        </w:tc>
        <w:tc>
          <w:tcPr>
            <w:tcW w:w="200" w:type="dxa"/>
            <w:vAlign w:val="bottom"/>
          </w:tcPr>
          <w:p>
            <w:pPr>
              <w:spacing w:after="0"/>
              <w:rPr>
                <w:sz w:val="15"/>
                <w:szCs w:val="15"/>
                <w:color w:val="auto"/>
              </w:rPr>
            </w:pPr>
          </w:p>
        </w:tc>
      </w:tr>
      <w:tr>
        <w:trPr>
          <w:trHeight w:val="313"/>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Common/Collective Trust Funds — (continued):</w:t>
            </w: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2"/>
        </w:trPr>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BGI RUSSELL 2000 INDEX FUND CL F</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8,023,888 units</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114,147,443</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135,844,432</w:t>
            </w:r>
          </w:p>
        </w:tc>
      </w:tr>
      <w:tr>
        <w:trPr>
          <w:trHeight w:val="161"/>
        </w:trPr>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JPMORGAN DOMESTIC LIQUIDITY</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115,065,808 units</w:t>
            </w:r>
          </w:p>
        </w:tc>
        <w:tc>
          <w:tcPr>
            <w:tcW w:w="1620" w:type="dxa"/>
            <w:vAlign w:val="bottom"/>
            <w:gridSpan w:val="3"/>
          </w:tcPr>
          <w:p>
            <w:pPr>
              <w:jc w:val="right"/>
              <w:ind w:right="420"/>
              <w:spacing w:after="0"/>
              <w:rPr>
                <w:sz w:val="20"/>
                <w:szCs w:val="20"/>
                <w:color w:val="auto"/>
              </w:rPr>
            </w:pPr>
            <w:r>
              <w:rPr>
                <w:rFonts w:ascii="Arial" w:cs="Arial" w:eastAsia="Arial" w:hAnsi="Arial"/>
                <w:sz w:val="13"/>
                <w:szCs w:val="13"/>
                <w:color w:val="auto"/>
              </w:rPr>
              <w:t>115,065,808</w:t>
            </w:r>
          </w:p>
        </w:tc>
        <w:tc>
          <w:tcPr>
            <w:tcW w:w="1740" w:type="dxa"/>
            <w:vAlign w:val="bottom"/>
            <w:gridSpan w:val="2"/>
          </w:tcPr>
          <w:p>
            <w:pPr>
              <w:jc w:val="right"/>
              <w:ind w:right="200"/>
              <w:spacing w:after="0"/>
              <w:rPr>
                <w:sz w:val="20"/>
                <w:szCs w:val="20"/>
                <w:color w:val="auto"/>
              </w:rPr>
            </w:pPr>
            <w:r>
              <w:rPr>
                <w:rFonts w:ascii="Arial" w:cs="Arial" w:eastAsia="Arial" w:hAnsi="Arial"/>
                <w:sz w:val="13"/>
                <w:szCs w:val="13"/>
                <w:color w:val="auto"/>
              </w:rPr>
              <w:t>115,065,808</w:t>
            </w:r>
          </w:p>
        </w:tc>
      </w:tr>
      <w:tr>
        <w:trPr>
          <w:trHeight w:val="161"/>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MGT LIQUIDITY FD</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234 units</w:t>
            </w:r>
          </w:p>
        </w:tc>
        <w:tc>
          <w:tcPr>
            <w:tcW w:w="220" w:type="dxa"/>
            <w:vAlign w:val="bottom"/>
            <w:shd w:val="clear" w:color="auto" w:fill="CCEEFF"/>
          </w:tcPr>
          <w:p>
            <w:pPr>
              <w:spacing w:after="0"/>
              <w:rPr>
                <w:sz w:val="14"/>
                <w:szCs w:val="14"/>
                <w:color w:val="auto"/>
              </w:rPr>
            </w:pPr>
          </w:p>
        </w:tc>
        <w:tc>
          <w:tcPr>
            <w:tcW w:w="140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234</w:t>
            </w:r>
          </w:p>
        </w:tc>
        <w:tc>
          <w:tcPr>
            <w:tcW w:w="1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w:t>
            </w:r>
          </w:p>
        </w:tc>
      </w:tr>
      <w:tr>
        <w:trPr>
          <w:trHeight w:val="323"/>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3"/>
                <w:szCs w:val="13"/>
                <w:color w:val="auto"/>
              </w:rPr>
              <w:t>Total Common/Collective Trust Funds</w:t>
            </w: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3"/>
                <w:szCs w:val="13"/>
                <w:color w:val="auto"/>
              </w:rPr>
              <w:t>1,963,832,501</w:t>
            </w:r>
          </w:p>
        </w:tc>
        <w:tc>
          <w:tcPr>
            <w:tcW w:w="1740" w:type="dxa"/>
            <w:vAlign w:val="bottom"/>
            <w:gridSpan w:val="2"/>
          </w:tcPr>
          <w:p>
            <w:pPr>
              <w:jc w:val="right"/>
              <w:ind w:right="200"/>
              <w:spacing w:after="0"/>
              <w:rPr>
                <w:sz w:val="20"/>
                <w:szCs w:val="20"/>
                <w:color w:val="auto"/>
              </w:rPr>
            </w:pPr>
            <w:r>
              <w:rPr>
                <w:rFonts w:ascii="Arial" w:cs="Arial" w:eastAsia="Arial" w:hAnsi="Arial"/>
                <w:sz w:val="13"/>
                <w:szCs w:val="13"/>
                <w:color w:val="auto"/>
              </w:rPr>
              <w:t>2,160,219,358</w:t>
            </w:r>
          </w:p>
        </w:tc>
      </w:tr>
      <w:tr>
        <w:trPr>
          <w:trHeight w:val="162"/>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r>
      <w:tr>
        <w:trPr>
          <w:trHeight w:val="161"/>
        </w:trPr>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Registered Investment Companies (Mutual Funds):</w:t>
            </w:r>
          </w:p>
        </w:tc>
        <w:tc>
          <w:tcPr>
            <w:tcW w:w="20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AMERICAN CENTY MUT FDS INC ULTRA INSTL</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5,657,514 units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155,583,236</w:t>
            </w:r>
          </w:p>
        </w:tc>
        <w:tc>
          <w:tcPr>
            <w:tcW w:w="420" w:type="dxa"/>
            <w:vAlign w:val="bottom"/>
          </w:tcPr>
          <w:p>
            <w:pPr>
              <w:spacing w:after="0"/>
              <w:rPr>
                <w:sz w:val="14"/>
                <w:szCs w:val="1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3"/>
                <w:szCs w:val="13"/>
                <w:color w:val="auto"/>
              </w:rPr>
              <w:t>172,044,992</w:t>
            </w:r>
          </w:p>
        </w:tc>
      </w:tr>
      <w:tr>
        <w:trPr>
          <w:trHeight w:val="161"/>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CENTY WORLD MUT FDS INTL DISC INST</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10,119,792 units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132,514,710</w:t>
            </w:r>
          </w:p>
        </w:tc>
        <w:tc>
          <w:tcPr>
            <w:tcW w:w="4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148,862,137</w:t>
            </w:r>
          </w:p>
        </w:tc>
      </w:tr>
      <w:tr>
        <w:trPr>
          <w:trHeight w:val="161"/>
        </w:trPr>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JPM US EQUITY FDS VALUE VALUE OPPORTUNITIES</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30,058,622 units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508,427,672</w:t>
            </w:r>
          </w:p>
        </w:tc>
        <w:tc>
          <w:tcPr>
            <w:tcW w:w="420" w:type="dxa"/>
            <w:vAlign w:val="bottom"/>
          </w:tcPr>
          <w:p>
            <w:pPr>
              <w:spacing w:after="0"/>
              <w:rPr>
                <w:sz w:val="14"/>
                <w:szCs w:val="1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3"/>
                <w:szCs w:val="13"/>
                <w:color w:val="auto"/>
              </w:rPr>
              <w:t>515,204,781</w:t>
            </w:r>
          </w:p>
        </w:tc>
      </w:tr>
      <w:tr>
        <w:trPr>
          <w:trHeight w:val="161"/>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JPM TR I SMALL CAP CORE FD SELECT CL</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12,965,029 units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579,438,813</w:t>
            </w:r>
          </w:p>
        </w:tc>
        <w:tc>
          <w:tcPr>
            <w:tcW w:w="4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570,331,647</w:t>
            </w:r>
          </w:p>
        </w:tc>
      </w:tr>
      <w:tr>
        <w:trPr>
          <w:trHeight w:val="161"/>
        </w:trPr>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JPM TR I CAP GROWTH FD SELECT CL</w:t>
            </w:r>
          </w:p>
        </w:tc>
        <w:tc>
          <w:tcPr>
            <w:tcW w:w="3900" w:type="dxa"/>
            <w:vAlign w:val="bottom"/>
            <w:gridSpan w:val="2"/>
          </w:tcPr>
          <w:p>
            <w:pPr>
              <w:ind w:left="200"/>
              <w:spacing w:after="0"/>
              <w:rPr>
                <w:sz w:val="20"/>
                <w:szCs w:val="20"/>
                <w:color w:val="auto"/>
              </w:rPr>
            </w:pPr>
            <w:r>
              <w:rPr>
                <w:rFonts w:ascii="Arial" w:cs="Arial" w:eastAsia="Arial" w:hAnsi="Arial"/>
                <w:sz w:val="13"/>
                <w:szCs w:val="13"/>
                <w:color w:val="auto"/>
              </w:rPr>
              <w:t>5,517,423 units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222,192,205</w:t>
            </w:r>
          </w:p>
        </w:tc>
        <w:tc>
          <w:tcPr>
            <w:tcW w:w="420" w:type="dxa"/>
            <w:vAlign w:val="bottom"/>
          </w:tcPr>
          <w:p>
            <w:pPr>
              <w:spacing w:after="0"/>
              <w:rPr>
                <w:sz w:val="14"/>
                <w:szCs w:val="1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3"/>
                <w:szCs w:val="13"/>
                <w:color w:val="auto"/>
              </w:rPr>
              <w:t>228,145,446</w:t>
            </w:r>
          </w:p>
        </w:tc>
      </w:tr>
      <w:tr>
        <w:trPr>
          <w:trHeight w:val="161"/>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JPM TR II CORE BD FD ULTRA CL</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14,764,922 units</w:t>
            </w:r>
          </w:p>
        </w:tc>
        <w:tc>
          <w:tcPr>
            <w:tcW w:w="2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160,965,745</w:t>
            </w:r>
          </w:p>
        </w:tc>
        <w:tc>
          <w:tcPr>
            <w:tcW w:w="4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156,951,116</w:t>
            </w:r>
          </w:p>
        </w:tc>
      </w:tr>
      <w:tr>
        <w:trPr>
          <w:trHeight w:val="323"/>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3"/>
                <w:szCs w:val="13"/>
                <w:color w:val="auto"/>
              </w:rPr>
              <w:t>Total Registered Investment Companies (Mutual Funds)</w:t>
            </w: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3"/>
                <w:szCs w:val="13"/>
                <w:color w:val="auto"/>
              </w:rPr>
              <w:t>1,759,122,381</w:t>
            </w:r>
          </w:p>
        </w:tc>
        <w:tc>
          <w:tcPr>
            <w:tcW w:w="1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1,791,540,119</w:t>
            </w:r>
          </w:p>
        </w:tc>
      </w:tr>
    </w:tbl>
    <w:p>
      <w:pPr>
        <w:spacing w:after="0" w:line="159" w:lineRule="exact"/>
        <w:rPr>
          <w:sz w:val="20"/>
          <w:szCs w:val="20"/>
          <w:color w:val="auto"/>
        </w:rPr>
      </w:pPr>
    </w:p>
    <w:p>
      <w:pPr>
        <w:ind w:left="500" w:hanging="456"/>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Guaranteed Investment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7281545" cy="102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Arial" w:cs="Arial" w:eastAsia="Arial" w:hAnsi="Arial"/>
                <w:sz w:val="13"/>
                <w:szCs w:val="13"/>
                <w:color w:val="auto"/>
              </w:rPr>
              <w:t>AIG GIC # 496672</w:t>
            </w:r>
          </w:p>
        </w:tc>
        <w:tc>
          <w:tcPr>
            <w:tcW w:w="4320" w:type="dxa"/>
            <w:vAlign w:val="bottom"/>
          </w:tcPr>
          <w:p>
            <w:pPr>
              <w:ind w:left="400"/>
              <w:spacing w:after="0"/>
              <w:rPr>
                <w:sz w:val="20"/>
                <w:szCs w:val="20"/>
                <w:color w:val="auto"/>
              </w:rPr>
            </w:pPr>
            <w:r>
              <w:rPr>
                <w:rFonts w:ascii="Arial" w:cs="Arial" w:eastAsia="Arial" w:hAnsi="Arial"/>
                <w:sz w:val="13"/>
                <w:szCs w:val="13"/>
                <w:color w:val="auto"/>
              </w:rPr>
              <w:t>0.000% 12/31/2049, 559,186,962</w:t>
            </w:r>
          </w:p>
        </w:tc>
        <w:tc>
          <w:tcPr>
            <w:tcW w:w="1580" w:type="dxa"/>
            <w:vAlign w:val="bottom"/>
          </w:tcPr>
          <w:p>
            <w:pPr>
              <w:jc w:val="right"/>
              <w:ind w:right="533"/>
              <w:spacing w:after="0"/>
              <w:rPr>
                <w:sz w:val="20"/>
                <w:szCs w:val="20"/>
                <w:color w:val="auto"/>
              </w:rPr>
            </w:pPr>
            <w:r>
              <w:rPr>
                <w:rFonts w:ascii="Arial" w:cs="Arial" w:eastAsia="Arial" w:hAnsi="Arial"/>
                <w:sz w:val="13"/>
                <w:szCs w:val="13"/>
                <w:color w:val="auto"/>
              </w:rPr>
              <w:t>559,186,962</w:t>
            </w:r>
          </w:p>
        </w:tc>
        <w:tc>
          <w:tcPr>
            <w:tcW w:w="1560" w:type="dxa"/>
            <w:vAlign w:val="bottom"/>
          </w:tcPr>
          <w:p>
            <w:pPr>
              <w:jc w:val="right"/>
              <w:ind w:right="133"/>
              <w:spacing w:after="0"/>
              <w:rPr>
                <w:sz w:val="20"/>
                <w:szCs w:val="20"/>
                <w:color w:val="auto"/>
              </w:rPr>
            </w:pPr>
            <w:r>
              <w:rPr>
                <w:rFonts w:ascii="Arial" w:cs="Arial" w:eastAsia="Arial" w:hAnsi="Arial"/>
                <w:sz w:val="13"/>
                <w:szCs w:val="13"/>
                <w:color w:val="auto"/>
              </w:rPr>
              <w:t>559,186,962</w:t>
            </w:r>
          </w:p>
        </w:tc>
      </w:tr>
      <w:tr>
        <w:trPr>
          <w:trHeight w:val="161"/>
        </w:trPr>
        <w:tc>
          <w:tcPr>
            <w:tcW w:w="3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JP MORGAN/BANK OF AMERICA</w:t>
            </w:r>
          </w:p>
        </w:tc>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01-001/10051-5, 559,252,681</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559,252,681</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559,252,681</w:t>
            </w:r>
          </w:p>
        </w:tc>
      </w:tr>
      <w:tr>
        <w:trPr>
          <w:trHeight w:val="161"/>
        </w:trPr>
        <w:tc>
          <w:tcPr>
            <w:tcW w:w="3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tcPr>
          <w:p>
            <w:pPr>
              <w:ind w:left="280"/>
              <w:spacing w:after="0"/>
              <w:rPr>
                <w:sz w:val="20"/>
                <w:szCs w:val="20"/>
                <w:color w:val="auto"/>
              </w:rPr>
            </w:pPr>
            <w:r>
              <w:rPr>
                <w:rFonts w:ascii="Arial" w:cs="Arial" w:eastAsia="Arial" w:hAnsi="Arial"/>
                <w:sz w:val="13"/>
                <w:szCs w:val="13"/>
                <w:color w:val="auto"/>
              </w:rPr>
              <w:t>JP MORGAN/STATE STREET BANK</w:t>
            </w:r>
          </w:p>
        </w:tc>
        <w:tc>
          <w:tcPr>
            <w:tcW w:w="4320" w:type="dxa"/>
            <w:vAlign w:val="bottom"/>
          </w:tcPr>
          <w:p>
            <w:pPr>
              <w:ind w:left="400"/>
              <w:spacing w:after="0"/>
              <w:rPr>
                <w:sz w:val="20"/>
                <w:szCs w:val="20"/>
                <w:color w:val="auto"/>
              </w:rPr>
            </w:pPr>
            <w:r>
              <w:rPr>
                <w:rFonts w:ascii="Arial" w:cs="Arial" w:eastAsia="Arial" w:hAnsi="Arial"/>
                <w:sz w:val="13"/>
                <w:szCs w:val="13"/>
                <w:color w:val="auto"/>
              </w:rPr>
              <w:t>101004/10051-5, 559,251,962</w:t>
            </w:r>
          </w:p>
        </w:tc>
        <w:tc>
          <w:tcPr>
            <w:tcW w:w="158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559,251,962</w:t>
            </w: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559,251,962</w:t>
            </w:r>
          </w:p>
        </w:tc>
      </w:tr>
      <w:tr>
        <w:trPr>
          <w:trHeight w:val="162"/>
        </w:trPr>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1"/>
        </w:trPr>
        <w:tc>
          <w:tcPr>
            <w:tcW w:w="360" w:type="dxa"/>
            <w:vAlign w:val="bottom"/>
            <w:shd w:val="clear" w:color="auto" w:fill="CCEEFF"/>
          </w:tcPr>
          <w:p>
            <w:pPr>
              <w:spacing w:after="0"/>
              <w:rPr>
                <w:sz w:val="14"/>
                <w:szCs w:val="14"/>
                <w:color w:val="auto"/>
              </w:rPr>
            </w:pPr>
          </w:p>
        </w:tc>
        <w:tc>
          <w:tcPr>
            <w:tcW w:w="3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Guaranteed Investment Contracts</w:t>
            </w:r>
          </w:p>
        </w:tc>
        <w:tc>
          <w:tcPr>
            <w:tcW w:w="432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rPr>
              <w:t>1,677,691,605</w:t>
            </w: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1,677,691,605</w:t>
            </w:r>
          </w:p>
        </w:tc>
      </w:tr>
      <w:tr>
        <w:trPr>
          <w:trHeight w:val="323"/>
        </w:trPr>
        <w:tc>
          <w:tcPr>
            <w:tcW w:w="360" w:type="dxa"/>
            <w:vAlign w:val="bottom"/>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3"/>
                <w:szCs w:val="13"/>
                <w:b w:val="1"/>
                <w:bCs w:val="1"/>
                <w:color w:val="auto"/>
              </w:rPr>
              <w:t>Master Trust Funds:</w:t>
            </w:r>
          </w:p>
        </w:tc>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2"/>
        </w:trPr>
        <w:tc>
          <w:tcPr>
            <w:tcW w:w="3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CHASE GT ALLIANCE BERNSTEIN TRUST UNIT</w:t>
            </w:r>
          </w:p>
        </w:tc>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7,640,040 units</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77,304,859</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91,157,896</w:t>
            </w:r>
          </w:p>
        </w:tc>
      </w:tr>
      <w:tr>
        <w:trPr>
          <w:trHeight w:val="161"/>
        </w:trPr>
        <w:tc>
          <w:tcPr>
            <w:tcW w:w="3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tcPr>
          <w:p>
            <w:pPr>
              <w:ind w:left="280"/>
              <w:spacing w:after="0"/>
              <w:rPr>
                <w:sz w:val="20"/>
                <w:szCs w:val="20"/>
                <w:color w:val="auto"/>
              </w:rPr>
            </w:pPr>
            <w:r>
              <w:rPr>
                <w:rFonts w:ascii="Arial" w:cs="Arial" w:eastAsia="Arial" w:hAnsi="Arial"/>
                <w:sz w:val="13"/>
                <w:szCs w:val="13"/>
                <w:color w:val="auto"/>
              </w:rPr>
              <w:t>CHASE GT ARIEL TRUST UNIT</w:t>
            </w:r>
          </w:p>
        </w:tc>
        <w:tc>
          <w:tcPr>
            <w:tcW w:w="4320" w:type="dxa"/>
            <w:vAlign w:val="bottom"/>
          </w:tcPr>
          <w:p>
            <w:pPr>
              <w:ind w:left="400"/>
              <w:spacing w:after="0"/>
              <w:rPr>
                <w:sz w:val="20"/>
                <w:szCs w:val="20"/>
                <w:color w:val="auto"/>
              </w:rPr>
            </w:pPr>
            <w:r>
              <w:rPr>
                <w:rFonts w:ascii="Arial" w:cs="Arial" w:eastAsia="Arial" w:hAnsi="Arial"/>
                <w:sz w:val="13"/>
                <w:szCs w:val="13"/>
                <w:color w:val="auto"/>
              </w:rPr>
              <w:t>20,030,175 units</w:t>
            </w:r>
          </w:p>
        </w:tc>
        <w:tc>
          <w:tcPr>
            <w:tcW w:w="1580" w:type="dxa"/>
            <w:vAlign w:val="bottom"/>
          </w:tcPr>
          <w:p>
            <w:pPr>
              <w:jc w:val="right"/>
              <w:ind w:right="533"/>
              <w:spacing w:after="0"/>
              <w:rPr>
                <w:sz w:val="20"/>
                <w:szCs w:val="20"/>
                <w:color w:val="auto"/>
              </w:rPr>
            </w:pPr>
            <w:r>
              <w:rPr>
                <w:rFonts w:ascii="Arial" w:cs="Arial" w:eastAsia="Arial" w:hAnsi="Arial"/>
                <w:sz w:val="13"/>
                <w:szCs w:val="13"/>
                <w:color w:val="auto"/>
              </w:rPr>
              <w:t>238,762,103</w:t>
            </w:r>
          </w:p>
        </w:tc>
        <w:tc>
          <w:tcPr>
            <w:tcW w:w="1560" w:type="dxa"/>
            <w:vAlign w:val="bottom"/>
          </w:tcPr>
          <w:p>
            <w:pPr>
              <w:jc w:val="right"/>
              <w:ind w:right="133"/>
              <w:spacing w:after="0"/>
              <w:rPr>
                <w:sz w:val="20"/>
                <w:szCs w:val="20"/>
                <w:color w:val="auto"/>
              </w:rPr>
            </w:pPr>
            <w:r>
              <w:rPr>
                <w:rFonts w:ascii="Arial" w:cs="Arial" w:eastAsia="Arial" w:hAnsi="Arial"/>
                <w:sz w:val="13"/>
                <w:szCs w:val="13"/>
                <w:color w:val="auto"/>
              </w:rPr>
              <w:t>278,802,004</w:t>
            </w:r>
          </w:p>
        </w:tc>
      </w:tr>
      <w:tr>
        <w:trPr>
          <w:trHeight w:val="161"/>
        </w:trPr>
        <w:tc>
          <w:tcPr>
            <w:tcW w:w="3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CHASE GT JANUS TRUST UNIT</w:t>
            </w:r>
          </w:p>
        </w:tc>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7,367,752 units</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69,619,803</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80,561,212</w:t>
            </w:r>
          </w:p>
        </w:tc>
      </w:tr>
      <w:tr>
        <w:trPr>
          <w:trHeight w:val="161"/>
        </w:trPr>
        <w:tc>
          <w:tcPr>
            <w:tcW w:w="3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tcPr>
          <w:p>
            <w:pPr>
              <w:ind w:left="280"/>
              <w:spacing w:after="0"/>
              <w:rPr>
                <w:sz w:val="20"/>
                <w:szCs w:val="20"/>
                <w:color w:val="auto"/>
              </w:rPr>
            </w:pPr>
            <w:r>
              <w:rPr>
                <w:rFonts w:ascii="Arial" w:cs="Arial" w:eastAsia="Arial" w:hAnsi="Arial"/>
                <w:sz w:val="13"/>
                <w:szCs w:val="13"/>
                <w:color w:val="auto"/>
              </w:rPr>
              <w:t>JPMC GT CAUSEWAY CAPITAL UNIT</w:t>
            </w:r>
          </w:p>
        </w:tc>
        <w:tc>
          <w:tcPr>
            <w:tcW w:w="4320" w:type="dxa"/>
            <w:vAlign w:val="bottom"/>
          </w:tcPr>
          <w:p>
            <w:pPr>
              <w:ind w:left="400"/>
              <w:spacing w:after="0"/>
              <w:rPr>
                <w:sz w:val="20"/>
                <w:szCs w:val="20"/>
                <w:color w:val="auto"/>
              </w:rPr>
            </w:pPr>
            <w:r>
              <w:rPr>
                <w:rFonts w:ascii="Arial" w:cs="Arial" w:eastAsia="Arial" w:hAnsi="Arial"/>
                <w:sz w:val="13"/>
                <w:szCs w:val="13"/>
                <w:color w:val="auto"/>
              </w:rPr>
              <w:t>7,171,846 units</w:t>
            </w:r>
          </w:p>
        </w:tc>
        <w:tc>
          <w:tcPr>
            <w:tcW w:w="1580" w:type="dxa"/>
            <w:vAlign w:val="bottom"/>
          </w:tcPr>
          <w:p>
            <w:pPr>
              <w:jc w:val="right"/>
              <w:ind w:right="533"/>
              <w:spacing w:after="0"/>
              <w:rPr>
                <w:sz w:val="20"/>
                <w:szCs w:val="20"/>
                <w:color w:val="auto"/>
              </w:rPr>
            </w:pPr>
            <w:r>
              <w:rPr>
                <w:rFonts w:ascii="Arial" w:cs="Arial" w:eastAsia="Arial" w:hAnsi="Arial"/>
                <w:sz w:val="13"/>
                <w:szCs w:val="13"/>
                <w:color w:val="auto"/>
              </w:rPr>
              <w:t>93,440,689</w:t>
            </w:r>
          </w:p>
        </w:tc>
        <w:tc>
          <w:tcPr>
            <w:tcW w:w="1560" w:type="dxa"/>
            <w:vAlign w:val="bottom"/>
          </w:tcPr>
          <w:p>
            <w:pPr>
              <w:jc w:val="right"/>
              <w:ind w:right="133"/>
              <w:spacing w:after="0"/>
              <w:rPr>
                <w:sz w:val="20"/>
                <w:szCs w:val="20"/>
                <w:color w:val="auto"/>
              </w:rPr>
            </w:pPr>
            <w:r>
              <w:rPr>
                <w:rFonts w:ascii="Arial" w:cs="Arial" w:eastAsia="Arial" w:hAnsi="Arial"/>
                <w:sz w:val="13"/>
                <w:szCs w:val="13"/>
                <w:color w:val="auto"/>
              </w:rPr>
              <w:t>100,214,360</w:t>
            </w:r>
          </w:p>
        </w:tc>
      </w:tr>
      <w:tr>
        <w:trPr>
          <w:trHeight w:val="161"/>
        </w:trPr>
        <w:tc>
          <w:tcPr>
            <w:tcW w:w="3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JPMC GT JPMFAM INTL UNIT</w:t>
            </w:r>
          </w:p>
        </w:tc>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41,906,475 units</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347,566,222</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429,373,745</w:t>
            </w:r>
          </w:p>
        </w:tc>
      </w:tr>
      <w:tr>
        <w:trPr>
          <w:trHeight w:val="161"/>
        </w:trPr>
        <w:tc>
          <w:tcPr>
            <w:tcW w:w="3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tcPr>
          <w:p>
            <w:pPr>
              <w:ind w:left="280"/>
              <w:spacing w:after="0"/>
              <w:rPr>
                <w:sz w:val="20"/>
                <w:szCs w:val="20"/>
                <w:color w:val="auto"/>
              </w:rPr>
            </w:pPr>
            <w:r>
              <w:rPr>
                <w:rFonts w:ascii="Arial" w:cs="Arial" w:eastAsia="Arial" w:hAnsi="Arial"/>
                <w:sz w:val="13"/>
                <w:szCs w:val="13"/>
                <w:color w:val="auto"/>
              </w:rPr>
              <w:t>JPMC GT MACKAY SHIELDS UNIT</w:t>
            </w:r>
          </w:p>
        </w:tc>
        <w:tc>
          <w:tcPr>
            <w:tcW w:w="4320" w:type="dxa"/>
            <w:vAlign w:val="bottom"/>
          </w:tcPr>
          <w:p>
            <w:pPr>
              <w:ind w:left="400"/>
              <w:spacing w:after="0"/>
              <w:rPr>
                <w:sz w:val="20"/>
                <w:szCs w:val="20"/>
                <w:color w:val="auto"/>
              </w:rPr>
            </w:pPr>
            <w:r>
              <w:rPr>
                <w:rFonts w:ascii="Arial" w:cs="Arial" w:eastAsia="Arial" w:hAnsi="Arial"/>
                <w:sz w:val="13"/>
                <w:szCs w:val="13"/>
                <w:color w:val="auto"/>
              </w:rPr>
              <w:t>8,642,831 units</w:t>
            </w:r>
          </w:p>
        </w:tc>
        <w:tc>
          <w:tcPr>
            <w:tcW w:w="1580" w:type="dxa"/>
            <w:vAlign w:val="bottom"/>
          </w:tcPr>
          <w:p>
            <w:pPr>
              <w:jc w:val="right"/>
              <w:ind w:right="533"/>
              <w:spacing w:after="0"/>
              <w:rPr>
                <w:sz w:val="20"/>
                <w:szCs w:val="20"/>
                <w:color w:val="auto"/>
              </w:rPr>
            </w:pPr>
            <w:r>
              <w:rPr>
                <w:rFonts w:ascii="Arial" w:cs="Arial" w:eastAsia="Arial" w:hAnsi="Arial"/>
                <w:sz w:val="13"/>
                <w:szCs w:val="13"/>
                <w:color w:val="auto"/>
              </w:rPr>
              <w:t>122,854,480</w:t>
            </w:r>
          </w:p>
        </w:tc>
        <w:tc>
          <w:tcPr>
            <w:tcW w:w="1560" w:type="dxa"/>
            <w:vAlign w:val="bottom"/>
          </w:tcPr>
          <w:p>
            <w:pPr>
              <w:jc w:val="right"/>
              <w:ind w:right="133"/>
              <w:spacing w:after="0"/>
              <w:rPr>
                <w:sz w:val="20"/>
                <w:szCs w:val="20"/>
                <w:color w:val="auto"/>
              </w:rPr>
            </w:pPr>
            <w:r>
              <w:rPr>
                <w:rFonts w:ascii="Arial" w:cs="Arial" w:eastAsia="Arial" w:hAnsi="Arial"/>
                <w:sz w:val="13"/>
                <w:szCs w:val="13"/>
                <w:color w:val="auto"/>
              </w:rPr>
              <w:t>144,319,714</w:t>
            </w:r>
          </w:p>
        </w:tc>
      </w:tr>
      <w:tr>
        <w:trPr>
          <w:trHeight w:val="161"/>
        </w:trPr>
        <w:tc>
          <w:tcPr>
            <w:tcW w:w="3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JPMC GT WESTERN ASSET GIP UNIT</w:t>
            </w:r>
          </w:p>
        </w:tc>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6,819,518 units</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71,793,589</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74,096,114</w:t>
            </w:r>
          </w:p>
        </w:tc>
      </w:tr>
      <w:tr>
        <w:trPr>
          <w:trHeight w:val="161"/>
        </w:trPr>
        <w:tc>
          <w:tcPr>
            <w:tcW w:w="3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40" w:type="dxa"/>
            <w:vAlign w:val="bottom"/>
          </w:tcPr>
          <w:p>
            <w:pPr>
              <w:ind w:left="280"/>
              <w:spacing w:after="0"/>
              <w:rPr>
                <w:sz w:val="20"/>
                <w:szCs w:val="20"/>
                <w:color w:val="auto"/>
              </w:rPr>
            </w:pPr>
            <w:r>
              <w:rPr>
                <w:rFonts w:ascii="Arial" w:cs="Arial" w:eastAsia="Arial" w:hAnsi="Arial"/>
                <w:sz w:val="13"/>
                <w:szCs w:val="13"/>
                <w:color w:val="auto"/>
              </w:rPr>
              <w:t>JPMC GT WESTERN ASSET UNIT</w:t>
            </w:r>
          </w:p>
        </w:tc>
        <w:tc>
          <w:tcPr>
            <w:tcW w:w="4320" w:type="dxa"/>
            <w:vAlign w:val="bottom"/>
          </w:tcPr>
          <w:p>
            <w:pPr>
              <w:ind w:left="400"/>
              <w:spacing w:after="0"/>
              <w:rPr>
                <w:sz w:val="20"/>
                <w:szCs w:val="20"/>
                <w:color w:val="auto"/>
              </w:rPr>
            </w:pPr>
            <w:r>
              <w:rPr>
                <w:rFonts w:ascii="Arial" w:cs="Arial" w:eastAsia="Arial" w:hAnsi="Arial"/>
                <w:sz w:val="13"/>
                <w:szCs w:val="13"/>
                <w:color w:val="auto"/>
              </w:rPr>
              <w:t>31,149,216 units</w:t>
            </w:r>
          </w:p>
        </w:tc>
        <w:tc>
          <w:tcPr>
            <w:tcW w:w="158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447,392,391</w:t>
            </w: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475,667,224</w:t>
            </w:r>
          </w:p>
        </w:tc>
      </w:tr>
      <w:tr>
        <w:trPr>
          <w:trHeight w:val="162"/>
        </w:trPr>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1"/>
        </w:trPr>
        <w:tc>
          <w:tcPr>
            <w:tcW w:w="360" w:type="dxa"/>
            <w:vAlign w:val="bottom"/>
            <w:shd w:val="clear" w:color="auto" w:fill="CCEEFF"/>
          </w:tcPr>
          <w:p>
            <w:pPr>
              <w:spacing w:after="0"/>
              <w:rPr>
                <w:sz w:val="14"/>
                <w:szCs w:val="14"/>
                <w:color w:val="auto"/>
              </w:rPr>
            </w:pPr>
          </w:p>
        </w:tc>
        <w:tc>
          <w:tcPr>
            <w:tcW w:w="3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Master Trust Funds</w:t>
            </w:r>
          </w:p>
        </w:tc>
        <w:tc>
          <w:tcPr>
            <w:tcW w:w="432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rPr>
              <w:t>1,468,734,136</w:t>
            </w: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1,674,192,269</w:t>
            </w:r>
          </w:p>
        </w:tc>
      </w:tr>
      <w:tr>
        <w:trPr>
          <w:trHeight w:val="302"/>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320" w:type="dxa"/>
            <w:vAlign w:val="bottom"/>
          </w:tcPr>
          <w:p>
            <w:pPr>
              <w:ind w:left="1660"/>
              <w:spacing w:after="0"/>
              <w:rPr>
                <w:sz w:val="20"/>
                <w:szCs w:val="20"/>
                <w:color w:val="auto"/>
              </w:rPr>
            </w:pPr>
            <w:r>
              <w:rPr>
                <w:rFonts w:ascii="Arial" w:cs="Arial" w:eastAsia="Arial" w:hAnsi="Arial"/>
                <w:sz w:val="13"/>
                <w:szCs w:val="13"/>
                <w:color w:val="auto"/>
              </w:rPr>
              <w:t>27</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36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 Cost</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(e) Current Value</w:t>
            </w:r>
          </w:p>
        </w:tc>
        <w:tc>
          <w:tcPr>
            <w:tcW w:w="24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100" w:type="dxa"/>
            <w:vAlign w:val="bottom"/>
            <w:gridSpan w:val="2"/>
          </w:tcPr>
          <w:p>
            <w:pPr>
              <w:ind w:left="320"/>
              <w:spacing w:after="0"/>
              <w:rPr>
                <w:sz w:val="20"/>
                <w:szCs w:val="20"/>
                <w:color w:val="auto"/>
              </w:rPr>
            </w:pPr>
            <w:r>
              <w:rPr>
                <w:rFonts w:ascii="Arial" w:cs="Arial" w:eastAsia="Arial" w:hAnsi="Arial"/>
                <w:sz w:val="13"/>
                <w:szCs w:val="13"/>
                <w:b w:val="1"/>
                <w:bCs w:val="1"/>
                <w:color w:val="auto"/>
              </w:rPr>
              <w:t>Corporate Debt Instruments:</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AB SPINTAB SWED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03/02/2006,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1,985,533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1,985,533</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ABFC 05-WF1 A2A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4.46%, 4/27/07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66,476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66,476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ALLSTATE LIFE GLOBAL FUNDING</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4.37%, 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293,238</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293,238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ALTAMIRA FUNDING LLC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03/03/2006, 1,994,000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1,979,032</w:t>
            </w:r>
          </w:p>
        </w:tc>
        <w:tc>
          <w:tcPr>
            <w:tcW w:w="1360" w:type="dxa"/>
            <w:vAlign w:val="bottom"/>
          </w:tcPr>
          <w:p>
            <w:pPr>
              <w:jc w:val="right"/>
              <w:spacing w:after="0"/>
              <w:rPr>
                <w:sz w:val="20"/>
                <w:szCs w:val="20"/>
                <w:color w:val="auto"/>
              </w:rPr>
            </w:pPr>
            <w:r>
              <w:rPr>
                <w:rFonts w:ascii="Arial" w:cs="Arial" w:eastAsia="Arial" w:hAnsi="Arial"/>
                <w:sz w:val="13"/>
                <w:szCs w:val="13"/>
                <w:color w:val="auto"/>
              </w:rPr>
              <w:t>1,979,032</w:t>
            </w:r>
          </w:p>
        </w:tc>
        <w:tc>
          <w:tcPr>
            <w:tcW w:w="240" w:type="dxa"/>
            <w:vAlign w:val="bottom"/>
          </w:tcPr>
          <w:p>
            <w:pPr>
              <w:spacing w:after="0"/>
              <w:rPr>
                <w:sz w:val="14"/>
                <w:szCs w:val="14"/>
                <w:color w:val="auto"/>
              </w:rPr>
            </w:pPr>
          </w:p>
        </w:tc>
      </w:tr>
      <w:tr>
        <w:trPr>
          <w:trHeight w:val="151"/>
        </w:trPr>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EXPRESS CREDIT ACCOUNT MASTER TRUST</w:t>
            </w:r>
          </w:p>
        </w:tc>
        <w:tc>
          <w:tcPr>
            <w:tcW w:w="2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72"/>
        </w:trPr>
        <w:tc>
          <w:tcPr>
            <w:tcW w:w="1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01-3</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FLOATING 10/15/2008,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2,001,983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2,000,581</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AMERICAN GENERAL FINANCE</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5.875% 07/14/2006, 500,000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506,100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502,963</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HONDA FINANCE CORP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03/07/2006, 5,000,000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5,001,664</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5,002,135</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AMERICAN HONDA FINANCE CORP</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4.46%, 3/08/07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1,832,741</w:t>
            </w:r>
          </w:p>
        </w:tc>
        <w:tc>
          <w:tcPr>
            <w:tcW w:w="1360" w:type="dxa"/>
            <w:vAlign w:val="bottom"/>
          </w:tcPr>
          <w:p>
            <w:pPr>
              <w:jc w:val="right"/>
              <w:spacing w:after="0"/>
              <w:rPr>
                <w:sz w:val="20"/>
                <w:szCs w:val="20"/>
                <w:color w:val="auto"/>
              </w:rPr>
            </w:pPr>
            <w:r>
              <w:rPr>
                <w:rFonts w:ascii="Arial" w:cs="Arial" w:eastAsia="Arial" w:hAnsi="Arial"/>
                <w:sz w:val="13"/>
                <w:szCs w:val="13"/>
                <w:color w:val="auto"/>
              </w:rPr>
              <w:t>1,832,741</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AMERICREDIT AUTO RECEIVABLES TRUST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4.460% 04/12/2009, 319,491</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324,115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319,202</w:t>
            </w: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AMERICREDIT AUTOMOBILE RECEIVABLES TRUST 1996-</w:t>
            </w: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3.100% 11/06/2009, 575,870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574,729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569,135</w:t>
            </w: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AMSI 2005-R2 A3A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4.48%, 3/26/07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111,711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111,711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AMSI 05-R4 A2A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4.46%, 5/25/07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13,871</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13,871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ANHEUSER BUSCH COS INC NT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5.600% 07/06/2006, 1,500,000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1,513,440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1,503,795</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ANZ DEL INC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02/22/2006, 1,500,000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1,490,640</w:t>
            </w:r>
          </w:p>
        </w:tc>
        <w:tc>
          <w:tcPr>
            <w:tcW w:w="1360" w:type="dxa"/>
            <w:vAlign w:val="bottom"/>
          </w:tcPr>
          <w:p>
            <w:pPr>
              <w:jc w:val="right"/>
              <w:spacing w:after="0"/>
              <w:rPr>
                <w:sz w:val="20"/>
                <w:szCs w:val="20"/>
                <w:color w:val="auto"/>
              </w:rPr>
            </w:pPr>
            <w:r>
              <w:rPr>
                <w:rFonts w:ascii="Arial" w:cs="Arial" w:eastAsia="Arial" w:hAnsi="Arial"/>
                <w:sz w:val="13"/>
                <w:szCs w:val="13"/>
                <w:color w:val="auto"/>
              </w:rPr>
              <w:t>1,490,640</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ANZ DEL INC DISC COML PAPER 3/A3 YRS 3&amp;4</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02/24/2006, 12,000,000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11,922,960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11,922,960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ANZ NATIONAL (INTL) LTD</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4.31%, 1/30/07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733,096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733,096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APRECO ZCP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04/17/2006,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1,973,853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1,973,853</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AQUINAS FUNDING LLC DISC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01/23/2006, 3,900,000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3,890,025</w:t>
            </w:r>
          </w:p>
        </w:tc>
        <w:tc>
          <w:tcPr>
            <w:tcW w:w="1360" w:type="dxa"/>
            <w:vAlign w:val="bottom"/>
          </w:tcPr>
          <w:p>
            <w:pPr>
              <w:jc w:val="right"/>
              <w:spacing w:after="0"/>
              <w:rPr>
                <w:sz w:val="20"/>
                <w:szCs w:val="20"/>
                <w:color w:val="auto"/>
              </w:rPr>
            </w:pPr>
            <w:r>
              <w:rPr>
                <w:rFonts w:ascii="Arial" w:cs="Arial" w:eastAsia="Arial" w:hAnsi="Arial"/>
                <w:sz w:val="13"/>
                <w:szCs w:val="13"/>
                <w:color w:val="auto"/>
              </w:rPr>
              <w:t>3,890,025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ASIF GLOBAL FINANCING XXII FLTG RTE NTS</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05/30/2006, 6,000,000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6,001,311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6,003,762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ASIF GLOBAL FUNDING XV</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4.51%, 12/11/06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1,222,379</w:t>
            </w:r>
          </w:p>
        </w:tc>
        <w:tc>
          <w:tcPr>
            <w:tcW w:w="1360" w:type="dxa"/>
            <w:vAlign w:val="bottom"/>
          </w:tcPr>
          <w:p>
            <w:pPr>
              <w:jc w:val="right"/>
              <w:spacing w:after="0"/>
              <w:rPr>
                <w:sz w:val="20"/>
                <w:szCs w:val="20"/>
                <w:color w:val="auto"/>
              </w:rPr>
            </w:pPr>
            <w:r>
              <w:rPr>
                <w:rFonts w:ascii="Arial" w:cs="Arial" w:eastAsia="Arial" w:hAnsi="Arial"/>
                <w:sz w:val="13"/>
                <w:szCs w:val="13"/>
                <w:color w:val="auto"/>
              </w:rPr>
              <w:t>1,222,379</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ASIF GLOBAL FUNDING XV</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4.40%, 12/11/06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244,605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244,605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AT&amp;T INC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5.750% 05/02/2006, 1,900,000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1,915,142</w:t>
            </w:r>
          </w:p>
        </w:tc>
        <w:tc>
          <w:tcPr>
            <w:tcW w:w="1360" w:type="dxa"/>
            <w:vAlign w:val="bottom"/>
          </w:tcPr>
          <w:p>
            <w:pPr>
              <w:jc w:val="right"/>
              <w:spacing w:after="0"/>
              <w:rPr>
                <w:sz w:val="20"/>
                <w:szCs w:val="20"/>
                <w:color w:val="auto"/>
              </w:rPr>
            </w:pPr>
            <w:r>
              <w:rPr>
                <w:rFonts w:ascii="Arial" w:cs="Arial" w:eastAsia="Arial" w:hAnsi="Arial"/>
                <w:sz w:val="13"/>
                <w:szCs w:val="13"/>
                <w:color w:val="auto"/>
              </w:rPr>
              <w:t>1,904,805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ATLANTIS ONE FDG CORP04915UB65</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02/06/2006, 4,400,000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4,382,928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4,382,928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ATLANTIS ONE FDG CORP DISCOUNTED</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02/09/2006, 9,000,000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8,958,953</w:t>
            </w:r>
          </w:p>
        </w:tc>
        <w:tc>
          <w:tcPr>
            <w:tcW w:w="1360" w:type="dxa"/>
            <w:vAlign w:val="bottom"/>
          </w:tcPr>
          <w:p>
            <w:pPr>
              <w:jc w:val="right"/>
              <w:spacing w:after="0"/>
              <w:rPr>
                <w:sz w:val="20"/>
                <w:szCs w:val="20"/>
                <w:color w:val="auto"/>
              </w:rPr>
            </w:pPr>
            <w:r>
              <w:rPr>
                <w:rFonts w:ascii="Arial" w:cs="Arial" w:eastAsia="Arial" w:hAnsi="Arial"/>
                <w:sz w:val="13"/>
                <w:szCs w:val="13"/>
                <w:color w:val="auto"/>
              </w:rPr>
              <w:t>8,958,952</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BANC OF AMERICA SECURIIES AUTO TRUST 2005-WF1</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3.505% 07/18/2006, 515,019</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515,019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514,663</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BANC OF AMERICA SECURIIES LLC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4.10%, 1/03/06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BANKBOSTON NA</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7.375% 09/15/2006, 500,000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511,784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508,381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BANQUE GENERALE DU L CORPORATE CMMRCL PPR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02/09/2006, 3,500,000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3,483,885</w:t>
            </w:r>
          </w:p>
        </w:tc>
        <w:tc>
          <w:tcPr>
            <w:tcW w:w="1360" w:type="dxa"/>
            <w:vAlign w:val="bottom"/>
          </w:tcPr>
          <w:p>
            <w:pPr>
              <w:jc w:val="right"/>
              <w:spacing w:after="0"/>
              <w:rPr>
                <w:sz w:val="20"/>
                <w:szCs w:val="20"/>
                <w:color w:val="auto"/>
              </w:rPr>
            </w:pPr>
            <w:r>
              <w:rPr>
                <w:rFonts w:ascii="Arial" w:cs="Arial" w:eastAsia="Arial" w:hAnsi="Arial"/>
                <w:sz w:val="13"/>
                <w:szCs w:val="13"/>
                <w:color w:val="auto"/>
              </w:rPr>
              <w:t>3,483,885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BARTON CAPITAL CORP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01/10/2006,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1,998,000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1,998,000</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BCAINTESABCI LN</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4.24%, 2/01/06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BEAR STEARNS COS.INC FR MTN</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02/23/2006, 8,200,000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8,200,430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8,199,647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BETA FINANCE INC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4.31%, 3/10/06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97,744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97,744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BNP PARIBAS FIN INC CORPORATE CMMRCL PPR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03/16/2006, 13,000,000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12,883,358</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12,883,358</w:t>
            </w: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CAFCO LLC CORPORATE COMMERCIAL PAPER</w:t>
            </w: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DISCOUNT DTD</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01/26/2006, 7,150,000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7,128,997</w:t>
            </w:r>
          </w:p>
        </w:tc>
        <w:tc>
          <w:tcPr>
            <w:tcW w:w="1360" w:type="dxa"/>
            <w:vAlign w:val="bottom"/>
          </w:tcPr>
          <w:p>
            <w:pPr>
              <w:jc w:val="right"/>
              <w:spacing w:after="0"/>
              <w:rPr>
                <w:sz w:val="20"/>
                <w:szCs w:val="20"/>
                <w:color w:val="auto"/>
              </w:rPr>
            </w:pPr>
            <w:r>
              <w:rPr>
                <w:rFonts w:ascii="Arial" w:cs="Arial" w:eastAsia="Arial" w:hAnsi="Arial"/>
                <w:sz w:val="13"/>
                <w:szCs w:val="13"/>
                <w:color w:val="auto"/>
              </w:rPr>
              <w:t>7,128,997</w:t>
            </w:r>
          </w:p>
        </w:tc>
        <w:tc>
          <w:tcPr>
            <w:tcW w:w="240" w:type="dxa"/>
            <w:vAlign w:val="bottom"/>
          </w:tcPr>
          <w:p>
            <w:pPr>
              <w:spacing w:after="0"/>
              <w:rPr>
                <w:sz w:val="14"/>
                <w:szCs w:val="1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CALYON, LDN</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4.20%, 2/21/06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ind w:left="1380"/>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 Cost</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(e) Current Value</w:t>
            </w:r>
          </w:p>
        </w:tc>
        <w:tc>
          <w:tcPr>
            <w:tcW w:w="24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100" w:type="dxa"/>
            <w:vAlign w:val="bottom"/>
            <w:gridSpan w:val="2"/>
          </w:tcPr>
          <w:p>
            <w:pPr>
              <w:ind w:left="320"/>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CALYON NORTH AMERICA I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01/31/2006,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1,993,200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1,993,200</w:t>
            </w:r>
          </w:p>
        </w:tc>
        <w:tc>
          <w:tcPr>
            <w:tcW w:w="240" w:type="dxa"/>
            <w:vAlign w:val="bottom"/>
            <w:shd w:val="clear" w:color="auto" w:fill="CCEEFF"/>
          </w:tcPr>
          <w:p>
            <w:pPr>
              <w:spacing w:after="0"/>
              <w:rPr>
                <w:sz w:val="14"/>
                <w:szCs w:val="14"/>
                <w:color w:val="auto"/>
              </w:rPr>
            </w:pP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CALYON NORTH AMERICA I CORPORATE COMMERCIAL</w:t>
            </w: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02/01/2006, 2,700,000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2,690,235</w:t>
            </w:r>
          </w:p>
        </w:tc>
        <w:tc>
          <w:tcPr>
            <w:tcW w:w="1360" w:type="dxa"/>
            <w:vAlign w:val="bottom"/>
          </w:tcPr>
          <w:p>
            <w:pPr>
              <w:jc w:val="right"/>
              <w:spacing w:after="0"/>
              <w:rPr>
                <w:sz w:val="20"/>
                <w:szCs w:val="20"/>
                <w:color w:val="auto"/>
              </w:rPr>
            </w:pPr>
            <w:r>
              <w:rPr>
                <w:rFonts w:ascii="Arial" w:cs="Arial" w:eastAsia="Arial" w:hAnsi="Arial"/>
                <w:sz w:val="13"/>
                <w:szCs w:val="13"/>
                <w:color w:val="auto"/>
              </w:rPr>
              <w:t>2,690,235</w:t>
            </w:r>
          </w:p>
        </w:tc>
        <w:tc>
          <w:tcPr>
            <w:tcW w:w="240" w:type="dxa"/>
            <w:vAlign w:val="bottom"/>
          </w:tcPr>
          <w:p>
            <w:pPr>
              <w:spacing w:after="0"/>
              <w:rPr>
                <w:sz w:val="14"/>
                <w:szCs w:val="1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IMPERIAL BANK NY</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4.35%, 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2,810,203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2,810,203</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CANTOR FITZGERALD SECURITIES</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4.23%, 1/03/06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1,534,175</w:t>
            </w:r>
          </w:p>
        </w:tc>
        <w:tc>
          <w:tcPr>
            <w:tcW w:w="1360" w:type="dxa"/>
            <w:vAlign w:val="bottom"/>
          </w:tcPr>
          <w:p>
            <w:pPr>
              <w:jc w:val="right"/>
              <w:spacing w:after="0"/>
              <w:rPr>
                <w:sz w:val="20"/>
                <w:szCs w:val="20"/>
                <w:color w:val="auto"/>
              </w:rPr>
            </w:pPr>
            <w:r>
              <w:rPr>
                <w:rFonts w:ascii="Arial" w:cs="Arial" w:eastAsia="Arial" w:hAnsi="Arial"/>
                <w:sz w:val="13"/>
                <w:szCs w:val="13"/>
                <w:color w:val="auto"/>
              </w:rPr>
              <w:t>1,534,175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AUTO RECEIVABLES ASSET TRUST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3.580% 10/16/2006, 214,007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214,504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213,820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CAPITAL ONE MULTI ASSET EXECUTION TRUST VAR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FLOATING 01/15/2009,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2,004,474</w:t>
            </w:r>
          </w:p>
        </w:tc>
        <w:tc>
          <w:tcPr>
            <w:tcW w:w="1360" w:type="dxa"/>
            <w:vAlign w:val="bottom"/>
          </w:tcPr>
          <w:p>
            <w:pPr>
              <w:jc w:val="right"/>
              <w:spacing w:after="0"/>
              <w:rPr>
                <w:sz w:val="20"/>
                <w:szCs w:val="20"/>
                <w:color w:val="auto"/>
              </w:rPr>
            </w:pPr>
            <w:r>
              <w:rPr>
                <w:rFonts w:ascii="Arial" w:cs="Arial" w:eastAsia="Arial" w:hAnsi="Arial"/>
                <w:sz w:val="13"/>
                <w:szCs w:val="13"/>
                <w:color w:val="auto"/>
              </w:rPr>
              <w:t>2,001,657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CARMAX AUTO OWNER TRUST 2003-2 CL A3</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2.360% 10/15/2007, 1,023,655</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1,017,742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1,018,070</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CARMAX AUTO OWNER TRUST SER 2005-1 CL A</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3.780% 02/15/2008, 952,391</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949,018</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948,894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CARR 05-OPT2</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5/04/07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147,477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147,477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CDC FINANCIAL PROD INC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4.35%, 1/30/06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51"/>
        </w:trPr>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CHARTA, LLC CORPORATE COMMERCIAL PAPER</w:t>
            </w:r>
          </w:p>
        </w:tc>
        <w:tc>
          <w:tcPr>
            <w:tcW w:w="2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7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DISCOUNT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01/31/2006, 11,250,000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11,209,594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11,209,594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CHEYNE HIGH GRADE ABS CDO I</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4.38%, 11/10/06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2,443,655</w:t>
            </w:r>
          </w:p>
        </w:tc>
        <w:tc>
          <w:tcPr>
            <w:tcW w:w="1360" w:type="dxa"/>
            <w:vAlign w:val="bottom"/>
          </w:tcPr>
          <w:p>
            <w:pPr>
              <w:jc w:val="right"/>
              <w:spacing w:after="0"/>
              <w:rPr>
                <w:sz w:val="20"/>
                <w:szCs w:val="20"/>
                <w:color w:val="auto"/>
              </w:rPr>
            </w:pPr>
            <w:r>
              <w:rPr>
                <w:rFonts w:ascii="Arial" w:cs="Arial" w:eastAsia="Arial" w:hAnsi="Arial"/>
                <w:sz w:val="13"/>
                <w:szCs w:val="13"/>
                <w:color w:val="auto"/>
              </w:rPr>
              <w:t>2,443,655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CIT GROUP INC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2.875% 09/29/2006, 6,000,000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5,950,400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5,916,678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CIT GROUP INC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4.125% 02/21/2006,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2,002,549</w:t>
            </w:r>
          </w:p>
        </w:tc>
        <w:tc>
          <w:tcPr>
            <w:tcW w:w="1360" w:type="dxa"/>
            <w:vAlign w:val="bottom"/>
          </w:tcPr>
          <w:p>
            <w:pPr>
              <w:jc w:val="right"/>
              <w:spacing w:after="0"/>
              <w:rPr>
                <w:sz w:val="20"/>
                <w:szCs w:val="20"/>
                <w:color w:val="auto"/>
              </w:rPr>
            </w:pPr>
            <w:r>
              <w:rPr>
                <w:rFonts w:ascii="Arial" w:cs="Arial" w:eastAsia="Arial" w:hAnsi="Arial"/>
                <w:sz w:val="13"/>
                <w:szCs w:val="13"/>
                <w:color w:val="auto"/>
              </w:rPr>
              <w:t>1,999,164</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CITIBANK CREDIT CARD ISSUANCE TRUST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2.700% 01/15/2008, 1,805,000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1,799,055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1,803,595</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CITIGROUP GLOBAL MARKETS HLDGS INC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5.875% 03/15/2006, 4,000,000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4,020,237</w:t>
            </w:r>
          </w:p>
        </w:tc>
        <w:tc>
          <w:tcPr>
            <w:tcW w:w="1360" w:type="dxa"/>
            <w:vAlign w:val="bottom"/>
          </w:tcPr>
          <w:p>
            <w:pPr>
              <w:jc w:val="right"/>
              <w:spacing w:after="0"/>
              <w:rPr>
                <w:sz w:val="20"/>
                <w:szCs w:val="20"/>
                <w:color w:val="auto"/>
              </w:rPr>
            </w:pPr>
            <w:r>
              <w:rPr>
                <w:rFonts w:ascii="Arial" w:cs="Arial" w:eastAsia="Arial" w:hAnsi="Arial"/>
                <w:sz w:val="13"/>
                <w:szCs w:val="13"/>
                <w:color w:val="auto"/>
              </w:rPr>
              <w:t>4,009,880</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CMLTI 2005-OPT1 SERIES A1A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4.69%, 2/08/07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126,864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126,864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CMLTI 2005-OPT3 A1A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4.47%, 7/06/07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108,295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108,295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COOP. ASSOC. TRACTOR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02/17/2006,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1,989,921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1,989,921</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COUNTRYWIDE SECURITIES</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4.0%, 1/03/06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AGRICOLE SA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4.04%, 1/05/06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244,365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244,365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CREDIT SUISSE FIRST BOSTON, NY</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4.37%, 3/29/07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SUISSE FIRST BOSTON USA INC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01/24/2006,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1,995,068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1,995,068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CREDIT SUISSE FIRST BOSTON(USA),INC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5.875% 08/01/2006,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2,022,475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2,011,782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SUISSE NY FRN</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03/27/2007, 2,300,000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2,300,000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2,300,382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CWL 2005-1 AF 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4.48%, 3/30/07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145,050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145,050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CWL 2005-3 3AV1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4.48%, 1/31/07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185,079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185,079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CWL 05 17 4AV1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4.49%, 12/28/07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268,802</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268,802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CWL 05 AB1 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4.48%, 1/31/07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139,535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139,535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DAVIS SQUARE II</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4.39%, 11/06/07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DEXIA CREDIT LOCAL NY CD 25213EFB0</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FLOATING 11/06/2006, 4,000,000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3,998,661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3,999,192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DEXIA DELAWARE LLC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03/13/2006, 11,000,000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10,905,048</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10,905,048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DNB NOR BANK ASA DISC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02/08/2006, 4,840,000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4,817,930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4,817,930</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DNB NOR BANK ASA ZCP</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02/03/2006, 450,000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448,218</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448,218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DRESDNER BANK AG</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 1/03/06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3,909,847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3,909,847</w:t>
            </w:r>
          </w:p>
        </w:tc>
        <w:tc>
          <w:tcPr>
            <w:tcW w:w="240" w:type="dxa"/>
            <w:vAlign w:val="bottom"/>
            <w:shd w:val="clear" w:color="auto" w:fill="CCEEFF"/>
          </w:tcPr>
          <w:p>
            <w:pPr>
              <w:spacing w:after="0"/>
              <w:rPr>
                <w:sz w:val="14"/>
                <w:szCs w:val="14"/>
                <w:color w:val="auto"/>
              </w:rPr>
            </w:pP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ind w:left="1380"/>
              <w:spacing w:after="0"/>
              <w:rPr>
                <w:sz w:val="20"/>
                <w:szCs w:val="20"/>
                <w:color w:val="auto"/>
              </w:rPr>
            </w:pPr>
            <w:r>
              <w:rPr>
                <w:rFonts w:ascii="Arial" w:cs="Arial" w:eastAsia="Arial" w:hAnsi="Arial"/>
                <w:sz w:val="13"/>
                <w:szCs w:val="13"/>
                <w:color w:val="auto"/>
              </w:rPr>
              <w:t>29</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 Cost</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(e) Current Value</w:t>
            </w:r>
          </w:p>
        </w:tc>
        <w:tc>
          <w:tcPr>
            <w:tcW w:w="24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100" w:type="dxa"/>
            <w:vAlign w:val="bottom"/>
            <w:gridSpan w:val="2"/>
          </w:tcPr>
          <w:p>
            <w:pPr>
              <w:ind w:left="320"/>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EDISON ASSET SECRITN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01/09/2006, 10,000,000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9,990,556</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9,990,556</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EUREKA SECURTZN INC.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01/17/2006, 9,300,000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9,282,775</w:t>
            </w:r>
          </w:p>
        </w:tc>
        <w:tc>
          <w:tcPr>
            <w:tcW w:w="1360" w:type="dxa"/>
            <w:vAlign w:val="bottom"/>
          </w:tcPr>
          <w:p>
            <w:pPr>
              <w:jc w:val="right"/>
              <w:spacing w:after="0"/>
              <w:rPr>
                <w:sz w:val="20"/>
                <w:szCs w:val="20"/>
                <w:color w:val="auto"/>
              </w:rPr>
            </w:pPr>
            <w:r>
              <w:rPr>
                <w:rFonts w:ascii="Arial" w:cs="Arial" w:eastAsia="Arial" w:hAnsi="Arial"/>
                <w:sz w:val="13"/>
                <w:szCs w:val="13"/>
                <w:color w:val="auto"/>
              </w:rPr>
              <w:t>9,282,775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FAIRWAY FIN CORP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01/09/2006,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1,998,222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1,998,222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FCAR OWNER TRUST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01/27/2006, 11,700,000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11,663,496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11,663,496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FFML 05 FF12A2A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12/28/07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FFMLT05 FF2 A2A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4.47%, 4/27/07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80,999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80,999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FIFTH THIRD BANCORP</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4.35%, 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318,089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318,089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FORTIS BANK, NEW YORK</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4.36%, 5/29/07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757,103</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757,103</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FORTIS BANK, NEW YORK</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3.970% 07/17/2006,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FRANKLIN AUTO TRUST 2003-2 A-3</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2.310% 01/15/2008, 161,098</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160,482</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160,888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 LIFE AND ANNUITY</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4.45%, 12/20/06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GE WMC 05-2 A2A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4.47%, 12/19/07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452,076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452,076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ELECTRIC CAPITAL</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4.39%, 6/01/06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GENERAL ELECTRIC CAPITAL</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4.47%, 1/02/07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ELECTRIC CAPITAL CORP</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4.39%, 3/29/06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GENERAL ELECTRIC CAPITAL CORP</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4.36%, 5/12/06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293,540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293,540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GOLDMAN SACHS GROUP INC MED TERM NTS</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7.200% 03/01/2007, 6,400,000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6,573,006</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6,570,816</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GOLDMAN SACHS GROUP, INC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4.35%, 1/02/07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GOLDMAN SACHS GROUP, INC</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4.32%, 12/31/07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GOLDMAN SACHS GROUP, INC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4.41%, 12/28/07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488,731</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488,731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GOLDMAN SACHS GROUP L P DISC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05/02/2006,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1,970,422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1,970,422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GOTHAM FDG CORP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04/25/2006,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1,972,133</w:t>
            </w:r>
          </w:p>
        </w:tc>
        <w:tc>
          <w:tcPr>
            <w:tcW w:w="1360" w:type="dxa"/>
            <w:vAlign w:val="bottom"/>
          </w:tcPr>
          <w:p>
            <w:pPr>
              <w:jc w:val="right"/>
              <w:spacing w:after="0"/>
              <w:rPr>
                <w:sz w:val="20"/>
                <w:szCs w:val="20"/>
                <w:color w:val="auto"/>
              </w:rPr>
            </w:pPr>
            <w:r>
              <w:rPr>
                <w:rFonts w:ascii="Arial" w:cs="Arial" w:eastAsia="Arial" w:hAnsi="Arial"/>
                <w:sz w:val="13"/>
                <w:szCs w:val="13"/>
                <w:color w:val="auto"/>
              </w:rPr>
              <w:t>1,972,133</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GREENWICH CAPITAL</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4.32%, 1/03/06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GREYHAWK FDG LLC DISC RESTRICTED</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05/22/2006,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1,965,455</w:t>
            </w:r>
          </w:p>
        </w:tc>
        <w:tc>
          <w:tcPr>
            <w:tcW w:w="1360" w:type="dxa"/>
            <w:vAlign w:val="bottom"/>
          </w:tcPr>
          <w:p>
            <w:pPr>
              <w:jc w:val="right"/>
              <w:spacing w:after="0"/>
              <w:rPr>
                <w:sz w:val="20"/>
                <w:szCs w:val="20"/>
                <w:color w:val="auto"/>
              </w:rPr>
            </w:pPr>
            <w:r>
              <w:rPr>
                <w:rFonts w:ascii="Arial" w:cs="Arial" w:eastAsia="Arial" w:hAnsi="Arial"/>
                <w:sz w:val="13"/>
                <w:szCs w:val="13"/>
                <w:color w:val="auto"/>
              </w:rPr>
              <w:t>1,965,455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GSAA 2005-5 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4/27/07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114,303</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114,303</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GSAA 2005-6 A-1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4.49%, 5/25/07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226,755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226,755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GSAMP 2005-HE2 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4.48%, 3/30/07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38,169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38,169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HANNOVER FDG CO. LLC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02/16/2006,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1,988,781</w:t>
            </w:r>
          </w:p>
        </w:tc>
        <w:tc>
          <w:tcPr>
            <w:tcW w:w="1360" w:type="dxa"/>
            <w:vAlign w:val="bottom"/>
          </w:tcPr>
          <w:p>
            <w:pPr>
              <w:jc w:val="right"/>
              <w:spacing w:after="0"/>
              <w:rPr>
                <w:sz w:val="20"/>
                <w:szCs w:val="20"/>
                <w:color w:val="auto"/>
              </w:rPr>
            </w:pPr>
            <w:r>
              <w:rPr>
                <w:rFonts w:ascii="Arial" w:cs="Arial" w:eastAsia="Arial" w:hAnsi="Arial"/>
                <w:sz w:val="13"/>
                <w:szCs w:val="13"/>
                <w:color w:val="auto"/>
              </w:rPr>
              <w:t>1,988,781</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HARLEY DAVIDSON MOTORCYCLE TRUST 01-3 A-2</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4.040% 10/15/2009, 561,385</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564,114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558,149</w:t>
            </w: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HARLEY-DAVIDSON MOTORCYCLE TRUST 2002-1 2002-1</w:t>
            </w: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A-2</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4.500% 01/15/2010, 189,554</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190,718</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189,314</w:t>
            </w: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HBOS TREASURY SERV P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02/21/2006, 10,000,000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9,939,508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9,939,508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HBOS TREASURY SERV PLC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01/26/2006, 3,400,000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3,389,894</w:t>
            </w:r>
          </w:p>
        </w:tc>
        <w:tc>
          <w:tcPr>
            <w:tcW w:w="1360" w:type="dxa"/>
            <w:vAlign w:val="bottom"/>
          </w:tcPr>
          <w:p>
            <w:pPr>
              <w:jc w:val="right"/>
              <w:spacing w:after="0"/>
              <w:rPr>
                <w:sz w:val="20"/>
                <w:szCs w:val="20"/>
                <w:color w:val="auto"/>
              </w:rPr>
            </w:pPr>
            <w:r>
              <w:rPr>
                <w:rFonts w:ascii="Arial" w:cs="Arial" w:eastAsia="Arial" w:hAnsi="Arial"/>
                <w:sz w:val="13"/>
                <w:szCs w:val="13"/>
                <w:color w:val="auto"/>
              </w:rPr>
              <w:t>3,389,894</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HEAT 2005-4 2A1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6/25/07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104,549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104,549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HEAT 2005-6 2A1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4.50%, 8/31/07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321,511</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321,511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HELLER FINANCIAL INC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6.375% 03/15/2006, 12,600,000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12,676,169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12,642,601</w:t>
            </w: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ind w:left="1380"/>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 Cost</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(e) Current Value</w:t>
            </w:r>
          </w:p>
        </w:tc>
        <w:tc>
          <w:tcPr>
            <w:tcW w:w="24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100" w:type="dxa"/>
            <w:vAlign w:val="bottom"/>
            <w:gridSpan w:val="2"/>
          </w:tcPr>
          <w:p>
            <w:pPr>
              <w:ind w:left="320"/>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HONDA AUTO REC. OWNER TR 2005-4 A1</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3.827% 08/21/2006, 483,952</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483,952</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483,419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HOUSEHOLD AUTOMOTIVE TRUST 01-3 A-4</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4.370% 12/17/2008, 616,325</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623,632</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614,935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HSBC BANK CANADA TORONTO</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4.56%, 5/22/06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HSBC FINANCE CORP</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6.500% 01/24/2006, 4,000,000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4,008,766</w:t>
            </w:r>
          </w:p>
        </w:tc>
        <w:tc>
          <w:tcPr>
            <w:tcW w:w="1360" w:type="dxa"/>
            <w:vAlign w:val="bottom"/>
          </w:tcPr>
          <w:p>
            <w:pPr>
              <w:jc w:val="right"/>
              <w:spacing w:after="0"/>
              <w:rPr>
                <w:sz w:val="20"/>
                <w:szCs w:val="20"/>
                <w:color w:val="auto"/>
              </w:rPr>
            </w:pPr>
            <w:r>
              <w:rPr>
                <w:rFonts w:ascii="Arial" w:cs="Arial" w:eastAsia="Arial" w:hAnsi="Arial"/>
                <w:sz w:val="13"/>
                <w:szCs w:val="13"/>
                <w:color w:val="auto"/>
              </w:rPr>
              <w:t>4,003,980</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HSBC FINANCE CORP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7.875% 03/01/2007, 2,500,000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2,585,523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2,580,612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HYUNDAI AUTO RECEICEVABLES TRUST</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2.800% 02/15/2007, 115,556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115,440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115,460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IKON RECEIVABLES LLC 2003-1 CL A3B</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2.330% 12/17/2007, 343,067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341,575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341,911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ING (US) FUNDING LLC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01/09/2006, 10,100,000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10,090,439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10,090,439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ING AMER HLDGS INC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01/09/2006,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1,998,209</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1,998,209</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ING USA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4.26%, 1/24/06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659,787</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659,787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 LEASE FIN CORP DISC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03/31/2006,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1,980,865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1,980,865</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INTESA FUNDING LLC</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4.20%, 1/10/06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363,955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363,955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INTESA FUNDING LLC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02/01/2006, 7,150,000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7,124,018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7,124,018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ISLANDSBANKI HF CORP</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4.42%, 1/30/07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488,731</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488,731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JACKSON NATIONAL LIFE</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4.43%, 4/11/06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KAUPTHING BANK HF</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4.43%, 1/30/07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1,160,736</w:t>
            </w:r>
          </w:p>
        </w:tc>
        <w:tc>
          <w:tcPr>
            <w:tcW w:w="1360" w:type="dxa"/>
            <w:vAlign w:val="bottom"/>
          </w:tcPr>
          <w:p>
            <w:pPr>
              <w:jc w:val="right"/>
              <w:spacing w:after="0"/>
              <w:rPr>
                <w:sz w:val="20"/>
                <w:szCs w:val="20"/>
                <w:color w:val="auto"/>
              </w:rPr>
            </w:pPr>
            <w:r>
              <w:rPr>
                <w:rFonts w:ascii="Arial" w:cs="Arial" w:eastAsia="Arial" w:hAnsi="Arial"/>
                <w:sz w:val="13"/>
                <w:szCs w:val="13"/>
                <w:color w:val="auto"/>
              </w:rPr>
              <w:t>1,160,736</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KITTYHAWK FUNDING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01/17/2006,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1,996,178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1,996,178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LANDESBANK HESSEN THUR</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4.53%, 3/31/06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610,822</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610,822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LANDSBANK ISLANDS HF</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4.45%, 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733,096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733,096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LANDESBK BADEN-WUERTTEMBERG</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4.52%, 3/29/06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1,221,662</w:t>
            </w:r>
          </w:p>
        </w:tc>
        <w:tc>
          <w:tcPr>
            <w:tcW w:w="1360" w:type="dxa"/>
            <w:vAlign w:val="bottom"/>
          </w:tcPr>
          <w:p>
            <w:pPr>
              <w:jc w:val="right"/>
              <w:spacing w:after="0"/>
              <w:rPr>
                <w:sz w:val="20"/>
                <w:szCs w:val="20"/>
                <w:color w:val="auto"/>
              </w:rPr>
            </w:pPr>
            <w:r>
              <w:rPr>
                <w:rFonts w:ascii="Arial" w:cs="Arial" w:eastAsia="Arial" w:hAnsi="Arial"/>
                <w:sz w:val="13"/>
                <w:szCs w:val="13"/>
                <w:color w:val="auto"/>
              </w:rPr>
              <w:t>1,221,662</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LBMLT 2005-2 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4.46%, 4/5/07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174,177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174,177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LLOYDS BK PLC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01/30/2006, 13,000,000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12,955,179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12,955,179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 BEACH ACCEPTANCE AUTO RECEIVABLES TRUST</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3.983% 03/15/2009, 1,129,934</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1,131,549</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1,127,151</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LONG LANE MASTER TR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01/12/2006,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1,997,659</w:t>
            </w:r>
          </w:p>
        </w:tc>
        <w:tc>
          <w:tcPr>
            <w:tcW w:w="1360" w:type="dxa"/>
            <w:vAlign w:val="bottom"/>
          </w:tcPr>
          <w:p>
            <w:pPr>
              <w:jc w:val="right"/>
              <w:spacing w:after="0"/>
              <w:rPr>
                <w:sz w:val="20"/>
                <w:szCs w:val="20"/>
                <w:color w:val="auto"/>
              </w:rPr>
            </w:pPr>
            <w:r>
              <w:rPr>
                <w:rFonts w:ascii="Arial" w:cs="Arial" w:eastAsia="Arial" w:hAnsi="Arial"/>
                <w:sz w:val="13"/>
                <w:szCs w:val="13"/>
                <w:color w:val="auto"/>
              </w:rPr>
              <w:t>1,997,659</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MABS 05-OPT1 A3</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5/11/07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77,069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77,069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MACQUARIE BANK LIMITED</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02/06/2006, 11,450,000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11,400,536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11,400,536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MANE FUNDING CORP CORPORATE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01/25/2006, 4,500,000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4,487,250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4,487,250</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MARKET ST FNDG CORP CORP COMMERCIAL 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04/21/2006,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1,973,050</w:t>
            </w:r>
          </w:p>
        </w:tc>
        <w:tc>
          <w:tcPr>
            <w:tcW w:w="1360" w:type="dxa"/>
            <w:vAlign w:val="bottom"/>
          </w:tcPr>
          <w:p>
            <w:pPr>
              <w:jc w:val="right"/>
              <w:spacing w:after="0"/>
              <w:rPr>
                <w:sz w:val="20"/>
                <w:szCs w:val="20"/>
                <w:color w:val="auto"/>
              </w:rPr>
            </w:pPr>
            <w:r>
              <w:rPr>
                <w:rFonts w:ascii="Arial" w:cs="Arial" w:eastAsia="Arial" w:hAnsi="Arial"/>
                <w:sz w:val="13"/>
                <w:szCs w:val="13"/>
                <w:color w:val="auto"/>
              </w:rPr>
              <w:t>1,973,050</w:t>
            </w:r>
          </w:p>
        </w:tc>
        <w:tc>
          <w:tcPr>
            <w:tcW w:w="240" w:type="dxa"/>
            <w:vAlign w:val="bottom"/>
          </w:tcPr>
          <w:p>
            <w:pPr>
              <w:spacing w:after="0"/>
              <w:rPr>
                <w:sz w:val="14"/>
                <w:szCs w:val="14"/>
                <w:color w:val="auto"/>
              </w:rPr>
            </w:pPr>
          </w:p>
        </w:tc>
      </w:tr>
      <w:tr>
        <w:trPr>
          <w:trHeight w:val="151"/>
        </w:trPr>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MASSACHUSETTS RRB SPECIAL PURPOSE TRUST SER</w:t>
            </w:r>
          </w:p>
        </w:tc>
        <w:tc>
          <w:tcPr>
            <w:tcW w:w="2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72"/>
        </w:trPr>
        <w:tc>
          <w:tcPr>
            <w:tcW w:w="1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2005-1</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3.400% 09/15/2008, 1,953,887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1,944,508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1,944,368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MBNA MASTER CREDIT CARD TRUST II 01-A A VARIABLE</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FLOATING 07/15/2008, 2,000,000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2,001,721</w:t>
            </w:r>
          </w:p>
        </w:tc>
        <w:tc>
          <w:tcPr>
            <w:tcW w:w="1360" w:type="dxa"/>
            <w:vAlign w:val="bottom"/>
          </w:tcPr>
          <w:p>
            <w:pPr>
              <w:jc w:val="right"/>
              <w:spacing w:after="0"/>
              <w:rPr>
                <w:sz w:val="20"/>
                <w:szCs w:val="20"/>
                <w:color w:val="auto"/>
              </w:rPr>
            </w:pPr>
            <w:r>
              <w:rPr>
                <w:rFonts w:ascii="Arial" w:cs="Arial" w:eastAsia="Arial" w:hAnsi="Arial"/>
                <w:sz w:val="13"/>
                <w:szCs w:val="13"/>
                <w:color w:val="auto"/>
              </w:rPr>
              <w:t>2,000,409</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MERRILL LYNCH &amp; CO FR MTN</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01/26/2007, 7,000,000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7,008,238</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7,009,233</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MERRILL LYNCH &amp; COMPANY</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4.41%, 8/22/07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METROPOLITAN LIFE GLOBAL</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4.43%, 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855,279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855,279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METROPOLITAN LIFE INSURANCE</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4.36%, 3/30/06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855,279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855,279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MONUMENTAL GLOBAL FDG II SR SEC VAR144A</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QUARTERLY FLOATING 04/10/2006, 5,500,000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5,503,305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5,503,047</w:t>
            </w:r>
          </w:p>
        </w:tc>
        <w:tc>
          <w:tcPr>
            <w:tcW w:w="240" w:type="dxa"/>
            <w:vAlign w:val="bottom"/>
            <w:shd w:val="clear" w:color="auto" w:fill="CCEEFF"/>
          </w:tcPr>
          <w:p>
            <w:pPr>
              <w:spacing w:after="0"/>
              <w:rPr>
                <w:sz w:val="14"/>
                <w:szCs w:val="14"/>
                <w:color w:val="auto"/>
              </w:rPr>
            </w:pP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ind w:left="1380"/>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4"/>
              </w:rPr>
              <w:t>(c) Description of Investment including Maturity Date,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6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 Cost</w:t>
            </w: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rPr>
              <w:t>(e) Current Value</w:t>
            </w:r>
          </w:p>
        </w:tc>
      </w:tr>
      <w:tr>
        <w:trPr>
          <w:trHeight w:val="313"/>
        </w:trPr>
        <w:tc>
          <w:tcPr>
            <w:tcW w:w="1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MORGAN STANLEY</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4.43%, 1/02/07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1,221,827</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1,221,827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MORGAN STANLEY</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4.42%, 1/19/07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1,832,741</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1,832,741</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MORGAN STANLEY</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SEMI-ANN. 6.100% 04/15/2006, 5,000,000</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5,038,826</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5,017,565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MSAC 2005-NC A3A</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4.46%, 3/30/07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55,829</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55,829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MSAC 05-HE2 A-3A</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3/30/07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16,218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16,218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MSAC 05-WMC2 A2A</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4.46%, 4/27/07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54,025</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54,025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NATEXIS BANQUES POPULAIRES</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4.37%, 10/16/06</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1,404,881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1,404,881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NATIONAL CITY AUTO 02-A A4</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MONTHLY 4.830% 08/15/2009, 354,510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357,220</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354,685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NATIONAL CITY BANK CLEVELAND</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4.36%, 12/05/07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610,795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610,795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NATIONAL CITY BANK CLEVELAND</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4.39%, 6/01/07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488,587</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488,587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NATIONAL CITY BANK INDIANA</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4.40%, 1/25/07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1,477,888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1,477,888</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NATIONWIDE BUILDING SOCIETY</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4.29%, 1/30/07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244,505</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244,505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NATIONWIDE BUILDING SOCIETY</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4.33%, 1/30/07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268,802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268,802</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NCHET 05-3 A2A</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4.47%, 6/22/07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523,035</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523,035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NESTLE CAP CORP CORP COMMERCIAL PAPER</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01/25/2006, 2,000,000</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1,994,867</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1,994,867</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NEW YORK LIFE GL FUNDING</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4.39%, 12/20/07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1,221,827</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1,221,827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NEW YORK LIFE INSURANCE</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4.40%, 3/30/06</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488,731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488,731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NIEUW AMSTERDAM RECV CORP COMMERCIAL PAPER</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ZERO COUPON 01/03/2006, 2,000,000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1,999,558</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1,999,558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8"/>
              </w:rPr>
              <w:t>NISSAN AUTO RECEIVABLES OWNER TRUST 2003-C CL A3</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MONTHLY 2.230% 03/15/2007, 302,531</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301,480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301,925</w:t>
            </w: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NORDEA NORTH AMER. I CORPORATE COMMERCIAL</w:t>
            </w:r>
          </w:p>
        </w:tc>
        <w:tc>
          <w:tcPr>
            <w:tcW w:w="2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300"/>
              <w:spacing w:after="0"/>
              <w:rPr>
                <w:sz w:val="20"/>
                <w:szCs w:val="20"/>
                <w:color w:val="auto"/>
              </w:rPr>
            </w:pPr>
            <w:r>
              <w:rPr>
                <w:rFonts w:ascii="Arial" w:cs="Arial" w:eastAsia="Arial" w:hAnsi="Arial"/>
                <w:sz w:val="13"/>
                <w:szCs w:val="13"/>
                <w:color w:val="auto"/>
              </w:rPr>
              <w:t>PAPER</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ZERO COUPON 02/22/2006, 1,600,000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1,590,016</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1,590,016</w:t>
            </w: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NORDEA NORTH AMER. INC ZCP</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01/09/2006, 5,000,000</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4,995,311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4,995,311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NORTHERN ROCK PLC</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QUARTERLY FLOATING 04/21/2006, 2,450,000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2,450,000</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2,450,206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OIL INSURANCE LTD</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4.52%, 9/8/06</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504,612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504,612</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ONYX ACCEPT OWNER TR 02-C A-4</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MONTHLY 4.070% 04/15/2009, 93,380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93,906</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93,264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ONYX ACCEPTANCE AUTO TRUST</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MONTHLY 2.190% 03/17/2008, 121,162</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120,411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120,445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OOMLT 05- A-2</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4.46%, 5/03/07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30,227</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30,227</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PARADIGM FDG LLC CORP COMMERCIAL PAPER</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01/03/2006, 2,000,000</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1,999,559</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1,999,559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PG&amp;E ENERGY RECOVERY FUNDING LLC 2005-1 CL A1</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QUARTERLY 3.320% 09/25/2008, 1,337,025</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1,330,721</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1,329,630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PPSI 05-WCW1A3A</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4.47%, 5/31/07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143,050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143,050</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PPSI 05 WHQ4 A2</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4.49%, 8/30/07</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199,129</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199,129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PPSI 2005-WHQ3</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4.46%, 5/25/07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186,112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186,112</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PROTECTIVE LIFE INSURANCE</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4.28%, 10/26/06</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977,462</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977,462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PROTECTIVE LIFE U S FDG TR CTF-03 FLT144A</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QUARTERLY FLOATING 02/17/2006, 1,990,000</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1,990,482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1,990,273</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3"/>
                <w:szCs w:val="13"/>
                <w:color w:val="auto"/>
              </w:rPr>
              <w:t>RABOBANK USA FINL CO CORP COMMERCIAL PAPER</w:t>
            </w:r>
          </w:p>
        </w:tc>
        <w:tc>
          <w:tcPr>
            <w:tcW w:w="4040" w:type="dxa"/>
            <w:vAlign w:val="bottom"/>
            <w:gridSpan w:val="2"/>
          </w:tcPr>
          <w:p>
            <w:pPr>
              <w:ind w:left="240"/>
              <w:spacing w:after="0"/>
              <w:rPr>
                <w:sz w:val="20"/>
                <w:szCs w:val="20"/>
                <w:color w:val="auto"/>
              </w:rPr>
            </w:pPr>
            <w:r>
              <w:rPr>
                <w:rFonts w:ascii="Arial" w:cs="Arial" w:eastAsia="Arial" w:hAnsi="Arial"/>
                <w:sz w:val="13"/>
                <w:szCs w:val="13"/>
                <w:color w:val="auto"/>
              </w:rPr>
              <w:t>ZERO COUPON 05/15/2006, 2,000,000</w:t>
            </w:r>
          </w:p>
        </w:tc>
        <w:tc>
          <w:tcPr>
            <w:tcW w:w="1560" w:type="dxa"/>
            <w:vAlign w:val="bottom"/>
            <w:gridSpan w:val="3"/>
          </w:tcPr>
          <w:p>
            <w:pPr>
              <w:jc w:val="right"/>
              <w:ind w:right="500"/>
              <w:spacing w:after="0"/>
              <w:rPr>
                <w:sz w:val="20"/>
                <w:szCs w:val="20"/>
                <w:color w:val="auto"/>
              </w:rPr>
            </w:pPr>
            <w:r>
              <w:rPr>
                <w:rFonts w:ascii="Arial" w:cs="Arial" w:eastAsia="Arial" w:hAnsi="Arial"/>
                <w:sz w:val="13"/>
                <w:szCs w:val="13"/>
                <w:color w:val="auto"/>
              </w:rPr>
              <w:t>1,967,244</w:t>
            </w: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1,967,244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RAMP05 EFC7 AI1</w:t>
            </w: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4.48%, 12/28/07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366,548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366,548</w:t>
            </w: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gridSpan w:val="2"/>
          </w:tcPr>
          <w:p>
            <w:pPr>
              <w:ind w:left="1340"/>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b w:val="1"/>
                <w:bCs w:val="1"/>
                <w:color w:val="auto"/>
              </w:rPr>
              <w:t>(c) Description of Investment including Maturity Date,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Rate of Interest, Collateral, Par, or Maturity Value</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 Cost</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(e) Current Value</w:t>
            </w:r>
          </w:p>
        </w:tc>
        <w:tc>
          <w:tcPr>
            <w:tcW w:w="24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100" w:type="dxa"/>
            <w:vAlign w:val="bottom"/>
            <w:gridSpan w:val="2"/>
          </w:tcPr>
          <w:p>
            <w:pPr>
              <w:ind w:left="320"/>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RASC 05-KS4 A-1</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4.46%, 5/04/07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52,379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52,379</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RASC 05-KS12 A1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4.47%, 12/28/07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244,365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244,365</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 BANK OF CANADA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 2/14/06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733,096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733,096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ROYAL BANK OF SCOTLAND NY</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4.310% 09/29/2006, 9,100,000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9,100,000</w:t>
            </w:r>
          </w:p>
        </w:tc>
        <w:tc>
          <w:tcPr>
            <w:tcW w:w="1360" w:type="dxa"/>
            <w:vAlign w:val="bottom"/>
          </w:tcPr>
          <w:p>
            <w:pPr>
              <w:jc w:val="right"/>
              <w:spacing w:after="0"/>
              <w:rPr>
                <w:sz w:val="20"/>
                <w:szCs w:val="20"/>
                <w:color w:val="auto"/>
              </w:rPr>
            </w:pPr>
            <w:r>
              <w:rPr>
                <w:rFonts w:ascii="Arial" w:cs="Arial" w:eastAsia="Arial" w:hAnsi="Arial"/>
                <w:sz w:val="13"/>
                <w:szCs w:val="13"/>
                <w:color w:val="auto"/>
              </w:rPr>
              <w:t>9,100,000</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SANTANDER CNTL HISPANO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06/01/2006,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1,962,837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1,962,837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SASC 2005-RMS1 A1</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4.78%, 2/26/07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55,442</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55,442</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SCALDIS &amp; SCALDIS JOIN</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03/27/2006,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1,979,222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1,979,222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SCALDIS CAPITAL LTD SCALDIS CAPITAL LLC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01/31/2006, 12,700,000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12,654,280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12,654,280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SEDNA FIN INC</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4.34%, 6/08/06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1,221,704</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1,221,704</w:t>
            </w:r>
          </w:p>
        </w:tc>
        <w:tc>
          <w:tcPr>
            <w:tcW w:w="240" w:type="dxa"/>
            <w:vAlign w:val="bottom"/>
            <w:shd w:val="clear" w:color="auto" w:fill="CCEEFF"/>
          </w:tcPr>
          <w:p>
            <w:pPr>
              <w:spacing w:after="0"/>
              <w:rPr>
                <w:sz w:val="14"/>
                <w:szCs w:val="14"/>
                <w:color w:val="auto"/>
              </w:rPr>
            </w:pPr>
          </w:p>
        </w:tc>
      </w:tr>
      <w:tr>
        <w:trPr>
          <w:trHeight w:val="151"/>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SHEFFIELD RECEIVABLE CORPORATE COMMERCIAL</w:t>
            </w: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PAPER</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01/30/2006, 10,915,000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10,877,016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10,877,016</w:t>
            </w:r>
          </w:p>
        </w:tc>
      </w:tr>
      <w:tr>
        <w:trPr>
          <w:trHeight w:val="16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SLM CORPORATION</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4.60%, 12/31/07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610,914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610,914</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SLM CORPORATION</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4.56%, 12/31/07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391,146</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391,146</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SOCIETE GEN NO AMER ZCP</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02/21/2006, 11,000,000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10,933,615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10,933,615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SOCIETE GENERALE NORTH AMER INC DISC</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03/06/2006, 750,000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744,120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744,120</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SURF 2005-BC1A1A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4.49%, 3/07/07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184,976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184,976</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SVHE 05-OPT2 A2</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4.49%, 8/17/07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123,519</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123,519</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SWEDBANK CORP COMMERCIAL PAPER DISCOUNT DTD</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05/08/2006, 1,700,000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1,673,432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1,673,432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SWEDBANK STOCKHOLM</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4.11%, 2/06/06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366,548</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366,548</w:t>
            </w:r>
          </w:p>
        </w:tc>
      </w:tr>
      <w:tr>
        <w:trPr>
          <w:trHeight w:val="151"/>
        </w:trPr>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SYDNEY CAPITAL CORP CORPORATE COMMERCIAL</w:t>
            </w:r>
          </w:p>
        </w:tc>
        <w:tc>
          <w:tcPr>
            <w:tcW w:w="2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7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02/10/2006,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1,991,289</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1,991,289</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THAMES AST GLOB SEC #1</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ZERO COUPON 02/06/2006, 11,850,000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11,799,045</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11,799,045</w:t>
            </w:r>
          </w:p>
        </w:tc>
      </w:tr>
      <w:tr>
        <w:trPr>
          <w:trHeight w:val="151"/>
        </w:trPr>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TOYOTA AUTO RECEIVABLES OWNER TRUST SERIES</w:t>
            </w:r>
          </w:p>
        </w:tc>
        <w:tc>
          <w:tcPr>
            <w:tcW w:w="2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72"/>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2003-A</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1.690% 03/15/2007, 78,637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78,379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78,385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TRANSAMERICA OCCIDENTAL LIFE</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4.52%, 1/02/07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2,932,386</w:t>
            </w:r>
          </w:p>
        </w:tc>
        <w:tc>
          <w:tcPr>
            <w:tcW w:w="1360" w:type="dxa"/>
            <w:vAlign w:val="bottom"/>
          </w:tcPr>
          <w:p>
            <w:pPr>
              <w:jc w:val="right"/>
              <w:spacing w:after="0"/>
              <w:rPr>
                <w:sz w:val="20"/>
                <w:szCs w:val="20"/>
                <w:color w:val="auto"/>
              </w:rPr>
            </w:pPr>
            <w:r>
              <w:rPr>
                <w:rFonts w:ascii="Arial" w:cs="Arial" w:eastAsia="Arial" w:hAnsi="Arial"/>
                <w:sz w:val="13"/>
                <w:szCs w:val="13"/>
                <w:color w:val="auto"/>
              </w:rPr>
              <w:t>2,932,386</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TRAVELERS INSURANCE COMPANY</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4.37%, 4/28/06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TRAVELERS INSURANCE COMPANY</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4.50%, 12/15/06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537,604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537,604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UBS FINANCE (DELW) CORP COMMERCIAL PAPER</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ZERO COUPON 02/14/2006, 2,000,000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1,990,552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1,990,552</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UNITED TECHNOLOGIES CORP</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SEMI-ANN. 4.875% 11/01/2006, 1,785,000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1,785,561</w:t>
            </w:r>
          </w:p>
        </w:tc>
        <w:tc>
          <w:tcPr>
            <w:tcW w:w="1360" w:type="dxa"/>
            <w:vAlign w:val="bottom"/>
          </w:tcPr>
          <w:p>
            <w:pPr>
              <w:jc w:val="right"/>
              <w:spacing w:after="0"/>
              <w:rPr>
                <w:sz w:val="20"/>
                <w:szCs w:val="20"/>
                <w:color w:val="auto"/>
              </w:rPr>
            </w:pPr>
            <w:r>
              <w:rPr>
                <w:rFonts w:ascii="Arial" w:cs="Arial" w:eastAsia="Arial" w:hAnsi="Arial"/>
                <w:sz w:val="13"/>
                <w:szCs w:val="13"/>
                <w:color w:val="auto"/>
              </w:rPr>
              <w:t>1,789,345</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BANK N.A.</w:t>
            </w: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4.38%, 11/30/07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1,221,373</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1,221,373</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U.S. BANK N.A.</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4.30%, 12/05/07</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1,221,351</w:t>
            </w:r>
          </w:p>
        </w:tc>
        <w:tc>
          <w:tcPr>
            <w:tcW w:w="1360" w:type="dxa"/>
            <w:vAlign w:val="bottom"/>
          </w:tcPr>
          <w:p>
            <w:pPr>
              <w:jc w:val="right"/>
              <w:spacing w:after="0"/>
              <w:rPr>
                <w:sz w:val="20"/>
                <w:szCs w:val="20"/>
                <w:color w:val="auto"/>
              </w:rPr>
            </w:pPr>
            <w:r>
              <w:rPr>
                <w:rFonts w:ascii="Arial" w:cs="Arial" w:eastAsia="Arial" w:hAnsi="Arial"/>
                <w:sz w:val="13"/>
                <w:szCs w:val="13"/>
                <w:color w:val="auto"/>
              </w:rPr>
              <w:t>1,221,351</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USA EDUCATION INC</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5.625% 04/10/2007, 3,250,000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3,280,881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3,269,458</w:t>
            </w:r>
          </w:p>
        </w:tc>
        <w:tc>
          <w:tcPr>
            <w:tcW w:w="24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USAA AUTO OWNER TRUST 2003-1</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1.580% 06/15/2007, 182,506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181,914</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182,164</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VOLKSWAGEN AUTO LN ENHANCED TR 2003-2 A3</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2.270% 10/22/2007, 427,567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424,507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424,385</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WACHOVIA AUTO OWNER TRUST</w:t>
            </w:r>
          </w:p>
        </w:tc>
        <w:tc>
          <w:tcPr>
            <w:tcW w:w="2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MONTHLY 4.480% 12/20/2006, 500,000</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500,000</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500,078</w:t>
            </w: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WACHOVIA AUTO OWNER TRUST SER 2004-A CLA A2</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MONTHLY 2.490% 04/20/2007, 15,680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15,646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15,661</w:t>
            </w:r>
          </w:p>
        </w:tc>
      </w:tr>
      <w:tr>
        <w:trPr>
          <w:trHeight w:val="161"/>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WAMU CAPITAL CORP</w:t>
            </w:r>
          </w:p>
        </w:tc>
        <w:tc>
          <w:tcPr>
            <w:tcW w:w="4020" w:type="dxa"/>
            <w:vAlign w:val="bottom"/>
            <w:gridSpan w:val="2"/>
          </w:tcPr>
          <w:p>
            <w:pPr>
              <w:ind w:left="240"/>
              <w:spacing w:after="0"/>
              <w:rPr>
                <w:sz w:val="20"/>
                <w:szCs w:val="20"/>
                <w:color w:val="auto"/>
              </w:rPr>
            </w:pPr>
            <w:r>
              <w:rPr>
                <w:rFonts w:ascii="Arial" w:cs="Arial" w:eastAsia="Arial" w:hAnsi="Arial"/>
                <w:sz w:val="13"/>
                <w:szCs w:val="13"/>
                <w:color w:val="auto"/>
              </w:rPr>
              <w:t>4.42%, 1/03/06</w:t>
            </w: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1,221,827</w:t>
            </w:r>
          </w:p>
        </w:tc>
        <w:tc>
          <w:tcPr>
            <w:tcW w:w="1360" w:type="dxa"/>
            <w:vAlign w:val="bottom"/>
          </w:tcPr>
          <w:p>
            <w:pPr>
              <w:jc w:val="right"/>
              <w:spacing w:after="0"/>
              <w:rPr>
                <w:sz w:val="20"/>
                <w:szCs w:val="20"/>
                <w:color w:val="auto"/>
              </w:rPr>
            </w:pPr>
            <w:r>
              <w:rPr>
                <w:rFonts w:ascii="Arial" w:cs="Arial" w:eastAsia="Arial" w:hAnsi="Arial"/>
                <w:sz w:val="13"/>
                <w:szCs w:val="13"/>
                <w:color w:val="auto"/>
              </w:rPr>
              <w:t>1,221,827</w:t>
            </w:r>
          </w:p>
        </w:tc>
        <w:tc>
          <w:tcPr>
            <w:tcW w:w="240" w:type="dxa"/>
            <w:vAlign w:val="bottom"/>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WASHINGTON MUTUAL FINANCE</w:t>
            </w:r>
          </w:p>
        </w:tc>
        <w:tc>
          <w:tcPr>
            <w:tcW w:w="2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SEMI-ANN. 6.250% 05/15/2006, 1,100,000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1,109,812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1,106,003</w:t>
            </w:r>
          </w:p>
        </w:tc>
        <w:tc>
          <w:tcPr>
            <w:tcW w:w="240" w:type="dxa"/>
            <w:vAlign w:val="bottom"/>
            <w:shd w:val="clear" w:color="auto" w:fill="CCEEFF"/>
          </w:tcPr>
          <w:p>
            <w:pPr>
              <w:spacing w:after="0"/>
              <w:rPr>
                <w:sz w:val="14"/>
                <w:szCs w:val="14"/>
                <w:color w:val="auto"/>
              </w:rPr>
            </w:pPr>
          </w:p>
        </w:tc>
      </w:tr>
      <w:tr>
        <w:trPr>
          <w:trHeight w:val="302"/>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ind w:left="1380"/>
              <w:spacing w:after="0"/>
              <w:rPr>
                <w:sz w:val="20"/>
                <w:szCs w:val="20"/>
                <w:color w:val="auto"/>
              </w:rPr>
            </w:pPr>
            <w:r>
              <w:rPr>
                <w:rFonts w:ascii="Arial" w:cs="Arial" w:eastAsia="Arial" w:hAnsi="Arial"/>
                <w:sz w:val="13"/>
                <w:szCs w:val="13"/>
                <w:color w:val="auto"/>
              </w:rPr>
              <w:t>33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95"/>
              </w:rPr>
              <w:t>(c) Description of Investment including Maturity Date,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4"/>
        </w:trPr>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300" w:type="dxa"/>
            <w:vAlign w:val="bottom"/>
          </w:tcPr>
          <w:p>
            <w:pPr>
              <w:spacing w:after="0"/>
              <w:rPr>
                <w:sz w:val="15"/>
                <w:szCs w:val="15"/>
                <w:color w:val="auto"/>
              </w:rPr>
            </w:pPr>
          </w:p>
        </w:tc>
        <w:tc>
          <w:tcPr>
            <w:tcW w:w="37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240" w:type="dxa"/>
            <w:vAlign w:val="bottom"/>
          </w:tcPr>
          <w:p>
            <w:pPr>
              <w:spacing w:after="0"/>
              <w:rPr>
                <w:sz w:val="15"/>
                <w:szCs w:val="15"/>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(d) Cost</w:t>
            </w:r>
          </w:p>
        </w:tc>
        <w:tc>
          <w:tcPr>
            <w:tcW w:w="460" w:type="dxa"/>
            <w:vAlign w:val="bottom"/>
          </w:tcPr>
          <w:p>
            <w:pPr>
              <w:spacing w:after="0"/>
              <w:rPr>
                <w:sz w:val="15"/>
                <w:szCs w:val="15"/>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(e) Current Value</w:t>
            </w:r>
          </w:p>
        </w:tc>
        <w:tc>
          <w:tcPr>
            <w:tcW w:w="22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4040" w:type="dxa"/>
            <w:vAlign w:val="bottom"/>
            <w:gridSpan w:val="2"/>
          </w:tcPr>
          <w:p>
            <w:pPr>
              <w:ind w:left="300"/>
              <w:spacing w:after="0"/>
              <w:rPr>
                <w:sz w:val="20"/>
                <w:szCs w:val="20"/>
                <w:color w:val="auto"/>
              </w:rPr>
            </w:pPr>
            <w:r>
              <w:rPr>
                <w:rFonts w:ascii="Arial" w:cs="Arial" w:eastAsia="Arial" w:hAnsi="Arial"/>
                <w:sz w:val="13"/>
                <w:szCs w:val="13"/>
                <w:b w:val="1"/>
                <w:bCs w:val="1"/>
                <w:color w:val="auto"/>
              </w:rPr>
              <w:t>Corporate Debt Instruments — (continued):</w:t>
            </w:r>
          </w:p>
        </w:tc>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2"/>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WELLS FARGO &amp; CO</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SEMI-ANN. 5.900% 05/21/2006, 1,500,000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1,515,954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1,505,817</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WEST CORP FED CREDIT UNION</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4.38%, 12/14/07</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977,462</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977,462</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WESTPAC BANKING CORP. CORP COMMERCIAL PAPER</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02/14/2006, 8,000,000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7,958,397</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7,958,397</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WFS FINANCIAL OWNER TR 2002-2 A4</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QUARTERLY 4.500% 02/20/2010, 518,517</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519,327</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518,451</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WFS FINANCIAL OWNER TRUST 2003-4 A-3</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MONTHLY 2.390% 01/22/2008, 229,316</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228,546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228,742</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WFS FINANCIAL OWNER TRUST SERIES 2004-1 A3</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MONTHLY 2.190% 06/20/2008, 300,847</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298,746</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298,920</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WFS FINANCIAL OWNER TRUST SERIES 2004-2 CL A2</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MONTHLY 2.030% 10/22/2007, 41,330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41,228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41,267</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WORLD OMNI AUTO RECEIVABLES TRUST</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MONTHLY 2.200% 01/15/2008, 816,262</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809,700</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810,157</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WORLD OMNI AUTO TR 2002-A</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MONTHLY 4.050% 07/15/2009, 986,707</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992,564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985,991</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XL LIFE AND ANNUITY</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4.45%, 4/28/06</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720,878</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720,878</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XLLIAC GLOBAL FUNDING</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4.39%, 12/31/07</w:t>
            </w:r>
          </w:p>
        </w:tc>
        <w:tc>
          <w:tcPr>
            <w:tcW w:w="240" w:type="dxa"/>
            <w:vAlign w:val="bottom"/>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1,099,645</w:t>
            </w:r>
          </w:p>
        </w:tc>
        <w:tc>
          <w:tcPr>
            <w:tcW w:w="16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1,099,645</w:t>
            </w:r>
          </w:p>
        </w:tc>
      </w:tr>
      <w:tr>
        <w:trPr>
          <w:trHeight w:val="323"/>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ind w:left="300"/>
              <w:spacing w:after="0"/>
              <w:rPr>
                <w:sz w:val="20"/>
                <w:szCs w:val="20"/>
                <w:color w:val="auto"/>
              </w:rPr>
            </w:pPr>
            <w:r>
              <w:rPr>
                <w:rFonts w:ascii="Arial" w:cs="Arial" w:eastAsia="Arial" w:hAnsi="Arial"/>
                <w:sz w:val="13"/>
                <w:szCs w:val="13"/>
                <w:color w:val="auto"/>
              </w:rPr>
              <w:t>Total Corporate Debt Instruments</w:t>
            </w:r>
          </w:p>
        </w:tc>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492,251,272</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492,039,223</w:t>
            </w:r>
          </w:p>
        </w:tc>
      </w:tr>
      <w:tr>
        <w:trPr>
          <w:trHeight w:val="162"/>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Loans to Plan Participants:</w:t>
            </w:r>
          </w:p>
        </w:tc>
        <w:tc>
          <w:tcPr>
            <w:tcW w:w="24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LOANS TO PARTICIPANTS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INTEREST RATE RANGE: 4.00% - 10.5%</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280,389,279</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280,389,279</w:t>
            </w:r>
          </w:p>
        </w:tc>
      </w:tr>
      <w:tr>
        <w:trPr>
          <w:trHeight w:val="162"/>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r>
      <w:tr>
        <w:trPr>
          <w:trHeight w:val="161"/>
        </w:trPr>
        <w:tc>
          <w:tcPr>
            <w:tcW w:w="180" w:type="dxa"/>
            <w:vAlign w:val="bottom"/>
            <w:shd w:val="clear" w:color="auto" w:fill="CCEEFF"/>
          </w:tcPr>
          <w:p>
            <w:pPr>
              <w:spacing w:after="0"/>
              <w:rPr>
                <w:sz w:val="14"/>
                <w:szCs w:val="14"/>
                <w:color w:val="auto"/>
              </w:rPr>
            </w:pPr>
          </w:p>
        </w:tc>
        <w:tc>
          <w:tcPr>
            <w:tcW w:w="8020" w:type="dxa"/>
            <w:vAlign w:val="bottom"/>
            <w:gridSpan w:val="4"/>
            <w:shd w:val="clear" w:color="auto" w:fill="CCEEFF"/>
          </w:tcPr>
          <w:p>
            <w:pPr>
              <w:ind w:left="300"/>
              <w:spacing w:after="0"/>
              <w:rPr>
                <w:sz w:val="20"/>
                <w:szCs w:val="20"/>
                <w:color w:val="auto"/>
              </w:rPr>
            </w:pPr>
            <w:r>
              <w:rPr>
                <w:rFonts w:ascii="Arial" w:cs="Arial" w:eastAsia="Arial" w:hAnsi="Arial"/>
                <w:sz w:val="13"/>
                <w:szCs w:val="13"/>
                <w:b w:val="1"/>
                <w:bCs w:val="1"/>
                <w:color w:val="auto"/>
              </w:rPr>
              <w:t>UNITED STATES GOVERNMENT-SPONSORED ENTERPRISE OBLIGATIONS: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HOME LN MTG CORP DISC NTS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SEMI-ANN. ZERO COUPON 07/31/2006,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1,953,392</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1,953,392</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HOME LN MTG CORP MTN CALL</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QUARTERLY FLOATING 01/27/2006, 400,000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400,006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399,568</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ZERO COUPON 01/11/2006, 12,200,000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14,185,543</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14,185,543</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01/18/2006, 5,100,000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5,090,415</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5,090,415</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ZERO COUPON 02/01/2006,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1,993,008</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1,993,008</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SEMI-ANN. ZERO COUPON 03/01/2006, 2,000,000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1,985,968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1,985,968</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SEMI-ANN. ZERO COUPON 03/08/2006,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1,984,930</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1,984,930</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SEMI-ANN. ZERO COUPON 04/12/2006, 2,000,000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1,975,592</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1,975,592</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SEMI-ANN. ZERO COUPON 03/15/2006,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1,982,723</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1,983,196</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03/22/2006, 2,000,000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1,981,244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1,981,244</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FEDERAL NATL MTG ASSN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ZERO COUPON 06/30/2006,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1,960,800</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1,960,800</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01/10/2006, 13,350,000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13,337,918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13,337,918</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ZERO COUPON 02/06/2006, 1,800,000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1,792,440</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1,792,440</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ZERO COUPON 03/14/2006, 2,000,000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1,983,200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1,983,200</w:t>
            </w:r>
          </w:p>
        </w:tc>
      </w:tr>
      <w:tr>
        <w:trPr>
          <w:trHeight w:val="16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SEMI-ANN. ZERO COUPON 04/18/2006,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1,974,439</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1,974,439</w:t>
            </w:r>
          </w:p>
        </w:tc>
      </w:tr>
      <w:tr>
        <w:trPr>
          <w:trHeight w:val="161"/>
        </w:trPr>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SEMI-ANN. ZERO COUPON 02/21/2006, 2,000,000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1,988,383</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1,988,383</w:t>
            </w:r>
          </w:p>
        </w:tc>
      </w:tr>
      <w:tr>
        <w:trPr>
          <w:trHeight w:val="172"/>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980" w:type="dxa"/>
            <w:vAlign w:val="bottom"/>
            <w:gridSpan w:val="2"/>
          </w:tcPr>
          <w:p>
            <w:pPr>
              <w:ind w:left="240"/>
              <w:spacing w:after="0"/>
              <w:rPr>
                <w:sz w:val="20"/>
                <w:szCs w:val="20"/>
                <w:color w:val="auto"/>
              </w:rPr>
            </w:pPr>
            <w:r>
              <w:rPr>
                <w:rFonts w:ascii="Arial" w:cs="Arial" w:eastAsia="Arial" w:hAnsi="Arial"/>
                <w:sz w:val="13"/>
                <w:szCs w:val="13"/>
                <w:color w:val="auto"/>
              </w:rPr>
              <w:t>SEMI-ANN. ZERO COUPON 08/22/2006, 2,000,000</w:t>
            </w:r>
          </w:p>
        </w:tc>
        <w:tc>
          <w:tcPr>
            <w:tcW w:w="1600" w:type="dxa"/>
            <w:vAlign w:val="bottom"/>
            <w:gridSpan w:val="3"/>
          </w:tcPr>
          <w:p>
            <w:pPr>
              <w:jc w:val="right"/>
              <w:ind w:right="460"/>
              <w:spacing w:after="0"/>
              <w:rPr>
                <w:sz w:val="20"/>
                <w:szCs w:val="20"/>
                <w:color w:val="auto"/>
              </w:rPr>
            </w:pPr>
            <w:r>
              <w:rPr>
                <w:rFonts w:ascii="Arial" w:cs="Arial" w:eastAsia="Arial" w:hAnsi="Arial"/>
                <w:sz w:val="13"/>
                <w:szCs w:val="13"/>
                <w:color w:val="auto"/>
              </w:rPr>
              <w:t>1,948,675</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1,941,352</w:t>
            </w:r>
          </w:p>
        </w:tc>
      </w:tr>
      <w:tr>
        <w:trPr>
          <w:trHeight w:val="29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80" w:type="dxa"/>
            <w:vAlign w:val="bottom"/>
            <w:gridSpan w:val="2"/>
          </w:tcPr>
          <w:p>
            <w:pPr>
              <w:ind w:left="1440"/>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Schedule of Assets (Held at End of Year) at December 31, 2005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5"/>
              </w:rPr>
              <w:t>(c) Description of Investment including Maturity Date,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5"/>
                <w:szCs w:val="15"/>
                <w:color w:val="auto"/>
              </w:rPr>
            </w:pPr>
          </w:p>
        </w:tc>
        <w:tc>
          <w:tcPr>
            <w:tcW w:w="3840" w:type="dxa"/>
            <w:vAlign w:val="bottom"/>
            <w:gridSpan w:val="2"/>
          </w:tcPr>
          <w:p>
            <w:pPr>
              <w:ind w:left="240"/>
              <w:spacing w:after="0"/>
              <w:rPr>
                <w:sz w:val="20"/>
                <w:szCs w:val="20"/>
                <w:color w:val="auto"/>
              </w:rPr>
            </w:pPr>
            <w:r>
              <w:rPr>
                <w:rFonts w:ascii="Arial" w:cs="Arial" w:eastAsia="Arial" w:hAnsi="Arial"/>
                <w:sz w:val="13"/>
                <w:szCs w:val="13"/>
                <w:b w:val="1"/>
                <w:bCs w:val="1"/>
                <w:color w:val="auto"/>
              </w:rPr>
              <w:t>(b) Identity of Issue, Borrower, Lessor, or Similar Party</w:t>
            </w:r>
          </w:p>
        </w:tc>
        <w:tc>
          <w:tcPr>
            <w:tcW w:w="4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6"/>
              </w:rPr>
              <w:t>Rate of Interest, Collateral, Par, or Maturity Value</w:t>
            </w:r>
          </w:p>
        </w:tc>
        <w:tc>
          <w:tcPr>
            <w:tcW w:w="200" w:type="dxa"/>
            <w:vAlign w:val="bottom"/>
          </w:tcPr>
          <w:p>
            <w:pPr>
              <w:spacing w:after="0"/>
              <w:rPr>
                <w:sz w:val="15"/>
                <w:szCs w:val="15"/>
                <w:color w:val="auto"/>
              </w:rPr>
            </w:pPr>
          </w:p>
        </w:tc>
        <w:tc>
          <w:tcPr>
            <w:tcW w:w="1460" w:type="dxa"/>
            <w:vAlign w:val="bottom"/>
            <w:gridSpan w:val="2"/>
          </w:tcPr>
          <w:p>
            <w:pPr>
              <w:ind w:left="300"/>
              <w:spacing w:after="0"/>
              <w:rPr>
                <w:sz w:val="20"/>
                <w:szCs w:val="20"/>
                <w:color w:val="auto"/>
              </w:rPr>
            </w:pPr>
            <w:r>
              <w:rPr>
                <w:rFonts w:ascii="Arial" w:cs="Arial" w:eastAsia="Arial" w:hAnsi="Arial"/>
                <w:sz w:val="13"/>
                <w:szCs w:val="13"/>
                <w:b w:val="1"/>
                <w:bCs w:val="1"/>
                <w:color w:val="auto"/>
              </w:rPr>
              <w:t>(d) Cost</w:t>
            </w:r>
          </w:p>
        </w:tc>
        <w:tc>
          <w:tcPr>
            <w:tcW w:w="180" w:type="dxa"/>
            <w:vAlign w:val="bottom"/>
          </w:tcPr>
          <w:p>
            <w:pPr>
              <w:spacing w:after="0"/>
              <w:rPr>
                <w:sz w:val="15"/>
                <w:szCs w:val="15"/>
                <w:color w:val="auto"/>
              </w:rPr>
            </w:pPr>
          </w:p>
        </w:tc>
        <w:tc>
          <w:tcPr>
            <w:tcW w:w="1620" w:type="dxa"/>
            <w:vAlign w:val="bottom"/>
            <w:gridSpan w:val="2"/>
          </w:tcPr>
          <w:p>
            <w:pPr>
              <w:ind w:left="120"/>
              <w:spacing w:after="0"/>
              <w:rPr>
                <w:sz w:val="20"/>
                <w:szCs w:val="20"/>
                <w:color w:val="auto"/>
              </w:rPr>
            </w:pPr>
            <w:r>
              <w:rPr>
                <w:rFonts w:ascii="Arial" w:cs="Arial" w:eastAsia="Arial" w:hAnsi="Arial"/>
                <w:sz w:val="13"/>
                <w:szCs w:val="13"/>
                <w:b w:val="1"/>
                <w:bCs w:val="1"/>
                <w:color w:val="auto"/>
              </w:rPr>
              <w:t>(e) Current Value</w:t>
            </w:r>
          </w:p>
        </w:tc>
        <w:tc>
          <w:tcPr>
            <w:tcW w:w="0" w:type="dxa"/>
            <w:vAlign w:val="bottom"/>
          </w:tcPr>
          <w:p>
            <w:pPr>
              <w:spacing w:after="0"/>
              <w:rPr>
                <w:sz w:val="1"/>
                <w:szCs w:val="1"/>
                <w:color w:val="auto"/>
              </w:rPr>
            </w:pPr>
          </w:p>
        </w:tc>
      </w:tr>
      <w:tr>
        <w:trPr>
          <w:trHeight w:val="152"/>
        </w:trPr>
        <w:tc>
          <w:tcPr>
            <w:tcW w:w="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UNITED STATES GOVERNMENT-SPONSORED ENTERPRISE OBLIGATIONS — (continued):</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FEDL HOME LN MTG CORP DISC NT MATURES</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ZERO COUPON 01/24/2006, 2,000,000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1,994,883</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1,994,883</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FEDL NATL MTG ASSOC DISC NT</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ZERO COUPON 03/29/2006, 2,000,000</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1,979,410</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1,979,410</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FREDDIE MAC</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SEMI-ANN. ZERO COUPON 09/19/2006, 10,000,000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9,708,188</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9,669,770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3"/>
              </w:rPr>
              <w:t>Total United States Government-sponsored enterprise obligations</w:t>
            </w:r>
          </w:p>
        </w:tc>
        <w:tc>
          <w:tcPr>
            <w:tcW w:w="4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72,201,157</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72,155,451</w:t>
            </w: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Certificates of Deposit:</w:t>
            </w:r>
          </w:p>
        </w:tc>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BANCO BILBAO VIZCAYA ARGENTARIA</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3.970% 07/18/2006, 4,000,000</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4,000,000</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4,000,000</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BANCO BILBAO VIZCAYA CERT OF DEP FIXED</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4.770% 11/20/2006, 5,000,000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4,999,942</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4,999,942</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BANK OF NEW YORK</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4.665% 11/06/2006, 4,700,000</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4,700,000</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CITIBANK NEW YORK N.</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4.255% 02/09/2006, 4,000,000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4,000,000</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4,000,000</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CREDIT SUIS FIRST BOST NY</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QUARTERLY FLOATING 03/21/2006, 3,100,000</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3,100,000</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3,100,000</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CREDIT SUISSE FST NY CERT OF DEPOSIT</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MONTHLY FLOATING 07/19/2006, 4,500,000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4,500,122</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4,500,122</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DEUTSCHE BANK AG NY</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3.970% 07/14/2006, 2,200,000</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2,200,000</w:t>
            </w: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2,200,000</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ROYAL BK OF CANADA</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3.750% 06/15/2006, 6,500,000</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6,500,000</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6,500,000</w:t>
            </w: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TORONTO-DOMINION</w:t>
            </w: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3.860% 04/07/2006, 8,500,000</w:t>
            </w:r>
          </w:p>
        </w:tc>
        <w:tc>
          <w:tcPr>
            <w:tcW w:w="200" w:type="dxa"/>
            <w:vAlign w:val="bottom"/>
            <w:shd w:val="clear" w:color="auto" w:fill="CCEEFF"/>
          </w:tcPr>
          <w:p>
            <w:pPr>
              <w:spacing w:after="0"/>
              <w:rPr>
                <w:sz w:val="14"/>
                <w:szCs w:val="14"/>
                <w:color w:val="auto"/>
              </w:rPr>
            </w:pPr>
          </w:p>
        </w:tc>
        <w:tc>
          <w:tcPr>
            <w:tcW w:w="146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8,483,887</w:t>
            </w:r>
          </w:p>
        </w:tc>
        <w:tc>
          <w:tcPr>
            <w:tcW w:w="1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8,483,887</w:t>
            </w: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2"/>
          </w:tcPr>
          <w:p>
            <w:pPr>
              <w:ind w:left="300"/>
              <w:spacing w:after="0"/>
              <w:rPr>
                <w:sz w:val="20"/>
                <w:szCs w:val="20"/>
                <w:color w:val="auto"/>
              </w:rPr>
            </w:pPr>
            <w:r>
              <w:rPr>
                <w:rFonts w:ascii="Arial" w:cs="Arial" w:eastAsia="Arial" w:hAnsi="Arial"/>
                <w:sz w:val="13"/>
                <w:szCs w:val="13"/>
                <w:color w:val="auto"/>
              </w:rPr>
              <w:t>Total Certificates of Deposit</w:t>
            </w:r>
          </w:p>
        </w:tc>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42,483,951</w:t>
            </w:r>
          </w:p>
        </w:tc>
        <w:tc>
          <w:tcPr>
            <w:tcW w:w="180" w:type="dxa"/>
            <w:vAlign w:val="bottom"/>
          </w:tcPr>
          <w:p>
            <w:pPr>
              <w:spacing w:after="0"/>
              <w:rPr>
                <w:sz w:val="24"/>
                <w:szCs w:val="2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42,483,951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Money Market Funds:</w:t>
            </w:r>
          </w:p>
        </w:tc>
        <w:tc>
          <w:tcPr>
            <w:tcW w:w="4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3"/>
                <w:szCs w:val="13"/>
                <w:color w:val="auto"/>
              </w:rPr>
              <w:t>BARCLAYS DOMICILED MONEY MKT FUND FOR EBT</w:t>
            </w:r>
          </w:p>
        </w:tc>
        <w:tc>
          <w:tcPr>
            <w:tcW w:w="3700" w:type="dxa"/>
            <w:vAlign w:val="bottom"/>
            <w:gridSpan w:val="2"/>
          </w:tcPr>
          <w:p>
            <w:pPr>
              <w:ind w:left="40"/>
              <w:spacing w:after="0"/>
              <w:rPr>
                <w:sz w:val="20"/>
                <w:szCs w:val="20"/>
                <w:color w:val="auto"/>
              </w:rPr>
            </w:pPr>
            <w:r>
              <w:rPr>
                <w:rFonts w:ascii="Arial" w:cs="Arial" w:eastAsia="Arial" w:hAnsi="Arial"/>
                <w:sz w:val="13"/>
                <w:szCs w:val="13"/>
                <w:color w:val="auto"/>
              </w:rPr>
              <w:t>12 Units</w:t>
            </w:r>
          </w:p>
        </w:tc>
        <w:tc>
          <w:tcPr>
            <w:tcW w:w="1660" w:type="dxa"/>
            <w:vAlign w:val="bottom"/>
            <w:gridSpan w:val="3"/>
          </w:tcPr>
          <w:p>
            <w:pPr>
              <w:jc w:val="right"/>
              <w:ind w:right="400"/>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ind w:left="440"/>
              <w:spacing w:after="0"/>
              <w:rPr>
                <w:sz w:val="20"/>
                <w:szCs w:val="20"/>
                <w:color w:val="auto"/>
              </w:rPr>
            </w:pPr>
            <w:r>
              <w:rPr>
                <w:rFonts w:ascii="Arial" w:cs="Arial" w:eastAsia="Arial" w:hAnsi="Arial"/>
                <w:sz w:val="13"/>
                <w:szCs w:val="13"/>
                <w:b w:val="1"/>
                <w:bCs w:val="1"/>
                <w:color w:val="auto"/>
              </w:rPr>
              <w:t>Total Investments</w:t>
            </w:r>
          </w:p>
        </w:tc>
        <w:tc>
          <w:tcPr>
            <w:tcW w:w="4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11,042,671,237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11,677,525,189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gridSpan w:val="2"/>
            <w:vMerge w:val="restart"/>
          </w:tcPr>
          <w:p>
            <w:pPr>
              <w:ind w:left="280"/>
              <w:spacing w:after="0"/>
              <w:rPr>
                <w:sz w:val="20"/>
                <w:szCs w:val="20"/>
                <w:color w:val="auto"/>
              </w:rPr>
            </w:pPr>
            <w:r>
              <w:rPr>
                <w:rFonts w:ascii="Arial" w:cs="Arial" w:eastAsia="Arial" w:hAnsi="Arial"/>
                <w:sz w:val="13"/>
                <w:szCs w:val="13"/>
                <w:color w:val="auto"/>
              </w:rPr>
              <w:t>*  Party-in-interest investments</w:t>
            </w: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3"/>
                <w:szCs w:val="13"/>
                <w:color w:val="auto"/>
              </w:rPr>
              <w:t>**  Interest rate is net of administrative service fees.</w:t>
            </w:r>
          </w:p>
        </w:tc>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2"/>
          </w:tcPr>
          <w:p>
            <w:pPr>
              <w:ind w:left="1360"/>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20" w:type="dxa"/>
            <w:vAlign w:val="bottom"/>
          </w:tcPr>
          <w:p>
            <w:pPr>
              <w:jc w:val="right"/>
              <w:ind w:right="97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320" w:type="dxa"/>
            <w:vAlign w:val="bottom"/>
          </w:tcPr>
          <w:p>
            <w:pPr>
              <w:jc w:val="right"/>
              <w:ind w:right="173"/>
              <w:spacing w:after="0"/>
              <w:rPr>
                <w:sz w:val="20"/>
                <w:szCs w:val="20"/>
                <w:color w:val="auto"/>
              </w:rPr>
            </w:pPr>
            <w:r>
              <w:rPr>
                <w:rFonts w:ascii="Arial" w:cs="Arial" w:eastAsia="Arial" w:hAnsi="Arial"/>
                <w:sz w:val="13"/>
                <w:szCs w:val="13"/>
                <w:b w:val="1"/>
                <w:bCs w:val="1"/>
                <w:color w:val="auto"/>
              </w:rPr>
              <w:t>(d) Proceeds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dispositions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Corporate Debt Instruments — All Other</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Aesop Funding II LLC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3.85% , due 10/20/06, 1,666,667</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$ 1,669,206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$ 1,666,667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Aquinas Funding</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Zero Coupon, due 4/12/2005, 5,000,000</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4,968,356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4,995,676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Bay View 2002-LJ-1</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2.92% , due 12/25/07, 1,413,580</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1,409,825</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1,413,580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CIT Group Inc Med Term Sr NTS</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Quarterly Floating, due 4/19/06, 4,000,000</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4,002,576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4,003,480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Drive Auto Receivables Trust 2002-1</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4.09%, due 1/15/08, 134,260</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134,727</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134,260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Ford Credit Auto Owner Trust</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Monthly, 3.13%, due 11/15/06, 1,200,000</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1,200,891</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1,200,000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Goldman Sachs Group,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Floating, due 8/01/06, 2,950,000</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2,950,000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2,951,505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Goldman Sachs Group Inc. Mtn.</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Quarterly Floating, due 4/20/06, 5,000,000</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5,009,700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5,004,600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Honda Auto Receivables Trust</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1.68%, due 11/21/06, 424,494</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421,974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424,494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Merrill Lynch Co Inc Mtn Be Vr</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Quarterly Floating, due 4/18/06, 1,000,000</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1,002,948</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1,001,811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National City Auto Receivables Trust Ser</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1.50%, due 2/15/07, 1,367,076</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1,360,935</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1,367,076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Navistar Financial Owner Trust 2004-A</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Monthly, 1.45%, due 1/15/07, 453,279</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450,942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453,279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Neiman Marcus Group Cr Card M Ser</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Monthly Floating, due 4/15/008, 1,666,667</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1,668,643</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1,666,667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Whole Auto Loan Trust 2003-1</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Monthly, 1.84%, due 10/15/06, 2,000,000</w:t>
            </w:r>
          </w:p>
        </w:tc>
        <w:tc>
          <w:tcPr>
            <w:tcW w:w="200" w:type="dxa"/>
            <w:vAlign w:val="bottom"/>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3"/>
                <w:szCs w:val="13"/>
                <w:color w:val="auto"/>
              </w:rPr>
              <w:t>1,988,125</w:t>
            </w:r>
          </w:p>
        </w:tc>
        <w:tc>
          <w:tcPr>
            <w:tcW w:w="1520" w:type="dxa"/>
            <w:vAlign w:val="bottom"/>
            <w:tcBorders>
              <w:bottom w:val="single" w:sz="8" w:color="auto"/>
            </w:tcBorders>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80" w:type="dxa"/>
            <w:vAlign w:val="bottom"/>
          </w:tcPr>
          <w:p>
            <w:pPr>
              <w:ind w:left="140"/>
              <w:spacing w:after="0"/>
              <w:rPr>
                <w:sz w:val="20"/>
                <w:szCs w:val="20"/>
                <w:color w:val="auto"/>
              </w:rPr>
            </w:pPr>
            <w:r>
              <w:rPr>
                <w:rFonts w:ascii="Arial" w:cs="Arial" w:eastAsia="Arial" w:hAnsi="Arial"/>
                <w:sz w:val="13"/>
                <w:szCs w:val="13"/>
                <w:b w:val="1"/>
                <w:bCs w:val="1"/>
                <w:color w:val="auto"/>
              </w:rPr>
              <w:t>Total Corporate Debt Instruments</w:t>
            </w: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20" w:type="dxa"/>
            <w:vAlign w:val="bottom"/>
            <w:gridSpan w:val="2"/>
          </w:tcPr>
          <w:p>
            <w:pPr>
              <w:jc w:val="right"/>
              <w:ind w:right="973"/>
              <w:spacing w:after="0"/>
              <w:rPr>
                <w:sz w:val="20"/>
                <w:szCs w:val="20"/>
                <w:color w:val="auto"/>
              </w:rPr>
            </w:pPr>
            <w:r>
              <w:rPr>
                <w:rFonts w:ascii="Arial" w:cs="Arial" w:eastAsia="Arial" w:hAnsi="Arial"/>
                <w:sz w:val="13"/>
                <w:szCs w:val="13"/>
                <w:b w:val="1"/>
                <w:bCs w:val="1"/>
                <w:color w:val="auto"/>
              </w:rPr>
              <w:t>28,238,848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28,283,095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Corporate Stock — Common</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AC Moore Arts &amp; Craft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24,300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644,685</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330,323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Accredo Health</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20,600 shares</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569,853</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890,001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Adams Respiratory Therapeutics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5,100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7,566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Advanced Analogic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1,000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Advisory Board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10,500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389,583</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404,997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Aetna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12,800 shares</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1,596,800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1,571,419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Affiliated Computr</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65,200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3,924,388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3,850,622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Alcoa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62,100 shares</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1,951,182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1,923,130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Alliance Atlantis Communications</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19,100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487,097</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485,527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Alltel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152,100 shares</w:t>
            </w:r>
          </w:p>
        </w:tc>
        <w:tc>
          <w:tcPr>
            <w:tcW w:w="2920" w:type="dxa"/>
            <w:vAlign w:val="bottom"/>
            <w:gridSpan w:val="2"/>
            <w:shd w:val="clear" w:color="auto" w:fill="CCEEFF"/>
          </w:tcPr>
          <w:p>
            <w:pPr>
              <w:jc w:val="right"/>
              <w:ind w:right="973"/>
              <w:spacing w:after="0"/>
              <w:rPr>
                <w:sz w:val="20"/>
                <w:szCs w:val="20"/>
                <w:color w:val="auto"/>
              </w:rPr>
            </w:pPr>
            <w:r>
              <w:rPr>
                <w:rFonts w:ascii="Arial" w:cs="Arial" w:eastAsia="Arial" w:hAnsi="Arial"/>
                <w:sz w:val="13"/>
                <w:szCs w:val="13"/>
                <w:color w:val="auto"/>
              </w:rPr>
              <w:t>8,937,396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8,970,602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Alon USA Energy</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tcPr>
          <w:p>
            <w:pPr>
              <w:jc w:val="right"/>
              <w:ind w:right="973"/>
              <w:spacing w:after="0"/>
              <w:rPr>
                <w:sz w:val="20"/>
                <w:szCs w:val="20"/>
                <w:color w:val="auto"/>
              </w:rPr>
            </w:pPr>
            <w:r>
              <w:rPr>
                <w:rFonts w:ascii="Arial" w:cs="Arial" w:eastAsia="Arial" w:hAnsi="Arial"/>
                <w:sz w:val="13"/>
                <w:szCs w:val="13"/>
                <w:color w:val="auto"/>
              </w:rPr>
              <w:t>1,600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1,772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20" w:type="dxa"/>
            <w:vAlign w:val="bottom"/>
            <w:gridSpan w:val="2"/>
          </w:tcPr>
          <w:p>
            <w:pPr>
              <w:ind w:left="1960"/>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20" w:type="dxa"/>
            <w:vAlign w:val="bottom"/>
          </w:tcPr>
          <w:p>
            <w:pPr>
              <w:jc w:val="right"/>
              <w:ind w:right="99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320" w:type="dxa"/>
            <w:vAlign w:val="bottom"/>
          </w:tcPr>
          <w:p>
            <w:pPr>
              <w:jc w:val="right"/>
              <w:ind w:right="173"/>
              <w:spacing w:after="0"/>
              <w:rPr>
                <w:sz w:val="20"/>
                <w:szCs w:val="20"/>
                <w:color w:val="auto"/>
              </w:rPr>
            </w:pPr>
            <w:r>
              <w:rPr>
                <w:rFonts w:ascii="Arial" w:cs="Arial" w:eastAsia="Arial" w:hAnsi="Arial"/>
                <w:sz w:val="13"/>
                <w:szCs w:val="13"/>
                <w:b w:val="1"/>
                <w:bCs w:val="1"/>
                <w:color w:val="auto"/>
              </w:rPr>
              <w:t>(d) Proceeds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dispositions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Altria Group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39,200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2,395,120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2,375,817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Amer Express Co</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98,000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5,524,260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5,476,994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Amer Intl Grp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191,200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12,556,104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12,620,625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American Italian Pasta</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24,300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560,053</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639,789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American Realty Trust</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40,800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644,022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568,575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American Tower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15,372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250,900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350,441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Amerigroup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25,400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959,537</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976,159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Andrx Group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58,400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1,133,902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928,584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Anheuser-Busch Cos</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69,200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3,510,516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3,494,518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Anixter International,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5,300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173,610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188,035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Annaly Mtg Mgmt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38,200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744,545</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717,199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Arch Coal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30,000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1,179,848</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1,955,494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Ariba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72,900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656,510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434,535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Assurant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185,400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5,663,970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5,684,843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Astec Industries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25,208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29,724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AT &amp; T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177,600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4,576,752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4,540,948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Atherogenics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22,600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379,672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354,514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Atmos Energy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37,900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1,037,912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1,044,553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Autozone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38,900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3,551,959</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3,529,275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Bank of America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292,900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13,763,371</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13,601,665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Basic Energy Services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500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10,000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10,665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Bear Stearns Cos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18,000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1,841,580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1,842,239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Bk of New York</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157,400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5,260,308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5,244,933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Blue Nile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7,700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189,243</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222,404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Brookfield Properties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124,600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4,660,040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4,609,843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Brown-Forman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40,200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1,956,936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1,936,698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Burlington Resources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179,400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7,803,900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7,325,358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CA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157,100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4,879,526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4,838,410</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20" w:type="dxa"/>
            <w:vAlign w:val="bottom"/>
            <w:gridSpan w:val="2"/>
          </w:tcPr>
          <w:p>
            <w:pPr>
              <w:ind w:left="1960"/>
              <w:spacing w:after="0"/>
              <w:rPr>
                <w:sz w:val="20"/>
                <w:szCs w:val="20"/>
                <w:color w:val="auto"/>
              </w:rPr>
            </w:pPr>
            <w:r>
              <w:rPr>
                <w:rFonts w:ascii="Arial" w:cs="Arial" w:eastAsia="Arial" w:hAnsi="Arial"/>
                <w:sz w:val="13"/>
                <w:szCs w:val="13"/>
                <w:color w:val="auto"/>
              </w:rPr>
              <w:t>37</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20" w:type="dxa"/>
            <w:vAlign w:val="bottom"/>
          </w:tcPr>
          <w:p>
            <w:pPr>
              <w:jc w:val="right"/>
              <w:ind w:right="99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320" w:type="dxa"/>
            <w:vAlign w:val="bottom"/>
          </w:tcPr>
          <w:p>
            <w:pPr>
              <w:jc w:val="right"/>
              <w:ind w:right="173"/>
              <w:spacing w:after="0"/>
              <w:rPr>
                <w:sz w:val="20"/>
                <w:szCs w:val="20"/>
                <w:color w:val="auto"/>
              </w:rPr>
            </w:pPr>
            <w:r>
              <w:rPr>
                <w:rFonts w:ascii="Arial" w:cs="Arial" w:eastAsia="Arial" w:hAnsi="Arial"/>
                <w:sz w:val="13"/>
                <w:szCs w:val="13"/>
                <w:b w:val="1"/>
                <w:bCs w:val="1"/>
                <w:color w:val="auto"/>
              </w:rPr>
              <w:t>(d) Proceeds of</w:t>
            </w:r>
          </w:p>
        </w:tc>
      </w:tr>
      <w:tr>
        <w:trPr>
          <w:trHeight w:val="174"/>
        </w:trPr>
        <w:tc>
          <w:tcPr>
            <w:tcW w:w="37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dispositions</w:t>
            </w:r>
          </w:p>
        </w:tc>
      </w:tr>
      <w:tr>
        <w:trPr>
          <w:trHeight w:val="313"/>
        </w:trPr>
        <w:tc>
          <w:tcPr>
            <w:tcW w:w="3700" w:type="dxa"/>
            <w:vAlign w:val="bottom"/>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Cabot Microelectronics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24,500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722,253</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710,581</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Capital Automotive REIT</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22,800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795,570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874,552</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Cendant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202,100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4,725,098</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4,682,345</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Centurytel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83,900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2,975,933</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2,925,592</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Chevron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142,700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7,493,177</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7,260,263</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Chubb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122,700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9,435,630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9,365,680</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Citi Trends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1,400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1,584</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Citigroup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460,600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22,191,708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22,223,430</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Clarcor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84,140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95,779</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Clear Channel Communications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62,200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2,083,078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2,045,088</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Coca Cola Co</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111,200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4,629,256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4,616,805</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Comcast Corp New CL</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147,200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4,898,816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4,835,260</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Conocophillips</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106,200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9,221,346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8,930,043</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Corporate Executive Board</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433,754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431,690</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Cousins Properties</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20,800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621,440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552,408</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Cuno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8,900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511,466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638,717</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Cynosure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1,500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1,903</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Dean Foods Co</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82,900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2,731,555</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2,682,117</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Design within Reach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41,500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645,584</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215,788</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Devon Energy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177,700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6,916,084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6,591,378</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Dollar Financial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1,600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1,642</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Dominion Resources Inc (VA)</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80,600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5,459,844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5,437,068</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Dresser Rand Group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19,400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407,400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404,597</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Dycom Industries</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32,400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903,116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666,832</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Emulex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25,900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467,431</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480,304</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Engineered Support Systems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30,400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1,140,213</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1,239,268</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Esco Technologies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22,500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1,289,510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1,689,317</w:t>
            </w:r>
          </w:p>
        </w:tc>
      </w:tr>
      <w:tr>
        <w:trPr>
          <w:trHeight w:val="172"/>
        </w:trPr>
        <w:tc>
          <w:tcPr>
            <w:tcW w:w="3700" w:type="dxa"/>
            <w:vAlign w:val="bottom"/>
          </w:tcPr>
          <w:p>
            <w:pPr>
              <w:spacing w:after="0"/>
              <w:rPr>
                <w:sz w:val="20"/>
                <w:szCs w:val="20"/>
                <w:color w:val="auto"/>
              </w:rPr>
            </w:pPr>
            <w:r>
              <w:rPr>
                <w:rFonts w:ascii="Arial" w:cs="Arial" w:eastAsia="Arial" w:hAnsi="Arial"/>
                <w:sz w:val="13"/>
                <w:szCs w:val="13"/>
                <w:color w:val="auto"/>
              </w:rPr>
              <w:t>Exelon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109,700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4,834,479</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4,739,916</w:t>
            </w:r>
          </w:p>
        </w:tc>
      </w:tr>
      <w:tr>
        <w:trPr>
          <w:trHeight w:val="292"/>
        </w:trPr>
        <w:tc>
          <w:tcPr>
            <w:tcW w:w="3700" w:type="dxa"/>
            <w:vAlign w:val="bottom"/>
          </w:tcPr>
          <w:p>
            <w:pPr>
              <w:spacing w:after="0"/>
              <w:rPr>
                <w:sz w:val="24"/>
                <w:szCs w:val="24"/>
                <w:color w:val="auto"/>
              </w:rPr>
            </w:pPr>
          </w:p>
        </w:tc>
        <w:tc>
          <w:tcPr>
            <w:tcW w:w="3320" w:type="dxa"/>
            <w:vAlign w:val="bottom"/>
            <w:gridSpan w:val="2"/>
          </w:tcPr>
          <w:p>
            <w:pPr>
              <w:ind w:left="1960"/>
              <w:spacing w:after="0"/>
              <w:rPr>
                <w:sz w:val="20"/>
                <w:szCs w:val="20"/>
                <w:color w:val="auto"/>
              </w:rPr>
            </w:pPr>
            <w:r>
              <w:rPr>
                <w:rFonts w:ascii="Arial" w:cs="Arial" w:eastAsia="Arial" w:hAnsi="Arial"/>
                <w:sz w:val="13"/>
                <w:szCs w:val="13"/>
                <w:color w:val="auto"/>
              </w:rPr>
              <w:t>38</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7"/>
        </w:trPr>
        <w:tc>
          <w:tcPr>
            <w:tcW w:w="37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20" w:type="dxa"/>
            <w:vAlign w:val="bottom"/>
          </w:tcPr>
          <w:p>
            <w:pPr>
              <w:jc w:val="right"/>
              <w:ind w:right="99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320" w:type="dxa"/>
            <w:vAlign w:val="bottom"/>
          </w:tcPr>
          <w:p>
            <w:pPr>
              <w:jc w:val="right"/>
              <w:ind w:right="173"/>
              <w:spacing w:after="0"/>
              <w:rPr>
                <w:sz w:val="20"/>
                <w:szCs w:val="20"/>
                <w:color w:val="auto"/>
              </w:rPr>
            </w:pPr>
            <w:r>
              <w:rPr>
                <w:rFonts w:ascii="Arial" w:cs="Arial" w:eastAsia="Arial" w:hAnsi="Arial"/>
                <w:sz w:val="13"/>
                <w:szCs w:val="13"/>
                <w:b w:val="1"/>
                <w:bCs w:val="1"/>
                <w:color w:val="auto"/>
              </w:rPr>
              <w:t>(d) Proceeds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dispositions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Exxon Mobil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66,400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3,403,664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3,324,504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Fifth Third Bancorp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120,400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5,692,512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5,722,478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Firstenergy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46,900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1,853,019</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1,844,487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FPL Group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42,000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3,139,500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3,102,845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Freddie Mac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209,000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15,403,300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15,250,164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Gannett Co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101,900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8,325,230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8,272,048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General Dynamics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34,500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3,608,700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3,518,883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General Electric Co</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127,400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4,650,100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4,658,909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GFI Group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2,100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2,509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Golden West Financial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150,300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9,231,426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9,201,361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Hartford Financial Services Grp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67,200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4,657,632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4,621,908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Headwaters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21,700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706,914</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846,055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Heartland Payment Systems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500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9,000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11,749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Hewlett Packard Co</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418,800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8,782,236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8,806,739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Hilton Hotels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155,900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3,545,166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3,540,406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Hittite Microwave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7,100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121,123</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135,034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IHS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14,400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15,304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Insight Communications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67,400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641,362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798,050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Insituform Technologies</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51,600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1,020,368</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967,826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Intercontinental Exchange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28,600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43,090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International Business Machines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38,400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3,785,472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3,752,706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Internatl Securities Exchange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3,600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5,369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ITC Holdings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700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16,100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18,706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Ivax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29,000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439,786</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546,060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James River Group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1,800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1,977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Johnson &amp; Johnson</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88,500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5,612,670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5,564,661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Keryx Biopharmaceuticals</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23,600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387,170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312,882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Kinder Morgan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110,700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8,095,491</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7,885,940</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20" w:type="dxa"/>
            <w:vAlign w:val="bottom"/>
            <w:gridSpan w:val="2"/>
          </w:tcPr>
          <w:p>
            <w:pPr>
              <w:ind w:left="1960"/>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900" w:type="dxa"/>
            <w:vAlign w:val="bottom"/>
          </w:tcPr>
          <w:p>
            <w:pPr>
              <w:jc w:val="right"/>
              <w:ind w:right="107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(d) Proceeds of</w:t>
            </w:r>
          </w:p>
        </w:tc>
      </w:tr>
      <w:tr>
        <w:trPr>
          <w:trHeight w:val="174"/>
        </w:trPr>
        <w:tc>
          <w:tcPr>
            <w:tcW w:w="36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900" w:type="dxa"/>
            <w:vAlign w:val="bottom"/>
            <w:tcBorders>
              <w:bottom w:val="single" w:sz="8" w:color="auto"/>
            </w:tcBorders>
          </w:tcPr>
          <w:p>
            <w:pPr>
              <w:jc w:val="right"/>
              <w:ind w:right="103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dispositions</w:t>
            </w:r>
          </w:p>
        </w:tc>
      </w:tr>
      <w:tr>
        <w:trPr>
          <w:trHeight w:val="313"/>
        </w:trPr>
        <w:tc>
          <w:tcPr>
            <w:tcW w:w="3680" w:type="dxa"/>
            <w:vAlign w:val="bottom"/>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Knight-Ridder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20,900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1,399,046</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1,378,720</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Lexmark Intl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51,400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4,369,000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4,367,818</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Liberty Media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666,800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7,321,464</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7,187,269</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Lowe’s Cos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39,000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2,246,010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2,259,568</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M&amp;T Bank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30,600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3,299,904</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3,254,769</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Maidenform Brands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800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13,600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16,037</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Manhattan Associates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18,300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432,422</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355,680</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Mantech International 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9,500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190,400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249,140</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Marsh &amp; Mclennan Cos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88,100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2,898,490</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2,896,572</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Martek Biosciences 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17,500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854,641</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779,445</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Massey Energy</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21,600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771,254</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1,084,940</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MBNA 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197,600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5,570,344</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5,603,607</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McDonald’s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100,900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3,234,854</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3,208,545</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MGIC Investment 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104,000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7,166,640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7,067,383</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Microsoft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287,300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7,673,783</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7,676,476</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Morgan Stanley</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139,800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7,761,696</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7,811,701</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Navigators Group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15,000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451,863</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525,211</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North Fork Bancorp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162,900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4,699,665</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4,688,152</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Northern Trust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132,400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6,431,992</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6,326,228</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Old Republic International Corp</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135,100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3,418,030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3,401,995</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Olin Corp</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14,600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316,192</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362,869</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Omnicare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32,600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1,124,320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1,241,569</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Onyx Pharmaceuticals</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16,200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400,395</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464,125</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Optionsxpress Hldgs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1,650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2,004</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Outback Steakhouse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53,000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2,426,340</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2,407,813</w:t>
            </w:r>
          </w:p>
        </w:tc>
      </w:tr>
      <w:tr>
        <w:trPr>
          <w:trHeight w:val="161"/>
        </w:trPr>
        <w:tc>
          <w:tcPr>
            <w:tcW w:w="3680" w:type="dxa"/>
            <w:vAlign w:val="bottom"/>
          </w:tcPr>
          <w:p>
            <w:pPr>
              <w:spacing w:after="0"/>
              <w:rPr>
                <w:sz w:val="20"/>
                <w:szCs w:val="20"/>
                <w:color w:val="auto"/>
              </w:rPr>
            </w:pPr>
            <w:r>
              <w:rPr>
                <w:rFonts w:ascii="Arial" w:cs="Arial" w:eastAsia="Arial" w:hAnsi="Arial"/>
                <w:sz w:val="13"/>
                <w:szCs w:val="13"/>
                <w:color w:val="auto"/>
              </w:rPr>
              <w:t>Packeteer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49,500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586,586</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359,071</w:t>
            </w:r>
          </w:p>
        </w:tc>
      </w:tr>
      <w:tr>
        <w:trPr>
          <w:trHeight w:val="16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Pentair Inc</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13,800 shares</w:t>
            </w:r>
          </w:p>
        </w:tc>
        <w:tc>
          <w:tcPr>
            <w:tcW w:w="3100" w:type="dxa"/>
            <w:vAlign w:val="bottom"/>
            <w:gridSpan w:val="2"/>
            <w:shd w:val="clear" w:color="auto" w:fill="CCEEFF"/>
          </w:tcPr>
          <w:p>
            <w:pPr>
              <w:jc w:val="right"/>
              <w:ind w:right="1113"/>
              <w:spacing w:after="0"/>
              <w:rPr>
                <w:sz w:val="20"/>
                <w:szCs w:val="20"/>
                <w:color w:val="auto"/>
              </w:rPr>
            </w:pPr>
            <w:r>
              <w:rPr>
                <w:rFonts w:ascii="Arial" w:cs="Arial" w:eastAsia="Arial" w:hAnsi="Arial"/>
                <w:sz w:val="13"/>
                <w:szCs w:val="13"/>
                <w:color w:val="auto"/>
              </w:rPr>
              <w:t>579,978</w:t>
            </w:r>
          </w:p>
        </w:tc>
        <w:tc>
          <w:tcPr>
            <w:tcW w:w="136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568,325</w:t>
            </w:r>
          </w:p>
        </w:tc>
      </w:tr>
      <w:tr>
        <w:trPr>
          <w:trHeight w:val="172"/>
        </w:trPr>
        <w:tc>
          <w:tcPr>
            <w:tcW w:w="3680" w:type="dxa"/>
            <w:vAlign w:val="bottom"/>
          </w:tcPr>
          <w:p>
            <w:pPr>
              <w:spacing w:after="0"/>
              <w:rPr>
                <w:sz w:val="20"/>
                <w:szCs w:val="20"/>
                <w:color w:val="auto"/>
              </w:rPr>
            </w:pPr>
            <w:r>
              <w:rPr>
                <w:rFonts w:ascii="Arial" w:cs="Arial" w:eastAsia="Arial" w:hAnsi="Arial"/>
                <w:sz w:val="13"/>
                <w:szCs w:val="13"/>
                <w:color w:val="auto"/>
              </w:rPr>
              <w:t>Petco Animal Supplies Inc</w:t>
            </w: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30,000 shares</w:t>
            </w:r>
          </w:p>
        </w:tc>
        <w:tc>
          <w:tcPr>
            <w:tcW w:w="3100" w:type="dxa"/>
            <w:vAlign w:val="bottom"/>
            <w:gridSpan w:val="2"/>
          </w:tcPr>
          <w:p>
            <w:pPr>
              <w:jc w:val="right"/>
              <w:ind w:right="1113"/>
              <w:spacing w:after="0"/>
              <w:rPr>
                <w:sz w:val="20"/>
                <w:szCs w:val="20"/>
                <w:color w:val="auto"/>
              </w:rPr>
            </w:pPr>
            <w:r>
              <w:rPr>
                <w:rFonts w:ascii="Arial" w:cs="Arial" w:eastAsia="Arial" w:hAnsi="Arial"/>
                <w:sz w:val="13"/>
                <w:szCs w:val="13"/>
                <w:color w:val="auto"/>
              </w:rPr>
              <w:t>1,138,640</w:t>
            </w:r>
          </w:p>
        </w:tc>
        <w:tc>
          <w:tcPr>
            <w:tcW w:w="1360" w:type="dxa"/>
            <w:vAlign w:val="bottom"/>
            <w:gridSpan w:val="2"/>
          </w:tcPr>
          <w:p>
            <w:pPr>
              <w:jc w:val="right"/>
              <w:ind w:right="233"/>
              <w:spacing w:after="0"/>
              <w:rPr>
                <w:sz w:val="20"/>
                <w:szCs w:val="20"/>
                <w:color w:val="auto"/>
              </w:rPr>
            </w:pPr>
            <w:r>
              <w:rPr>
                <w:rFonts w:ascii="Arial" w:cs="Arial" w:eastAsia="Arial" w:hAnsi="Arial"/>
                <w:sz w:val="13"/>
                <w:szCs w:val="13"/>
                <w:color w:val="auto"/>
              </w:rPr>
              <w:t>743,029</w:t>
            </w:r>
          </w:p>
        </w:tc>
      </w:tr>
      <w:tr>
        <w:trPr>
          <w:trHeight w:val="292"/>
        </w:trPr>
        <w:tc>
          <w:tcPr>
            <w:tcW w:w="3680" w:type="dxa"/>
            <w:vAlign w:val="bottom"/>
          </w:tcPr>
          <w:p>
            <w:pPr>
              <w:spacing w:after="0"/>
              <w:rPr>
                <w:sz w:val="24"/>
                <w:szCs w:val="24"/>
                <w:color w:val="auto"/>
              </w:rPr>
            </w:pPr>
          </w:p>
        </w:tc>
        <w:tc>
          <w:tcPr>
            <w:tcW w:w="3320" w:type="dxa"/>
            <w:vAlign w:val="bottom"/>
            <w:gridSpan w:val="2"/>
          </w:tcPr>
          <w:p>
            <w:pPr>
              <w:jc w:val="right"/>
              <w:ind w:right="1133"/>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20" w:type="dxa"/>
            <w:vAlign w:val="bottom"/>
          </w:tcPr>
          <w:p>
            <w:pPr>
              <w:jc w:val="right"/>
              <w:ind w:right="993"/>
              <w:spacing w:after="0"/>
              <w:rPr>
                <w:sz w:val="20"/>
                <w:szCs w:val="20"/>
                <w:color w:val="auto"/>
              </w:rPr>
            </w:pPr>
            <w:r>
              <w:rPr>
                <w:rFonts w:ascii="Arial" w:cs="Arial" w:eastAsia="Arial" w:hAnsi="Arial"/>
                <w:sz w:val="13"/>
                <w:szCs w:val="13"/>
                <w:b w:val="1"/>
                <w:bCs w:val="1"/>
                <w:color w:val="auto"/>
              </w:rPr>
              <w:t>(c ) Cost of</w:t>
            </w:r>
          </w:p>
        </w:tc>
        <w:tc>
          <w:tcPr>
            <w:tcW w:w="200" w:type="dxa"/>
            <w:vAlign w:val="bottom"/>
          </w:tcPr>
          <w:p>
            <w:pPr>
              <w:spacing w:after="0"/>
              <w:rPr>
                <w:sz w:val="14"/>
                <w:szCs w:val="14"/>
                <w:color w:val="auto"/>
              </w:rPr>
            </w:pPr>
          </w:p>
        </w:tc>
        <w:tc>
          <w:tcPr>
            <w:tcW w:w="1320" w:type="dxa"/>
            <w:vAlign w:val="bottom"/>
          </w:tcPr>
          <w:p>
            <w:pPr>
              <w:jc w:val="right"/>
              <w:ind w:right="173"/>
              <w:spacing w:after="0"/>
              <w:rPr>
                <w:sz w:val="20"/>
                <w:szCs w:val="20"/>
                <w:color w:val="auto"/>
              </w:rPr>
            </w:pPr>
            <w:r>
              <w:rPr>
                <w:rFonts w:ascii="Arial" w:cs="Arial" w:eastAsia="Arial" w:hAnsi="Arial"/>
                <w:sz w:val="13"/>
                <w:szCs w:val="13"/>
                <w:b w:val="1"/>
                <w:bCs w:val="1"/>
                <w:color w:val="auto"/>
              </w:rPr>
              <w:t>(d) Proceeds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200" w:type="dxa"/>
            <w:vAlign w:val="bottom"/>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dispositions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Pfizer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523,100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14,066,159</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13,825,209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Piper Jaffray Companies</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16,300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447,818</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516,165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PRG-Schultz International</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108,200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555,262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284,013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Principal Finl Group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4,102,188</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4,086,391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Progenics Pharmaceuticals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32,389</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38,914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Prudential Financial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79,200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4,352,832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4,264,028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Quiksilver Resources,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31,300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897,887</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1,376,790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Reddy Ice Holdings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11,100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11,690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Renal Care Group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32,900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1,208,071</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1,530,008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Rigel Pharmaceutic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18,700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384,974</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141,910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Robbins &amp; Myers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17,500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410,134</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382,717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RSA Security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28,300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362,462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303,035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Ruths Chris Steak House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10,800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12,375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Safeco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89,500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4,675,480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4,562,469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Scripps Co</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15,000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724,200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715,018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Skywest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46,000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914,141</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1,134,301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Southwestern Energy Co.</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37,700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775,786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1,965,899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Spartech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27,600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687,194</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511,795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Spectrasite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14,800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863,230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1,132,381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State Ntl Bancshares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2,600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2,658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Sunpower Corp</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3,600</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5,243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Suntrust Banks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61,800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4,565,784</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4,497,019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Supportsoft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69,800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447,082</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405,027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S1 Corp</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59,100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511,732</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293,082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The St. Paul Travelers Cos Inc</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66,100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2,450,327</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2,460,779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Time Warner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443,000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8,611,920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8,589,126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Tyco International</w:t>
            </w: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211,900 shares</w:t>
            </w:r>
          </w:p>
        </w:tc>
        <w:tc>
          <w:tcPr>
            <w:tcW w:w="2920" w:type="dxa"/>
            <w:vAlign w:val="bottom"/>
            <w:gridSpan w:val="2"/>
          </w:tcPr>
          <w:p>
            <w:pPr>
              <w:jc w:val="right"/>
              <w:ind w:right="993"/>
              <w:spacing w:after="0"/>
              <w:rPr>
                <w:sz w:val="20"/>
                <w:szCs w:val="20"/>
                <w:color w:val="auto"/>
              </w:rPr>
            </w:pPr>
            <w:r>
              <w:rPr>
                <w:rFonts w:ascii="Arial" w:cs="Arial" w:eastAsia="Arial" w:hAnsi="Arial"/>
                <w:sz w:val="13"/>
                <w:szCs w:val="13"/>
                <w:color w:val="auto"/>
              </w:rPr>
              <w:t>7,573,306</w:t>
            </w:r>
          </w:p>
        </w:tc>
        <w:tc>
          <w:tcPr>
            <w:tcW w:w="1520" w:type="dxa"/>
            <w:vAlign w:val="bottom"/>
            <w:gridSpan w:val="2"/>
          </w:tcPr>
          <w:p>
            <w:pPr>
              <w:jc w:val="right"/>
              <w:ind w:right="293"/>
              <w:spacing w:after="0"/>
              <w:rPr>
                <w:sz w:val="20"/>
                <w:szCs w:val="20"/>
                <w:color w:val="auto"/>
              </w:rPr>
            </w:pPr>
            <w:r>
              <w:rPr>
                <w:rFonts w:ascii="Arial" w:cs="Arial" w:eastAsia="Arial" w:hAnsi="Arial"/>
                <w:sz w:val="13"/>
                <w:szCs w:val="13"/>
                <w:color w:val="auto"/>
              </w:rPr>
              <w:t>7,505,110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Under Armour Inc</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1,000 shares</w:t>
            </w:r>
          </w:p>
        </w:tc>
        <w:tc>
          <w:tcPr>
            <w:tcW w:w="2920" w:type="dxa"/>
            <w:vAlign w:val="bottom"/>
            <w:gridSpan w:val="2"/>
            <w:shd w:val="clear" w:color="auto" w:fill="CCEEFF"/>
          </w:tcPr>
          <w:p>
            <w:pPr>
              <w:jc w:val="right"/>
              <w:ind w:right="993"/>
              <w:spacing w:after="0"/>
              <w:rPr>
                <w:sz w:val="20"/>
                <w:szCs w:val="20"/>
                <w:color w:val="auto"/>
              </w:rPr>
            </w:pPr>
            <w:r>
              <w:rPr>
                <w:rFonts w:ascii="Arial" w:cs="Arial" w:eastAsia="Arial" w:hAnsi="Arial"/>
                <w:sz w:val="13"/>
                <w:szCs w:val="13"/>
                <w:color w:val="auto"/>
              </w:rPr>
              <w:t>13,000</w:t>
            </w:r>
          </w:p>
        </w:tc>
        <w:tc>
          <w:tcPr>
            <w:tcW w:w="15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24,302</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20" w:type="dxa"/>
            <w:vAlign w:val="bottom"/>
            <w:gridSpan w:val="2"/>
          </w:tcPr>
          <w:p>
            <w:pPr>
              <w:ind w:left="1960"/>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Schedule of Assets (Acquired And Disposed of Within Year)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Form 5500 — Schedule H — Part IV — Line 4i)</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w w:val="92"/>
              </w:rPr>
              <w:t>(b) Description of investment, including maturity date,</w:t>
            </w:r>
          </w:p>
        </w:tc>
        <w:tc>
          <w:tcPr>
            <w:tcW w:w="200" w:type="dxa"/>
            <w:vAlign w:val="bottom"/>
          </w:tcPr>
          <w:p>
            <w:pPr>
              <w:spacing w:after="0"/>
              <w:rPr>
                <w:sz w:val="14"/>
                <w:szCs w:val="14"/>
                <w:color w:val="auto"/>
              </w:rPr>
            </w:pPr>
          </w:p>
        </w:tc>
        <w:tc>
          <w:tcPr>
            <w:tcW w:w="2700" w:type="dxa"/>
            <w:vAlign w:val="bottom"/>
          </w:tcPr>
          <w:p>
            <w:pPr>
              <w:jc w:val="right"/>
              <w:ind w:right="973"/>
              <w:spacing w:after="0"/>
              <w:rPr>
                <w:sz w:val="20"/>
                <w:szCs w:val="20"/>
                <w:color w:val="auto"/>
              </w:rPr>
            </w:pPr>
            <w:r>
              <w:rPr>
                <w:rFonts w:ascii="Arial" w:cs="Arial" w:eastAsia="Arial" w:hAnsi="Arial"/>
                <w:sz w:val="13"/>
                <w:szCs w:val="13"/>
                <w:b w:val="1"/>
                <w:bCs w:val="1"/>
                <w:color w:val="auto"/>
              </w:rPr>
              <w:t>(c ) Cost of</w:t>
            </w:r>
          </w:p>
        </w:tc>
        <w:tc>
          <w:tcPr>
            <w:tcW w:w="180" w:type="dxa"/>
            <w:vAlign w:val="bottom"/>
          </w:tcPr>
          <w:p>
            <w:pPr>
              <w:spacing w:after="0"/>
              <w:rPr>
                <w:sz w:val="14"/>
                <w:szCs w:val="14"/>
                <w:color w:val="auto"/>
              </w:rPr>
            </w:pPr>
          </w:p>
        </w:tc>
        <w:tc>
          <w:tcPr>
            <w:tcW w:w="1400" w:type="dxa"/>
            <w:vAlign w:val="bottom"/>
          </w:tcPr>
          <w:p>
            <w:pPr>
              <w:jc w:val="right"/>
              <w:ind w:right="193"/>
              <w:spacing w:after="0"/>
              <w:rPr>
                <w:sz w:val="20"/>
                <w:szCs w:val="20"/>
                <w:color w:val="auto"/>
              </w:rPr>
            </w:pPr>
            <w:r>
              <w:rPr>
                <w:rFonts w:ascii="Arial" w:cs="Arial" w:eastAsia="Arial" w:hAnsi="Arial"/>
                <w:sz w:val="13"/>
                <w:szCs w:val="13"/>
                <w:b w:val="1"/>
                <w:bCs w:val="1"/>
                <w:color w:val="auto"/>
              </w:rPr>
              <w:t>(d) Proceeds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 Identity of Issue, Borrower, Lessor, or Similar Party</w:t>
            </w:r>
          </w:p>
        </w:tc>
        <w:tc>
          <w:tcPr>
            <w:tcW w:w="180" w:type="dxa"/>
            <w:vAlign w:val="bottom"/>
          </w:tcPr>
          <w:p>
            <w:pPr>
              <w:spacing w:after="0"/>
              <w:rPr>
                <w:sz w:val="15"/>
                <w:szCs w:val="15"/>
                <w:color w:val="auto"/>
              </w:rPr>
            </w:pPr>
          </w:p>
        </w:tc>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rate of interest, collateral, par, or maturity value</w:t>
            </w:r>
          </w:p>
        </w:tc>
        <w:tc>
          <w:tcPr>
            <w:tcW w:w="200" w:type="dxa"/>
            <w:vAlign w:val="bottom"/>
          </w:tcPr>
          <w:p>
            <w:pPr>
              <w:spacing w:after="0"/>
              <w:rPr>
                <w:sz w:val="15"/>
                <w:szCs w:val="15"/>
                <w:color w:val="auto"/>
              </w:rPr>
            </w:pPr>
          </w:p>
        </w:tc>
        <w:tc>
          <w:tcPr>
            <w:tcW w:w="270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b w:val="1"/>
                <w:bCs w:val="1"/>
                <w:color w:val="auto"/>
              </w:rPr>
              <w:t>acquisitions</w:t>
            </w:r>
          </w:p>
        </w:tc>
        <w:tc>
          <w:tcPr>
            <w:tcW w:w="180" w:type="dxa"/>
            <w:vAlign w:val="bottom"/>
          </w:tcPr>
          <w:p>
            <w:pPr>
              <w:spacing w:after="0"/>
              <w:rPr>
                <w:sz w:val="15"/>
                <w:szCs w:val="15"/>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dispositions</w:t>
            </w:r>
          </w:p>
        </w:tc>
        <w:tc>
          <w:tcPr>
            <w:tcW w:w="0" w:type="dxa"/>
            <w:vAlign w:val="bottom"/>
          </w:tcPr>
          <w:p>
            <w:pPr>
              <w:spacing w:after="0"/>
              <w:rPr>
                <w:sz w:val="1"/>
                <w:szCs w:val="1"/>
                <w:color w:val="auto"/>
              </w:rPr>
            </w:pPr>
          </w:p>
        </w:tc>
      </w:tr>
      <w:tr>
        <w:trPr>
          <w:trHeight w:val="313"/>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Corporate Stock — Common — (continued)</w:t>
            </w: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United Technologies Corp</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74,600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7,709,910</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7,682,054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US Bancorp Delaware</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212,900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6,668,028</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6,605,919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US Unwired Inc</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111,700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536,440</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698,125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Vail Resorts Inc</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24,900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554,813</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646,140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Varian Inc</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18,700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758,408</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712,737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Verizon Communications Inc</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175,200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7,097,352</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7,090,003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VF Corp</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89,500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4,956,510</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4,863,003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Viacom Inc</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133,700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4,865,343</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4,895,846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Vulcan Materials</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94,400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5,155,184</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5,044,127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Wachovia Corp</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169,500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8,915,700</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8,842,439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Washington Mutual Inc</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157,600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6,663,328</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6,642,528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Waste Management Inc</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145,900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4,368,246</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4,305,409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Watson Wyatt Worldwide Inc</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26,700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715,781</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721,967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WebMD Health Corporation</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600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10,500</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13,646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Wells Fargo &amp; Co</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93,600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5,817,240</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5,792,676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Western Wireless Corp</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25,600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791,220</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979,598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Worldspace Inc</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200 shares</w:t>
            </w:r>
          </w:p>
        </w:tc>
        <w:tc>
          <w:tcPr>
            <w:tcW w:w="2900" w:type="dxa"/>
            <w:vAlign w:val="bottom"/>
            <w:gridSpan w:val="2"/>
            <w:shd w:val="clear" w:color="auto" w:fill="CCEEFF"/>
          </w:tcPr>
          <w:p>
            <w:pPr>
              <w:jc w:val="right"/>
              <w:ind w:right="953"/>
              <w:spacing w:after="0"/>
              <w:rPr>
                <w:sz w:val="20"/>
                <w:szCs w:val="20"/>
                <w:color w:val="auto"/>
              </w:rPr>
            </w:pPr>
            <w:r>
              <w:rPr>
                <w:rFonts w:ascii="Arial" w:cs="Arial" w:eastAsia="Arial" w:hAnsi="Arial"/>
                <w:sz w:val="13"/>
                <w:szCs w:val="13"/>
                <w:color w:val="auto"/>
              </w:rPr>
              <w:t>4,200</w:t>
            </w:r>
          </w:p>
        </w:tc>
        <w:tc>
          <w:tcPr>
            <w:tcW w:w="15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4,588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Wyeth</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92,500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3,939,576</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3,933,841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York International</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600 shares</w:t>
            </w:r>
          </w:p>
        </w:tc>
        <w:tc>
          <w:tcPr>
            <w:tcW w:w="200" w:type="dxa"/>
            <w:vAlign w:val="bottom"/>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3"/>
                <w:szCs w:val="13"/>
                <w:color w:val="auto"/>
              </w:rPr>
              <w:t>22,246</w:t>
            </w:r>
          </w:p>
        </w:tc>
        <w:tc>
          <w:tcPr>
            <w:tcW w:w="1580" w:type="dxa"/>
            <w:vAlign w:val="bottom"/>
            <w:tcBorders>
              <w:bottom w:val="single" w:sz="8" w:color="auto"/>
            </w:tcBorders>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24,193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60" w:type="dxa"/>
            <w:vAlign w:val="bottom"/>
          </w:tcPr>
          <w:p>
            <w:pPr>
              <w:ind w:left="140"/>
              <w:spacing w:after="0"/>
              <w:rPr>
                <w:sz w:val="20"/>
                <w:szCs w:val="20"/>
                <w:color w:val="auto"/>
              </w:rPr>
            </w:pPr>
            <w:r>
              <w:rPr>
                <w:rFonts w:ascii="Arial" w:cs="Arial" w:eastAsia="Arial" w:hAnsi="Arial"/>
                <w:sz w:val="13"/>
                <w:szCs w:val="13"/>
                <w:b w:val="1"/>
                <w:bCs w:val="1"/>
                <w:color w:val="auto"/>
              </w:rPr>
              <w:t>Total Corporate Stock — Common</w:t>
            </w: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00" w:type="dxa"/>
            <w:vAlign w:val="bottom"/>
            <w:gridSpan w:val="2"/>
          </w:tcPr>
          <w:p>
            <w:pPr>
              <w:jc w:val="right"/>
              <w:ind w:right="953"/>
              <w:spacing w:after="0"/>
              <w:rPr>
                <w:sz w:val="20"/>
                <w:szCs w:val="20"/>
                <w:color w:val="auto"/>
              </w:rPr>
            </w:pPr>
            <w:r>
              <w:rPr>
                <w:rFonts w:ascii="Arial" w:cs="Arial" w:eastAsia="Arial" w:hAnsi="Arial"/>
                <w:sz w:val="13"/>
                <w:szCs w:val="13"/>
                <w:b w:val="1"/>
                <w:bCs w:val="1"/>
                <w:color w:val="auto"/>
              </w:rPr>
              <w:t>499,189,492</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497,456,920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Partnership/Joint Ventures:</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Enterprise GP Holdings LP</w:t>
            </w:r>
          </w:p>
        </w:tc>
        <w:tc>
          <w:tcPr>
            <w:tcW w:w="1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500 shares</w:t>
            </w:r>
          </w:p>
        </w:tc>
        <w:tc>
          <w:tcPr>
            <w:tcW w:w="2900" w:type="dxa"/>
            <w:vAlign w:val="bottom"/>
            <w:gridSpan w:val="2"/>
          </w:tcPr>
          <w:p>
            <w:pPr>
              <w:jc w:val="right"/>
              <w:ind w:right="953"/>
              <w:spacing w:after="0"/>
              <w:rPr>
                <w:sz w:val="20"/>
                <w:szCs w:val="20"/>
                <w:color w:val="auto"/>
              </w:rPr>
            </w:pPr>
            <w:r>
              <w:rPr>
                <w:rFonts w:ascii="Arial" w:cs="Arial" w:eastAsia="Arial" w:hAnsi="Arial"/>
                <w:sz w:val="13"/>
                <w:szCs w:val="13"/>
                <w:color w:val="auto"/>
              </w:rPr>
              <w:t>14,000</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color w:val="auto"/>
              </w:rPr>
              <w:t>16,467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Partnership/Joint Ventures</w:t>
            </w:r>
          </w:p>
        </w:tc>
        <w:tc>
          <w:tcPr>
            <w:tcW w:w="18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3"/>
                <w:szCs w:val="13"/>
                <w:b w:val="1"/>
                <w:bCs w:val="1"/>
                <w:color w:val="auto"/>
              </w:rPr>
              <w:t>14,000</w:t>
            </w:r>
          </w:p>
        </w:tc>
        <w:tc>
          <w:tcPr>
            <w:tcW w:w="1580" w:type="dxa"/>
            <w:vAlign w:val="bottom"/>
            <w:tcBorders>
              <w:bottom w:val="single" w:sz="8" w:color="auto"/>
            </w:tcBorders>
            <w:gridSpan w:val="2"/>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16,467</w:t>
            </w:r>
          </w:p>
        </w:tc>
        <w:tc>
          <w:tcPr>
            <w:tcW w:w="0" w:type="dxa"/>
            <w:vAlign w:val="bottom"/>
          </w:tcPr>
          <w:p>
            <w:pPr>
              <w:spacing w:after="0"/>
              <w:rPr>
                <w:sz w:val="1"/>
                <w:szCs w:val="1"/>
                <w:color w:val="auto"/>
              </w:rPr>
            </w:pPr>
          </w:p>
        </w:tc>
      </w:tr>
      <w:tr>
        <w:trPr>
          <w:trHeight w:val="323"/>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TOTAL INVESTMENTS</w:t>
            </w: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00" w:type="dxa"/>
            <w:vAlign w:val="bottom"/>
            <w:gridSpan w:val="2"/>
          </w:tcPr>
          <w:p>
            <w:pPr>
              <w:jc w:val="right"/>
              <w:ind w:right="953"/>
              <w:spacing w:after="0"/>
              <w:rPr>
                <w:sz w:val="20"/>
                <w:szCs w:val="20"/>
                <w:color w:val="auto"/>
              </w:rPr>
            </w:pPr>
            <w:r>
              <w:rPr>
                <w:rFonts w:ascii="Arial" w:cs="Arial" w:eastAsia="Arial" w:hAnsi="Arial"/>
                <w:sz w:val="13"/>
                <w:szCs w:val="13"/>
                <w:b w:val="1"/>
                <w:bCs w:val="1"/>
                <w:color w:val="auto"/>
              </w:rPr>
              <w:t>$527,442,340</w:t>
            </w:r>
          </w:p>
        </w:tc>
        <w:tc>
          <w:tcPr>
            <w:tcW w:w="15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$525,756,482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00" w:type="dxa"/>
            <w:vAlign w:val="bottom"/>
            <w:gridSpan w:val="2"/>
            <w:vMerge w:val="restart"/>
          </w:tcPr>
          <w:p>
            <w:pPr>
              <w:jc w:val="right"/>
              <w:ind w:right="1113"/>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THE JPMORGAN CHASE 401(k) SAVINGS PLAN</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Plan number: 002 — EIN: 13/4994650</w:t>
      </w:r>
    </w:p>
    <w:p>
      <w:pPr>
        <w:spacing w:after="0" w:line="93"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Schedule of Reportable Transactions</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For the Year Ended December 31, 2005</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(IRS Form 5500 — Schedule H — Part IV — Line 4j)</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w:t>
            </w: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(f) Expense</w:t>
            </w: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99"/>
              </w:rPr>
              <w:t>Identity</w:t>
            </w: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6"/>
              </w:rPr>
              <w:t>incurred</w:t>
            </w: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(h) Current value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gridSpan w:val="6"/>
          </w:tcPr>
          <w:p>
            <w:pPr>
              <w:spacing w:after="0"/>
              <w:rPr>
                <w:sz w:val="20"/>
                <w:szCs w:val="20"/>
                <w:color w:val="auto"/>
              </w:rPr>
            </w:pPr>
            <w:r>
              <w:rPr>
                <w:rFonts w:ascii="Arial" w:cs="Arial" w:eastAsia="Arial" w:hAnsi="Arial"/>
                <w:sz w:val="13"/>
                <w:szCs w:val="13"/>
                <w:b w:val="1"/>
                <w:bCs w:val="1"/>
                <w:color w:val="auto"/>
                <w:w w:val="93"/>
              </w:rPr>
              <w:t>of party (b) Description of asset (include interest rate and maturity in</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(c) Purchase</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9"/>
              </w:rPr>
              <w:t>with</w:t>
            </w: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7"/>
              </w:rPr>
              <w:t>of asset on</w:t>
            </w:r>
          </w:p>
        </w:tc>
        <w:tc>
          <w:tcPr>
            <w:tcW w:w="40" w:type="dxa"/>
            <w:vAlign w:val="bottom"/>
          </w:tcPr>
          <w:p>
            <w:pPr>
              <w:spacing w:after="0"/>
              <w:rPr>
                <w:sz w:val="14"/>
                <w:szCs w:val="14"/>
                <w:color w:val="auto"/>
              </w:rPr>
            </w:pPr>
          </w:p>
        </w:tc>
        <w:tc>
          <w:tcPr>
            <w:tcW w:w="136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(i) Net gain or</w:t>
            </w:r>
          </w:p>
        </w:tc>
        <w:tc>
          <w:tcPr>
            <w:tcW w:w="0" w:type="dxa"/>
            <w:vAlign w:val="bottom"/>
          </w:tcPr>
          <w:p>
            <w:pPr>
              <w:spacing w:after="0"/>
              <w:rPr>
                <w:sz w:val="1"/>
                <w:szCs w:val="1"/>
                <w:color w:val="auto"/>
              </w:rPr>
            </w:pPr>
          </w:p>
        </w:tc>
      </w:tr>
      <w:tr>
        <w:trPr>
          <w:trHeight w:val="174"/>
        </w:trPr>
        <w:tc>
          <w:tcPr>
            <w:tcW w:w="500" w:type="dxa"/>
            <w:vAlign w:val="bottom"/>
            <w:gridSpan w:val="3"/>
          </w:tcPr>
          <w:p>
            <w:pPr>
              <w:spacing w:after="0"/>
              <w:rPr>
                <w:sz w:val="20"/>
                <w:szCs w:val="20"/>
                <w:color w:val="auto"/>
              </w:rPr>
            </w:pPr>
            <w:r>
              <w:rPr>
                <w:rFonts w:ascii="Arial" w:cs="Arial" w:eastAsia="Arial" w:hAnsi="Arial"/>
                <w:sz w:val="13"/>
                <w:szCs w:val="13"/>
                <w:b w:val="1"/>
                <w:bCs w:val="1"/>
                <w:color w:val="auto"/>
                <w:w w:val="90"/>
              </w:rPr>
              <w:t>involved</w:t>
            </w:r>
          </w:p>
        </w:tc>
        <w:tc>
          <w:tcPr>
            <w:tcW w:w="20" w:type="dxa"/>
            <w:vAlign w:val="bottom"/>
          </w:tcPr>
          <w:p>
            <w:pPr>
              <w:spacing w:after="0"/>
              <w:rPr>
                <w:sz w:val="15"/>
                <w:szCs w:val="15"/>
                <w:color w:val="auto"/>
              </w:rPr>
            </w:pPr>
          </w:p>
        </w:tc>
        <w:tc>
          <w:tcPr>
            <w:tcW w:w="3500" w:type="dxa"/>
            <w:vAlign w:val="bottom"/>
            <w:gridSpan w:val="3"/>
          </w:tcPr>
          <w:p>
            <w:pPr>
              <w:ind w:left="1340"/>
              <w:spacing w:after="0"/>
              <w:rPr>
                <w:sz w:val="20"/>
                <w:szCs w:val="20"/>
                <w:color w:val="auto"/>
              </w:rPr>
            </w:pPr>
            <w:r>
              <w:rPr>
                <w:rFonts w:ascii="Arial" w:cs="Arial" w:eastAsia="Arial" w:hAnsi="Arial"/>
                <w:sz w:val="13"/>
                <w:szCs w:val="13"/>
                <w:b w:val="1"/>
                <w:bCs w:val="1"/>
                <w:color w:val="auto"/>
              </w:rPr>
              <w:t>case of a loan)</w:t>
            </w:r>
          </w:p>
        </w:tc>
        <w:tc>
          <w:tcPr>
            <w:tcW w:w="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Selling price</w:t>
            </w:r>
          </w:p>
        </w:tc>
        <w:tc>
          <w:tcPr>
            <w:tcW w:w="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transaction</w:t>
            </w:r>
          </w:p>
        </w:tc>
        <w:tc>
          <w:tcPr>
            <w:tcW w:w="40" w:type="dxa"/>
            <w:vAlign w:val="bottom"/>
          </w:tcPr>
          <w:p>
            <w:pPr>
              <w:spacing w:after="0"/>
              <w:rPr>
                <w:sz w:val="15"/>
                <w:szCs w:val="15"/>
                <w:color w:val="auto"/>
              </w:rPr>
            </w:pPr>
          </w:p>
        </w:tc>
        <w:tc>
          <w:tcPr>
            <w:tcW w:w="1560" w:type="dxa"/>
            <w:vAlign w:val="bottom"/>
          </w:tcPr>
          <w:p>
            <w:pPr>
              <w:jc w:val="right"/>
              <w:ind w:right="253"/>
              <w:spacing w:after="0"/>
              <w:rPr>
                <w:sz w:val="20"/>
                <w:szCs w:val="20"/>
                <w:color w:val="auto"/>
              </w:rPr>
            </w:pPr>
            <w:r>
              <w:rPr>
                <w:rFonts w:ascii="Arial" w:cs="Arial" w:eastAsia="Arial" w:hAnsi="Arial"/>
                <w:sz w:val="13"/>
                <w:szCs w:val="13"/>
                <w:b w:val="1"/>
                <w:bCs w:val="1"/>
                <w:color w:val="auto"/>
              </w:rPr>
              <w:t>(g) Cost of asset</w:t>
            </w:r>
          </w:p>
        </w:tc>
        <w:tc>
          <w:tcPr>
            <w:tcW w:w="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3"/>
              </w:rPr>
              <w:t>transaction date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4000" w:type="dxa"/>
            <w:vAlign w:val="bottom"/>
            <w:gridSpan w:val="6"/>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Single Transactions — Schedule H, Part IV, Line 4J</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JPMorgan US Equity FDS Value Opportunities</w:t>
            </w:r>
          </w:p>
        </w:tc>
        <w:tc>
          <w:tcPr>
            <w:tcW w:w="960" w:type="dxa"/>
            <w:vAlign w:val="bottom"/>
            <w:gridSpan w:val="2"/>
          </w:tcPr>
          <w:p>
            <w:pPr>
              <w:jc w:val="right"/>
              <w:ind w:right="293"/>
              <w:spacing w:after="0"/>
              <w:rPr>
                <w:sz w:val="20"/>
                <w:szCs w:val="20"/>
                <w:color w:val="auto"/>
              </w:rPr>
            </w:pPr>
            <w:r>
              <w:rPr>
                <w:rFonts w:ascii="Arial" w:cs="Arial" w:eastAsia="Arial" w:hAnsi="Arial"/>
                <w:sz w:val="13"/>
                <w:szCs w:val="13"/>
                <w:color w:val="auto"/>
              </w:rPr>
              <w:t>$ 16.90</w:t>
            </w:r>
          </w:p>
        </w:tc>
        <w:tc>
          <w:tcPr>
            <w:tcW w:w="40" w:type="dxa"/>
            <w:vAlign w:val="bottom"/>
          </w:tcPr>
          <w:p>
            <w:pPr>
              <w:spacing w:after="0"/>
              <w:rPr>
                <w:sz w:val="14"/>
                <w:szCs w:val="14"/>
                <w:color w:val="auto"/>
              </w:rPr>
            </w:pPr>
          </w:p>
        </w:tc>
        <w:tc>
          <w:tcPr>
            <w:tcW w:w="860" w:type="dxa"/>
            <w:vAlign w:val="bottom"/>
          </w:tcPr>
          <w:p>
            <w:pPr>
              <w:jc w:val="right"/>
              <w:ind w:right="293"/>
              <w:spacing w:after="0"/>
              <w:rPr>
                <w:sz w:val="20"/>
                <w:szCs w:val="20"/>
                <w:color w:val="auto"/>
              </w:rPr>
            </w:pPr>
            <w:r>
              <w:rPr>
                <w:rFonts w:ascii="Arial" w:cs="Arial" w:eastAsia="Arial" w:hAnsi="Arial"/>
                <w:sz w:val="13"/>
                <w:szCs w:val="13"/>
                <w:color w:val="auto"/>
              </w:rPr>
              <w:t>$  —</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  455,000,000</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  455,000,000</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4000" w:type="dxa"/>
            <w:vAlign w:val="bottom"/>
            <w:gridSpan w:val="6"/>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Series of Transactions — Schedule H, Part IV Line 4J</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JPMorgan Chase &amp; Co. Common Stock, 41 buys</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3"/>
                <w:szCs w:val="13"/>
                <w:color w:val="auto"/>
                <w:w w:val="89"/>
              </w:rPr>
              <w:t>176,132</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360,536,903</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360,360,773</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JPMorgan Chase &amp; Co. Common Stock, 152 sells</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9"/>
              </w:rPr>
              <w:t>227,698</w:t>
            </w:r>
          </w:p>
        </w:tc>
        <w:tc>
          <w:tcPr>
            <w:tcW w:w="160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450,200,173</w:t>
            </w:r>
          </w:p>
        </w:tc>
        <w:tc>
          <w:tcPr>
            <w:tcW w:w="16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433,693,508</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w w:val="89"/>
              </w:rPr>
              <w:t>(16,734,363)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JPMorgan Domestic Liquidity Fund, 719 buys</w:t>
            </w:r>
          </w:p>
        </w:tc>
        <w:tc>
          <w:tcPr>
            <w:tcW w:w="960" w:type="dxa"/>
            <w:vAlign w:val="bottom"/>
            <w:gridSpan w:val="2"/>
          </w:tcPr>
          <w:p>
            <w:pPr>
              <w:jc w:val="right"/>
              <w:ind w:right="293"/>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2,257,059,033</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2,257,059,033</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JPMorgan Domestic Liquidity Fund, 590 sells</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2,278,857,849</w:t>
            </w:r>
          </w:p>
        </w:tc>
        <w:tc>
          <w:tcPr>
            <w:tcW w:w="16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2,278,857,849</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JP Morgan US Equity FDS Value Opportunities, 156 buys</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548,389,264</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548,389,264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JP Morgan US Equity FDS Value Opportunities, 352 sells</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39,961,597</w:t>
            </w:r>
          </w:p>
        </w:tc>
        <w:tc>
          <w:tcPr>
            <w:tcW w:w="16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43,968,244</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4,006,647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BGI Equity Index Fund, 44 buys</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230,217,061</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230,217,061</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BGI Equity Index Fund, 223 sells</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147,540,934</w:t>
            </w:r>
          </w:p>
        </w:tc>
        <w:tc>
          <w:tcPr>
            <w:tcW w:w="16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154,008,559</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6,467,625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3"/>
                <w:szCs w:val="13"/>
                <w:color w:val="auto"/>
              </w:rPr>
              <w:t>BGI Russell 1000 Growth Fund, 36 buys</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93"/>
              <w:spacing w:after="0"/>
              <w:rPr>
                <w:sz w:val="20"/>
                <w:szCs w:val="20"/>
                <w:color w:val="auto"/>
              </w:rPr>
            </w:pPr>
            <w:r>
              <w:rPr>
                <w:rFonts w:ascii="Arial" w:cs="Arial" w:eastAsia="Arial" w:hAnsi="Arial"/>
                <w:sz w:val="13"/>
                <w:szCs w:val="13"/>
                <w:color w:val="auto"/>
              </w:rPr>
              <w:t>320,323,150</w:t>
            </w:r>
          </w:p>
        </w:tc>
        <w:tc>
          <w:tcPr>
            <w:tcW w:w="1620" w:type="dxa"/>
            <w:vAlign w:val="bottom"/>
            <w:gridSpan w:val="2"/>
          </w:tcPr>
          <w:p>
            <w:pPr>
              <w:jc w:val="right"/>
              <w:ind w:right="393"/>
              <w:spacing w:after="0"/>
              <w:rPr>
                <w:sz w:val="20"/>
                <w:szCs w:val="20"/>
                <w:color w:val="auto"/>
              </w:rPr>
            </w:pPr>
            <w:r>
              <w:rPr>
                <w:rFonts w:ascii="Arial" w:cs="Arial" w:eastAsia="Arial" w:hAnsi="Arial"/>
                <w:sz w:val="13"/>
                <w:szCs w:val="13"/>
                <w:color w:val="auto"/>
              </w:rPr>
              <w:t>320,323,150</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BGI Russell 1000 Growth Fund, 227 sells</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various</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70,232,290</w:t>
            </w:r>
          </w:p>
        </w:tc>
        <w:tc>
          <w:tcPr>
            <w:tcW w:w="16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68,877,096</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w w:val="99"/>
              </w:rPr>
              <w:t>(1,355,194)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60" w:right="3040" w:hanging="453"/>
        <w:spacing w:after="0" w:line="294" w:lineRule="auto"/>
        <w:rPr>
          <w:sz w:val="20"/>
          <w:szCs w:val="20"/>
          <w:color w:val="auto"/>
        </w:rPr>
      </w:pPr>
      <w:r>
        <w:rPr>
          <w:rFonts w:ascii="Arial" w:cs="Arial" w:eastAsia="Arial" w:hAnsi="Arial"/>
          <w:sz w:val="13"/>
          <w:szCs w:val="13"/>
          <w:color w:val="auto"/>
        </w:rPr>
        <w:t>Note 1: The threshold for reporting transactions under Department of Labor provisions is five percent of the fair value of the Plan’s net assets at the beginning of the year of $11,200,744,651. Five percent of this amount is $560,037,233.</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Note 2: Column ‘(e) Lease rental’ has been omitted, as there are no data to report in this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-87630</wp:posOffset>
            </wp:positionV>
            <wp:extent cx="7327265" cy="102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7265" cy="102235"/>
                    </a:xfrm>
                    <a:prstGeom prst="rect">
                      <a:avLst/>
                    </a:prstGeom>
                    <a:noFill/>
                  </pic:spPr>
                </pic:pic>
              </a:graphicData>
            </a:graphic>
          </wp:anchor>
        </w:drawing>
      </w:r>
    </w:p>
    <w:p>
      <w:pPr>
        <w:spacing w:after="0" w:line="153" w:lineRule="exact"/>
        <w:rPr>
          <w:sz w:val="20"/>
          <w:szCs w:val="20"/>
          <w:color w:val="auto"/>
        </w:rPr>
      </w:pPr>
    </w:p>
    <w:p>
      <w:pPr>
        <w:ind w:left="520" w:hanging="264"/>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Party-in-interest investments</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SIGNATURE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of Act of 1934, the registrant has duly caused this amendment to be signed on its behalf by the undersigned, thereunto duly authorized.</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3"/>
          <w:szCs w:val="13"/>
          <w:color w:val="auto"/>
        </w:rPr>
        <w:t>JPMORGAN CHASE &amp; CO.</w:t>
      </w:r>
    </w:p>
    <w:p>
      <w:pPr>
        <w:spacing w:after="0" w:line="335" w:lineRule="exact"/>
        <w:rPr>
          <w:sz w:val="20"/>
          <w:szCs w:val="20"/>
          <w:color w:val="auto"/>
        </w:rPr>
      </w:pPr>
    </w:p>
    <w:p>
      <w:pPr>
        <w:ind w:left="5740"/>
        <w:spacing w:after="0"/>
        <w:tabs>
          <w:tab w:leader="none" w:pos="7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Joseph L. Sclafani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14605</wp:posOffset>
            </wp:positionV>
            <wp:extent cx="262572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25725" cy="6350"/>
                    </a:xfrm>
                    <a:prstGeom prst="rect">
                      <a:avLst/>
                    </a:prstGeom>
                    <a:noFill/>
                  </pic:spPr>
                </pic:pic>
              </a:graphicData>
            </a:graphic>
          </wp:anchor>
        </w:drawing>
      </w:r>
    </w:p>
    <w:p>
      <w:pPr>
        <w:spacing w:after="0" w:line="12" w:lineRule="exact"/>
        <w:rPr>
          <w:sz w:val="20"/>
          <w:szCs w:val="20"/>
          <w:color w:val="auto"/>
        </w:rPr>
      </w:pPr>
    </w:p>
    <w:p>
      <w:pPr>
        <w:jc w:val="center"/>
        <w:ind w:left="5740"/>
        <w:spacing w:after="0"/>
        <w:rPr>
          <w:sz w:val="20"/>
          <w:szCs w:val="20"/>
          <w:color w:val="auto"/>
        </w:rPr>
      </w:pPr>
      <w:r>
        <w:rPr>
          <w:rFonts w:ascii="Arial" w:cs="Arial" w:eastAsia="Arial" w:hAnsi="Arial"/>
          <w:sz w:val="13"/>
          <w:szCs w:val="13"/>
          <w:color w:val="auto"/>
        </w:rPr>
        <w:t>Joseph L. Sclafani</w:t>
      </w:r>
    </w:p>
    <w:p>
      <w:pPr>
        <w:spacing w:after="0" w:line="22" w:lineRule="exact"/>
        <w:rPr>
          <w:sz w:val="20"/>
          <w:szCs w:val="20"/>
          <w:color w:val="auto"/>
        </w:rPr>
      </w:pPr>
    </w:p>
    <w:p>
      <w:pPr>
        <w:jc w:val="center"/>
        <w:ind w:left="5740"/>
        <w:spacing w:after="0"/>
        <w:rPr>
          <w:sz w:val="20"/>
          <w:szCs w:val="20"/>
          <w:color w:val="auto"/>
        </w:rPr>
      </w:pPr>
      <w:r>
        <w:rPr>
          <w:rFonts w:ascii="Arial" w:cs="Arial" w:eastAsia="Arial" w:hAnsi="Arial"/>
          <w:sz w:val="13"/>
          <w:szCs w:val="13"/>
          <w:color w:val="auto"/>
        </w:rPr>
        <w:t>Executive Vice President and Controller</w:t>
      </w:r>
    </w:p>
    <w:p>
      <w:pPr>
        <w:spacing w:after="0" w:line="12" w:lineRule="exact"/>
        <w:rPr>
          <w:sz w:val="20"/>
          <w:szCs w:val="20"/>
          <w:color w:val="auto"/>
        </w:rPr>
      </w:pPr>
    </w:p>
    <w:p>
      <w:pPr>
        <w:jc w:val="center"/>
        <w:ind w:left="5740"/>
        <w:spacing w:after="0"/>
        <w:rPr>
          <w:sz w:val="20"/>
          <w:szCs w:val="20"/>
          <w:color w:val="auto"/>
        </w:rPr>
      </w:pPr>
      <w:r>
        <w:rPr>
          <w:rFonts w:ascii="Arial" w:cs="Arial" w:eastAsia="Arial" w:hAnsi="Arial"/>
          <w:sz w:val="13"/>
          <w:szCs w:val="13"/>
          <w:color w:val="auto"/>
        </w:rPr>
        <w:t>(Principal Accounting Officer)</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 June 21, 2006</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300"/>
          </w:cols>
          <w:pgMar w:left="220" w:top="349" w:right="137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INDEX TO EXHIBITS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SEQUENTIALLY NUMBERED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Exhibit No.</w:t>
            </w:r>
          </w:p>
        </w:tc>
        <w:tc>
          <w:tcPr>
            <w:tcW w:w="560" w:type="dxa"/>
            <w:vAlign w:val="bottom"/>
          </w:tcPr>
          <w:p>
            <w:pPr>
              <w:spacing w:after="0"/>
              <w:rPr>
                <w:sz w:val="11"/>
                <w:szCs w:val="11"/>
                <w:color w:val="auto"/>
              </w:rPr>
            </w:pPr>
          </w:p>
        </w:tc>
        <w:tc>
          <w:tcPr>
            <w:tcW w:w="8480" w:type="dxa"/>
            <w:vAlign w:val="bottom"/>
            <w:tcBorders>
              <w:bottom w:val="single" w:sz="8" w:color="auto"/>
            </w:tcBorders>
          </w:tcPr>
          <w:p>
            <w:pPr>
              <w:jc w:val="right"/>
              <w:ind w:right="4006"/>
              <w:spacing w:after="0"/>
              <w:rPr>
                <w:sz w:val="20"/>
                <w:szCs w:val="20"/>
                <w:color w:val="auto"/>
              </w:rPr>
            </w:pPr>
            <w:r>
              <w:rPr>
                <w:rFonts w:ascii="Arial" w:cs="Arial" w:eastAsia="Arial" w:hAnsi="Arial"/>
                <w:sz w:val="11"/>
                <w:szCs w:val="11"/>
                <w:b w:val="1"/>
                <w:bCs w:val="1"/>
                <w:color w:val="auto"/>
              </w:rPr>
              <w:t>Exhibits</w:t>
            </w:r>
          </w:p>
        </w:tc>
        <w:tc>
          <w:tcPr>
            <w:tcW w:w="54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Page At Which Located</w:t>
            </w:r>
          </w:p>
        </w:tc>
      </w:tr>
      <w:tr>
        <w:trPr>
          <w:trHeight w:val="312"/>
        </w:trPr>
        <w:tc>
          <w:tcPr>
            <w:tcW w:w="780" w:type="dxa"/>
            <w:vAlign w:val="bottom"/>
          </w:tcPr>
          <w:p>
            <w:pPr>
              <w:jc w:val="right"/>
              <w:ind w:right="580"/>
              <w:spacing w:after="0"/>
              <w:rPr>
                <w:sz w:val="20"/>
                <w:szCs w:val="20"/>
                <w:color w:val="auto"/>
              </w:rPr>
            </w:pPr>
            <w:r>
              <w:rPr>
                <w:rFonts w:ascii="Arial" w:cs="Arial" w:eastAsia="Arial" w:hAnsi="Arial"/>
                <w:sz w:val="13"/>
                <w:szCs w:val="13"/>
                <w:color w:val="auto"/>
                <w:w w:val="82"/>
              </w:rPr>
              <w:t>23</w:t>
            </w:r>
          </w:p>
        </w:tc>
        <w:tc>
          <w:tcPr>
            <w:tcW w:w="9040" w:type="dxa"/>
            <w:vAlign w:val="bottom"/>
            <w:gridSpan w:val="2"/>
          </w:tcPr>
          <w:p>
            <w:pPr>
              <w:jc w:val="right"/>
              <w:ind w:right="5206"/>
              <w:spacing w:after="0"/>
              <w:rPr>
                <w:sz w:val="20"/>
                <w:szCs w:val="20"/>
                <w:color w:val="auto"/>
              </w:rPr>
            </w:pPr>
            <w:r>
              <w:rPr>
                <w:rFonts w:ascii="Arial" w:cs="Arial" w:eastAsia="Arial" w:hAnsi="Arial"/>
                <w:sz w:val="13"/>
                <w:szCs w:val="13"/>
                <w:color w:val="auto"/>
              </w:rPr>
              <w:t>Consent of Independent Registered Public Accounting Firm</w:t>
            </w:r>
          </w:p>
        </w:tc>
        <w:tc>
          <w:tcPr>
            <w:tcW w:w="1640" w:type="dxa"/>
            <w:vAlign w:val="bottom"/>
            <w:gridSpan w:val="2"/>
          </w:tcPr>
          <w:p>
            <w:pPr>
              <w:jc w:val="right"/>
              <w:ind w:right="426"/>
              <w:spacing w:after="0"/>
              <w:rPr>
                <w:sz w:val="20"/>
                <w:szCs w:val="20"/>
                <w:color w:val="auto"/>
              </w:rPr>
            </w:pPr>
            <w:r>
              <w:rPr>
                <w:rFonts w:ascii="Arial" w:cs="Arial" w:eastAsia="Arial" w:hAnsi="Arial"/>
                <w:sz w:val="13"/>
                <w:szCs w:val="13"/>
                <w:color w:val="auto"/>
              </w:rPr>
              <w:t>46</w:t>
            </w:r>
          </w:p>
        </w:tc>
      </w:tr>
      <w:tr>
        <w:trPr>
          <w:trHeight w:val="303"/>
        </w:trPr>
        <w:tc>
          <w:tcPr>
            <w:tcW w:w="780" w:type="dxa"/>
            <w:vAlign w:val="bottom"/>
          </w:tcPr>
          <w:p>
            <w:pPr>
              <w:spacing w:after="0"/>
              <w:rPr>
                <w:sz w:val="24"/>
                <w:szCs w:val="24"/>
                <w:color w:val="auto"/>
              </w:rPr>
            </w:pPr>
          </w:p>
        </w:tc>
        <w:tc>
          <w:tcPr>
            <w:tcW w:w="9040" w:type="dxa"/>
            <w:vAlign w:val="bottom"/>
            <w:gridSpan w:val="2"/>
          </w:tcPr>
          <w:p>
            <w:pPr>
              <w:jc w:val="right"/>
              <w:ind w:right="3966"/>
              <w:spacing w:after="0"/>
              <w:rPr>
                <w:sz w:val="20"/>
                <w:szCs w:val="20"/>
                <w:color w:val="auto"/>
              </w:rPr>
            </w:pPr>
            <w:r>
              <w:rPr>
                <w:rFonts w:ascii="Arial" w:cs="Arial" w:eastAsia="Arial" w:hAnsi="Arial"/>
                <w:sz w:val="13"/>
                <w:szCs w:val="13"/>
                <w:color w:val="auto"/>
              </w:rPr>
              <w:t>45</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7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23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 the Participants and Plan Administrator of</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 JPMorgan Chase 401(k) Savings Plan:</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We consent to the incorporation by reference in the registration statements No. 33-01776 and No. 333-31656 on Form S-8 of JPMorgan Chase &amp; Co. of our report dated June 21, 2006, relating to the statements of net assets available for benefits of The JPMorgan Chase 401(k) Savings Plan as of December 31, 2005 and 2004 and the related statements of changes in net assets available for benefits for the years then ended, and all related schedules, which report appears in the December 31, 2005 annual report on Form 11-K of The JPMorgan Chase 401(k) Savings Plan.</w:t>
      </w:r>
    </w:p>
    <w:p>
      <w:pPr>
        <w:spacing w:after="0" w:line="29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Mitchell &amp; Titus, LLP</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June 21,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sectPr>
      <w:pgSz w:w="11900" w:h="16838" w:orient="portrait"/>
      <w:cols w:equalWidth="0" w:num="1">
        <w:col w:w="11460"/>
      </w:cols>
      <w:pgMar w:left="220" w:top="3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7"/>
      <w:numFmt w:val="bullet"/>
      <w:start w:val="1"/>
    </w:lvl>
  </w:abstractNum>
  <w:abstractNum w:abstractNumId="8">
    <w:nsid w:val="66EF438D"/>
    <w:multiLevelType w:val="hybridMultilevel"/>
    <w:lvl w:ilvl="0">
      <w:lvlJc w:val="left"/>
      <w:lvlText w:val="8"/>
      <w:numFmt w:val="bullet"/>
      <w:start w:val="1"/>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3"/>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2019-12-12T22:39:14Z</dcterms:created>
  <dcterms:modified xsi:type="dcterms:W3CDTF">2019-12-12T22:39:14Z</dcterms:modified>
</cp:coreProperties>
</file>