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270-01_fwp.htm"/>
      <w:bookmarkStart w:id="1" w:name="ksea029927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United Rentals, Inc. Pricing Date: July 30, 2026 Final Review Date: July 31, 2028 Maturity Date: August 03, 2028 Review Dates: Quarterly Contingent Interest Rate: At least 12.50%* per annum, payable quarterly at a rate of at least 3.125%*, if applicable Interest Barrier/ Trigger Value: An amount that represents 60.00% of the Initial Value CUSIP: 46661KX86 Preliminary Pricing Supplement: http://sp.jpmorgan.com/document/cusip/46661KX86/doctype/Product_Termsheet/document.pdf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URI Auto Callable Contingent Interest Notes North America Structured Investments Payment at Maturity (assuming 12.50% per annum Contingent Interest Rate) Stock Return $1,031.25 60.00% $1,031.25 40.00% $1,031.25 20.00% $1,031.25 5.00% $1,031.25 0.00% $1,031.25 - 5.00% $1,031.25 - 10.00% $1,031.25 - 20.00% $1,031.25 - 30.00% $1,031.25 - 40.00% $599.90 - 40.01%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$31.25 (equivalent to a Contingent Interest Rate of at least 12.50% per annum, payable at a rate of at least 3.125%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URI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8000</Characters>
  <CharactersWithSpaces>9574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