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959-01_fwp.htm"/>
      <w:bookmarkStart w:id="1" w:name="ksea030395901_fwp"/>
      <w:bookmarkStart w:id="2" w:name="ea0303959-01_fwp.htm"/>
      <w:bookmarkStart w:id="3" w:name="ksea030395901_fwp"/>
      <w:bookmarkEnd w:id="2"/>
      <w:bookmarkEnd w:id="3"/>
    </w:p>
    <w:tbl>
      <w:tblPr>
        <w:tblW w:w="10205" w:type="dxa"/>
        <w:jc w:val="left"/>
        <w:tblInd w:w="0" w:type="dxa"/>
        <w:tblLayout w:type="fixed"/>
        <w:tblCellMar>
          <w:top w:w="0" w:type="dxa"/>
          <w:left w:w="0" w:type="dxa"/>
          <w:bottom w:w="0" w:type="dxa"/>
          <w:right w:w="0" w:type="dxa"/>
        </w:tblCellMar>
      </w:tblPr>
      <w:tblGrid>
        <w:gridCol w:w="6995"/>
        <w:gridCol w:w="3210"/>
      </w:tblGrid>
      <w:tr>
        <w:trPr/>
        <w:tc>
          <w:tcPr>
            <w:tcW w:w="6995"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left"/>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1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333-293684 and </w:t>
              <w:br/>
              <w:t>333-293684-01</w:t>
            </w:r>
          </w:p>
        </w:tc>
      </w:tr>
      <w:tr>
        <w:trPr/>
        <w:tc>
          <w:tcPr>
            <w:tcW w:w="6995" w:type="dxa"/>
            <w:vMerge w:val="continue"/>
            <w:tcBorders/>
            <w:vAlign w:val="center"/>
          </w:tcPr>
          <w:p>
            <w:pPr>
              <w:pStyle w:val="Normal"/>
              <w:bidi w:val="0"/>
              <w:jc w:val="left"/>
              <w:rPr/>
            </w:pPr>
            <w:r>
              <w:rPr/>
            </w:r>
          </w:p>
        </w:tc>
        <w:tc>
          <w:tcPr>
            <w:tcW w:w="3210" w:type="dxa"/>
            <w:tcBorders/>
            <w:vAlign w:val="center"/>
          </w:tcPr>
          <w:p>
            <w:pPr>
              <w:pStyle w:val="TableContents"/>
              <w:bidi w:val="0"/>
              <w:spacing w:before="0" w:after="283"/>
              <w:jc w:val="right"/>
              <w:rPr/>
            </w:pPr>
            <w:r>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Coherent Corp. due November 8,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August 28, 2026 to Preliminary Pricing Supplement dated August 28, 2026</w:t>
            </w:r>
          </w:p>
        </w:tc>
      </w:tr>
    </w:tbl>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04367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04367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Coherent Corp. (Bloomberg ticker: COHR)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43.55% of the principal amount (at least $435.50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60%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46661MK60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Coherent Corp. (Bloomberg ticker: COHR)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43.55% of the principal amount (at least $435.50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60%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46661MK60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499860"/>
                <wp:effectExtent l="0" t="0" r="0" b="0"/>
                <wp:wrapSquare wrapText="left"/>
                <wp:docPr id="3" name="Frame2"/>
                <a:graphic xmlns:a="http://schemas.openxmlformats.org/drawingml/2006/main">
                  <a:graphicData uri="http://schemas.microsoft.com/office/word/2010/wordprocessingShape">
                    <wps:wsp>
                      <wps:cNvSpPr txBox="1"/>
                      <wps:spPr>
                        <a:xfrm>
                          <a:off x="0" y="0"/>
                          <a:ext cx="3175000" cy="649986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drawing>
                                <wp:inline distT="0" distB="0" distL="0" distR="0">
                                  <wp:extent cx="3238500" cy="19907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38500" cy="19907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40%,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$944.00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Preliminary Pricing Supplement:</w:t>
                            </w:r>
                            <w:r>
                              <w:rPr>
                                <w:rFonts w:ascii="Times New Roman;Times;Serif" w:hAnsi="Times New Roman;Times;Serif"/>
                                <w:b w:val="false"/>
                                <w:i w:val="false"/>
                                <w:caps w:val="false"/>
                                <w:smallCaps w:val="false"/>
                                <w:sz w:val="24"/>
                              </w:rPr>
                              <w:t xml:space="preserve"> </w:t>
                            </w:r>
                            <w:hyperlink r:id="rId4">
                              <w:r>
                                <w:rPr>
                                  <w:rStyle w:val="InternetLink"/>
                                  <w:rFonts w:ascii="Georgia;Times;Serif" w:hAnsi="Georgia;Times;Serif"/>
                                  <w:b w:val="false"/>
                                  <w:i w:val="false"/>
                                  <w:caps w:val="false"/>
                                  <w:smallCaps w:val="false"/>
                                  <w:sz w:val="16"/>
                                </w:rPr>
                                <w:t>http://www.sec.gov/Archives/edgar/data/19617/</w:t>
                                <w:br/>
                                <w:t>000121390026095173/ea0303930-01_424b2.htm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1.8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drawing>
                          <wp:inline distT="0" distB="0" distL="0" distR="0">
                            <wp:extent cx="3238500" cy="19907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38500" cy="19907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40%,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$944.00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Preliminary Pricing Supplement:</w:t>
                      </w:r>
                      <w:r>
                        <w:rPr>
                          <w:rFonts w:ascii="Times New Roman;Times;Serif" w:hAnsi="Times New Roman;Times;Serif"/>
                          <w:b w:val="false"/>
                          <w:i w:val="false"/>
                          <w:caps w:val="false"/>
                          <w:smallCaps w:val="false"/>
                          <w:sz w:val="24"/>
                        </w:rPr>
                        <w:t xml:space="preserve"> </w:t>
                      </w:r>
                      <w:hyperlink r:id="rId6">
                        <w:r>
                          <w:rPr>
                            <w:rStyle w:val="InternetLink"/>
                            <w:rFonts w:ascii="Georgia;Times;Serif" w:hAnsi="Georgia;Times;Serif"/>
                            <w:b w:val="false"/>
                            <w:i w:val="false"/>
                            <w:caps w:val="false"/>
                            <w:smallCaps w:val="false"/>
                            <w:sz w:val="16"/>
                          </w:rPr>
                          <w:t>http://www.sec.gov/Archives/edgar/data/19617/</w:t>
                          <w:br/>
                          <w:t>000121390026095173/ea0303930-01_424b2.htm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84"/>
        <w:gridCol w:w="6221"/>
      </w:tblGrid>
      <w:tr>
        <w:trPr/>
        <w:tc>
          <w:tcPr>
            <w:tcW w:w="3984" w:type="dxa"/>
            <w:tcBorders/>
            <w:vAlign w:val="center"/>
          </w:tcPr>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More Than 40%, and Possibly All, of the Principal Amount of Your Securities at Maturity.</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46" w:right="0" w:hanging="346"/>
              <w:jc w:val="left"/>
              <w:rPr>
                <w:caps w:val="false"/>
                <w:smallCaps w:val="false"/>
              </w:rPr>
            </w:pPr>
            <w:r>
              <w:rPr>
                <w:caps w:val="false"/>
                <w:smallCaps w:val="false"/>
              </w:rPr>
              <w:t> </w:t>
            </w:r>
          </w:p>
        </w:tc>
        <w:tc>
          <w:tcPr>
            <w:tcW w:w="6221" w:type="dxa"/>
            <w:tcBorders/>
            <w:vAlign w:val="center"/>
          </w:tcPr>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46"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46" w:right="0" w:hanging="346"/>
              <w:jc w:val="left"/>
              <w:rPr>
                <w:caps w:val="false"/>
                <w:smallCaps w:val="false"/>
              </w:rPr>
            </w:pPr>
            <w:r>
              <w:rPr>
                <w:caps w:val="false"/>
                <w:smallCaps w:val="false"/>
              </w:rPr>
              <w:t> </w:t>
            </w:r>
          </w:p>
        </w:tc>
      </w:tr>
    </w:tbl>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5173/ea0303930-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5173/ea0303930-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1265</Words>
  <Characters>6875</Characters>
  <CharactersWithSpaces>8156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