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7528-01_fwp.htm"/>
      <w:bookmarkStart w:id="1" w:name="ksea029752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9,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6-Year SX5E Auto-Callable Trigger PLUS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Auto-Callable Trigger Plus, which we refer to as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283"/>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91730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91730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6"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917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9179" w:type="dxa"/>
                                  <w:tcBorders/>
                                  <w:shd w:fill="DCEBF4" w:val="clear"/>
                                  <w:vAlign w:val="center"/>
                                </w:tcPr>
                                <w:p>
                                  <w:pPr>
                                    <w:pStyle w:val="TableContents"/>
                                    <w:bidi w:val="0"/>
                                    <w:spacing w:before="0" w:after="283"/>
                                    <w:jc w:val="left"/>
                                    <w:rPr>
                                      <w:sz w:val="15"/>
                                    </w:rPr>
                                  </w:pPr>
                                  <w:r>
                                    <w:rPr>
                                      <w:sz w:val="15"/>
                                    </w:rPr>
                                    <w:t>JPMorgan Chase &amp; Co.</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9179" w:type="dxa"/>
                                  <w:tcBorders/>
                                  <w:vAlign w:val="center"/>
                                </w:tcPr>
                                <w:p>
                                  <w:pPr>
                                    <w:pStyle w:val="TableContents"/>
                                    <w:bidi w:val="0"/>
                                    <w:spacing w:before="0" w:after="283"/>
                                    <w:jc w:val="left"/>
                                    <w:rPr>
                                      <w:sz w:val="15"/>
                                      <w:shd w:fill="FFFFFF" w:val="clear"/>
                                    </w:rPr>
                                  </w:pPr>
                                  <w:r>
                                    <w:rPr>
                                      <w:sz w:val="15"/>
                                      <w:shd w:fill="FFFFFF" w:val="clear"/>
                                    </w:rPr>
                                    <w:t>EURO STOXX 50</w:t>
                                  </w:r>
                                  <w:r>
                                    <w:rPr>
                                      <w:position w:val="5"/>
                                      <w:sz w:val="12"/>
                                      <w:sz w:val="15"/>
                                      <w:shd w:fill="FFFFFF" w:val="clear"/>
                                    </w:rPr>
                                    <w:t>®</w:t>
                                  </w:r>
                                  <w:r>
                                    <w:rPr>
                                      <w:sz w:val="15"/>
                                      <w:shd w:fill="FFFFFF" w:val="clear"/>
                                    </w:rPr>
                                    <w:t xml:space="preserve"> Index (Bloomberg ticker: SX5E Index)</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9179"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9179" w:type="dxa"/>
                                  <w:tcBorders/>
                                  <w:vAlign w:val="center"/>
                                </w:tcPr>
                                <w:p>
                                  <w:pPr>
                                    <w:pStyle w:val="TableContents"/>
                                    <w:bidi w:val="0"/>
                                    <w:spacing w:before="0" w:after="283"/>
                                    <w:jc w:val="left"/>
                                    <w:rPr>
                                      <w:sz w:val="15"/>
                                    </w:rPr>
                                  </w:pPr>
                                  <w:r>
                                    <w:rPr>
                                      <w:sz w:val="15"/>
                                    </w:rPr>
                                    <w:t>At least $1,175.50 per Trigger PLUS. The actual early redemption payment will be provided in the pricing supplement and will not be less than $1,175.50 per Trigger PLUS.</w:t>
                                  </w:r>
                                </w:p>
                              </w:tc>
                            </w:tr>
                          </w:tbl>
                          <w:tbl>
                            <w:tblPr>
                              <w:tblW w:w="10205" w:type="dxa"/>
                              <w:jc w:val="left"/>
                              <w:tblInd w:w="0" w:type="dxa"/>
                              <w:tblLayout w:type="fixed"/>
                              <w:tblCellMar>
                                <w:top w:w="0" w:type="dxa"/>
                                <w:left w:w="0" w:type="dxa"/>
                                <w:bottom w:w="0" w:type="dxa"/>
                                <w:right w:w="0" w:type="dxa"/>
                              </w:tblCellMar>
                            </w:tblPr>
                            <w:tblGrid>
                              <w:gridCol w:w="1274"/>
                              <w:gridCol w:w="8931"/>
                            </w:tblGrid>
                            <w:tr>
                              <w:trPr/>
                              <w:tc>
                                <w:tcPr>
                                  <w:tcW w:w="1274"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31" w:type="dxa"/>
                                  <w:tcBorders/>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bl>
                          <w:tbl>
                            <w:tblPr>
                              <w:tblW w:w="6610" w:type="dxa"/>
                              <w:jc w:val="left"/>
                              <w:tblInd w:w="0" w:type="dxa"/>
                              <w:tblLayout w:type="fixed"/>
                              <w:tblCellMar>
                                <w:top w:w="0" w:type="dxa"/>
                                <w:left w:w="0" w:type="dxa"/>
                                <w:bottom w:w="0" w:type="dxa"/>
                                <w:right w:w="0" w:type="dxa"/>
                              </w:tblCellMar>
                            </w:tblPr>
                            <w:tblGrid>
                              <w:gridCol w:w="2780"/>
                              <w:gridCol w:w="3830"/>
                            </w:tblGrid>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3830" w:type="dxa"/>
                                  <w:tcBorders/>
                                  <w:vAlign w:val="center"/>
                                </w:tcPr>
                                <w:p>
                                  <w:pPr>
                                    <w:pStyle w:val="TableContents"/>
                                    <w:bidi w:val="0"/>
                                    <w:spacing w:before="0" w:after="283"/>
                                    <w:jc w:val="left"/>
                                    <w:rPr>
                                      <w:sz w:val="15"/>
                                    </w:rPr>
                                  </w:pPr>
                                  <w:r>
                                    <w:rPr>
                                      <w:sz w:val="15"/>
                                    </w:rPr>
                                    <w:t>$1,000 × leverage factor × index percent increase</w:t>
                                  </w:r>
                                </w:p>
                              </w:tc>
                            </w:tr>
                            <w:tr>
                              <w:trPr/>
                              <w:tc>
                                <w:tcPr>
                                  <w:tcW w:w="278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3830"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3830"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3830"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3830" w:type="dxa"/>
                                  <w:tcBorders/>
                                  <w:vAlign w:val="center"/>
                                </w:tcPr>
                                <w:p>
                                  <w:pPr>
                                    <w:pStyle w:val="TableContents"/>
                                    <w:bidi w:val="0"/>
                                    <w:spacing w:before="0" w:after="283"/>
                                    <w:jc w:val="left"/>
                                    <w:rPr>
                                      <w:sz w:val="15"/>
                                    </w:rPr>
                                  </w:pPr>
                                  <w:r>
                                    <w:rPr>
                                      <w:sz w:val="15"/>
                                    </w:rPr>
                                    <w:t>75% of the initial index value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3830" w:type="dxa"/>
                                  <w:tcBorders/>
                                  <w:shd w:fill="DCEBF4" w:val="clear"/>
                                  <w:vAlign w:val="center"/>
                                </w:tcPr>
                                <w:p>
                                  <w:pPr>
                                    <w:pStyle w:val="TableContents"/>
                                    <w:bidi w:val="0"/>
                                    <w:spacing w:before="0" w:after="283"/>
                                    <w:jc w:val="left"/>
                                    <w:rPr>
                                      <w:sz w:val="15"/>
                                    </w:rPr>
                                  </w:pPr>
                                  <w:r>
                                    <w:rPr>
                                      <w:sz w:val="15"/>
                                    </w:rPr>
                                    <w:t xml:space="preserve">150% </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3830" w:type="dxa"/>
                                  <w:tcBorders/>
                                  <w:vAlign w:val="center"/>
                                </w:tcPr>
                                <w:p>
                                  <w:pPr>
                                    <w:pStyle w:val="TableContents"/>
                                    <w:bidi w:val="0"/>
                                    <w:spacing w:before="0" w:after="283"/>
                                    <w:jc w:val="left"/>
                                    <w:rPr>
                                      <w:sz w:val="15"/>
                                    </w:rPr>
                                  </w:pPr>
                                  <w:r>
                                    <w:rPr>
                                      <w:sz w:val="15"/>
                                    </w:rPr>
                                    <w:t>final index value / initial index value</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3830" w:type="dxa"/>
                                  <w:tcBorders/>
                                  <w:shd w:fill="DCEBF0" w:val="clear"/>
                                  <w:vAlign w:val="center"/>
                                </w:tcPr>
                                <w:p>
                                  <w:pPr>
                                    <w:pStyle w:val="TableContents"/>
                                    <w:bidi w:val="0"/>
                                    <w:spacing w:before="0" w:after="283"/>
                                    <w:jc w:val="left"/>
                                    <w:rPr>
                                      <w:sz w:val="15"/>
                                    </w:rPr>
                                  </w:pPr>
                                  <w:r>
                                    <w:rPr>
                                      <w:sz w:val="15"/>
                                    </w:rPr>
                                    <w:t>$1,000 per Trigger PLUS</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3830" w:type="dxa"/>
                                  <w:tcBorders/>
                                  <w:vAlign w:val="center"/>
                                </w:tcPr>
                                <w:p>
                                  <w:pPr>
                                    <w:pStyle w:val="TableContents"/>
                                    <w:bidi w:val="0"/>
                                    <w:spacing w:before="0" w:after="283"/>
                                    <w:jc w:val="left"/>
                                    <w:rPr>
                                      <w:sz w:val="15"/>
                                    </w:rPr>
                                  </w:pPr>
                                  <w:r>
                                    <w:rPr>
                                      <w:sz w:val="15"/>
                                    </w:rPr>
                                    <w:t>$1,000 per Trigger PLUS</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3830" w:type="dxa"/>
                                  <w:tcBorders/>
                                  <w:shd w:fill="DCEBF0" w:val="clear"/>
                                  <w:vAlign w:val="center"/>
                                </w:tcPr>
                                <w:p>
                                  <w:pPr>
                                    <w:pStyle w:val="TableContents"/>
                                    <w:bidi w:val="0"/>
                                    <w:spacing w:before="0" w:after="283"/>
                                    <w:jc w:val="left"/>
                                    <w:rPr>
                                      <w:sz w:val="15"/>
                                    </w:rPr>
                                  </w:pPr>
                                  <w:r>
                                    <w:rPr>
                                      <w:sz w:val="15"/>
                                    </w:rPr>
                                    <w:t>Expected to be July 17, 2026</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3830" w:type="dxa"/>
                                  <w:tcBorders/>
                                  <w:vAlign w:val="center"/>
                                </w:tcPr>
                                <w:p>
                                  <w:pPr>
                                    <w:pStyle w:val="TableContents"/>
                                    <w:bidi w:val="0"/>
                                    <w:spacing w:before="0" w:after="283"/>
                                    <w:jc w:val="left"/>
                                    <w:rPr>
                                      <w:sz w:val="15"/>
                                    </w:rPr>
                                  </w:pPr>
                                  <w:r>
                                    <w:rPr>
                                      <w:sz w:val="15"/>
                                    </w:rPr>
                                    <w:t>3 business days after the pricing date</w:t>
                                  </w:r>
                                </w:p>
                              </w:tc>
                            </w:tr>
                            <w:tr>
                              <w:trPr/>
                              <w:tc>
                                <w:tcPr>
                                  <w:tcW w:w="278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3EAF6" w:val="clear"/>
                                  <w:vAlign w:val="center"/>
                                </w:tcPr>
                                <w:p>
                                  <w:pPr>
                                    <w:pStyle w:val="TableContents"/>
                                    <w:bidi w:val="0"/>
                                    <w:spacing w:before="0" w:after="283"/>
                                    <w:jc w:val="left"/>
                                    <w:rPr>
                                      <w:sz w:val="15"/>
                                    </w:rPr>
                                  </w:pPr>
                                  <w:r>
                                    <w:rPr>
                                      <w:sz w:val="15"/>
                                    </w:rPr>
                                    <w:t>July 26, 2027</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July 29, 2027</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CEBF0" w:val="clear"/>
                                  <w:vAlign w:val="center"/>
                                </w:tcPr>
                                <w:p>
                                  <w:pPr>
                                    <w:pStyle w:val="TableContents"/>
                                    <w:bidi w:val="0"/>
                                    <w:spacing w:before="0" w:after="283"/>
                                    <w:jc w:val="left"/>
                                    <w:rPr>
                                      <w:sz w:val="15"/>
                                    </w:rPr>
                                  </w:pPr>
                                  <w:r>
                                    <w:rPr>
                                      <w:sz w:val="15"/>
                                    </w:rPr>
                                    <w:t>July 19, 2032</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July 22, 2032</w:t>
                                  </w:r>
                                </w:p>
                              </w:tc>
                            </w:tr>
                            <w:tr>
                              <w:trPr/>
                              <w:tc>
                                <w:tcPr>
                                  <w:tcW w:w="2780"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3830" w:type="dxa"/>
                                  <w:tcBorders/>
                                  <w:shd w:fill="DCEBF0" w:val="clear"/>
                                  <w:vAlign w:val="center"/>
                                </w:tcPr>
                                <w:p>
                                  <w:pPr>
                                    <w:pStyle w:val="TableContents"/>
                                    <w:bidi w:val="0"/>
                                    <w:spacing w:before="0" w:after="283"/>
                                    <w:jc w:val="left"/>
                                    <w:rPr>
                                      <w:sz w:val="15"/>
                                    </w:rPr>
                                  </w:pPr>
                                  <w:r>
                                    <w:rPr>
                                      <w:sz w:val="15"/>
                                    </w:rPr>
                                    <w:t>46661CZR0 / US46661CZR05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2.1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6"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917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9179" w:type="dxa"/>
                            <w:tcBorders/>
                            <w:shd w:fill="DCEBF4" w:val="clear"/>
                            <w:vAlign w:val="center"/>
                          </w:tcPr>
                          <w:p>
                            <w:pPr>
                              <w:pStyle w:val="TableContents"/>
                              <w:bidi w:val="0"/>
                              <w:spacing w:before="0" w:after="283"/>
                              <w:jc w:val="left"/>
                              <w:rPr>
                                <w:sz w:val="15"/>
                              </w:rPr>
                            </w:pPr>
                            <w:r>
                              <w:rPr>
                                <w:sz w:val="15"/>
                              </w:rPr>
                              <w:t>JPMorgan Chase &amp; Co.</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9179" w:type="dxa"/>
                            <w:tcBorders/>
                            <w:vAlign w:val="center"/>
                          </w:tcPr>
                          <w:p>
                            <w:pPr>
                              <w:pStyle w:val="TableContents"/>
                              <w:bidi w:val="0"/>
                              <w:spacing w:before="0" w:after="283"/>
                              <w:jc w:val="left"/>
                              <w:rPr>
                                <w:sz w:val="15"/>
                                <w:shd w:fill="FFFFFF" w:val="clear"/>
                              </w:rPr>
                            </w:pPr>
                            <w:r>
                              <w:rPr>
                                <w:sz w:val="15"/>
                                <w:shd w:fill="FFFFFF" w:val="clear"/>
                              </w:rPr>
                              <w:t>EURO STOXX 50</w:t>
                            </w:r>
                            <w:r>
                              <w:rPr>
                                <w:position w:val="5"/>
                                <w:sz w:val="12"/>
                                <w:sz w:val="15"/>
                                <w:shd w:fill="FFFFFF" w:val="clear"/>
                              </w:rPr>
                              <w:t>®</w:t>
                            </w:r>
                            <w:r>
                              <w:rPr>
                                <w:sz w:val="15"/>
                                <w:shd w:fill="FFFFFF" w:val="clear"/>
                              </w:rPr>
                              <w:t xml:space="preserve"> Index (Bloomberg ticker: SX5E Index)</w:t>
                            </w:r>
                          </w:p>
                        </w:tc>
                      </w:tr>
                      <w:tr>
                        <w:trPr/>
                        <w:tc>
                          <w:tcPr>
                            <w:tcW w:w="1026"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9179"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026"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9179" w:type="dxa"/>
                            <w:tcBorders/>
                            <w:vAlign w:val="center"/>
                          </w:tcPr>
                          <w:p>
                            <w:pPr>
                              <w:pStyle w:val="TableContents"/>
                              <w:bidi w:val="0"/>
                              <w:spacing w:before="0" w:after="283"/>
                              <w:jc w:val="left"/>
                              <w:rPr>
                                <w:sz w:val="15"/>
                              </w:rPr>
                            </w:pPr>
                            <w:r>
                              <w:rPr>
                                <w:sz w:val="15"/>
                              </w:rPr>
                              <w:t>At least $1,175.50 per Trigger PLUS. The actual early redemption payment will be provided in the pricing supplement and will not be less than $1,175.50 per Trigger PLUS.</w:t>
                            </w:r>
                          </w:p>
                        </w:tc>
                      </w:tr>
                    </w:tbl>
                    <w:tbl>
                      <w:tblPr>
                        <w:tblW w:w="10205" w:type="dxa"/>
                        <w:jc w:val="left"/>
                        <w:tblInd w:w="0" w:type="dxa"/>
                        <w:tblLayout w:type="fixed"/>
                        <w:tblCellMar>
                          <w:top w:w="0" w:type="dxa"/>
                          <w:left w:w="0" w:type="dxa"/>
                          <w:bottom w:w="0" w:type="dxa"/>
                          <w:right w:w="0" w:type="dxa"/>
                        </w:tblCellMar>
                      </w:tblPr>
                      <w:tblGrid>
                        <w:gridCol w:w="1274"/>
                        <w:gridCol w:w="8931"/>
                      </w:tblGrid>
                      <w:tr>
                        <w:trPr/>
                        <w:tc>
                          <w:tcPr>
                            <w:tcW w:w="1274"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31" w:type="dxa"/>
                            <w:tcBorders/>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bl>
                    <w:tbl>
                      <w:tblPr>
                        <w:tblW w:w="6610" w:type="dxa"/>
                        <w:jc w:val="left"/>
                        <w:tblInd w:w="0" w:type="dxa"/>
                        <w:tblLayout w:type="fixed"/>
                        <w:tblCellMar>
                          <w:top w:w="0" w:type="dxa"/>
                          <w:left w:w="0" w:type="dxa"/>
                          <w:bottom w:w="0" w:type="dxa"/>
                          <w:right w:w="0" w:type="dxa"/>
                        </w:tblCellMar>
                      </w:tblPr>
                      <w:tblGrid>
                        <w:gridCol w:w="2780"/>
                        <w:gridCol w:w="3830"/>
                      </w:tblGrid>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3830" w:type="dxa"/>
                            <w:tcBorders/>
                            <w:vAlign w:val="center"/>
                          </w:tcPr>
                          <w:p>
                            <w:pPr>
                              <w:pStyle w:val="TableContents"/>
                              <w:bidi w:val="0"/>
                              <w:spacing w:before="0" w:after="283"/>
                              <w:jc w:val="left"/>
                              <w:rPr>
                                <w:sz w:val="15"/>
                              </w:rPr>
                            </w:pPr>
                            <w:r>
                              <w:rPr>
                                <w:sz w:val="15"/>
                              </w:rPr>
                              <w:t>$1,000 × leverage factor × index percent increase</w:t>
                            </w:r>
                          </w:p>
                        </w:tc>
                      </w:tr>
                      <w:tr>
                        <w:trPr/>
                        <w:tc>
                          <w:tcPr>
                            <w:tcW w:w="2780"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3830"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3830"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3830"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3830" w:type="dxa"/>
                            <w:tcBorders/>
                            <w:vAlign w:val="center"/>
                          </w:tcPr>
                          <w:p>
                            <w:pPr>
                              <w:pStyle w:val="TableContents"/>
                              <w:bidi w:val="0"/>
                              <w:spacing w:before="0" w:after="283"/>
                              <w:jc w:val="left"/>
                              <w:rPr>
                                <w:sz w:val="15"/>
                              </w:rPr>
                            </w:pPr>
                            <w:r>
                              <w:rPr>
                                <w:sz w:val="15"/>
                              </w:rPr>
                              <w:t>75% of the initial index value</w:t>
                            </w:r>
                          </w:p>
                        </w:tc>
                      </w:tr>
                      <w:tr>
                        <w:trPr/>
                        <w:tc>
                          <w:tcPr>
                            <w:tcW w:w="2780"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3830" w:type="dxa"/>
                            <w:tcBorders/>
                            <w:shd w:fill="DCEBF4" w:val="clear"/>
                            <w:vAlign w:val="center"/>
                          </w:tcPr>
                          <w:p>
                            <w:pPr>
                              <w:pStyle w:val="TableContents"/>
                              <w:bidi w:val="0"/>
                              <w:spacing w:before="0" w:after="283"/>
                              <w:jc w:val="left"/>
                              <w:rPr>
                                <w:sz w:val="15"/>
                              </w:rPr>
                            </w:pPr>
                            <w:r>
                              <w:rPr>
                                <w:sz w:val="15"/>
                              </w:rPr>
                              <w:t xml:space="preserve">150% </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3830" w:type="dxa"/>
                            <w:tcBorders/>
                            <w:vAlign w:val="center"/>
                          </w:tcPr>
                          <w:p>
                            <w:pPr>
                              <w:pStyle w:val="TableContents"/>
                              <w:bidi w:val="0"/>
                              <w:spacing w:before="0" w:after="283"/>
                              <w:jc w:val="left"/>
                              <w:rPr>
                                <w:sz w:val="15"/>
                              </w:rPr>
                            </w:pPr>
                            <w:r>
                              <w:rPr>
                                <w:sz w:val="15"/>
                              </w:rPr>
                              <w:t>final index value / initial index value</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3830" w:type="dxa"/>
                            <w:tcBorders/>
                            <w:shd w:fill="DCEBF0" w:val="clear"/>
                            <w:vAlign w:val="center"/>
                          </w:tcPr>
                          <w:p>
                            <w:pPr>
                              <w:pStyle w:val="TableContents"/>
                              <w:bidi w:val="0"/>
                              <w:spacing w:before="0" w:after="283"/>
                              <w:jc w:val="left"/>
                              <w:rPr>
                                <w:sz w:val="15"/>
                              </w:rPr>
                            </w:pPr>
                            <w:r>
                              <w:rPr>
                                <w:sz w:val="15"/>
                              </w:rPr>
                              <w:t>$1,000 per Trigger PLUS</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3830" w:type="dxa"/>
                            <w:tcBorders/>
                            <w:vAlign w:val="center"/>
                          </w:tcPr>
                          <w:p>
                            <w:pPr>
                              <w:pStyle w:val="TableContents"/>
                              <w:bidi w:val="0"/>
                              <w:spacing w:before="0" w:after="283"/>
                              <w:jc w:val="left"/>
                              <w:rPr>
                                <w:sz w:val="15"/>
                              </w:rPr>
                            </w:pPr>
                            <w:r>
                              <w:rPr>
                                <w:sz w:val="15"/>
                              </w:rPr>
                              <w:t>$1,000 per Trigger PLUS</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3830" w:type="dxa"/>
                            <w:tcBorders/>
                            <w:shd w:fill="DCEBF0" w:val="clear"/>
                            <w:vAlign w:val="center"/>
                          </w:tcPr>
                          <w:p>
                            <w:pPr>
                              <w:pStyle w:val="TableContents"/>
                              <w:bidi w:val="0"/>
                              <w:spacing w:before="0" w:after="283"/>
                              <w:jc w:val="left"/>
                              <w:rPr>
                                <w:sz w:val="15"/>
                              </w:rPr>
                            </w:pPr>
                            <w:r>
                              <w:rPr>
                                <w:sz w:val="15"/>
                              </w:rPr>
                              <w:t>Expected to be July 17, 2026</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3830" w:type="dxa"/>
                            <w:tcBorders/>
                            <w:vAlign w:val="center"/>
                          </w:tcPr>
                          <w:p>
                            <w:pPr>
                              <w:pStyle w:val="TableContents"/>
                              <w:bidi w:val="0"/>
                              <w:spacing w:before="0" w:after="283"/>
                              <w:jc w:val="left"/>
                              <w:rPr>
                                <w:sz w:val="15"/>
                              </w:rPr>
                            </w:pPr>
                            <w:r>
                              <w:rPr>
                                <w:sz w:val="15"/>
                              </w:rPr>
                              <w:t>3 business days after the pricing date</w:t>
                            </w:r>
                          </w:p>
                        </w:tc>
                      </w:tr>
                      <w:tr>
                        <w:trPr/>
                        <w:tc>
                          <w:tcPr>
                            <w:tcW w:w="2780"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3EAF6" w:val="clear"/>
                            <w:vAlign w:val="center"/>
                          </w:tcPr>
                          <w:p>
                            <w:pPr>
                              <w:pStyle w:val="TableContents"/>
                              <w:bidi w:val="0"/>
                              <w:spacing w:before="0" w:after="283"/>
                              <w:jc w:val="left"/>
                              <w:rPr>
                                <w:sz w:val="15"/>
                              </w:rPr>
                            </w:pPr>
                            <w:r>
                              <w:rPr>
                                <w:sz w:val="15"/>
                              </w:rPr>
                              <w:t>July 26, 2027</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July 29, 2027</w:t>
                            </w:r>
                          </w:p>
                        </w:tc>
                      </w:tr>
                      <w:tr>
                        <w:trPr/>
                        <w:tc>
                          <w:tcPr>
                            <w:tcW w:w="2780"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3830" w:type="dxa"/>
                            <w:tcBorders/>
                            <w:shd w:fill="DCEBF0" w:val="clear"/>
                            <w:vAlign w:val="center"/>
                          </w:tcPr>
                          <w:p>
                            <w:pPr>
                              <w:pStyle w:val="TableContents"/>
                              <w:bidi w:val="0"/>
                              <w:spacing w:before="0" w:after="283"/>
                              <w:jc w:val="left"/>
                              <w:rPr>
                                <w:sz w:val="15"/>
                              </w:rPr>
                            </w:pPr>
                            <w:r>
                              <w:rPr>
                                <w:sz w:val="15"/>
                              </w:rPr>
                              <w:t>July 19, 2032</w:t>
                            </w:r>
                          </w:p>
                        </w:tc>
                      </w:tr>
                      <w:tr>
                        <w:trPr/>
                        <w:tc>
                          <w:tcPr>
                            <w:tcW w:w="2780"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3830" w:type="dxa"/>
                            <w:tcBorders/>
                            <w:vAlign w:val="center"/>
                          </w:tcPr>
                          <w:p>
                            <w:pPr>
                              <w:pStyle w:val="TableContents"/>
                              <w:bidi w:val="0"/>
                              <w:spacing w:before="0" w:after="283"/>
                              <w:jc w:val="left"/>
                              <w:rPr>
                                <w:sz w:val="15"/>
                              </w:rPr>
                            </w:pPr>
                            <w:r>
                              <w:rPr>
                                <w:sz w:val="15"/>
                              </w:rPr>
                              <w:t>July 22, 2032</w:t>
                            </w:r>
                          </w:p>
                        </w:tc>
                      </w:tr>
                      <w:tr>
                        <w:trPr/>
                        <w:tc>
                          <w:tcPr>
                            <w:tcW w:w="2780"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3830" w:type="dxa"/>
                            <w:tcBorders/>
                            <w:shd w:fill="DCEBF0" w:val="clear"/>
                            <w:vAlign w:val="center"/>
                          </w:tcPr>
                          <w:p>
                            <w:pPr>
                              <w:pStyle w:val="TableContents"/>
                              <w:bidi w:val="0"/>
                              <w:spacing w:before="0" w:after="283"/>
                              <w:jc w:val="left"/>
                              <w:rPr>
                                <w:sz w:val="15"/>
                              </w:rPr>
                            </w:pPr>
                            <w:r>
                              <w:rPr>
                                <w:sz w:val="15"/>
                              </w:rPr>
                              <w:t>46661CZR0 / US46661CZR05</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620" w:type="dxa"/>
                              <w:jc w:val="left"/>
                              <w:tblInd w:w="0" w:type="dxa"/>
                              <w:tblLayout w:type="fixed"/>
                              <w:tblCellMar>
                                <w:top w:w="0" w:type="dxa"/>
                                <w:left w:w="0" w:type="dxa"/>
                                <w:bottom w:w="0" w:type="dxa"/>
                                <w:right w:w="0" w:type="dxa"/>
                              </w:tblCellMar>
                            </w:tblPr>
                            <w:tblGrid>
                              <w:gridCol w:w="2195"/>
                              <w:gridCol w:w="3425"/>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3425" w:type="dxa"/>
                                  <w:tcBorders/>
                                  <w:vAlign w:val="center"/>
                                </w:tcPr>
                                <w:p>
                                  <w:pPr>
                                    <w:pStyle w:val="TableContents"/>
                                    <w:bidi w:val="0"/>
                                    <w:spacing w:before="0" w:after="283"/>
                                    <w:jc w:val="left"/>
                                    <w:rPr/>
                                  </w:pPr>
                                  <w:hyperlink r:id="rId2">
                                    <w:r>
                                      <w:rPr>
                                        <w:rStyle w:val="InternetLink"/>
                                        <w:sz w:val="15"/>
                                      </w:rPr>
                                      <w:t>http://www.sec.gov/Archives/edgar/data/</w:t>
                                      <w:br/>
                                      <w:t>19617/000121390026076596/ea0297503-01_424b2.htm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$920.00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260" w:type="dxa"/>
                              <w:jc w:val="center"/>
                              <w:tblInd w:w="0" w:type="dxa"/>
                              <w:tblLayout w:type="fixed"/>
                              <w:tblCellMar>
                                <w:top w:w="0" w:type="dxa"/>
                                <w:left w:w="0" w:type="dxa"/>
                                <w:bottom w:w="0" w:type="dxa"/>
                                <w:right w:w="0" w:type="dxa"/>
                              </w:tblCellMar>
                            </w:tblPr>
                            <w:tblGrid>
                              <w:gridCol w:w="2975"/>
                              <w:gridCol w:w="2285"/>
                            </w:tblGrid>
                            <w:tr>
                              <w:trPr/>
                              <w:tc>
                                <w:tcPr>
                                  <w:tcW w:w="5260" w:type="dxa"/>
                                  <w:gridSpan w:val="2"/>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260" w:type="dxa"/>
                                  <w:gridSpan w:val="2"/>
                                  <w:tcBorders/>
                                  <w:vAlign w:val="center"/>
                                </w:tcPr>
                                <w:p>
                                  <w:pPr>
                                    <w:pStyle w:val="TableContents"/>
                                    <w:bidi w:val="0"/>
                                    <w:spacing w:before="0" w:after="283"/>
                                    <w:jc w:val="center"/>
                                    <w:rPr/>
                                  </w:pPr>
                                  <w:r>
                                    <w:rPr/>
                                    <w:drawing>
                                      <wp:inline distT="0" distB="0" distL="0" distR="0">
                                        <wp:extent cx="3048000" cy="2171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048000" cy="2171700"/>
                                                </a:xfrm>
                                                <a:prstGeom prst="rect">
                                                  <a:avLst/>
                                                </a:prstGeom>
                                              </pic:spPr>
                                            </pic:pic>
                                          </a:graphicData>
                                        </a:graphic>
                                      </wp:inline>
                                    </w:drawing>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7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5620" w:type="dxa"/>
                        <w:jc w:val="left"/>
                        <w:tblInd w:w="0" w:type="dxa"/>
                        <w:tblLayout w:type="fixed"/>
                        <w:tblCellMar>
                          <w:top w:w="0" w:type="dxa"/>
                          <w:left w:w="0" w:type="dxa"/>
                          <w:bottom w:w="0" w:type="dxa"/>
                          <w:right w:w="0" w:type="dxa"/>
                        </w:tblCellMar>
                      </w:tblPr>
                      <w:tblGrid>
                        <w:gridCol w:w="2195"/>
                        <w:gridCol w:w="3425"/>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3425" w:type="dxa"/>
                            <w:tcBorders/>
                            <w:vAlign w:val="center"/>
                          </w:tcPr>
                          <w:p>
                            <w:pPr>
                              <w:pStyle w:val="TableContents"/>
                              <w:bidi w:val="0"/>
                              <w:spacing w:before="0" w:after="283"/>
                              <w:jc w:val="left"/>
                              <w:rPr/>
                            </w:pPr>
                            <w:hyperlink r:id="rId4">
                              <w:r>
                                <w:rPr>
                                  <w:rStyle w:val="InternetLink"/>
                                  <w:sz w:val="15"/>
                                </w:rPr>
                                <w:t>http://www.sec.gov/Archives/edgar/data/</w:t>
                                <w:br/>
                                <w:t>19617/000121390026076596/ea0297503-01_424b2.htm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$920.00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260" w:type="dxa"/>
                        <w:jc w:val="center"/>
                        <w:tblInd w:w="0" w:type="dxa"/>
                        <w:tblLayout w:type="fixed"/>
                        <w:tblCellMar>
                          <w:top w:w="0" w:type="dxa"/>
                          <w:left w:w="0" w:type="dxa"/>
                          <w:bottom w:w="0" w:type="dxa"/>
                          <w:right w:w="0" w:type="dxa"/>
                        </w:tblCellMar>
                      </w:tblPr>
                      <w:tblGrid>
                        <w:gridCol w:w="2975"/>
                        <w:gridCol w:w="2285"/>
                      </w:tblGrid>
                      <w:tr>
                        <w:trPr/>
                        <w:tc>
                          <w:tcPr>
                            <w:tcW w:w="5260" w:type="dxa"/>
                            <w:gridSpan w:val="2"/>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260" w:type="dxa"/>
                            <w:gridSpan w:val="2"/>
                            <w:tcBorders/>
                            <w:vAlign w:val="center"/>
                          </w:tcPr>
                          <w:p>
                            <w:pPr>
                              <w:pStyle w:val="TableContents"/>
                              <w:bidi w:val="0"/>
                              <w:spacing w:before="0" w:after="283"/>
                              <w:jc w:val="center"/>
                              <w:rPr/>
                            </w:pPr>
                            <w:r>
                              <w:rPr/>
                              <w:drawing>
                                <wp:inline distT="0" distB="0" distL="0" distR="0">
                                  <wp:extent cx="3048000" cy="2171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048000" cy="2171700"/>
                                          </a:xfrm>
                                          <a:prstGeom prst="rect">
                                            <a:avLst/>
                                          </a:prstGeom>
                                        </pic:spPr>
                                      </pic:pic>
                                    </a:graphicData>
                                  </a:graphic>
                                </wp:inline>
                              </w:drawing>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97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97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297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6-Year SX5E Auto-Callable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do not pay interest or, if the Trigger PLUS have not been automatically redeemed prior to maturity,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underlying index could adversely affect the value of the Trigger PLUS.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9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76596/ea0297503-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76596/ea0297503-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1485</Words>
  <Characters>8014</Characters>
  <CharactersWithSpaces>9381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