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INDU/SPX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Dow Jones Industrial Average ®   and S&amp;P 500 ®   Index  Upside Leverage Factor:   At least 1.31*  Barrier Amount:   With respect to each Underlying, 75.00% of its Initial Value  Underlying Return:   (Final Value – Initial Value) / Initial Value  Pricing Date:   September 11, 2026  Observation Date:   September 11, 2031  Maturity Date:   September 16, 2031  CUSIP:   46661M3F9  Preliminary Pricing Supplement:   http://sp.jpmorgan.com/document/cusip/46661M3F9/doctype/Product_Termsheet/document.pdf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25.00%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1.31. ** Reflects an Upside Leverage Factor of 1.31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131.00%   $2,310.00  80.00%   104.80%   $2,048.00  60.00%   78.60%   $1,786.00  40.00%   52.40%   $1,524.00  30.00%   39.30%   $1,393.00  20.00%   26.20%   $1,262.00  10.00%   13.10%   $1,131.00  5.00%   6.55%   $1,065.50  0.00%   0.00%   $1,000.00  -10.00%   0.00%   $1,000.00  -20.00%   0.00%   $1,000.00  -25.00%   0.00%   $1,000.00  -25.01%   -25.01%   $749.90  -30.00%   -30.00%   $700.00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INDU/SPX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and the Dow Jones Industrial Average™.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1336</Words>
  <Characters>7154</Characters>
  <CharactersWithSpaces>8695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