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July 28, 2026  Final Review Date:   July 30, 2029  Maturity Date:   August 2, 2029  Autocall Review Dates:   Quarterly  Interest Review Dates:   Monthly  Contingent Interest Rate:   At least 8.50%* per annum, paid monthly at a rate of at least 0.70833%*, if applicable  Interest Barrier/Trigger Value :   With respect to each Underlying, an amount that represents 70.00% of its Initial Value  CUSIP:   46661CQY5  Preliminary Pricing Supplement:   http://sp.jpmorgan.com/document/cusip/46661CQY5/doctype/Product_Termsheet/document.pdf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8.50% per annum Contingent Interest Rate)  60.00%   $1,007.0833  40.00%   $1,007.0833  20.00%   $1,007.0833  5.00%   $1,007.0833  0.00%   $1,007.0833  -5.00%   $1,007.0833  -20.00%   $1,007.0833  -30.00%   $1,007.0833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$7.0833 (equivalent to a Contingent Interest Rate of at least 8.50% per annum, payable at a rate of at least 0.70833%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8124</Characters>
  <CharactersWithSpaces>9871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