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011-01_fwp.htm"/>
      <w:bookmarkStart w:id="1" w:name="ksea030501101_fwp"/>
      <w:bookmarkStart w:id="2" w:name="ea0305011-01_fwp.htm"/>
      <w:bookmarkStart w:id="3" w:name="ksea030501101_fwp"/>
      <w:bookmarkEnd w:id="2"/>
      <w:bookmarkEnd w:id="3"/>
    </w:p>
    <w:tbl>
      <w:tblPr>
        <w:tblW w:w="10205" w:type="dxa"/>
        <w:jc w:val="left"/>
        <w:tblInd w:w="0" w:type="dxa"/>
        <w:tblLayout w:type="fixed"/>
        <w:tblCellMar>
          <w:top w:w="0" w:type="dxa"/>
          <w:left w:w="0" w:type="dxa"/>
          <w:bottom w:w="0" w:type="dxa"/>
          <w:right w:w="0" w:type="dxa"/>
        </w:tblCellMar>
      </w:tblPr>
      <w:tblGrid>
        <w:gridCol w:w="6096"/>
        <w:gridCol w:w="4109"/>
      </w:tblGrid>
      <w:tr>
        <w:trPr/>
        <w:tc>
          <w:tcPr>
            <w:tcW w:w="6096"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109"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096" w:type="dxa"/>
            <w:vMerge w:val="continue"/>
            <w:tcBorders/>
            <w:vAlign w:val="center"/>
          </w:tcPr>
          <w:p>
            <w:pPr>
              <w:pStyle w:val="Normal"/>
              <w:bidi w:val="0"/>
              <w:jc w:val="left"/>
              <w:rPr/>
            </w:pPr>
            <w:r>
              <w:rPr/>
            </w:r>
          </w:p>
        </w:tc>
        <w:tc>
          <w:tcPr>
            <w:tcW w:w="4109" w:type="dxa"/>
            <w:tcBorders/>
            <w:vAlign w:val="center"/>
          </w:tcPr>
          <w:p>
            <w:pPr>
              <w:pStyle w:val="TableContents"/>
              <w:bidi w:val="0"/>
              <w:spacing w:before="0" w:after="283"/>
              <w:jc w:val="center"/>
              <w:rPr>
                <w:caps w:val="false"/>
                <w:smallCaps w:val="false"/>
              </w:rPr>
            </w:pPr>
            <w:r>
              <w:rPr>
                <w:caps w:val="false"/>
                <w:smallCaps w:val="false"/>
              </w:rPr>
              <w:t> </w:t>
            </w:r>
            <w:r>
              <w:rPr>
                <w:caps w:val="false"/>
                <w:smallCaps w:val="false"/>
              </w:rPr>
              <w:drawing>
                <wp:inline distT="0" distB="0" distL="0" distR="0">
                  <wp:extent cx="161925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35242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Class A Common Stock of Palantir Technologies Inc. and the Class A Common Stock of Space Exploration Technologies Corp. due September 13,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September 9, 2026 to Preliminary Pricing Supplement dated September 9, 2026</w:t>
            </w:r>
          </w:p>
        </w:tc>
      </w:tr>
    </w:tbl>
    <w:p>
      <w:pPr>
        <w:pStyle w:val="TextBody"/>
        <w:bidi w:val="0"/>
        <w:spacing w:before="60" w:after="60"/>
        <w:ind w:left="360" w:right="0" w:hanging="0"/>
        <w:jc w:val="both"/>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JPMorgan Chase &amp; C0.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The Class A common stock of Palantir Technologies Inc. (Bloomberg ticker: PLTR) and the Class A common stock of Space Exploration Technologies Corp. (Bloomberg ticker: SPCX)</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Strike Date: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4,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Pricing Date</w:t>
                                  </w:r>
                                  <w:r>
                                    <w:rPr>
                                      <w:rFonts w:ascii="Georgia;Times;Serif" w:hAnsi="Georgia;Times;Serif"/>
                                      <w:b w:val="false"/>
                                      <w:i w:val="false"/>
                                      <w:caps w:val="false"/>
                                      <w:smallCaps w:val="false"/>
                                      <w:color w:val="000000"/>
                                      <w:position w:val="5"/>
                                      <w:sz w:val="12"/>
                                      <w:sz w:val="15"/>
                                    </w:rPr>
                                    <w:t>1</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9,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Issue Date</w:t>
                                  </w:r>
                                  <w:r>
                                    <w:rPr>
                                      <w:rFonts w:ascii="Georgia;Times;Serif" w:hAnsi="Georgia;Times;Serif"/>
                                      <w:b w:val="false"/>
                                      <w:i w:val="false"/>
                                      <w:caps w:val="false"/>
                                      <w:smallCaps w:val="false"/>
                                      <w:color w:val="000000"/>
                                      <w:position w:val="5"/>
                                      <w:sz w:val="12"/>
                                      <w:sz w:val="15"/>
                                    </w:rPr>
                                    <w:t>1</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14,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Final Calculation Day</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10,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Stated Maturity Date</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13,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 xml:space="preserve">If the stock closing price of the lowest performing Underlying Stock on the call date is greater than or equal to its starting price, the securities will be automatically called, and on the call settlement date, investors will receive the principal amount </w:t>
                                  </w:r>
                                  <w:r>
                                    <w:rPr>
                                      <w:rFonts w:ascii="Georgia;Times;Serif" w:hAnsi="Georgia;Times;Serif"/>
                                      <w:b w:val="false"/>
                                      <w:i/>
                                      <w:caps w:val="false"/>
                                      <w:smallCaps w:val="false"/>
                                      <w:color w:val="000000"/>
                                      <w:sz w:val="15"/>
                                    </w:rPr>
                                    <w:t>plus</w:t>
                                  </w:r>
                                  <w:r>
                                    <w:rPr>
                                      <w:rFonts w:ascii="Georgia;Times;Serif" w:hAnsi="Georgia;Times;Serif"/>
                                      <w:b w:val="false"/>
                                      <w:i w:val="false"/>
                                      <w:caps w:val="false"/>
                                      <w:smallCaps w:val="false"/>
                                      <w:color w:val="000000"/>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At least 47.50%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Call Date</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14,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Call Settlement Date</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securities are not automatically called on the call date, the “</w:t>
                                  </w:r>
                                  <w:r>
                                    <w:rPr>
                                      <w:rFonts w:ascii="Georgia;Times;Serif" w:hAnsi="Georgia;Times;Serif"/>
                                      <w:b w:val="false"/>
                                      <w:i w:val="false"/>
                                      <w:caps w:val="false"/>
                                      <w:smallCaps w:val="false"/>
                                      <w:color w:val="000000"/>
                                      <w:sz w:val="15"/>
                                      <w:u w:val="single"/>
                                    </w:rPr>
                                    <w:t>maturity payment amount</w:t>
                                  </w:r>
                                  <w:r>
                                    <w:rPr>
                                      <w:rFonts w:ascii="Georgia;Times;Serif" w:hAnsi="Georgia;Times;Serif"/>
                                      <w:b w:val="false"/>
                                      <w:i w:val="false"/>
                                      <w:caps w:val="false"/>
                                      <w:smallCaps w:val="false"/>
                                      <w:color w:val="000000"/>
                                      <w:sz w:val="15"/>
                                    </w:rPr>
                                    <w:t>” per security will equal:</w:t>
                                  </w:r>
                                </w:p>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ending price of the lowest performing Underlying Stock on the final calculation day is greater than its starting price:</w:t>
                                  </w:r>
                                </w:p>
                                <w:p>
                                  <w:pPr>
                                    <w:pStyle w:val="TableContents"/>
                                    <w:bidi w:val="0"/>
                                    <w:ind w:left="360" w:right="0" w:hanging="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ending price of the lowest performing Underlying Stock on the final calculation day is less than or equal to its starting price, but greater than or equal to its threshold price: $1,000; or</w:t>
                                  </w:r>
                                </w:p>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ending price of the lowest performing Underlying Stock on the final calculation day is less than its threshold price:</w:t>
                                  </w:r>
                                </w:p>
                                <w:p>
                                  <w:pPr>
                                    <w:pStyle w:val="TableContents"/>
                                    <w:bidi w:val="0"/>
                                    <w:spacing w:before="0" w:after="283"/>
                                    <w:ind w:left="360" w:right="0" w:hanging="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On the call date or the final calculation date,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For each Underlying Stock, its stock closing price on the strike date.  </w:t>
                                  </w:r>
                                  <w:r>
                                    <w:rPr>
                                      <w:rFonts w:ascii="Georgia;Times;Serif" w:hAnsi="Georgia;Times;Serif"/>
                                      <w:b/>
                                      <w:i w:val="false"/>
                                      <w:caps w:val="false"/>
                                      <w:smallCaps w:val="false"/>
                                      <w:color w:val="000000"/>
                                      <w:sz w:val="15"/>
                                    </w:rPr>
                                    <w:t xml:space="preserve">The starting price for each Underlying Stock is </w:t>
                                  </w:r>
                                  <w:r>
                                    <w:rPr>
                                      <w:rFonts w:ascii="Georgia;Times;Serif" w:hAnsi="Georgia;Times;Serif"/>
                                      <w:b/>
                                      <w:i/>
                                      <w:caps w:val="false"/>
                                      <w:smallCaps w:val="false"/>
                                      <w:color w:val="000000"/>
                                      <w:sz w:val="15"/>
                                    </w:rPr>
                                    <w:t>not</w:t>
                                  </w:r>
                                  <w:r>
                                    <w:rPr>
                                      <w:rFonts w:ascii="Georgia;Times;Serif" w:hAnsi="Georgia;Times;Serif"/>
                                      <w:b/>
                                      <w:i w:val="false"/>
                                      <w:caps w:val="false"/>
                                      <w:smallCaps w:val="false"/>
                                      <w:color w:val="000000"/>
                                      <w:sz w:val="15"/>
                                    </w:rPr>
                                    <w:t xml:space="preserve"> the stock closing price of that Underlying Stock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300%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 xml:space="preserve">For each Underlying Stock, 50%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J.P. Morgan Securities LLC (“</w:t>
                                  </w:r>
                                  <w:r>
                                    <w:rPr>
                                      <w:rFonts w:ascii="Georgia;Times;Serif" w:hAnsi="Georgia;Times;Serif"/>
                                      <w:b w:val="false"/>
                                      <w:i w:val="false"/>
                                      <w:caps w:val="false"/>
                                      <w:smallCaps w:val="false"/>
                                      <w:color w:val="000000"/>
                                      <w:sz w:val="15"/>
                                      <w:u w:val="single"/>
                                    </w:rPr>
                                    <w:t>JPMS</w:t>
                                  </w:r>
                                  <w:r>
                                    <w:rPr>
                                      <w:rFonts w:ascii="Georgia;Times;Serif" w:hAnsi="Georgia;Times;Serif"/>
                                      <w:b w:val="false"/>
                                      <w:i w:val="false"/>
                                      <w:caps w:val="false"/>
                                      <w:smallCaps w:val="false"/>
                                      <w:color w:val="000000"/>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46661MTF1</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Up to 2.575% for Wells Fargo Securities, LLC (“</w:t>
                                  </w:r>
                                  <w:r>
                                    <w:rPr>
                                      <w:rFonts w:ascii="Georgia;Times;Serif" w:hAnsi="Georgia;Times;Serif"/>
                                      <w:b w:val="false"/>
                                      <w:i w:val="false"/>
                                      <w:caps w:val="false"/>
                                      <w:smallCaps w:val="false"/>
                                      <w:color w:val="000000"/>
                                      <w:sz w:val="15"/>
                                      <w:u w:val="single"/>
                                    </w:rPr>
                                    <w:t>WFS</w:t>
                                  </w:r>
                                  <w:r>
                                    <w:rPr>
                                      <w:rFonts w:ascii="Georgia;Times;Serif" w:hAnsi="Georgia;Times;Serif"/>
                                      <w:b w:val="false"/>
                                      <w:i w:val="false"/>
                                      <w:caps w:val="false"/>
                                      <w:smallCaps w:val="false"/>
                                      <w:color w:val="000000"/>
                                      <w:sz w:val="15"/>
                                    </w:rPr>
                                    <w:t>”); WFS has advised us that dealers, including Wells Fargo Advisors (“</w:t>
                                  </w:r>
                                  <w:r>
                                    <w:rPr>
                                      <w:rFonts w:ascii="Georgia;Times;Serif" w:hAnsi="Georgia;Times;Serif"/>
                                      <w:b w:val="false"/>
                                      <w:i w:val="false"/>
                                      <w:caps w:val="false"/>
                                      <w:smallCaps w:val="false"/>
                                      <w:color w:val="000000"/>
                                      <w:sz w:val="15"/>
                                      <w:u w:val="single"/>
                                    </w:rPr>
                                    <w:t>WFA</w:t>
                                  </w:r>
                                  <w:r>
                                    <w:rPr>
                                      <w:rFonts w:ascii="Georgia;Times;Serif" w:hAnsi="Georgia;Times;Serif"/>
                                      <w:b w:val="false"/>
                                      <w:i w:val="false"/>
                                      <w:caps w:val="false"/>
                                      <w:smallCaps w:val="false"/>
                                      <w:color w:val="000000"/>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Tax Considerations: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position w:val="5"/>
                                      <w:sz w:val="12"/>
                                      <w:sz w:val="15"/>
                                    </w:rPr>
                                    <w:t xml:space="preserve">1 </w:t>
                                  </w:r>
                                  <w:r>
                                    <w:rPr>
                                      <w:rFonts w:ascii="Georgia;Times;Serif" w:hAnsi="Georgia;Times;Serif"/>
                                      <w:b w:val="false"/>
                                      <w:i w:val="false"/>
                                      <w:caps w:val="false"/>
                                      <w:smallCaps w:val="false"/>
                                      <w:color w:val="000000"/>
                                      <w:sz w:val="15"/>
                                    </w:rPr>
                                    <w:t>Subject to change</w:t>
                                  </w:r>
                                </w:p>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position w:val="5"/>
                                      <w:sz w:val="12"/>
                                      <w:sz w:val="15"/>
                                    </w:rPr>
                                    <w:t xml:space="preserve">2 </w:t>
                                  </w:r>
                                  <w:r>
                                    <w:rPr>
                                      <w:rFonts w:ascii="Georgia;Times;Serif" w:hAnsi="Georgia;Times;Serif"/>
                                      <w:b w:val="false"/>
                                      <w:i w:val="false"/>
                                      <w:caps w:val="false"/>
                                      <w:smallCaps w:val="false"/>
                                      <w:color w:val="000000"/>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JPMorgan Chase &amp; C0.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The Class A common stock of Palantir Technologies Inc. (Bloomberg ticker: PLTR) and the Class A common stock of Space Exploration Technologies Corp. (Bloomberg ticker: SPCX)</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Strike Date: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4,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Pricing Date</w:t>
                            </w:r>
                            <w:r>
                              <w:rPr>
                                <w:rFonts w:ascii="Georgia;Times;Serif" w:hAnsi="Georgia;Times;Serif"/>
                                <w:b w:val="false"/>
                                <w:i w:val="false"/>
                                <w:caps w:val="false"/>
                                <w:smallCaps w:val="false"/>
                                <w:color w:val="000000"/>
                                <w:position w:val="5"/>
                                <w:sz w:val="12"/>
                                <w:sz w:val="15"/>
                              </w:rPr>
                              <w:t>1</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9,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Issue Date</w:t>
                            </w:r>
                            <w:r>
                              <w:rPr>
                                <w:rFonts w:ascii="Georgia;Times;Serif" w:hAnsi="Georgia;Times;Serif"/>
                                <w:b w:val="false"/>
                                <w:i w:val="false"/>
                                <w:caps w:val="false"/>
                                <w:smallCaps w:val="false"/>
                                <w:color w:val="000000"/>
                                <w:position w:val="5"/>
                                <w:sz w:val="12"/>
                                <w:sz w:val="15"/>
                              </w:rPr>
                              <w:t>1</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14,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Final Calculation Day</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10,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Stated Maturity Date</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13,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 xml:space="preserve">If the stock closing price of the lowest performing Underlying Stock on the call date is greater than or equal to its starting price, the securities will be automatically called, and on the call settlement date, investors will receive the principal amount </w:t>
                            </w:r>
                            <w:r>
                              <w:rPr>
                                <w:rFonts w:ascii="Georgia;Times;Serif" w:hAnsi="Georgia;Times;Serif"/>
                                <w:b w:val="false"/>
                                <w:i/>
                                <w:caps w:val="false"/>
                                <w:smallCaps w:val="false"/>
                                <w:color w:val="000000"/>
                                <w:sz w:val="15"/>
                              </w:rPr>
                              <w:t>plus</w:t>
                            </w:r>
                            <w:r>
                              <w:rPr>
                                <w:rFonts w:ascii="Georgia;Times;Serif" w:hAnsi="Georgia;Times;Serif"/>
                                <w:b w:val="false"/>
                                <w:i w:val="false"/>
                                <w:caps w:val="false"/>
                                <w:smallCaps w:val="false"/>
                                <w:color w:val="000000"/>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At least 47.50%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Call Date</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September 14,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Call Settlement Date</w:t>
                            </w:r>
                            <w:r>
                              <w:rPr>
                                <w:rFonts w:ascii="Georgia;Times;Serif" w:hAnsi="Georgia;Times;Serif"/>
                                <w:b w:val="false"/>
                                <w:i w:val="false"/>
                                <w:caps w:val="false"/>
                                <w:smallCaps w:val="false"/>
                                <w:color w:val="000000"/>
                                <w:position w:val="5"/>
                                <w:sz w:val="12"/>
                                <w:sz w:val="15"/>
                              </w:rPr>
                              <w:t>1, 2</w:t>
                            </w:r>
                            <w:r>
                              <w:rPr>
                                <w:rFonts w:ascii="Georgia;Times;Serif" w:hAnsi="Georgia;Times;Serif"/>
                                <w:b w:val="false"/>
                                <w:i w:val="false"/>
                                <w:caps w:val="false"/>
                                <w:smallCaps w:val="false"/>
                                <w:color w:val="000000"/>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securities are not automatically called on the call date, the “</w:t>
                            </w:r>
                            <w:r>
                              <w:rPr>
                                <w:rFonts w:ascii="Georgia;Times;Serif" w:hAnsi="Georgia;Times;Serif"/>
                                <w:b w:val="false"/>
                                <w:i w:val="false"/>
                                <w:caps w:val="false"/>
                                <w:smallCaps w:val="false"/>
                                <w:color w:val="000000"/>
                                <w:sz w:val="15"/>
                                <w:u w:val="single"/>
                              </w:rPr>
                              <w:t>maturity payment amount</w:t>
                            </w:r>
                            <w:r>
                              <w:rPr>
                                <w:rFonts w:ascii="Georgia;Times;Serif" w:hAnsi="Georgia;Times;Serif"/>
                                <w:b w:val="false"/>
                                <w:i w:val="false"/>
                                <w:caps w:val="false"/>
                                <w:smallCaps w:val="false"/>
                                <w:color w:val="000000"/>
                                <w:sz w:val="15"/>
                              </w:rPr>
                              <w:t>” per security will equal:</w:t>
                            </w:r>
                          </w:p>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ending price of the lowest performing Underlying Stock on the final calculation day is greater than its starting price:</w:t>
                            </w:r>
                          </w:p>
                          <w:p>
                            <w:pPr>
                              <w:pStyle w:val="TableContents"/>
                              <w:bidi w:val="0"/>
                              <w:ind w:left="360" w:right="0" w:hanging="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ending price of the lowest performing Underlying Stock on the final calculation day is less than or equal to its starting price, but greater than or equal to its threshold price: $1,000; or</w:t>
                            </w:r>
                          </w:p>
                          <w:p>
                            <w:pPr>
                              <w:pStyle w:val="TableContents"/>
                              <w:bidi w:val="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If the ending price of the lowest performing Underlying Stock on the final calculation day is less than its threshold price:</w:t>
                            </w:r>
                          </w:p>
                          <w:p>
                            <w:pPr>
                              <w:pStyle w:val="TableContents"/>
                              <w:bidi w:val="0"/>
                              <w:spacing w:before="0" w:after="283"/>
                              <w:ind w:left="360" w:right="0" w:hanging="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On the call date or the final calculation date,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For each Underlying Stock, its stock closing price on the strike date.  </w:t>
                            </w:r>
                            <w:r>
                              <w:rPr>
                                <w:rFonts w:ascii="Georgia;Times;Serif" w:hAnsi="Georgia;Times;Serif"/>
                                <w:b/>
                                <w:i w:val="false"/>
                                <w:caps w:val="false"/>
                                <w:smallCaps w:val="false"/>
                                <w:color w:val="000000"/>
                                <w:sz w:val="15"/>
                              </w:rPr>
                              <w:t xml:space="preserve">The starting price for each Underlying Stock is </w:t>
                            </w:r>
                            <w:r>
                              <w:rPr>
                                <w:rFonts w:ascii="Georgia;Times;Serif" w:hAnsi="Georgia;Times;Serif"/>
                                <w:b/>
                                <w:i/>
                                <w:caps w:val="false"/>
                                <w:smallCaps w:val="false"/>
                                <w:color w:val="000000"/>
                                <w:sz w:val="15"/>
                              </w:rPr>
                              <w:t>not</w:t>
                            </w:r>
                            <w:r>
                              <w:rPr>
                                <w:rFonts w:ascii="Georgia;Times;Serif" w:hAnsi="Georgia;Times;Serif"/>
                                <w:b/>
                                <w:i w:val="false"/>
                                <w:caps w:val="false"/>
                                <w:smallCaps w:val="false"/>
                                <w:color w:val="000000"/>
                                <w:sz w:val="15"/>
                              </w:rPr>
                              <w:t xml:space="preserve"> the stock closing price of that Underlying Stock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300%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 xml:space="preserve">For each Underlying Stock, 50%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J.P. Morgan Securities LLC (“</w:t>
                            </w:r>
                            <w:r>
                              <w:rPr>
                                <w:rFonts w:ascii="Georgia;Times;Serif" w:hAnsi="Georgia;Times;Serif"/>
                                <w:b w:val="false"/>
                                <w:i w:val="false"/>
                                <w:caps w:val="false"/>
                                <w:smallCaps w:val="false"/>
                                <w:color w:val="000000"/>
                                <w:sz w:val="15"/>
                                <w:u w:val="single"/>
                              </w:rPr>
                              <w:t>JPMS</w:t>
                            </w:r>
                            <w:r>
                              <w:rPr>
                                <w:rFonts w:ascii="Georgia;Times;Serif" w:hAnsi="Georgia;Times;Serif"/>
                                <w:b w:val="false"/>
                                <w:i w:val="false"/>
                                <w:caps w:val="false"/>
                                <w:smallCaps w:val="false"/>
                                <w:color w:val="000000"/>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46661MTF1</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Up to 2.575% for Wells Fargo Securities, LLC (“</w:t>
                            </w:r>
                            <w:r>
                              <w:rPr>
                                <w:rFonts w:ascii="Georgia;Times;Serif" w:hAnsi="Georgia;Times;Serif"/>
                                <w:b w:val="false"/>
                                <w:i w:val="false"/>
                                <w:caps w:val="false"/>
                                <w:smallCaps w:val="false"/>
                                <w:color w:val="000000"/>
                                <w:sz w:val="15"/>
                                <w:u w:val="single"/>
                              </w:rPr>
                              <w:t>WFS</w:t>
                            </w:r>
                            <w:r>
                              <w:rPr>
                                <w:rFonts w:ascii="Georgia;Times;Serif" w:hAnsi="Georgia;Times;Serif"/>
                                <w:b w:val="false"/>
                                <w:i w:val="false"/>
                                <w:caps w:val="false"/>
                                <w:smallCaps w:val="false"/>
                                <w:color w:val="000000"/>
                                <w:sz w:val="15"/>
                              </w:rPr>
                              <w:t>”); WFS has advised us that dealers, including Wells Fargo Advisors (“</w:t>
                            </w:r>
                            <w:r>
                              <w:rPr>
                                <w:rFonts w:ascii="Georgia;Times;Serif" w:hAnsi="Georgia;Times;Serif"/>
                                <w:b w:val="false"/>
                                <w:i w:val="false"/>
                                <w:caps w:val="false"/>
                                <w:smallCaps w:val="false"/>
                                <w:color w:val="000000"/>
                                <w:sz w:val="15"/>
                                <w:u w:val="single"/>
                              </w:rPr>
                              <w:t>WFA</w:t>
                            </w:r>
                            <w:r>
                              <w:rPr>
                                <w:rFonts w:ascii="Georgia;Times;Serif" w:hAnsi="Georgia;Times;Serif"/>
                                <w:b w:val="false"/>
                                <w:i w:val="false"/>
                                <w:caps w:val="false"/>
                                <w:smallCaps w:val="false"/>
                                <w:color w:val="000000"/>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Tax Considerations: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position w:val="5"/>
                                <w:sz w:val="12"/>
                                <w:sz w:val="15"/>
                              </w:rPr>
                              <w:t xml:space="preserve">1 </w:t>
                            </w:r>
                            <w:r>
                              <w:rPr>
                                <w:rFonts w:ascii="Georgia;Times;Serif" w:hAnsi="Georgia;Times;Serif"/>
                                <w:b w:val="false"/>
                                <w:i w:val="false"/>
                                <w:caps w:val="false"/>
                                <w:smallCaps w:val="false"/>
                                <w:color w:val="000000"/>
                                <w:sz w:val="15"/>
                              </w:rPr>
                              <w:t>Subject to change</w:t>
                            </w:r>
                          </w:p>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position w:val="5"/>
                                <w:sz w:val="12"/>
                                <w:sz w:val="15"/>
                              </w:rPr>
                              <w:t xml:space="preserve">2 </w:t>
                            </w:r>
                            <w:r>
                              <w:rPr>
                                <w:rFonts w:ascii="Georgia;Times;Serif" w:hAnsi="Georgia;Times;Serif"/>
                                <w:b w:val="false"/>
                                <w:i w:val="false"/>
                                <w:caps w:val="false"/>
                                <w:smallCaps w:val="false"/>
                                <w:color w:val="000000"/>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077710"/>
                <wp:effectExtent l="0" t="0" r="0" b="0"/>
                <wp:wrapSquare wrapText="left"/>
                <wp:docPr id="3" name="Frame2"/>
                <a:graphic xmlns:a="http://schemas.openxmlformats.org/drawingml/2006/main">
                  <a:graphicData uri="http://schemas.microsoft.com/office/word/2010/wordprocessingShape">
                    <wps:wsp>
                      <wps:cNvSpPr txBox="1"/>
                      <wps:spPr>
                        <a:xfrm>
                          <a:off x="0" y="0"/>
                          <a:ext cx="3175000" cy="707771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200400" cy="20478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00400" cy="204787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$951.80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5"/>
                              </w:rPr>
                              <w:t xml:space="preserve">Preliminary Pricing Supplement: </w:t>
                            </w:r>
                            <w:hyperlink r:id="rId4">
                              <w:r>
                                <w:rPr>
                                  <w:rStyle w:val="InternetLink"/>
                                  <w:rFonts w:ascii="Georgia;Times;Serif" w:hAnsi="Georgia;Times;Serif"/>
                                  <w:b w:val="false"/>
                                  <w:i w:val="false"/>
                                  <w:caps w:val="false"/>
                                  <w:smallCaps w:val="false"/>
                                  <w:sz w:val="15"/>
                                </w:rPr>
                                <w:t>http://www.sec.gov/Archives/edgar/data/19617/000121390026098335</w:t>
                                <w:br/>
                                <w:t>/ea0304977-01_424b2.htm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7.3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ind w:left="90" w:right="0" w:hanging="0"/>
                        <w:jc w:val="left"/>
                        <w:rPr>
                          <w:caps w:val="false"/>
                          <w:smallCaps w:val="false"/>
                          <w:color w:val="8F8F8F"/>
                        </w:rPr>
                      </w:pPr>
                      <w:r>
                        <w:rPr>
                          <w:caps w:val="false"/>
                          <w:smallCaps w:val="false"/>
                          <w:color w:val="8F8F8F"/>
                        </w:rPr>
                        <w:drawing>
                          <wp:inline distT="0" distB="0" distL="0" distR="0">
                            <wp:extent cx="3200400" cy="20478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00400" cy="204787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50%,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$951.80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5"/>
                        </w:rPr>
                        <w:t xml:space="preserve">Preliminary Pricing Supplement: </w:t>
                      </w:r>
                      <w:hyperlink r:id="rId6">
                        <w:r>
                          <w:rPr>
                            <w:rStyle w:val="InternetLink"/>
                            <w:rFonts w:ascii="Georgia;Times;Serif" w:hAnsi="Georgia;Times;Serif"/>
                            <w:b w:val="false"/>
                            <w:i w:val="false"/>
                            <w:caps w:val="false"/>
                            <w:smallCaps w:val="false"/>
                            <w:sz w:val="15"/>
                          </w:rPr>
                          <w:t>http://www.sec.gov/Archives/edgar/data/19617/000121390026098335</w:t>
                          <w:br/>
                          <w:t>/ea0304977-01_424b2.htm</w:t>
                        </w:r>
                      </w:hyperlink>
                    </w:p>
                  </w:txbxContent>
                </v:textbox>
                <w10:wrap type="square" side="left"/>
              </v:rect>
            </w:pict>
          </mc:Fallback>
        </mc:AlternateContent>
      </w:r>
    </w:p>
    <w:p>
      <w:pPr>
        <w:pStyle w:val="TextBody"/>
        <w:bidi w:val="0"/>
        <w:spacing w:before="60" w:after="60"/>
        <w:ind w:left="360"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360"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5"/>
        <w:gridCol w:w="5180"/>
      </w:tblGrid>
      <w:tr>
        <w:trPr/>
        <w:tc>
          <w:tcPr>
            <w:tcW w:w="5025"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Operations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Payment at Maturity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Risks Resulting from the Relationship Between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tc>
        <w:tc>
          <w:tcPr>
            <w:tcW w:w="5180"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No Affiliation with Either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Limited Trading History with Respect to the Class A Common Stock of Space Exploration Technologies Corp.</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 xml:space="preserve">The Anti-Dilution Protection Is Limited and May Be Discretionary. </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8335/ea0304977-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8335/ea0304977-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1700</Words>
  <Characters>9166</Characters>
  <CharactersWithSpaces>10945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