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Free Writing Prospectus Filed Pursuant to Rule 433</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Registration Statement Nos. 333-270004 and 333-270004-01</w:t>
      </w:r>
    </w:p>
    <w:p>
      <w:pPr>
        <w:jc w:val="right"/>
        <w:spacing w:after="0" w:line="238" w:lineRule="auto"/>
        <w:rPr>
          <w:sz w:val="20"/>
          <w:szCs w:val="20"/>
          <w:color w:val="auto"/>
        </w:rPr>
      </w:pPr>
      <w:r>
        <w:rPr>
          <w:rFonts w:ascii="Arial" w:cs="Arial" w:eastAsia="Arial" w:hAnsi="Arial"/>
          <w:sz w:val="14"/>
          <w:szCs w:val="14"/>
          <w:color w:val="808080"/>
        </w:rPr>
        <w:t>Dated April 29, 2025</w:t>
      </w:r>
    </w:p>
    <w:p>
      <w:pPr>
        <w:ind w:left="100"/>
        <w:spacing w:after="0"/>
        <w:rPr>
          <w:sz w:val="20"/>
          <w:szCs w:val="20"/>
          <w:color w:val="auto"/>
        </w:rPr>
      </w:pPr>
      <w:r>
        <w:rPr>
          <w:rFonts w:ascii="Arial" w:cs="Arial" w:eastAsia="Arial" w:hAnsi="Arial"/>
          <w:sz w:val="25"/>
          <w:szCs w:val="25"/>
          <w:color w:val="296DC1"/>
        </w:rPr>
        <w:t>2-Year NVDA Auto-Callable Dual Directional Trigger PLUS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5080</wp:posOffset>
            </wp:positionV>
            <wp:extent cx="70719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5" w:lineRule="exact"/>
        <w:rPr>
          <w:sz w:val="24"/>
          <w:szCs w:val="24"/>
          <w:color w:val="auto"/>
        </w:rPr>
      </w:pPr>
    </w:p>
    <w:p>
      <w:pPr>
        <w:ind w:left="240" w:right="80"/>
        <w:spacing w:after="0" w:line="266" w:lineRule="auto"/>
        <w:rPr>
          <w:sz w:val="20"/>
          <w:szCs w:val="20"/>
          <w:color w:val="auto"/>
        </w:rPr>
      </w:pPr>
      <w:r>
        <w:rPr>
          <w:rFonts w:ascii="Arial" w:cs="Arial" w:eastAsia="Arial" w:hAnsi="Arial"/>
          <w:sz w:val="14"/>
          <w:szCs w:val="14"/>
          <w:b w:val="1"/>
          <w:bCs w:val="1"/>
          <w:i w:val="1"/>
          <w:iCs w:val="1"/>
          <w:color w:val="auto"/>
        </w:rPr>
        <w:t>This document provides a summary of the terms of the Auto-Callable Dual Directional Trigger PLUS, which we refer to as the Trigger PLUS. Investors must carefully review the accompanying preliminary pricing supplement referenced below, product supplement, prospectus supplement, prospectus and prospectus addendum and the “Risk Considerations” on the following page, prior to making an investment decision.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48869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88690" cy="17145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p>
      <w:pPr>
        <w:spacing w:after="0" w:line="30"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FFFFFF"/>
        </w:rPr>
        <w:t>SUMMARY TERMS</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1280" w:type="dxa"/>
            <w:vAlign w:val="bottom"/>
            <w:vMerge w:val="restart"/>
            <w:shd w:val="clear" w:color="auto" w:fill="DCEBF4"/>
          </w:tcPr>
          <w:p>
            <w:pPr>
              <w:ind w:left="100"/>
              <w:spacing w:after="0"/>
              <w:rPr>
                <w:sz w:val="20"/>
                <w:szCs w:val="20"/>
                <w:color w:val="auto"/>
              </w:rPr>
            </w:pPr>
            <w:r>
              <w:rPr>
                <w:rFonts w:ascii="Arial" w:cs="Arial" w:eastAsia="Arial" w:hAnsi="Arial"/>
                <w:sz w:val="14"/>
                <w:szCs w:val="14"/>
                <w:b w:val="1"/>
                <w:bCs w:val="1"/>
                <w:color w:val="296DC1"/>
              </w:rPr>
              <w:t>Issuer:</w:t>
            </w:r>
          </w:p>
        </w:tc>
        <w:tc>
          <w:tcPr>
            <w:tcW w:w="4220" w:type="dxa"/>
            <w:vAlign w:val="bottom"/>
            <w:shd w:val="clear" w:color="auto" w:fill="DCEBF4"/>
          </w:tcPr>
          <w:p>
            <w:pPr>
              <w:ind w:left="60"/>
              <w:spacing w:after="0"/>
              <w:rPr>
                <w:sz w:val="20"/>
                <w:szCs w:val="20"/>
                <w:color w:val="auto"/>
              </w:rPr>
            </w:pPr>
            <w:r>
              <w:rPr>
                <w:rFonts w:ascii="Arial" w:cs="Arial" w:eastAsia="Arial" w:hAnsi="Arial"/>
                <w:sz w:val="14"/>
                <w:szCs w:val="14"/>
                <w:color w:val="auto"/>
              </w:rPr>
              <w:t>JPMorgan Chase Financial Company LLC (“JPMorgan</w:t>
            </w:r>
          </w:p>
        </w:tc>
        <w:tc>
          <w:tcPr>
            <w:tcW w:w="0" w:type="dxa"/>
            <w:vAlign w:val="bottom"/>
          </w:tcPr>
          <w:p>
            <w:pPr>
              <w:spacing w:after="0"/>
              <w:rPr>
                <w:sz w:val="1"/>
                <w:szCs w:val="1"/>
                <w:color w:val="auto"/>
              </w:rPr>
            </w:pPr>
          </w:p>
        </w:tc>
      </w:tr>
      <w:tr>
        <w:trPr>
          <w:trHeight w:val="151"/>
        </w:trPr>
        <w:tc>
          <w:tcPr>
            <w:tcW w:w="1280" w:type="dxa"/>
            <w:vAlign w:val="bottom"/>
            <w:tcBorders>
              <w:bottom w:val="single" w:sz="8" w:color="DCEBF4"/>
            </w:tcBorders>
            <w:vMerge w:val="continue"/>
            <w:shd w:val="clear" w:color="auto" w:fill="DCEBF4"/>
          </w:tcPr>
          <w:p>
            <w:pPr>
              <w:spacing w:after="0"/>
              <w:rPr>
                <w:sz w:val="13"/>
                <w:szCs w:val="13"/>
                <w:color w:val="auto"/>
              </w:rPr>
            </w:pPr>
          </w:p>
        </w:tc>
        <w:tc>
          <w:tcPr>
            <w:tcW w:w="4220" w:type="dxa"/>
            <w:vAlign w:val="bottom"/>
            <w:tcBorders>
              <w:bottom w:val="single" w:sz="8" w:color="DCEBF4"/>
            </w:tcBorders>
            <w:shd w:val="clear" w:color="auto" w:fill="DCEBF4"/>
          </w:tcPr>
          <w:p>
            <w:pPr>
              <w:ind w:left="60"/>
              <w:spacing w:after="0" w:line="151" w:lineRule="exact"/>
              <w:rPr>
                <w:sz w:val="20"/>
                <w:szCs w:val="20"/>
                <w:color w:val="auto"/>
              </w:rPr>
            </w:pPr>
            <w:r>
              <w:rPr>
                <w:rFonts w:ascii="Arial" w:cs="Arial" w:eastAsia="Arial" w:hAnsi="Arial"/>
                <w:sz w:val="14"/>
                <w:szCs w:val="14"/>
                <w:color w:val="auto"/>
              </w:rPr>
              <w:t>Financial”)</w:t>
            </w:r>
          </w:p>
        </w:tc>
        <w:tc>
          <w:tcPr>
            <w:tcW w:w="0" w:type="dxa"/>
            <w:vAlign w:val="bottom"/>
          </w:tcPr>
          <w:p>
            <w:pPr>
              <w:spacing w:after="0"/>
              <w:rPr>
                <w:sz w:val="1"/>
                <w:szCs w:val="1"/>
                <w:color w:val="auto"/>
              </w:rPr>
            </w:pPr>
          </w:p>
        </w:tc>
      </w:tr>
      <w:tr>
        <w:trPr>
          <w:trHeight w:val="176"/>
        </w:trPr>
        <w:tc>
          <w:tcPr>
            <w:tcW w:w="1280" w:type="dxa"/>
            <w:vAlign w:val="bottom"/>
          </w:tcPr>
          <w:p>
            <w:pPr>
              <w:ind w:left="100"/>
              <w:spacing w:after="0"/>
              <w:rPr>
                <w:sz w:val="20"/>
                <w:szCs w:val="20"/>
                <w:color w:val="auto"/>
              </w:rPr>
            </w:pPr>
            <w:r>
              <w:rPr>
                <w:rFonts w:ascii="Arial" w:cs="Arial" w:eastAsia="Arial" w:hAnsi="Arial"/>
                <w:sz w:val="14"/>
                <w:szCs w:val="14"/>
                <w:b w:val="1"/>
                <w:bCs w:val="1"/>
                <w:color w:val="296DC1"/>
              </w:rPr>
              <w:t>Guarantor:</w:t>
            </w:r>
          </w:p>
        </w:tc>
        <w:tc>
          <w:tcPr>
            <w:tcW w:w="4220" w:type="dxa"/>
            <w:vAlign w:val="bottom"/>
          </w:tcPr>
          <w:p>
            <w:pPr>
              <w:ind w:left="60"/>
              <w:spacing w:after="0"/>
              <w:rPr>
                <w:sz w:val="20"/>
                <w:szCs w:val="20"/>
                <w:color w:val="auto"/>
              </w:rPr>
            </w:pPr>
            <w:r>
              <w:rPr>
                <w:rFonts w:ascii="Arial" w:cs="Arial" w:eastAsia="Arial" w:hAnsi="Arial"/>
                <w:sz w:val="14"/>
                <w:szCs w:val="14"/>
                <w:color w:val="auto"/>
              </w:rPr>
              <w:t>JPMorgan Chase &amp; Co.</w:t>
            </w:r>
          </w:p>
        </w:tc>
        <w:tc>
          <w:tcPr>
            <w:tcW w:w="0" w:type="dxa"/>
            <w:vAlign w:val="bottom"/>
          </w:tcPr>
          <w:p>
            <w:pPr>
              <w:spacing w:after="0"/>
              <w:rPr>
                <w:sz w:val="1"/>
                <w:szCs w:val="1"/>
                <w:color w:val="auto"/>
              </w:rPr>
            </w:pPr>
          </w:p>
        </w:tc>
      </w:tr>
      <w:tr>
        <w:trPr>
          <w:trHeight w:val="166"/>
        </w:trPr>
        <w:tc>
          <w:tcPr>
            <w:tcW w:w="128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Underlying</w:t>
            </w:r>
          </w:p>
        </w:tc>
        <w:tc>
          <w:tcPr>
            <w:tcW w:w="4220" w:type="dxa"/>
            <w:vAlign w:val="bottom"/>
            <w:shd w:val="clear" w:color="auto" w:fill="DCEBF4"/>
          </w:tcPr>
          <w:p>
            <w:pPr>
              <w:ind w:left="60"/>
              <w:spacing w:after="0"/>
              <w:rPr>
                <w:sz w:val="20"/>
                <w:szCs w:val="20"/>
                <w:color w:val="auto"/>
              </w:rPr>
            </w:pPr>
            <w:r>
              <w:rPr>
                <w:rFonts w:ascii="Arial" w:cs="Arial" w:eastAsia="Arial" w:hAnsi="Arial"/>
                <w:sz w:val="14"/>
                <w:szCs w:val="14"/>
                <w:color w:val="auto"/>
              </w:rPr>
              <w:t>Common stock of NVIDIA Corporation (Bloomberg ticker: NVDA</w:t>
            </w:r>
          </w:p>
        </w:tc>
        <w:tc>
          <w:tcPr>
            <w:tcW w:w="0" w:type="dxa"/>
            <w:vAlign w:val="bottom"/>
          </w:tcPr>
          <w:p>
            <w:pPr>
              <w:spacing w:after="0"/>
              <w:rPr>
                <w:sz w:val="1"/>
                <w:szCs w:val="1"/>
                <w:color w:val="auto"/>
              </w:rPr>
            </w:pPr>
          </w:p>
        </w:tc>
      </w:tr>
      <w:tr>
        <w:trPr>
          <w:trHeight w:val="171"/>
        </w:trPr>
        <w:tc>
          <w:tcPr>
            <w:tcW w:w="128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stock:</w:t>
            </w:r>
          </w:p>
        </w:tc>
        <w:tc>
          <w:tcPr>
            <w:tcW w:w="4220" w:type="dxa"/>
            <w:vAlign w:val="bottom"/>
            <w:shd w:val="clear" w:color="auto" w:fill="DCEBF4"/>
          </w:tcPr>
          <w:p>
            <w:pPr>
              <w:ind w:left="60"/>
              <w:spacing w:after="0"/>
              <w:rPr>
                <w:sz w:val="20"/>
                <w:szCs w:val="20"/>
                <w:color w:val="auto"/>
              </w:rPr>
            </w:pPr>
            <w:r>
              <w:rPr>
                <w:rFonts w:ascii="Arial" w:cs="Arial" w:eastAsia="Arial" w:hAnsi="Arial"/>
                <w:sz w:val="14"/>
                <w:szCs w:val="14"/>
                <w:color w:val="auto"/>
              </w:rPr>
              <w:t>UW Equity)</w:t>
            </w:r>
          </w:p>
        </w:tc>
        <w:tc>
          <w:tcPr>
            <w:tcW w:w="0" w:type="dxa"/>
            <w:vAlign w:val="bottom"/>
          </w:tcPr>
          <w:p>
            <w:pPr>
              <w:spacing w:after="0"/>
              <w:rPr>
                <w:sz w:val="1"/>
                <w:szCs w:val="1"/>
                <w:color w:val="auto"/>
              </w:rPr>
            </w:pPr>
          </w:p>
        </w:tc>
      </w:tr>
      <w:tr>
        <w:trPr>
          <w:trHeight w:val="166"/>
        </w:trPr>
        <w:tc>
          <w:tcPr>
            <w:tcW w:w="1280" w:type="dxa"/>
            <w:vAlign w:val="bottom"/>
          </w:tcPr>
          <w:p>
            <w:pPr>
              <w:ind w:left="100"/>
              <w:spacing w:after="0"/>
              <w:rPr>
                <w:sz w:val="20"/>
                <w:szCs w:val="20"/>
                <w:color w:val="auto"/>
              </w:rPr>
            </w:pPr>
            <w:r>
              <w:rPr>
                <w:rFonts w:ascii="Arial" w:cs="Arial" w:eastAsia="Arial" w:hAnsi="Arial"/>
                <w:sz w:val="14"/>
                <w:szCs w:val="14"/>
                <w:b w:val="1"/>
                <w:bCs w:val="1"/>
                <w:color w:val="296DC1"/>
              </w:rPr>
              <w:t>Early</w:t>
            </w:r>
          </w:p>
        </w:tc>
        <w:tc>
          <w:tcPr>
            <w:tcW w:w="4220" w:type="dxa"/>
            <w:vAlign w:val="bottom"/>
          </w:tcPr>
          <w:p>
            <w:pPr>
              <w:ind w:left="60"/>
              <w:spacing w:after="0"/>
              <w:rPr>
                <w:sz w:val="20"/>
                <w:szCs w:val="20"/>
                <w:color w:val="auto"/>
              </w:rPr>
            </w:pPr>
            <w:r>
              <w:rPr>
                <w:rFonts w:ascii="Arial" w:cs="Arial" w:eastAsia="Arial" w:hAnsi="Arial"/>
                <w:sz w:val="14"/>
                <w:szCs w:val="14"/>
                <w:color w:val="auto"/>
              </w:rPr>
              <w:t>If, on the redemption observation date, the closing price of one</w:t>
            </w:r>
          </w:p>
        </w:tc>
        <w:tc>
          <w:tcPr>
            <w:tcW w:w="0" w:type="dxa"/>
            <w:vAlign w:val="bottom"/>
          </w:tcPr>
          <w:p>
            <w:pPr>
              <w:spacing w:after="0"/>
              <w:rPr>
                <w:sz w:val="1"/>
                <w:szCs w:val="1"/>
                <w:color w:val="auto"/>
              </w:rPr>
            </w:pPr>
          </w:p>
        </w:tc>
      </w:tr>
      <w:tr>
        <w:trPr>
          <w:trHeight w:val="162"/>
        </w:trPr>
        <w:tc>
          <w:tcPr>
            <w:tcW w:w="1280" w:type="dxa"/>
            <w:vAlign w:val="bottom"/>
          </w:tcPr>
          <w:p>
            <w:pPr>
              <w:ind w:left="100"/>
              <w:spacing w:after="0"/>
              <w:rPr>
                <w:sz w:val="20"/>
                <w:szCs w:val="20"/>
                <w:color w:val="auto"/>
              </w:rPr>
            </w:pPr>
            <w:r>
              <w:rPr>
                <w:rFonts w:ascii="Arial" w:cs="Arial" w:eastAsia="Arial" w:hAnsi="Arial"/>
                <w:sz w:val="14"/>
                <w:szCs w:val="14"/>
                <w:b w:val="1"/>
                <w:bCs w:val="1"/>
                <w:color w:val="296DC1"/>
              </w:rPr>
              <w:t>redemption:</w:t>
            </w:r>
          </w:p>
        </w:tc>
        <w:tc>
          <w:tcPr>
            <w:tcW w:w="4220" w:type="dxa"/>
            <w:vAlign w:val="bottom"/>
          </w:tcPr>
          <w:p>
            <w:pPr>
              <w:ind w:left="60"/>
              <w:spacing w:after="0"/>
              <w:rPr>
                <w:sz w:val="20"/>
                <w:szCs w:val="20"/>
                <w:color w:val="auto"/>
              </w:rPr>
            </w:pPr>
            <w:r>
              <w:rPr>
                <w:rFonts w:ascii="Arial" w:cs="Arial" w:eastAsia="Arial" w:hAnsi="Arial"/>
                <w:sz w:val="14"/>
                <w:szCs w:val="14"/>
                <w:color w:val="auto"/>
              </w:rPr>
              <w:t xml:space="preserve">share of the underlying stock is </w:t>
            </w:r>
            <w:r>
              <w:rPr>
                <w:rFonts w:ascii="Arial" w:cs="Arial" w:eastAsia="Arial" w:hAnsi="Arial"/>
                <w:sz w:val="14"/>
                <w:szCs w:val="14"/>
                <w:b w:val="1"/>
                <w:bCs w:val="1"/>
                <w:color w:val="auto"/>
              </w:rPr>
              <w:t>greater than or equal to</w:t>
            </w:r>
            <w:r>
              <w:rPr>
                <w:rFonts w:ascii="Arial" w:cs="Arial" w:eastAsia="Arial" w:hAnsi="Arial"/>
                <w:sz w:val="14"/>
                <w:szCs w:val="14"/>
                <w:color w:val="auto"/>
              </w:rPr>
              <w:t xml:space="preserve"> the</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4220" w:type="dxa"/>
            <w:vAlign w:val="bottom"/>
          </w:tcPr>
          <w:p>
            <w:pPr>
              <w:ind w:left="60"/>
              <w:spacing w:after="0"/>
              <w:rPr>
                <w:sz w:val="20"/>
                <w:szCs w:val="20"/>
                <w:color w:val="auto"/>
              </w:rPr>
            </w:pPr>
            <w:r>
              <w:rPr>
                <w:rFonts w:ascii="Arial" w:cs="Arial" w:eastAsia="Arial" w:hAnsi="Arial"/>
                <w:sz w:val="14"/>
                <w:szCs w:val="14"/>
                <w:color w:val="auto"/>
              </w:rPr>
              <w:t>initial stock price, the Trigger PLUS will be automatically</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4220" w:type="dxa"/>
            <w:vAlign w:val="bottom"/>
          </w:tcPr>
          <w:p>
            <w:pPr>
              <w:ind w:left="60"/>
              <w:spacing w:after="0"/>
              <w:rPr>
                <w:sz w:val="20"/>
                <w:szCs w:val="20"/>
                <w:color w:val="auto"/>
              </w:rPr>
            </w:pPr>
            <w:r>
              <w:rPr>
                <w:rFonts w:ascii="Arial" w:cs="Arial" w:eastAsia="Arial" w:hAnsi="Arial"/>
                <w:sz w:val="14"/>
                <w:szCs w:val="14"/>
                <w:color w:val="auto"/>
              </w:rPr>
              <w:t>redeemed for the early redemption payment on the redemption</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4220" w:type="dxa"/>
            <w:vAlign w:val="bottom"/>
          </w:tcPr>
          <w:p>
            <w:pPr>
              <w:ind w:left="60"/>
              <w:spacing w:after="0"/>
              <w:rPr>
                <w:sz w:val="20"/>
                <w:szCs w:val="20"/>
                <w:color w:val="auto"/>
              </w:rPr>
            </w:pPr>
            <w:r>
              <w:rPr>
                <w:rFonts w:ascii="Arial" w:cs="Arial" w:eastAsia="Arial" w:hAnsi="Arial"/>
                <w:sz w:val="14"/>
                <w:szCs w:val="14"/>
                <w:color w:val="auto"/>
              </w:rPr>
              <w:t>date. No further payments will be made on the Trigger PLUS</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4220" w:type="dxa"/>
            <w:vAlign w:val="bottom"/>
          </w:tcPr>
          <w:p>
            <w:pPr>
              <w:ind w:left="60"/>
              <w:spacing w:after="0"/>
              <w:rPr>
                <w:sz w:val="20"/>
                <w:szCs w:val="20"/>
                <w:color w:val="auto"/>
              </w:rPr>
            </w:pPr>
            <w:r>
              <w:rPr>
                <w:rFonts w:ascii="Arial" w:cs="Arial" w:eastAsia="Arial" w:hAnsi="Arial"/>
                <w:sz w:val="14"/>
                <w:szCs w:val="14"/>
                <w:color w:val="auto"/>
              </w:rPr>
              <w:t>once they have been redeemed. In addition, if the Trigger PLUS</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4220" w:type="dxa"/>
            <w:vAlign w:val="bottom"/>
          </w:tcPr>
          <w:p>
            <w:pPr>
              <w:ind w:left="60"/>
              <w:spacing w:after="0"/>
              <w:rPr>
                <w:sz w:val="20"/>
                <w:szCs w:val="20"/>
                <w:color w:val="auto"/>
              </w:rPr>
            </w:pPr>
            <w:r>
              <w:rPr>
                <w:rFonts w:ascii="Arial" w:cs="Arial" w:eastAsia="Arial" w:hAnsi="Arial"/>
                <w:sz w:val="14"/>
                <w:szCs w:val="14"/>
                <w:color w:val="auto"/>
              </w:rPr>
              <w:t>are automatically redeemed prior to maturity, you will not benefit</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4220" w:type="dxa"/>
            <w:vAlign w:val="bottom"/>
          </w:tcPr>
          <w:p>
            <w:pPr>
              <w:ind w:left="60"/>
              <w:spacing w:after="0"/>
              <w:rPr>
                <w:sz w:val="20"/>
                <w:szCs w:val="20"/>
                <w:color w:val="auto"/>
              </w:rPr>
            </w:pPr>
            <w:r>
              <w:rPr>
                <w:rFonts w:ascii="Arial" w:cs="Arial" w:eastAsia="Arial" w:hAnsi="Arial"/>
                <w:sz w:val="14"/>
                <w:szCs w:val="14"/>
                <w:color w:val="auto"/>
              </w:rPr>
              <w:t>from the leverage feature that applies to the payment at maturity</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4220" w:type="dxa"/>
            <w:vAlign w:val="bottom"/>
          </w:tcPr>
          <w:p>
            <w:pPr>
              <w:ind w:left="60"/>
              <w:spacing w:after="0"/>
              <w:rPr>
                <w:sz w:val="20"/>
                <w:szCs w:val="20"/>
                <w:color w:val="auto"/>
              </w:rPr>
            </w:pPr>
            <w:r>
              <w:rPr>
                <w:rFonts w:ascii="Arial" w:cs="Arial" w:eastAsia="Arial" w:hAnsi="Arial"/>
                <w:sz w:val="14"/>
                <w:szCs w:val="14"/>
                <w:color w:val="auto"/>
              </w:rPr>
              <w:t>if the final stock price is greater than the initial stock price or the</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4220" w:type="dxa"/>
            <w:vAlign w:val="bottom"/>
          </w:tcPr>
          <w:p>
            <w:pPr>
              <w:ind w:left="60"/>
              <w:spacing w:after="0"/>
              <w:rPr>
                <w:sz w:val="20"/>
                <w:szCs w:val="20"/>
                <w:color w:val="auto"/>
              </w:rPr>
            </w:pPr>
            <w:r>
              <w:rPr>
                <w:rFonts w:ascii="Arial" w:cs="Arial" w:eastAsia="Arial" w:hAnsi="Arial"/>
                <w:sz w:val="14"/>
                <w:szCs w:val="14"/>
                <w:color w:val="auto"/>
              </w:rPr>
              <w:t>absolute return feature that applies to the payment at maturity if</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4220" w:type="dxa"/>
            <w:vAlign w:val="bottom"/>
          </w:tcPr>
          <w:p>
            <w:pPr>
              <w:ind w:left="60"/>
              <w:spacing w:after="0"/>
              <w:rPr>
                <w:sz w:val="20"/>
                <w:szCs w:val="20"/>
                <w:color w:val="auto"/>
              </w:rPr>
            </w:pPr>
            <w:r>
              <w:rPr>
                <w:rFonts w:ascii="Arial" w:cs="Arial" w:eastAsia="Arial" w:hAnsi="Arial"/>
                <w:sz w:val="14"/>
                <w:szCs w:val="14"/>
                <w:color w:val="auto"/>
              </w:rPr>
              <w:t>the final stock price is less than or equal to the initial stock price</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4220" w:type="dxa"/>
            <w:vAlign w:val="bottom"/>
          </w:tcPr>
          <w:p>
            <w:pPr>
              <w:ind w:left="60"/>
              <w:spacing w:after="0"/>
              <w:rPr>
                <w:sz w:val="20"/>
                <w:szCs w:val="20"/>
                <w:color w:val="auto"/>
              </w:rPr>
            </w:pPr>
            <w:r>
              <w:rPr>
                <w:rFonts w:ascii="Arial" w:cs="Arial" w:eastAsia="Arial" w:hAnsi="Arial"/>
                <w:sz w:val="14"/>
                <w:szCs w:val="14"/>
                <w:color w:val="auto"/>
              </w:rPr>
              <w:t>but is greater than or equal to the trigger level. Moreover, if the</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4220" w:type="dxa"/>
            <w:vAlign w:val="bottom"/>
          </w:tcPr>
          <w:p>
            <w:pPr>
              <w:ind w:left="60"/>
              <w:spacing w:after="0"/>
              <w:rPr>
                <w:sz w:val="20"/>
                <w:szCs w:val="20"/>
                <w:color w:val="auto"/>
              </w:rPr>
            </w:pPr>
            <w:r>
              <w:rPr>
                <w:rFonts w:ascii="Arial" w:cs="Arial" w:eastAsia="Arial" w:hAnsi="Arial"/>
                <w:sz w:val="14"/>
                <w:szCs w:val="14"/>
                <w:color w:val="auto"/>
              </w:rPr>
              <w:t>Trigger PLUS are automatically redeemed, your investment may</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4220" w:type="dxa"/>
            <w:vAlign w:val="bottom"/>
          </w:tcPr>
          <w:p>
            <w:pPr>
              <w:ind w:left="60"/>
              <w:spacing w:after="0"/>
              <w:rPr>
                <w:sz w:val="20"/>
                <w:szCs w:val="20"/>
                <w:color w:val="auto"/>
              </w:rPr>
            </w:pPr>
            <w:r>
              <w:rPr>
                <w:rFonts w:ascii="Arial" w:cs="Arial" w:eastAsia="Arial" w:hAnsi="Arial"/>
                <w:sz w:val="14"/>
                <w:szCs w:val="14"/>
                <w:color w:val="auto"/>
              </w:rPr>
              <w:t>underperform the underlying stock, and the early redemption</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4220" w:type="dxa"/>
            <w:vAlign w:val="bottom"/>
          </w:tcPr>
          <w:p>
            <w:pPr>
              <w:ind w:left="60"/>
              <w:spacing w:after="0"/>
              <w:rPr>
                <w:sz w:val="20"/>
                <w:szCs w:val="20"/>
                <w:color w:val="auto"/>
              </w:rPr>
            </w:pPr>
            <w:r>
              <w:rPr>
                <w:rFonts w:ascii="Arial" w:cs="Arial" w:eastAsia="Arial" w:hAnsi="Arial"/>
                <w:sz w:val="14"/>
                <w:szCs w:val="14"/>
                <w:color w:val="auto"/>
              </w:rPr>
              <w:t>payment may be significantly less than the payment at maturity</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4220" w:type="dxa"/>
            <w:vAlign w:val="bottom"/>
          </w:tcPr>
          <w:p>
            <w:pPr>
              <w:ind w:left="60"/>
              <w:spacing w:after="0"/>
              <w:rPr>
                <w:sz w:val="20"/>
                <w:szCs w:val="20"/>
                <w:color w:val="auto"/>
              </w:rPr>
            </w:pPr>
            <w:r>
              <w:rPr>
                <w:rFonts w:ascii="Arial" w:cs="Arial" w:eastAsia="Arial" w:hAnsi="Arial"/>
                <w:sz w:val="14"/>
                <w:szCs w:val="14"/>
                <w:color w:val="auto"/>
              </w:rPr>
              <w:t>you would receive for the same level of appreciation of the</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4220" w:type="dxa"/>
            <w:vAlign w:val="bottom"/>
          </w:tcPr>
          <w:p>
            <w:pPr>
              <w:ind w:left="60"/>
              <w:spacing w:after="0"/>
              <w:rPr>
                <w:sz w:val="20"/>
                <w:szCs w:val="20"/>
                <w:color w:val="auto"/>
              </w:rPr>
            </w:pPr>
            <w:r>
              <w:rPr>
                <w:rFonts w:ascii="Arial" w:cs="Arial" w:eastAsia="Arial" w:hAnsi="Arial"/>
                <w:sz w:val="14"/>
                <w:szCs w:val="14"/>
                <w:color w:val="auto"/>
              </w:rPr>
              <w:t>underlying stock had the Trigger PLUS not been automatically</w:t>
            </w: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4220" w:type="dxa"/>
            <w:vAlign w:val="bottom"/>
          </w:tcPr>
          <w:p>
            <w:pPr>
              <w:ind w:left="60"/>
              <w:spacing w:after="0"/>
              <w:rPr>
                <w:sz w:val="20"/>
                <w:szCs w:val="20"/>
                <w:color w:val="auto"/>
              </w:rPr>
            </w:pPr>
            <w:r>
              <w:rPr>
                <w:rFonts w:ascii="Arial" w:cs="Arial" w:eastAsia="Arial" w:hAnsi="Arial"/>
                <w:sz w:val="14"/>
                <w:szCs w:val="14"/>
                <w:color w:val="auto"/>
              </w:rPr>
              <w:t>redeemed and instead remained outstanding until maturity.</w:t>
            </w:r>
          </w:p>
        </w:tc>
        <w:tc>
          <w:tcPr>
            <w:tcW w:w="0" w:type="dxa"/>
            <w:vAlign w:val="bottom"/>
          </w:tcPr>
          <w:p>
            <w:pPr>
              <w:spacing w:after="0"/>
              <w:rPr>
                <w:sz w:val="1"/>
                <w:szCs w:val="1"/>
                <w:color w:val="auto"/>
              </w:rPr>
            </w:pPr>
          </w:p>
        </w:tc>
      </w:tr>
      <w:tr>
        <w:trPr>
          <w:trHeight w:val="163"/>
        </w:trPr>
        <w:tc>
          <w:tcPr>
            <w:tcW w:w="128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Early</w:t>
            </w:r>
          </w:p>
        </w:tc>
        <w:tc>
          <w:tcPr>
            <w:tcW w:w="4220" w:type="dxa"/>
            <w:vAlign w:val="bottom"/>
            <w:shd w:val="clear" w:color="auto" w:fill="DCEBF4"/>
          </w:tcPr>
          <w:p>
            <w:pPr>
              <w:ind w:left="60"/>
              <w:spacing w:after="0"/>
              <w:rPr>
                <w:sz w:val="20"/>
                <w:szCs w:val="20"/>
                <w:color w:val="auto"/>
              </w:rPr>
            </w:pPr>
            <w:r>
              <w:rPr>
                <w:rFonts w:ascii="Arial" w:cs="Arial" w:eastAsia="Arial" w:hAnsi="Arial"/>
                <w:sz w:val="13"/>
                <w:szCs w:val="13"/>
                <w:color w:val="auto"/>
              </w:rPr>
              <w:t>At least $1,198.50 per Trigger PLUS. The actual early redemption</w:t>
            </w:r>
          </w:p>
        </w:tc>
        <w:tc>
          <w:tcPr>
            <w:tcW w:w="0" w:type="dxa"/>
            <w:vAlign w:val="bottom"/>
          </w:tcPr>
          <w:p>
            <w:pPr>
              <w:spacing w:after="0"/>
              <w:rPr>
                <w:sz w:val="1"/>
                <w:szCs w:val="1"/>
                <w:color w:val="auto"/>
              </w:rPr>
            </w:pPr>
          </w:p>
        </w:tc>
      </w:tr>
      <w:tr>
        <w:trPr>
          <w:trHeight w:val="149"/>
        </w:trPr>
        <w:tc>
          <w:tcPr>
            <w:tcW w:w="1280" w:type="dxa"/>
            <w:vAlign w:val="bottom"/>
            <w:shd w:val="clear" w:color="auto" w:fill="DCEBF4"/>
          </w:tcPr>
          <w:p>
            <w:pPr>
              <w:ind w:left="100"/>
              <w:spacing w:after="0" w:line="149" w:lineRule="exact"/>
              <w:rPr>
                <w:sz w:val="20"/>
                <w:szCs w:val="20"/>
                <w:color w:val="auto"/>
              </w:rPr>
            </w:pPr>
            <w:r>
              <w:rPr>
                <w:rFonts w:ascii="Arial" w:cs="Arial" w:eastAsia="Arial" w:hAnsi="Arial"/>
                <w:sz w:val="14"/>
                <w:szCs w:val="14"/>
                <w:b w:val="1"/>
                <w:bCs w:val="1"/>
                <w:color w:val="296DC1"/>
              </w:rPr>
              <w:t>redemption</w:t>
            </w:r>
          </w:p>
        </w:tc>
        <w:tc>
          <w:tcPr>
            <w:tcW w:w="4220" w:type="dxa"/>
            <w:vAlign w:val="bottom"/>
            <w:shd w:val="clear" w:color="auto" w:fill="DCEBF4"/>
          </w:tcPr>
          <w:p>
            <w:pPr>
              <w:ind w:left="60"/>
              <w:spacing w:after="0"/>
              <w:rPr>
                <w:sz w:val="20"/>
                <w:szCs w:val="20"/>
                <w:color w:val="auto"/>
              </w:rPr>
            </w:pPr>
            <w:r>
              <w:rPr>
                <w:rFonts w:ascii="Arial" w:cs="Arial" w:eastAsia="Arial" w:hAnsi="Arial"/>
                <w:sz w:val="13"/>
                <w:szCs w:val="13"/>
                <w:color w:val="auto"/>
              </w:rPr>
              <w:t>payment will be provided in the pricing supplement and will not be</w:t>
            </w:r>
          </w:p>
        </w:tc>
        <w:tc>
          <w:tcPr>
            <w:tcW w:w="0" w:type="dxa"/>
            <w:vAlign w:val="bottom"/>
          </w:tcPr>
          <w:p>
            <w:pPr>
              <w:spacing w:after="0"/>
              <w:rPr>
                <w:sz w:val="1"/>
                <w:szCs w:val="1"/>
                <w:color w:val="auto"/>
              </w:rPr>
            </w:pPr>
          </w:p>
        </w:tc>
      </w:tr>
      <w:tr>
        <w:trPr>
          <w:trHeight w:val="188"/>
        </w:trPr>
        <w:tc>
          <w:tcPr>
            <w:tcW w:w="128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payment:</w:t>
            </w:r>
          </w:p>
        </w:tc>
        <w:tc>
          <w:tcPr>
            <w:tcW w:w="4220" w:type="dxa"/>
            <w:vAlign w:val="bottom"/>
            <w:shd w:val="clear" w:color="auto" w:fill="DCEBF4"/>
          </w:tcPr>
          <w:p>
            <w:pPr>
              <w:ind w:left="60"/>
              <w:spacing w:after="0"/>
              <w:rPr>
                <w:sz w:val="20"/>
                <w:szCs w:val="20"/>
                <w:color w:val="auto"/>
              </w:rPr>
            </w:pPr>
            <w:r>
              <w:rPr>
                <w:rFonts w:ascii="Arial" w:cs="Arial" w:eastAsia="Arial" w:hAnsi="Arial"/>
                <w:sz w:val="13"/>
                <w:szCs w:val="13"/>
                <w:color w:val="auto"/>
              </w:rPr>
              <w:t>less than $1,198.50 per Trigger PLUS.</w:t>
            </w:r>
          </w:p>
        </w:tc>
        <w:tc>
          <w:tcPr>
            <w:tcW w:w="0" w:type="dxa"/>
            <w:vAlign w:val="bottom"/>
          </w:tcPr>
          <w:p>
            <w:pPr>
              <w:spacing w:after="0"/>
              <w:rPr>
                <w:sz w:val="1"/>
                <w:szCs w:val="1"/>
                <w:color w:val="auto"/>
              </w:rPr>
            </w:pPr>
          </w:p>
        </w:tc>
      </w:tr>
      <w:tr>
        <w:trPr>
          <w:trHeight w:val="163"/>
        </w:trPr>
        <w:tc>
          <w:tcPr>
            <w:tcW w:w="1280" w:type="dxa"/>
            <w:vAlign w:val="bottom"/>
          </w:tcPr>
          <w:p>
            <w:pPr>
              <w:ind w:left="100"/>
              <w:spacing w:after="0"/>
              <w:rPr>
                <w:sz w:val="20"/>
                <w:szCs w:val="20"/>
                <w:color w:val="auto"/>
              </w:rPr>
            </w:pPr>
            <w:r>
              <w:rPr>
                <w:rFonts w:ascii="Arial" w:cs="Arial" w:eastAsia="Arial" w:hAnsi="Arial"/>
                <w:sz w:val="14"/>
                <w:szCs w:val="14"/>
                <w:b w:val="1"/>
                <w:bCs w:val="1"/>
                <w:color w:val="296DC1"/>
              </w:rPr>
              <w:t>Payment at</w:t>
            </w:r>
          </w:p>
        </w:tc>
        <w:tc>
          <w:tcPr>
            <w:tcW w:w="4220" w:type="dxa"/>
            <w:vAlign w:val="bottom"/>
          </w:tcPr>
          <w:p>
            <w:pPr>
              <w:ind w:left="60"/>
              <w:spacing w:after="0"/>
              <w:rPr>
                <w:sz w:val="20"/>
                <w:szCs w:val="20"/>
                <w:color w:val="auto"/>
              </w:rPr>
            </w:pPr>
            <w:r>
              <w:rPr>
                <w:rFonts w:ascii="Arial" w:cs="Arial" w:eastAsia="Arial" w:hAnsi="Arial"/>
                <w:sz w:val="13"/>
                <w:szCs w:val="13"/>
                <w:color w:val="auto"/>
              </w:rPr>
              <w:t>If the Trigger PLUS have not been automatically redeemed prior to</w:t>
            </w:r>
          </w:p>
        </w:tc>
        <w:tc>
          <w:tcPr>
            <w:tcW w:w="0" w:type="dxa"/>
            <w:vAlign w:val="bottom"/>
          </w:tcPr>
          <w:p>
            <w:pPr>
              <w:spacing w:after="0"/>
              <w:rPr>
                <w:sz w:val="1"/>
                <w:szCs w:val="1"/>
                <w:color w:val="auto"/>
              </w:rPr>
            </w:pPr>
          </w:p>
        </w:tc>
      </w:tr>
      <w:tr>
        <w:trPr>
          <w:trHeight w:val="175"/>
        </w:trPr>
        <w:tc>
          <w:tcPr>
            <w:tcW w:w="1280" w:type="dxa"/>
            <w:vAlign w:val="bottom"/>
          </w:tcPr>
          <w:p>
            <w:pPr>
              <w:ind w:left="100"/>
              <w:spacing w:after="0"/>
              <w:rPr>
                <w:sz w:val="20"/>
                <w:szCs w:val="20"/>
                <w:color w:val="auto"/>
              </w:rPr>
            </w:pPr>
            <w:r>
              <w:rPr>
                <w:rFonts w:ascii="Arial" w:cs="Arial" w:eastAsia="Arial" w:hAnsi="Arial"/>
                <w:sz w:val="14"/>
                <w:szCs w:val="14"/>
                <w:b w:val="1"/>
                <w:bCs w:val="1"/>
                <w:color w:val="296DC1"/>
              </w:rPr>
              <w:t>maturity:</w:t>
            </w:r>
          </w:p>
        </w:tc>
        <w:tc>
          <w:tcPr>
            <w:tcW w:w="4220" w:type="dxa"/>
            <w:vAlign w:val="bottom"/>
          </w:tcPr>
          <w:p>
            <w:pPr>
              <w:ind w:left="60"/>
              <w:spacing w:after="0"/>
              <w:rPr>
                <w:sz w:val="20"/>
                <w:szCs w:val="20"/>
                <w:color w:val="auto"/>
              </w:rPr>
            </w:pPr>
            <w:r>
              <w:rPr>
                <w:rFonts w:ascii="Arial" w:cs="Arial" w:eastAsia="Arial" w:hAnsi="Arial"/>
                <w:sz w:val="13"/>
                <w:szCs w:val="13"/>
                <w:color w:val="auto"/>
              </w:rPr>
              <w:t>maturity and:</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220" w:type="dxa"/>
            <w:vAlign w:val="bottom"/>
          </w:tcPr>
          <w:p>
            <w:pPr>
              <w:ind w:left="60"/>
              <w:spacing w:after="0"/>
              <w:rPr>
                <w:sz w:val="20"/>
                <w:szCs w:val="20"/>
                <w:color w:val="auto"/>
              </w:rPr>
            </w:pPr>
            <w:r>
              <w:rPr>
                <w:rFonts w:ascii="Arial" w:cs="Arial" w:eastAsia="Arial" w:hAnsi="Arial"/>
                <w:sz w:val="13"/>
                <w:szCs w:val="13"/>
                <w:color w:val="auto"/>
              </w:rPr>
              <w:t xml:space="preserve">If the final stock price is </w:t>
            </w:r>
            <w:r>
              <w:rPr>
                <w:rFonts w:ascii="Arial" w:cs="Arial" w:eastAsia="Arial" w:hAnsi="Arial"/>
                <w:sz w:val="13"/>
                <w:szCs w:val="13"/>
                <w:i w:val="1"/>
                <w:iCs w:val="1"/>
                <w:color w:val="auto"/>
              </w:rPr>
              <w:t>greater than</w:t>
            </w:r>
            <w:r>
              <w:rPr>
                <w:rFonts w:ascii="Arial" w:cs="Arial" w:eastAsia="Arial" w:hAnsi="Arial"/>
                <w:sz w:val="13"/>
                <w:szCs w:val="13"/>
                <w:color w:val="auto"/>
              </w:rPr>
              <w:t xml:space="preserve"> the initial stock price, for each</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220" w:type="dxa"/>
            <w:vAlign w:val="bottom"/>
          </w:tcPr>
          <w:p>
            <w:pPr>
              <w:ind w:left="60"/>
              <w:spacing w:after="0"/>
              <w:rPr>
                <w:sz w:val="20"/>
                <w:szCs w:val="20"/>
                <w:color w:val="auto"/>
              </w:rPr>
            </w:pPr>
            <w:r>
              <w:rPr>
                <w:rFonts w:ascii="Arial" w:cs="Arial" w:eastAsia="Arial" w:hAnsi="Arial"/>
                <w:sz w:val="13"/>
                <w:szCs w:val="13"/>
                <w:color w:val="auto"/>
              </w:rPr>
              <w:t>$1,000 stated principal amount Trigger PLUS:</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rPr>
              <w:t>$1,000 + leveraged upside payment</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4220" w:type="dxa"/>
            <w:vAlign w:val="bottom"/>
          </w:tcPr>
          <w:p>
            <w:pPr>
              <w:ind w:left="60"/>
              <w:spacing w:after="0"/>
              <w:rPr>
                <w:sz w:val="20"/>
                <w:szCs w:val="20"/>
                <w:color w:val="auto"/>
              </w:rPr>
            </w:pPr>
            <w:r>
              <w:rPr>
                <w:rFonts w:ascii="Arial" w:cs="Arial" w:eastAsia="Arial" w:hAnsi="Arial"/>
                <w:sz w:val="13"/>
                <w:szCs w:val="13"/>
                <w:color w:val="auto"/>
              </w:rPr>
              <w:t xml:space="preserve">If the final stock price is </w:t>
            </w:r>
            <w:r>
              <w:rPr>
                <w:rFonts w:ascii="Arial" w:cs="Arial" w:eastAsia="Arial" w:hAnsi="Arial"/>
                <w:sz w:val="13"/>
                <w:szCs w:val="13"/>
                <w:i w:val="1"/>
                <w:iCs w:val="1"/>
                <w:color w:val="auto"/>
              </w:rPr>
              <w:t>less than or equal to</w:t>
            </w:r>
            <w:r>
              <w:rPr>
                <w:rFonts w:ascii="Arial" w:cs="Arial" w:eastAsia="Arial" w:hAnsi="Arial"/>
                <w:sz w:val="13"/>
                <w:szCs w:val="13"/>
                <w:color w:val="auto"/>
              </w:rPr>
              <w:t xml:space="preserve"> the initial stock price</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220" w:type="dxa"/>
            <w:vAlign w:val="bottom"/>
          </w:tcPr>
          <w:p>
            <w:pPr>
              <w:ind w:left="60"/>
              <w:spacing w:after="0"/>
              <w:rPr>
                <w:sz w:val="20"/>
                <w:szCs w:val="20"/>
                <w:color w:val="auto"/>
              </w:rPr>
            </w:pPr>
            <w:r>
              <w:rPr>
                <w:rFonts w:ascii="Arial" w:cs="Arial" w:eastAsia="Arial" w:hAnsi="Arial"/>
                <w:sz w:val="13"/>
                <w:szCs w:val="13"/>
                <w:color w:val="auto"/>
              </w:rPr>
              <w:t>but is greater than or equal to the trigger level, for each $1,000</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220" w:type="dxa"/>
            <w:vAlign w:val="bottom"/>
          </w:tcPr>
          <w:p>
            <w:pPr>
              <w:ind w:left="60"/>
              <w:spacing w:after="0"/>
              <w:rPr>
                <w:sz w:val="20"/>
                <w:szCs w:val="20"/>
                <w:color w:val="auto"/>
              </w:rPr>
            </w:pPr>
            <w:r>
              <w:rPr>
                <w:rFonts w:ascii="Arial" w:cs="Arial" w:eastAsia="Arial" w:hAnsi="Arial"/>
                <w:sz w:val="13"/>
                <w:szCs w:val="13"/>
                <w:color w:val="auto"/>
              </w:rPr>
              <w:t>stated principal amount Trigger PLUS:</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rPr>
              <w:t>$1,000 + ($1,000 × absolute stock return)</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4220" w:type="dxa"/>
            <w:vAlign w:val="bottom"/>
          </w:tcPr>
          <w:p>
            <w:pPr>
              <w:ind w:left="60"/>
              <w:spacing w:after="0"/>
              <w:rPr>
                <w:sz w:val="20"/>
                <w:szCs w:val="20"/>
                <w:color w:val="auto"/>
              </w:rPr>
            </w:pPr>
            <w:r>
              <w:rPr>
                <w:rFonts w:ascii="Arial" w:cs="Arial" w:eastAsia="Arial" w:hAnsi="Arial"/>
                <w:sz w:val="13"/>
                <w:szCs w:val="13"/>
                <w:i w:val="1"/>
                <w:iCs w:val="1"/>
                <w:color w:val="auto"/>
              </w:rPr>
              <w:t>In this scenario, you will receive a 1% positive return on the Trigger</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220" w:type="dxa"/>
            <w:vAlign w:val="bottom"/>
          </w:tcPr>
          <w:p>
            <w:pPr>
              <w:ind w:left="60"/>
              <w:spacing w:after="0"/>
              <w:rPr>
                <w:sz w:val="20"/>
                <w:szCs w:val="20"/>
                <w:color w:val="auto"/>
              </w:rPr>
            </w:pPr>
            <w:r>
              <w:rPr>
                <w:rFonts w:ascii="Arial" w:cs="Arial" w:eastAsia="Arial" w:hAnsi="Arial"/>
                <w:sz w:val="13"/>
                <w:szCs w:val="13"/>
                <w:i w:val="1"/>
                <w:iCs w:val="1"/>
                <w:color w:val="auto"/>
              </w:rPr>
              <w:t>PLUS for each 1% negative return on the underlying stock. In no</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220" w:type="dxa"/>
            <w:vAlign w:val="bottom"/>
          </w:tcPr>
          <w:p>
            <w:pPr>
              <w:ind w:left="60"/>
              <w:spacing w:after="0"/>
              <w:rPr>
                <w:sz w:val="20"/>
                <w:szCs w:val="20"/>
                <w:color w:val="auto"/>
              </w:rPr>
            </w:pPr>
            <w:r>
              <w:rPr>
                <w:rFonts w:ascii="Arial" w:cs="Arial" w:eastAsia="Arial" w:hAnsi="Arial"/>
                <w:sz w:val="13"/>
                <w:szCs w:val="13"/>
                <w:i w:val="1"/>
                <w:iCs w:val="1"/>
                <w:color w:val="auto"/>
              </w:rPr>
              <w:t>event will this amount exceed the stated principal amount plus</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4220" w:type="dxa"/>
            <w:vAlign w:val="bottom"/>
          </w:tcPr>
          <w:p>
            <w:pPr>
              <w:ind w:left="60"/>
              <w:spacing w:after="0"/>
              <w:rPr>
                <w:sz w:val="20"/>
                <w:szCs w:val="20"/>
                <w:color w:val="auto"/>
              </w:rPr>
            </w:pPr>
            <w:r>
              <w:rPr>
                <w:rFonts w:ascii="Arial" w:cs="Arial" w:eastAsia="Arial" w:hAnsi="Arial"/>
                <w:sz w:val="13"/>
                <w:szCs w:val="13"/>
                <w:i w:val="1"/>
                <w:iCs w:val="1"/>
                <w:color w:val="auto"/>
              </w:rPr>
              <w:t>$350.00. Accordingly, the maximum downside payment at maturity</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220" w:type="dxa"/>
            <w:vAlign w:val="bottom"/>
          </w:tcPr>
          <w:p>
            <w:pPr>
              <w:ind w:left="60"/>
              <w:spacing w:after="0"/>
              <w:rPr>
                <w:sz w:val="20"/>
                <w:szCs w:val="20"/>
                <w:color w:val="auto"/>
              </w:rPr>
            </w:pPr>
            <w:r>
              <w:rPr>
                <w:rFonts w:ascii="Arial" w:cs="Arial" w:eastAsia="Arial" w:hAnsi="Arial"/>
                <w:sz w:val="13"/>
                <w:szCs w:val="13"/>
                <w:i w:val="1"/>
                <w:iCs w:val="1"/>
                <w:color w:val="auto"/>
              </w:rPr>
              <w:t>is $1,350.00 per Trigger PLUS.</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220" w:type="dxa"/>
            <w:vAlign w:val="bottom"/>
          </w:tcPr>
          <w:p>
            <w:pPr>
              <w:ind w:left="60"/>
              <w:spacing w:after="0"/>
              <w:rPr>
                <w:sz w:val="20"/>
                <w:szCs w:val="20"/>
                <w:color w:val="auto"/>
              </w:rPr>
            </w:pPr>
            <w:r>
              <w:rPr>
                <w:rFonts w:ascii="Arial" w:cs="Arial" w:eastAsia="Arial" w:hAnsi="Arial"/>
                <w:sz w:val="13"/>
                <w:szCs w:val="13"/>
                <w:color w:val="auto"/>
              </w:rPr>
              <w:t xml:space="preserve">If the final stock price is </w:t>
            </w:r>
            <w:r>
              <w:rPr>
                <w:rFonts w:ascii="Arial" w:cs="Arial" w:eastAsia="Arial" w:hAnsi="Arial"/>
                <w:sz w:val="13"/>
                <w:szCs w:val="13"/>
                <w:i w:val="1"/>
                <w:iCs w:val="1"/>
                <w:color w:val="auto"/>
              </w:rPr>
              <w:t>less than</w:t>
            </w:r>
            <w:r>
              <w:rPr>
                <w:rFonts w:ascii="Arial" w:cs="Arial" w:eastAsia="Arial" w:hAnsi="Arial"/>
                <w:sz w:val="13"/>
                <w:szCs w:val="13"/>
                <w:color w:val="auto"/>
              </w:rPr>
              <w:t xml:space="preserve"> the trigger level, for each $1,000</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4220" w:type="dxa"/>
            <w:vAlign w:val="bottom"/>
          </w:tcPr>
          <w:p>
            <w:pPr>
              <w:ind w:left="60"/>
              <w:spacing w:after="0"/>
              <w:rPr>
                <w:sz w:val="20"/>
                <w:szCs w:val="20"/>
                <w:color w:val="auto"/>
              </w:rPr>
            </w:pPr>
            <w:r>
              <w:rPr>
                <w:rFonts w:ascii="Arial" w:cs="Arial" w:eastAsia="Arial" w:hAnsi="Arial"/>
                <w:sz w:val="13"/>
                <w:szCs w:val="13"/>
                <w:color w:val="auto"/>
              </w:rPr>
              <w:t>stated principal amount Trigger PLUS:</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4220" w:type="dxa"/>
            <w:vAlign w:val="bottom"/>
          </w:tcPr>
          <w:p>
            <w:pPr>
              <w:jc w:val="center"/>
              <w:spacing w:after="0"/>
              <w:rPr>
                <w:sz w:val="20"/>
                <w:szCs w:val="20"/>
                <w:color w:val="auto"/>
              </w:rPr>
            </w:pPr>
            <w:r>
              <w:rPr>
                <w:rFonts w:ascii="Arial" w:cs="Arial" w:eastAsia="Arial" w:hAnsi="Arial"/>
                <w:sz w:val="13"/>
                <w:szCs w:val="13"/>
                <w:color w:val="auto"/>
              </w:rPr>
              <w:t>$1,000 × stock performance factor</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220" w:type="dxa"/>
            <w:vAlign w:val="bottom"/>
          </w:tcPr>
          <w:p>
            <w:pPr>
              <w:ind w:left="60"/>
              <w:spacing w:after="0"/>
              <w:rPr>
                <w:sz w:val="20"/>
                <w:szCs w:val="20"/>
                <w:color w:val="auto"/>
              </w:rPr>
            </w:pPr>
            <w:r>
              <w:rPr>
                <w:rFonts w:ascii="Arial" w:cs="Arial" w:eastAsia="Arial" w:hAnsi="Arial"/>
                <w:sz w:val="13"/>
                <w:szCs w:val="13"/>
                <w:i w:val="1"/>
                <w:iCs w:val="1"/>
                <w:color w:val="auto"/>
              </w:rPr>
              <w:t>This amount will be less than the stated principal amount of $1,000</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220" w:type="dxa"/>
            <w:vAlign w:val="bottom"/>
          </w:tcPr>
          <w:p>
            <w:pPr>
              <w:ind w:left="60"/>
              <w:spacing w:after="0"/>
              <w:rPr>
                <w:sz w:val="20"/>
                <w:szCs w:val="20"/>
                <w:color w:val="auto"/>
              </w:rPr>
            </w:pPr>
            <w:r>
              <w:rPr>
                <w:rFonts w:ascii="Arial" w:cs="Arial" w:eastAsia="Arial" w:hAnsi="Arial"/>
                <w:sz w:val="13"/>
                <w:szCs w:val="13"/>
                <w:i w:val="1"/>
                <w:iCs w:val="1"/>
                <w:color w:val="auto"/>
              </w:rPr>
              <w:t>per Trigger PLUS and will represent a loss of more than 35%, and</w:t>
            </w:r>
          </w:p>
        </w:tc>
        <w:tc>
          <w:tcPr>
            <w:tcW w:w="0" w:type="dxa"/>
            <w:vAlign w:val="bottom"/>
          </w:tcPr>
          <w:p>
            <w:pPr>
              <w:spacing w:after="0"/>
              <w:rPr>
                <w:sz w:val="1"/>
                <w:szCs w:val="1"/>
                <w:color w:val="auto"/>
              </w:rPr>
            </w:pPr>
          </w:p>
        </w:tc>
      </w:tr>
      <w:tr>
        <w:trPr>
          <w:trHeight w:val="161"/>
        </w:trPr>
        <w:tc>
          <w:tcPr>
            <w:tcW w:w="1280" w:type="dxa"/>
            <w:vAlign w:val="bottom"/>
          </w:tcPr>
          <w:p>
            <w:pPr>
              <w:spacing w:after="0"/>
              <w:rPr>
                <w:sz w:val="14"/>
                <w:szCs w:val="14"/>
                <w:color w:val="auto"/>
              </w:rPr>
            </w:pPr>
          </w:p>
        </w:tc>
        <w:tc>
          <w:tcPr>
            <w:tcW w:w="4220" w:type="dxa"/>
            <w:vAlign w:val="bottom"/>
          </w:tcPr>
          <w:p>
            <w:pPr>
              <w:ind w:left="60"/>
              <w:spacing w:after="0"/>
              <w:rPr>
                <w:sz w:val="20"/>
                <w:szCs w:val="20"/>
                <w:color w:val="auto"/>
              </w:rPr>
            </w:pPr>
            <w:r>
              <w:rPr>
                <w:rFonts w:ascii="Arial" w:cs="Arial" w:eastAsia="Arial" w:hAnsi="Arial"/>
                <w:sz w:val="13"/>
                <w:szCs w:val="13"/>
                <w:i w:val="1"/>
                <w:iCs w:val="1"/>
                <w:color w:val="auto"/>
              </w:rPr>
              <w:t>possibly all, of your investment.</w:t>
            </w:r>
          </w:p>
        </w:tc>
        <w:tc>
          <w:tcPr>
            <w:tcW w:w="0" w:type="dxa"/>
            <w:vAlign w:val="bottom"/>
          </w:tcPr>
          <w:p>
            <w:pPr>
              <w:spacing w:after="0"/>
              <w:rPr>
                <w:sz w:val="1"/>
                <w:szCs w:val="1"/>
                <w:color w:val="auto"/>
              </w:rPr>
            </w:pPr>
          </w:p>
        </w:tc>
      </w:tr>
      <w:tr>
        <w:trPr>
          <w:trHeight w:val="166"/>
        </w:trPr>
        <w:tc>
          <w:tcPr>
            <w:tcW w:w="128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Leveraged</w:t>
            </w:r>
          </w:p>
        </w:tc>
        <w:tc>
          <w:tcPr>
            <w:tcW w:w="4220" w:type="dxa"/>
            <w:vAlign w:val="bottom"/>
            <w:vMerge w:val="restart"/>
            <w:shd w:val="clear" w:color="auto" w:fill="DCEBF4"/>
          </w:tcPr>
          <w:p>
            <w:pPr>
              <w:ind w:left="60"/>
              <w:spacing w:after="0"/>
              <w:rPr>
                <w:sz w:val="20"/>
                <w:szCs w:val="20"/>
                <w:color w:val="auto"/>
              </w:rPr>
            </w:pPr>
            <w:r>
              <w:rPr>
                <w:rFonts w:ascii="Arial" w:cs="Arial" w:eastAsia="Arial" w:hAnsi="Arial"/>
                <w:sz w:val="14"/>
                <w:szCs w:val="14"/>
                <w:color w:val="auto"/>
              </w:rPr>
              <w:t>$1,000 × leverage factor × stock percent change</w:t>
            </w:r>
          </w:p>
        </w:tc>
        <w:tc>
          <w:tcPr>
            <w:tcW w:w="0" w:type="dxa"/>
            <w:vAlign w:val="bottom"/>
          </w:tcPr>
          <w:p>
            <w:pPr>
              <w:spacing w:after="0"/>
              <w:rPr>
                <w:sz w:val="1"/>
                <w:szCs w:val="1"/>
                <w:color w:val="auto"/>
              </w:rPr>
            </w:pPr>
          </w:p>
        </w:tc>
      </w:tr>
      <w:tr>
        <w:trPr>
          <w:trHeight w:val="171"/>
        </w:trPr>
        <w:tc>
          <w:tcPr>
            <w:tcW w:w="128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upside payment:</w:t>
            </w:r>
          </w:p>
        </w:tc>
        <w:tc>
          <w:tcPr>
            <w:tcW w:w="4220" w:type="dxa"/>
            <w:vAlign w:val="bottom"/>
            <w:vMerge w:val="continue"/>
            <w:shd w:val="clear" w:color="auto" w:fill="DCEBF4"/>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80" w:type="dxa"/>
            <w:vAlign w:val="bottom"/>
          </w:tcPr>
          <w:p>
            <w:pPr>
              <w:ind w:left="100"/>
              <w:spacing w:after="0"/>
              <w:rPr>
                <w:sz w:val="20"/>
                <w:szCs w:val="20"/>
                <w:color w:val="auto"/>
              </w:rPr>
            </w:pPr>
            <w:r>
              <w:rPr>
                <w:rFonts w:ascii="Arial" w:cs="Arial" w:eastAsia="Arial" w:hAnsi="Arial"/>
                <w:sz w:val="14"/>
                <w:szCs w:val="14"/>
                <w:b w:val="1"/>
                <w:bCs w:val="1"/>
                <w:color w:val="296DC1"/>
              </w:rPr>
              <w:t>Stock percent</w:t>
            </w:r>
          </w:p>
        </w:tc>
        <w:tc>
          <w:tcPr>
            <w:tcW w:w="4220" w:type="dxa"/>
            <w:vAlign w:val="bottom"/>
            <w:vMerge w:val="restart"/>
          </w:tcPr>
          <w:p>
            <w:pPr>
              <w:ind w:left="60"/>
              <w:spacing w:after="0"/>
              <w:rPr>
                <w:sz w:val="20"/>
                <w:szCs w:val="20"/>
                <w:color w:val="auto"/>
              </w:rPr>
            </w:pPr>
            <w:r>
              <w:rPr>
                <w:rFonts w:ascii="Arial" w:cs="Arial" w:eastAsia="Arial" w:hAnsi="Arial"/>
                <w:sz w:val="14"/>
                <w:szCs w:val="14"/>
                <w:color w:val="auto"/>
              </w:rPr>
              <w:t>(final stock price – initial stock price) / initial stock price</w:t>
            </w:r>
          </w:p>
        </w:tc>
        <w:tc>
          <w:tcPr>
            <w:tcW w:w="0" w:type="dxa"/>
            <w:vAlign w:val="bottom"/>
          </w:tcPr>
          <w:p>
            <w:pPr>
              <w:spacing w:after="0"/>
              <w:rPr>
                <w:sz w:val="1"/>
                <w:szCs w:val="1"/>
                <w:color w:val="auto"/>
              </w:rPr>
            </w:pPr>
          </w:p>
        </w:tc>
      </w:tr>
      <w:tr>
        <w:trPr>
          <w:trHeight w:val="96"/>
        </w:trPr>
        <w:tc>
          <w:tcPr>
            <w:tcW w:w="1280" w:type="dxa"/>
            <w:vAlign w:val="bottom"/>
            <w:vMerge w:val="restart"/>
          </w:tcPr>
          <w:p>
            <w:pPr>
              <w:ind w:left="100"/>
              <w:spacing w:after="0"/>
              <w:rPr>
                <w:sz w:val="20"/>
                <w:szCs w:val="20"/>
                <w:color w:val="auto"/>
              </w:rPr>
            </w:pPr>
            <w:r>
              <w:rPr>
                <w:rFonts w:ascii="Arial" w:cs="Arial" w:eastAsia="Arial" w:hAnsi="Arial"/>
                <w:sz w:val="14"/>
                <w:szCs w:val="14"/>
                <w:b w:val="1"/>
                <w:bCs w:val="1"/>
                <w:color w:val="296DC1"/>
              </w:rPr>
              <w:t>change:</w:t>
            </w:r>
          </w:p>
        </w:tc>
        <w:tc>
          <w:tcPr>
            <w:tcW w:w="4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28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Absolute stock</w:t>
            </w:r>
          </w:p>
        </w:tc>
        <w:tc>
          <w:tcPr>
            <w:tcW w:w="4220" w:type="dxa"/>
            <w:vAlign w:val="bottom"/>
            <w:shd w:val="clear" w:color="auto" w:fill="DCEBF4"/>
          </w:tcPr>
          <w:p>
            <w:pPr>
              <w:ind w:left="60"/>
              <w:spacing w:after="0"/>
              <w:rPr>
                <w:sz w:val="20"/>
                <w:szCs w:val="20"/>
                <w:color w:val="auto"/>
              </w:rPr>
            </w:pPr>
            <w:r>
              <w:rPr>
                <w:rFonts w:ascii="Arial" w:cs="Arial" w:eastAsia="Arial" w:hAnsi="Arial"/>
                <w:sz w:val="14"/>
                <w:szCs w:val="14"/>
                <w:color w:val="auto"/>
              </w:rPr>
              <w:t>The absolute value of the stock percent change. For example, a</w:t>
            </w:r>
          </w:p>
        </w:tc>
        <w:tc>
          <w:tcPr>
            <w:tcW w:w="0" w:type="dxa"/>
            <w:vAlign w:val="bottom"/>
          </w:tcPr>
          <w:p>
            <w:pPr>
              <w:spacing w:after="0"/>
              <w:rPr>
                <w:sz w:val="1"/>
                <w:szCs w:val="1"/>
                <w:color w:val="auto"/>
              </w:rPr>
            </w:pPr>
          </w:p>
        </w:tc>
      </w:tr>
      <w:tr>
        <w:trPr>
          <w:trHeight w:val="162"/>
        </w:trPr>
        <w:tc>
          <w:tcPr>
            <w:tcW w:w="128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return:</w:t>
            </w:r>
          </w:p>
        </w:tc>
        <w:tc>
          <w:tcPr>
            <w:tcW w:w="4220" w:type="dxa"/>
            <w:vAlign w:val="bottom"/>
            <w:shd w:val="clear" w:color="auto" w:fill="DCEBF4"/>
          </w:tcPr>
          <w:p>
            <w:pPr>
              <w:ind w:left="60"/>
              <w:spacing w:after="0"/>
              <w:rPr>
                <w:sz w:val="20"/>
                <w:szCs w:val="20"/>
                <w:color w:val="auto"/>
              </w:rPr>
            </w:pPr>
            <w:r>
              <w:rPr>
                <w:rFonts w:ascii="Arial" w:cs="Arial" w:eastAsia="Arial" w:hAnsi="Arial"/>
                <w:sz w:val="14"/>
                <w:szCs w:val="14"/>
                <w:color w:val="auto"/>
              </w:rPr>
              <w:t>-5% stock percent change will result in a +5% absolute stock</w:t>
            </w:r>
          </w:p>
        </w:tc>
        <w:tc>
          <w:tcPr>
            <w:tcW w:w="0" w:type="dxa"/>
            <w:vAlign w:val="bottom"/>
          </w:tcPr>
          <w:p>
            <w:pPr>
              <w:spacing w:after="0"/>
              <w:rPr>
                <w:sz w:val="1"/>
                <w:szCs w:val="1"/>
                <w:color w:val="auto"/>
              </w:rPr>
            </w:pPr>
          </w:p>
        </w:tc>
      </w:tr>
      <w:tr>
        <w:trPr>
          <w:trHeight w:val="171"/>
        </w:trPr>
        <w:tc>
          <w:tcPr>
            <w:tcW w:w="1280" w:type="dxa"/>
            <w:vAlign w:val="bottom"/>
            <w:shd w:val="clear" w:color="auto" w:fill="DCEBF4"/>
          </w:tcPr>
          <w:p>
            <w:pPr>
              <w:spacing w:after="0"/>
              <w:rPr>
                <w:sz w:val="14"/>
                <w:szCs w:val="14"/>
                <w:color w:val="auto"/>
              </w:rPr>
            </w:pPr>
          </w:p>
        </w:tc>
        <w:tc>
          <w:tcPr>
            <w:tcW w:w="4220" w:type="dxa"/>
            <w:vAlign w:val="bottom"/>
            <w:shd w:val="clear" w:color="auto" w:fill="DCEBF4"/>
          </w:tcPr>
          <w:p>
            <w:pPr>
              <w:ind w:left="60"/>
              <w:spacing w:after="0"/>
              <w:rPr>
                <w:sz w:val="20"/>
                <w:szCs w:val="20"/>
                <w:color w:val="auto"/>
              </w:rPr>
            </w:pPr>
            <w:r>
              <w:rPr>
                <w:rFonts w:ascii="Arial" w:cs="Arial" w:eastAsia="Arial" w:hAnsi="Arial"/>
                <w:sz w:val="14"/>
                <w:szCs w:val="14"/>
                <w:color w:val="auto"/>
              </w:rPr>
              <w:t>return.</w:t>
            </w:r>
          </w:p>
        </w:tc>
        <w:tc>
          <w:tcPr>
            <w:tcW w:w="0" w:type="dxa"/>
            <w:vAlign w:val="bottom"/>
          </w:tcPr>
          <w:p>
            <w:pPr>
              <w:spacing w:after="0"/>
              <w:rPr>
                <w:sz w:val="1"/>
                <w:szCs w:val="1"/>
                <w:color w:val="auto"/>
              </w:rPr>
            </w:pPr>
          </w:p>
        </w:tc>
      </w:tr>
      <w:tr>
        <w:trPr>
          <w:trHeight w:val="166"/>
        </w:trPr>
        <w:tc>
          <w:tcPr>
            <w:tcW w:w="1280" w:type="dxa"/>
            <w:vAlign w:val="bottom"/>
          </w:tcPr>
          <w:p>
            <w:pPr>
              <w:ind w:left="100"/>
              <w:spacing w:after="0"/>
              <w:rPr>
                <w:sz w:val="20"/>
                <w:szCs w:val="20"/>
                <w:color w:val="auto"/>
              </w:rPr>
            </w:pPr>
            <w:r>
              <w:rPr>
                <w:rFonts w:ascii="Arial" w:cs="Arial" w:eastAsia="Arial" w:hAnsi="Arial"/>
                <w:sz w:val="14"/>
                <w:szCs w:val="14"/>
                <w:b w:val="1"/>
                <w:bCs w:val="1"/>
                <w:color w:val="296DC1"/>
              </w:rPr>
              <w:t>Initial stock</w:t>
            </w:r>
          </w:p>
        </w:tc>
        <w:tc>
          <w:tcPr>
            <w:tcW w:w="4220" w:type="dxa"/>
            <w:vAlign w:val="bottom"/>
          </w:tcPr>
          <w:p>
            <w:pPr>
              <w:ind w:left="60"/>
              <w:spacing w:after="0"/>
              <w:rPr>
                <w:sz w:val="20"/>
                <w:szCs w:val="20"/>
                <w:color w:val="auto"/>
              </w:rPr>
            </w:pPr>
            <w:r>
              <w:rPr>
                <w:rFonts w:ascii="Arial" w:cs="Arial" w:eastAsia="Arial" w:hAnsi="Arial"/>
                <w:sz w:val="14"/>
                <w:szCs w:val="14"/>
                <w:color w:val="auto"/>
              </w:rPr>
              <w:t>The closing price of one share of the underlying stock on the</w:t>
            </w:r>
          </w:p>
        </w:tc>
        <w:tc>
          <w:tcPr>
            <w:tcW w:w="0" w:type="dxa"/>
            <w:vAlign w:val="bottom"/>
          </w:tcPr>
          <w:p>
            <w:pPr>
              <w:spacing w:after="0"/>
              <w:rPr>
                <w:sz w:val="1"/>
                <w:szCs w:val="1"/>
                <w:color w:val="auto"/>
              </w:rPr>
            </w:pPr>
          </w:p>
        </w:tc>
      </w:tr>
      <w:tr>
        <w:trPr>
          <w:trHeight w:val="171"/>
        </w:trPr>
        <w:tc>
          <w:tcPr>
            <w:tcW w:w="1280" w:type="dxa"/>
            <w:vAlign w:val="bottom"/>
          </w:tcPr>
          <w:p>
            <w:pPr>
              <w:ind w:left="100"/>
              <w:spacing w:after="0"/>
              <w:rPr>
                <w:sz w:val="20"/>
                <w:szCs w:val="20"/>
                <w:color w:val="auto"/>
              </w:rPr>
            </w:pPr>
            <w:r>
              <w:rPr>
                <w:rFonts w:ascii="Arial" w:cs="Arial" w:eastAsia="Arial" w:hAnsi="Arial"/>
                <w:sz w:val="14"/>
                <w:szCs w:val="14"/>
                <w:b w:val="1"/>
                <w:bCs w:val="1"/>
                <w:color w:val="296DC1"/>
              </w:rPr>
              <w:t>price:</w:t>
            </w:r>
          </w:p>
        </w:tc>
        <w:tc>
          <w:tcPr>
            <w:tcW w:w="4220" w:type="dxa"/>
            <w:vAlign w:val="bottom"/>
          </w:tcPr>
          <w:p>
            <w:pPr>
              <w:ind w:left="60"/>
              <w:spacing w:after="0"/>
              <w:rPr>
                <w:sz w:val="20"/>
                <w:szCs w:val="20"/>
                <w:color w:val="auto"/>
              </w:rPr>
            </w:pPr>
            <w:r>
              <w:rPr>
                <w:rFonts w:ascii="Arial" w:cs="Arial" w:eastAsia="Arial" w:hAnsi="Arial"/>
                <w:sz w:val="14"/>
                <w:szCs w:val="14"/>
                <w:color w:val="auto"/>
              </w:rPr>
              <w:t>pricing date</w:t>
            </w:r>
          </w:p>
        </w:tc>
        <w:tc>
          <w:tcPr>
            <w:tcW w:w="0" w:type="dxa"/>
            <w:vAlign w:val="bottom"/>
          </w:tcPr>
          <w:p>
            <w:pPr>
              <w:spacing w:after="0"/>
              <w:rPr>
                <w:sz w:val="1"/>
                <w:szCs w:val="1"/>
                <w:color w:val="auto"/>
              </w:rPr>
            </w:pPr>
          </w:p>
        </w:tc>
      </w:tr>
      <w:tr>
        <w:trPr>
          <w:trHeight w:val="166"/>
        </w:trPr>
        <w:tc>
          <w:tcPr>
            <w:tcW w:w="128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Final stock</w:t>
            </w:r>
          </w:p>
        </w:tc>
        <w:tc>
          <w:tcPr>
            <w:tcW w:w="4220" w:type="dxa"/>
            <w:vAlign w:val="bottom"/>
            <w:shd w:val="clear" w:color="auto" w:fill="DCEBF4"/>
          </w:tcPr>
          <w:p>
            <w:pPr>
              <w:ind w:left="60"/>
              <w:spacing w:after="0"/>
              <w:rPr>
                <w:sz w:val="20"/>
                <w:szCs w:val="20"/>
                <w:color w:val="auto"/>
              </w:rPr>
            </w:pPr>
            <w:r>
              <w:rPr>
                <w:rFonts w:ascii="Arial" w:cs="Arial" w:eastAsia="Arial" w:hAnsi="Arial"/>
                <w:sz w:val="14"/>
                <w:szCs w:val="14"/>
                <w:color w:val="auto"/>
              </w:rPr>
              <w:t>The closing price of one share of the underlying stock on the</w:t>
            </w:r>
          </w:p>
        </w:tc>
        <w:tc>
          <w:tcPr>
            <w:tcW w:w="0" w:type="dxa"/>
            <w:vAlign w:val="bottom"/>
          </w:tcPr>
          <w:p>
            <w:pPr>
              <w:spacing w:after="0"/>
              <w:rPr>
                <w:sz w:val="1"/>
                <w:szCs w:val="1"/>
                <w:color w:val="auto"/>
              </w:rPr>
            </w:pPr>
          </w:p>
        </w:tc>
      </w:tr>
      <w:tr>
        <w:trPr>
          <w:trHeight w:val="171"/>
        </w:trPr>
        <w:tc>
          <w:tcPr>
            <w:tcW w:w="128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price:</w:t>
            </w:r>
          </w:p>
        </w:tc>
        <w:tc>
          <w:tcPr>
            <w:tcW w:w="4220" w:type="dxa"/>
            <w:vAlign w:val="bottom"/>
            <w:shd w:val="clear" w:color="auto" w:fill="DCEBF4"/>
          </w:tcPr>
          <w:p>
            <w:pPr>
              <w:ind w:left="60"/>
              <w:spacing w:after="0"/>
              <w:rPr>
                <w:sz w:val="20"/>
                <w:szCs w:val="20"/>
                <w:color w:val="auto"/>
              </w:rPr>
            </w:pPr>
            <w:r>
              <w:rPr>
                <w:rFonts w:ascii="Arial" w:cs="Arial" w:eastAsia="Arial" w:hAnsi="Arial"/>
                <w:sz w:val="14"/>
                <w:szCs w:val="14"/>
                <w:color w:val="auto"/>
              </w:rPr>
              <w:t>valuation date</w:t>
            </w:r>
          </w:p>
        </w:tc>
        <w:tc>
          <w:tcPr>
            <w:tcW w:w="0" w:type="dxa"/>
            <w:vAlign w:val="bottom"/>
          </w:tcPr>
          <w:p>
            <w:pPr>
              <w:spacing w:after="0"/>
              <w:rPr>
                <w:sz w:val="1"/>
                <w:szCs w:val="1"/>
                <w:color w:val="auto"/>
              </w:rPr>
            </w:pPr>
          </w:p>
        </w:tc>
      </w:tr>
      <w:tr>
        <w:trPr>
          <w:trHeight w:val="175"/>
        </w:trPr>
        <w:tc>
          <w:tcPr>
            <w:tcW w:w="1280" w:type="dxa"/>
            <w:vAlign w:val="bottom"/>
          </w:tcPr>
          <w:p>
            <w:pPr>
              <w:ind w:left="100"/>
              <w:spacing w:after="0"/>
              <w:rPr>
                <w:sz w:val="20"/>
                <w:szCs w:val="20"/>
                <w:color w:val="auto"/>
              </w:rPr>
            </w:pPr>
            <w:r>
              <w:rPr>
                <w:rFonts w:ascii="Arial" w:cs="Arial" w:eastAsia="Arial" w:hAnsi="Arial"/>
                <w:sz w:val="14"/>
                <w:szCs w:val="14"/>
                <w:b w:val="1"/>
                <w:bCs w:val="1"/>
                <w:color w:val="296DC1"/>
              </w:rPr>
              <w:t>Trigger level:</w:t>
            </w:r>
          </w:p>
        </w:tc>
        <w:tc>
          <w:tcPr>
            <w:tcW w:w="4220" w:type="dxa"/>
            <w:vAlign w:val="bottom"/>
          </w:tcPr>
          <w:p>
            <w:pPr>
              <w:ind w:left="60"/>
              <w:spacing w:after="0"/>
              <w:rPr>
                <w:sz w:val="20"/>
                <w:szCs w:val="20"/>
                <w:color w:val="auto"/>
              </w:rPr>
            </w:pPr>
            <w:r>
              <w:rPr>
                <w:rFonts w:ascii="Arial" w:cs="Arial" w:eastAsia="Arial" w:hAnsi="Arial"/>
                <w:sz w:val="14"/>
                <w:szCs w:val="14"/>
                <w:color w:val="auto"/>
              </w:rPr>
              <w:t>65% of the initial stock price</w:t>
            </w:r>
          </w:p>
        </w:tc>
        <w:tc>
          <w:tcPr>
            <w:tcW w:w="0" w:type="dxa"/>
            <w:vAlign w:val="bottom"/>
          </w:tcPr>
          <w:p>
            <w:pPr>
              <w:spacing w:after="0"/>
              <w:rPr>
                <w:sz w:val="1"/>
                <w:szCs w:val="1"/>
                <w:color w:val="auto"/>
              </w:rPr>
            </w:pPr>
          </w:p>
        </w:tc>
      </w:tr>
      <w:tr>
        <w:trPr>
          <w:trHeight w:val="176"/>
        </w:trPr>
        <w:tc>
          <w:tcPr>
            <w:tcW w:w="128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Leverage factor:</w:t>
            </w:r>
          </w:p>
        </w:tc>
        <w:tc>
          <w:tcPr>
            <w:tcW w:w="4220" w:type="dxa"/>
            <w:vAlign w:val="bottom"/>
            <w:shd w:val="clear" w:color="auto" w:fill="DCEBF4"/>
          </w:tcPr>
          <w:p>
            <w:pPr>
              <w:ind w:left="6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66"/>
        </w:trPr>
        <w:tc>
          <w:tcPr>
            <w:tcW w:w="1280" w:type="dxa"/>
            <w:vAlign w:val="bottom"/>
          </w:tcPr>
          <w:p>
            <w:pPr>
              <w:ind w:left="100"/>
              <w:spacing w:after="0"/>
              <w:rPr>
                <w:sz w:val="20"/>
                <w:szCs w:val="20"/>
                <w:color w:val="auto"/>
              </w:rPr>
            </w:pPr>
            <w:r>
              <w:rPr>
                <w:rFonts w:ascii="Arial" w:cs="Arial" w:eastAsia="Arial" w:hAnsi="Arial"/>
                <w:sz w:val="14"/>
                <w:szCs w:val="14"/>
                <w:b w:val="1"/>
                <w:bCs w:val="1"/>
                <w:color w:val="296DC1"/>
              </w:rPr>
              <w:t>Stock</w:t>
            </w:r>
          </w:p>
        </w:tc>
        <w:tc>
          <w:tcPr>
            <w:tcW w:w="4220" w:type="dxa"/>
            <w:vAlign w:val="bottom"/>
          </w:tcPr>
          <w:p>
            <w:pPr>
              <w:ind w:left="60"/>
              <w:spacing w:after="0"/>
              <w:rPr>
                <w:sz w:val="20"/>
                <w:szCs w:val="20"/>
                <w:color w:val="auto"/>
              </w:rPr>
            </w:pPr>
            <w:r>
              <w:rPr>
                <w:rFonts w:ascii="Arial" w:cs="Arial" w:eastAsia="Arial" w:hAnsi="Arial"/>
                <w:sz w:val="14"/>
                <w:szCs w:val="14"/>
                <w:color w:val="auto"/>
              </w:rPr>
              <w:t>final stock price / initial stock price</w:t>
            </w:r>
          </w:p>
        </w:tc>
        <w:tc>
          <w:tcPr>
            <w:tcW w:w="0" w:type="dxa"/>
            <w:vAlign w:val="bottom"/>
          </w:tcPr>
          <w:p>
            <w:pPr>
              <w:spacing w:after="0"/>
              <w:rPr>
                <w:sz w:val="1"/>
                <w:szCs w:val="1"/>
                <w:color w:val="auto"/>
              </w:rPr>
            </w:pPr>
          </w:p>
        </w:tc>
      </w:tr>
      <w:tr>
        <w:trPr>
          <w:trHeight w:val="162"/>
        </w:trPr>
        <w:tc>
          <w:tcPr>
            <w:tcW w:w="1280" w:type="dxa"/>
            <w:vAlign w:val="bottom"/>
          </w:tcPr>
          <w:p>
            <w:pPr>
              <w:ind w:left="100"/>
              <w:spacing w:after="0"/>
              <w:rPr>
                <w:sz w:val="20"/>
                <w:szCs w:val="20"/>
                <w:color w:val="auto"/>
              </w:rPr>
            </w:pPr>
            <w:r>
              <w:rPr>
                <w:rFonts w:ascii="Arial" w:cs="Arial" w:eastAsia="Arial" w:hAnsi="Arial"/>
                <w:sz w:val="14"/>
                <w:szCs w:val="14"/>
                <w:b w:val="1"/>
                <w:bCs w:val="1"/>
                <w:color w:val="296DC1"/>
              </w:rPr>
              <w:t>performance</w:t>
            </w: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80" w:type="dxa"/>
            <w:vAlign w:val="bottom"/>
          </w:tcPr>
          <w:p>
            <w:pPr>
              <w:ind w:left="100"/>
              <w:spacing w:after="0"/>
              <w:rPr>
                <w:sz w:val="20"/>
                <w:szCs w:val="20"/>
                <w:color w:val="auto"/>
              </w:rPr>
            </w:pPr>
            <w:r>
              <w:rPr>
                <w:rFonts w:ascii="Arial" w:cs="Arial" w:eastAsia="Arial" w:hAnsi="Arial"/>
                <w:sz w:val="14"/>
                <w:szCs w:val="14"/>
                <w:b w:val="1"/>
                <w:bCs w:val="1"/>
                <w:color w:val="296DC1"/>
              </w:rPr>
              <w:t>factor:</w:t>
            </w: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8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Stock</w:t>
            </w:r>
          </w:p>
        </w:tc>
        <w:tc>
          <w:tcPr>
            <w:tcW w:w="4220" w:type="dxa"/>
            <w:vAlign w:val="bottom"/>
            <w:shd w:val="clear" w:color="auto" w:fill="DCEBF4"/>
          </w:tcPr>
          <w:p>
            <w:pPr>
              <w:ind w:left="60"/>
              <w:spacing w:after="0"/>
              <w:rPr>
                <w:sz w:val="20"/>
                <w:szCs w:val="20"/>
                <w:color w:val="auto"/>
              </w:rPr>
            </w:pPr>
            <w:r>
              <w:rPr>
                <w:rFonts w:ascii="Arial" w:cs="Arial" w:eastAsia="Arial" w:hAnsi="Arial"/>
                <w:sz w:val="14"/>
                <w:szCs w:val="14"/>
                <w:color w:val="auto"/>
              </w:rPr>
              <w:t>The stock adjustment factor is referenced in determining the</w:t>
            </w:r>
          </w:p>
        </w:tc>
        <w:tc>
          <w:tcPr>
            <w:tcW w:w="0" w:type="dxa"/>
            <w:vAlign w:val="bottom"/>
          </w:tcPr>
          <w:p>
            <w:pPr>
              <w:spacing w:after="0"/>
              <w:rPr>
                <w:sz w:val="1"/>
                <w:szCs w:val="1"/>
                <w:color w:val="auto"/>
              </w:rPr>
            </w:pPr>
          </w:p>
        </w:tc>
      </w:tr>
      <w:tr>
        <w:trPr>
          <w:trHeight w:val="162"/>
        </w:trPr>
        <w:tc>
          <w:tcPr>
            <w:tcW w:w="128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adjustment</w:t>
            </w:r>
          </w:p>
        </w:tc>
        <w:tc>
          <w:tcPr>
            <w:tcW w:w="4220" w:type="dxa"/>
            <w:vAlign w:val="bottom"/>
            <w:shd w:val="clear" w:color="auto" w:fill="DCEBF4"/>
          </w:tcPr>
          <w:p>
            <w:pPr>
              <w:ind w:left="60"/>
              <w:spacing w:after="0"/>
              <w:rPr>
                <w:sz w:val="20"/>
                <w:szCs w:val="20"/>
                <w:color w:val="auto"/>
              </w:rPr>
            </w:pPr>
            <w:r>
              <w:rPr>
                <w:rFonts w:ascii="Arial" w:cs="Arial" w:eastAsia="Arial" w:hAnsi="Arial"/>
                <w:sz w:val="14"/>
                <w:szCs w:val="14"/>
                <w:color w:val="auto"/>
              </w:rPr>
              <w:t>closing price of the underlying stock and is set initially at 1.0 on</w:t>
            </w:r>
          </w:p>
        </w:tc>
        <w:tc>
          <w:tcPr>
            <w:tcW w:w="0" w:type="dxa"/>
            <w:vAlign w:val="bottom"/>
          </w:tcPr>
          <w:p>
            <w:pPr>
              <w:spacing w:after="0"/>
              <w:rPr>
                <w:sz w:val="1"/>
                <w:szCs w:val="1"/>
                <w:color w:val="auto"/>
              </w:rPr>
            </w:pPr>
          </w:p>
        </w:tc>
      </w:tr>
      <w:tr>
        <w:trPr>
          <w:trHeight w:val="162"/>
        </w:trPr>
        <w:tc>
          <w:tcPr>
            <w:tcW w:w="128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factor:</w:t>
            </w:r>
          </w:p>
        </w:tc>
        <w:tc>
          <w:tcPr>
            <w:tcW w:w="4220" w:type="dxa"/>
            <w:vAlign w:val="bottom"/>
            <w:shd w:val="clear" w:color="auto" w:fill="DCEBF4"/>
          </w:tcPr>
          <w:p>
            <w:pPr>
              <w:ind w:left="60"/>
              <w:spacing w:after="0"/>
              <w:rPr>
                <w:sz w:val="20"/>
                <w:szCs w:val="20"/>
                <w:color w:val="auto"/>
              </w:rPr>
            </w:pPr>
            <w:r>
              <w:rPr>
                <w:rFonts w:ascii="Arial" w:cs="Arial" w:eastAsia="Arial" w:hAnsi="Arial"/>
                <w:sz w:val="14"/>
                <w:szCs w:val="14"/>
                <w:color w:val="auto"/>
              </w:rPr>
              <w:t>the pricing date. The stock adjustment factor is subject to</w:t>
            </w:r>
          </w:p>
        </w:tc>
        <w:tc>
          <w:tcPr>
            <w:tcW w:w="0" w:type="dxa"/>
            <w:vAlign w:val="bottom"/>
          </w:tcPr>
          <w:p>
            <w:pPr>
              <w:spacing w:after="0"/>
              <w:rPr>
                <w:sz w:val="1"/>
                <w:szCs w:val="1"/>
                <w:color w:val="auto"/>
              </w:rPr>
            </w:pPr>
          </w:p>
        </w:tc>
      </w:tr>
      <w:tr>
        <w:trPr>
          <w:trHeight w:val="162"/>
        </w:trPr>
        <w:tc>
          <w:tcPr>
            <w:tcW w:w="1280" w:type="dxa"/>
            <w:vAlign w:val="bottom"/>
            <w:shd w:val="clear" w:color="auto" w:fill="DCEBF4"/>
          </w:tcPr>
          <w:p>
            <w:pPr>
              <w:spacing w:after="0"/>
              <w:rPr>
                <w:sz w:val="14"/>
                <w:szCs w:val="14"/>
                <w:color w:val="auto"/>
              </w:rPr>
            </w:pPr>
          </w:p>
        </w:tc>
        <w:tc>
          <w:tcPr>
            <w:tcW w:w="4220" w:type="dxa"/>
            <w:vAlign w:val="bottom"/>
            <w:shd w:val="clear" w:color="auto" w:fill="DCEBF4"/>
          </w:tcPr>
          <w:p>
            <w:pPr>
              <w:ind w:left="60"/>
              <w:spacing w:after="0"/>
              <w:rPr>
                <w:sz w:val="20"/>
                <w:szCs w:val="20"/>
                <w:color w:val="auto"/>
              </w:rPr>
            </w:pPr>
            <w:r>
              <w:rPr>
                <w:rFonts w:ascii="Arial" w:cs="Arial" w:eastAsia="Arial" w:hAnsi="Arial"/>
                <w:sz w:val="14"/>
                <w:szCs w:val="14"/>
                <w:color w:val="auto"/>
              </w:rPr>
              <w:t>adjustment in the event of certain corporate events affecting the</w:t>
            </w:r>
          </w:p>
        </w:tc>
        <w:tc>
          <w:tcPr>
            <w:tcW w:w="0" w:type="dxa"/>
            <w:vAlign w:val="bottom"/>
          </w:tcPr>
          <w:p>
            <w:pPr>
              <w:spacing w:after="0"/>
              <w:rPr>
                <w:sz w:val="1"/>
                <w:szCs w:val="1"/>
                <w:color w:val="auto"/>
              </w:rPr>
            </w:pPr>
          </w:p>
        </w:tc>
      </w:tr>
      <w:tr>
        <w:trPr>
          <w:trHeight w:val="171"/>
        </w:trPr>
        <w:tc>
          <w:tcPr>
            <w:tcW w:w="1280" w:type="dxa"/>
            <w:vAlign w:val="bottom"/>
            <w:shd w:val="clear" w:color="auto" w:fill="DCEBF4"/>
          </w:tcPr>
          <w:p>
            <w:pPr>
              <w:spacing w:after="0"/>
              <w:rPr>
                <w:sz w:val="14"/>
                <w:szCs w:val="14"/>
                <w:color w:val="auto"/>
              </w:rPr>
            </w:pPr>
          </w:p>
        </w:tc>
        <w:tc>
          <w:tcPr>
            <w:tcW w:w="4220" w:type="dxa"/>
            <w:vAlign w:val="bottom"/>
            <w:shd w:val="clear" w:color="auto" w:fill="DCEBF4"/>
          </w:tcPr>
          <w:p>
            <w:pPr>
              <w:ind w:left="60"/>
              <w:spacing w:after="0"/>
              <w:rPr>
                <w:sz w:val="20"/>
                <w:szCs w:val="20"/>
                <w:color w:val="auto"/>
              </w:rPr>
            </w:pPr>
            <w:r>
              <w:rPr>
                <w:rFonts w:ascii="Arial" w:cs="Arial" w:eastAsia="Arial" w:hAnsi="Arial"/>
                <w:sz w:val="14"/>
                <w:szCs w:val="14"/>
                <w:color w:val="auto"/>
              </w:rPr>
              <w:t>underlying stock.</w:t>
            </w:r>
          </w:p>
        </w:tc>
        <w:tc>
          <w:tcPr>
            <w:tcW w:w="0" w:type="dxa"/>
            <w:vAlign w:val="bottom"/>
          </w:tcPr>
          <w:p>
            <w:pPr>
              <w:spacing w:after="0"/>
              <w:rPr>
                <w:sz w:val="1"/>
                <w:szCs w:val="1"/>
                <w:color w:val="auto"/>
              </w:rPr>
            </w:pPr>
          </w:p>
        </w:tc>
      </w:tr>
      <w:tr>
        <w:trPr>
          <w:trHeight w:val="166"/>
        </w:trPr>
        <w:tc>
          <w:tcPr>
            <w:tcW w:w="1280" w:type="dxa"/>
            <w:vAlign w:val="bottom"/>
          </w:tcPr>
          <w:p>
            <w:pPr>
              <w:ind w:left="100"/>
              <w:spacing w:after="0"/>
              <w:rPr>
                <w:sz w:val="20"/>
                <w:szCs w:val="20"/>
                <w:color w:val="auto"/>
              </w:rPr>
            </w:pPr>
            <w:r>
              <w:rPr>
                <w:rFonts w:ascii="Arial" w:cs="Arial" w:eastAsia="Arial" w:hAnsi="Arial"/>
                <w:sz w:val="14"/>
                <w:szCs w:val="14"/>
                <w:b w:val="1"/>
                <w:bCs w:val="1"/>
                <w:color w:val="296DC1"/>
              </w:rPr>
              <w:t>Stated principal</w:t>
            </w:r>
          </w:p>
        </w:tc>
        <w:tc>
          <w:tcPr>
            <w:tcW w:w="4220" w:type="dxa"/>
            <w:vAlign w:val="bottom"/>
          </w:tcPr>
          <w:p>
            <w:pPr>
              <w:ind w:left="60"/>
              <w:spacing w:after="0"/>
              <w:rPr>
                <w:sz w:val="20"/>
                <w:szCs w:val="20"/>
                <w:color w:val="auto"/>
              </w:rPr>
            </w:pPr>
            <w:r>
              <w:rPr>
                <w:rFonts w:ascii="Arial" w:cs="Arial" w:eastAsia="Arial" w:hAnsi="Arial"/>
                <w:sz w:val="14"/>
                <w:szCs w:val="14"/>
                <w:color w:val="auto"/>
              </w:rPr>
              <w:t>$1,000 per Trigger PLUS</w:t>
            </w:r>
          </w:p>
        </w:tc>
        <w:tc>
          <w:tcPr>
            <w:tcW w:w="0" w:type="dxa"/>
            <w:vAlign w:val="bottom"/>
          </w:tcPr>
          <w:p>
            <w:pPr>
              <w:spacing w:after="0"/>
              <w:rPr>
                <w:sz w:val="1"/>
                <w:szCs w:val="1"/>
                <w:color w:val="auto"/>
              </w:rPr>
            </w:pPr>
          </w:p>
        </w:tc>
      </w:tr>
      <w:tr>
        <w:trPr>
          <w:trHeight w:val="171"/>
        </w:trPr>
        <w:tc>
          <w:tcPr>
            <w:tcW w:w="1280" w:type="dxa"/>
            <w:vAlign w:val="bottom"/>
          </w:tcPr>
          <w:p>
            <w:pPr>
              <w:ind w:left="100"/>
              <w:spacing w:after="0"/>
              <w:rPr>
                <w:sz w:val="20"/>
                <w:szCs w:val="20"/>
                <w:color w:val="auto"/>
              </w:rPr>
            </w:pPr>
            <w:r>
              <w:rPr>
                <w:rFonts w:ascii="Arial" w:cs="Arial" w:eastAsia="Arial" w:hAnsi="Arial"/>
                <w:sz w:val="14"/>
                <w:szCs w:val="14"/>
                <w:b w:val="1"/>
                <w:bCs w:val="1"/>
                <w:color w:val="296DC1"/>
              </w:rPr>
              <w:t>amount:</w:t>
            </w: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Issue price:</w:t>
            </w:r>
          </w:p>
        </w:tc>
        <w:tc>
          <w:tcPr>
            <w:tcW w:w="4220" w:type="dxa"/>
            <w:vAlign w:val="bottom"/>
            <w:shd w:val="clear" w:color="auto" w:fill="DCEBF4"/>
          </w:tcPr>
          <w:p>
            <w:pPr>
              <w:ind w:left="60"/>
              <w:spacing w:after="0"/>
              <w:rPr>
                <w:sz w:val="20"/>
                <w:szCs w:val="20"/>
                <w:color w:val="auto"/>
              </w:rPr>
            </w:pPr>
            <w:r>
              <w:rPr>
                <w:rFonts w:ascii="Arial" w:cs="Arial" w:eastAsia="Arial" w:hAnsi="Arial"/>
                <w:sz w:val="14"/>
                <w:szCs w:val="14"/>
                <w:color w:val="auto"/>
              </w:rPr>
              <w:t>$1,000 per Trigger PLUS</w:t>
            </w:r>
          </w:p>
        </w:tc>
        <w:tc>
          <w:tcPr>
            <w:tcW w:w="0" w:type="dxa"/>
            <w:vAlign w:val="bottom"/>
          </w:tcPr>
          <w:p>
            <w:pPr>
              <w:spacing w:after="0"/>
              <w:rPr>
                <w:sz w:val="1"/>
                <w:szCs w:val="1"/>
                <w:color w:val="auto"/>
              </w:rPr>
            </w:pPr>
          </w:p>
        </w:tc>
      </w:tr>
      <w:tr>
        <w:trPr>
          <w:trHeight w:val="176"/>
        </w:trPr>
        <w:tc>
          <w:tcPr>
            <w:tcW w:w="1280" w:type="dxa"/>
            <w:vAlign w:val="bottom"/>
          </w:tcPr>
          <w:p>
            <w:pPr>
              <w:ind w:left="100"/>
              <w:spacing w:after="0"/>
              <w:rPr>
                <w:sz w:val="20"/>
                <w:szCs w:val="20"/>
                <w:color w:val="auto"/>
              </w:rPr>
            </w:pPr>
            <w:r>
              <w:rPr>
                <w:rFonts w:ascii="Arial" w:cs="Arial" w:eastAsia="Arial" w:hAnsi="Arial"/>
                <w:sz w:val="14"/>
                <w:szCs w:val="14"/>
                <w:b w:val="1"/>
                <w:bCs w:val="1"/>
                <w:color w:val="296DC1"/>
              </w:rPr>
              <w:t>Pricing date:</w:t>
            </w:r>
          </w:p>
        </w:tc>
        <w:tc>
          <w:tcPr>
            <w:tcW w:w="4220" w:type="dxa"/>
            <w:vAlign w:val="bottom"/>
          </w:tcPr>
          <w:p>
            <w:pPr>
              <w:ind w:left="60"/>
              <w:spacing w:after="0"/>
              <w:rPr>
                <w:sz w:val="20"/>
                <w:szCs w:val="20"/>
                <w:color w:val="auto"/>
              </w:rPr>
            </w:pPr>
            <w:r>
              <w:rPr>
                <w:rFonts w:ascii="Arial" w:cs="Arial" w:eastAsia="Arial" w:hAnsi="Arial"/>
                <w:sz w:val="14"/>
                <w:szCs w:val="14"/>
                <w:color w:val="auto"/>
              </w:rPr>
              <w:t>Expected to be May 14, 2025</w:t>
            </w:r>
          </w:p>
        </w:tc>
        <w:tc>
          <w:tcPr>
            <w:tcW w:w="0" w:type="dxa"/>
            <w:vAlign w:val="bottom"/>
          </w:tcPr>
          <w:p>
            <w:pPr>
              <w:spacing w:after="0"/>
              <w:rPr>
                <w:sz w:val="1"/>
                <w:szCs w:val="1"/>
                <w:color w:val="auto"/>
              </w:rPr>
            </w:pPr>
          </w:p>
        </w:tc>
      </w:tr>
      <w:tr>
        <w:trPr>
          <w:trHeight w:val="166"/>
        </w:trPr>
        <w:tc>
          <w:tcPr>
            <w:tcW w:w="128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Original issue</w:t>
            </w:r>
          </w:p>
        </w:tc>
        <w:tc>
          <w:tcPr>
            <w:tcW w:w="4220" w:type="dxa"/>
            <w:vAlign w:val="bottom"/>
            <w:shd w:val="clear" w:color="auto" w:fill="DCEBF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date (settlement</w:t>
            </w:r>
          </w:p>
        </w:tc>
        <w:tc>
          <w:tcPr>
            <w:tcW w:w="4220" w:type="dxa"/>
            <w:vAlign w:val="bottom"/>
            <w:shd w:val="clear" w:color="auto" w:fill="DCEBF4"/>
          </w:tcPr>
          <w:p>
            <w:pPr>
              <w:ind w:left="60"/>
              <w:spacing w:after="0"/>
              <w:rPr>
                <w:sz w:val="20"/>
                <w:szCs w:val="20"/>
                <w:color w:val="auto"/>
              </w:rPr>
            </w:pPr>
            <w:r>
              <w:rPr>
                <w:rFonts w:ascii="Arial" w:cs="Arial" w:eastAsia="Arial" w:hAnsi="Arial"/>
                <w:sz w:val="14"/>
                <w:szCs w:val="14"/>
                <w:color w:val="auto"/>
              </w:rPr>
              <w:t>3 business days after the pricing date</w:t>
            </w:r>
          </w:p>
        </w:tc>
        <w:tc>
          <w:tcPr>
            <w:tcW w:w="0" w:type="dxa"/>
            <w:vAlign w:val="bottom"/>
          </w:tcPr>
          <w:p>
            <w:pPr>
              <w:spacing w:after="0"/>
              <w:rPr>
                <w:sz w:val="1"/>
                <w:szCs w:val="1"/>
                <w:color w:val="auto"/>
              </w:rPr>
            </w:pPr>
          </w:p>
        </w:tc>
      </w:tr>
      <w:tr>
        <w:trPr>
          <w:trHeight w:val="171"/>
        </w:trPr>
        <w:tc>
          <w:tcPr>
            <w:tcW w:w="128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date):</w:t>
            </w:r>
          </w:p>
        </w:tc>
        <w:tc>
          <w:tcPr>
            <w:tcW w:w="4220" w:type="dxa"/>
            <w:vAlign w:val="bottom"/>
            <w:shd w:val="clear" w:color="auto" w:fill="DCEBF4"/>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80" w:type="dxa"/>
            <w:vAlign w:val="bottom"/>
          </w:tcPr>
          <w:p>
            <w:pPr>
              <w:ind w:left="100"/>
              <w:spacing w:after="0"/>
              <w:rPr>
                <w:sz w:val="20"/>
                <w:szCs w:val="20"/>
                <w:color w:val="auto"/>
              </w:rPr>
            </w:pPr>
            <w:r>
              <w:rPr>
                <w:rFonts w:ascii="Arial" w:cs="Arial" w:eastAsia="Arial" w:hAnsi="Arial"/>
                <w:sz w:val="14"/>
                <w:szCs w:val="14"/>
                <w:b w:val="1"/>
                <w:bCs w:val="1"/>
                <w:color w:val="296DC1"/>
              </w:rPr>
              <w:t>Redemption</w:t>
            </w: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100"/>
              <w:spacing w:after="0" w:line="159" w:lineRule="exact"/>
              <w:rPr>
                <w:sz w:val="20"/>
                <w:szCs w:val="20"/>
                <w:color w:val="auto"/>
              </w:rPr>
            </w:pPr>
            <w:r>
              <w:rPr>
                <w:rFonts w:ascii="Arial" w:cs="Arial" w:eastAsia="Arial" w:hAnsi="Arial"/>
                <w:sz w:val="14"/>
                <w:szCs w:val="14"/>
                <w:b w:val="1"/>
                <w:bCs w:val="1"/>
                <w:color w:val="296DC1"/>
              </w:rPr>
              <w:t>observation</w:t>
            </w:r>
          </w:p>
        </w:tc>
        <w:tc>
          <w:tcPr>
            <w:tcW w:w="4220" w:type="dxa"/>
            <w:vAlign w:val="bottom"/>
          </w:tcPr>
          <w:p>
            <w:pPr>
              <w:ind w:left="60"/>
              <w:spacing w:after="0" w:line="159" w:lineRule="exact"/>
              <w:rPr>
                <w:sz w:val="20"/>
                <w:szCs w:val="20"/>
                <w:color w:val="auto"/>
              </w:rPr>
            </w:pPr>
            <w:r>
              <w:rPr>
                <w:rFonts w:ascii="Arial" w:cs="Arial" w:eastAsia="Arial" w:hAnsi="Arial"/>
                <w:sz w:val="14"/>
                <w:szCs w:val="14"/>
                <w:color w:val="auto"/>
              </w:rPr>
              <w:t>May 21, 2026</w:t>
            </w:r>
          </w:p>
        </w:tc>
        <w:tc>
          <w:tcPr>
            <w:tcW w:w="0" w:type="dxa"/>
            <w:vAlign w:val="bottom"/>
          </w:tcPr>
          <w:p>
            <w:pPr>
              <w:spacing w:after="0"/>
              <w:rPr>
                <w:sz w:val="1"/>
                <w:szCs w:val="1"/>
                <w:color w:val="auto"/>
              </w:rPr>
            </w:pPr>
          </w:p>
        </w:tc>
      </w:tr>
      <w:tr>
        <w:trPr>
          <w:trHeight w:val="327"/>
        </w:trPr>
        <w:tc>
          <w:tcPr>
            <w:tcW w:w="1280" w:type="dxa"/>
            <w:vAlign w:val="bottom"/>
          </w:tcPr>
          <w:p>
            <w:pPr>
              <w:ind w:left="100"/>
              <w:spacing w:after="0"/>
              <w:rPr>
                <w:sz w:val="20"/>
                <w:szCs w:val="20"/>
                <w:color w:val="auto"/>
              </w:rPr>
            </w:pPr>
            <w:r>
              <w:rPr>
                <w:rFonts w:ascii="Arial" w:cs="Arial" w:eastAsia="Arial" w:hAnsi="Arial"/>
                <w:sz w:val="14"/>
                <w:szCs w:val="14"/>
                <w:b w:val="1"/>
                <w:bCs w:val="1"/>
                <w:color w:val="296DC1"/>
              </w:rPr>
              <w:t>date</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w:t>
            </w: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1120" w:type="dxa"/>
            <w:vAlign w:val="bottom"/>
            <w:shd w:val="clear" w:color="auto" w:fill="DCEBF4"/>
          </w:tcPr>
          <w:p>
            <w:pPr>
              <w:ind w:left="100"/>
              <w:spacing w:after="0" w:line="148" w:lineRule="exact"/>
              <w:rPr>
                <w:sz w:val="20"/>
                <w:szCs w:val="20"/>
                <w:color w:val="auto"/>
              </w:rPr>
            </w:pPr>
            <w:r>
              <w:rPr>
                <w:rFonts w:ascii="Arial" w:cs="Arial" w:eastAsia="Arial" w:hAnsi="Arial"/>
                <w:sz w:val="14"/>
                <w:szCs w:val="14"/>
                <w:b w:val="1"/>
                <w:bCs w:val="1"/>
                <w:color w:val="296DC1"/>
              </w:rPr>
              <w:t>Redemption</w:t>
            </w:r>
          </w:p>
        </w:tc>
        <w:tc>
          <w:tcPr>
            <w:tcW w:w="4360" w:type="dxa"/>
            <w:vAlign w:val="bottom"/>
            <w:vMerge w:val="restart"/>
            <w:shd w:val="clear" w:color="auto" w:fill="DCEBF4"/>
          </w:tcPr>
          <w:p>
            <w:pPr>
              <w:ind w:left="200"/>
              <w:spacing w:after="0"/>
              <w:rPr>
                <w:sz w:val="20"/>
                <w:szCs w:val="20"/>
                <w:color w:val="auto"/>
              </w:rPr>
            </w:pPr>
            <w:r>
              <w:rPr>
                <w:rFonts w:ascii="Arial" w:cs="Arial" w:eastAsia="Arial" w:hAnsi="Arial"/>
                <w:sz w:val="14"/>
                <w:szCs w:val="14"/>
                <w:color w:val="auto"/>
              </w:rPr>
              <w:t>May 27, 2026</w:t>
            </w:r>
          </w:p>
        </w:tc>
        <w:tc>
          <w:tcPr>
            <w:tcW w:w="0" w:type="dxa"/>
            <w:vAlign w:val="bottom"/>
          </w:tcPr>
          <w:p>
            <w:pPr>
              <w:spacing w:after="0"/>
              <w:rPr>
                <w:sz w:val="1"/>
                <w:szCs w:val="1"/>
                <w:color w:val="auto"/>
              </w:rPr>
            </w:pPr>
          </w:p>
        </w:tc>
      </w:tr>
      <w:tr>
        <w:trPr>
          <w:trHeight w:val="126"/>
        </w:trPr>
        <w:tc>
          <w:tcPr>
            <w:tcW w:w="1120" w:type="dxa"/>
            <w:vAlign w:val="bottom"/>
            <w:vMerge w:val="restart"/>
            <w:shd w:val="clear" w:color="auto" w:fill="DCEBF4"/>
          </w:tcPr>
          <w:p>
            <w:pPr>
              <w:ind w:left="100"/>
              <w:spacing w:after="0" w:line="201" w:lineRule="exact"/>
              <w:rPr>
                <w:sz w:val="20"/>
                <w:szCs w:val="20"/>
                <w:color w:val="auto"/>
              </w:rPr>
            </w:pPr>
            <w:r>
              <w:rPr>
                <w:rFonts w:ascii="Arial" w:cs="Arial" w:eastAsia="Arial" w:hAnsi="Arial"/>
                <w:sz w:val="14"/>
                <w:szCs w:val="14"/>
                <w:b w:val="1"/>
                <w:bCs w:val="1"/>
                <w:color w:val="296DC1"/>
              </w:rPr>
              <w:t>date</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w:t>
            </w:r>
          </w:p>
        </w:tc>
        <w:tc>
          <w:tcPr>
            <w:tcW w:w="4360" w:type="dxa"/>
            <w:vAlign w:val="bottom"/>
            <w:vMerge w:val="continue"/>
            <w:shd w:val="clear" w:color="auto" w:fill="DCEBF4"/>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120" w:type="dxa"/>
            <w:vAlign w:val="bottom"/>
            <w:vMerge w:val="continue"/>
            <w:shd w:val="clear" w:color="auto" w:fill="DCEBF4"/>
          </w:tcPr>
          <w:p>
            <w:pPr>
              <w:spacing w:after="0"/>
              <w:rPr>
                <w:sz w:val="6"/>
                <w:szCs w:val="6"/>
                <w:color w:val="auto"/>
              </w:rPr>
            </w:pPr>
          </w:p>
        </w:tc>
        <w:tc>
          <w:tcPr>
            <w:tcW w:w="4360" w:type="dxa"/>
            <w:vAlign w:val="bottom"/>
            <w:shd w:val="clear" w:color="auto" w:fill="DCEBF4"/>
          </w:tcPr>
          <w:p>
            <w:pPr>
              <w:spacing w:after="0"/>
              <w:rPr>
                <w:sz w:val="6"/>
                <w:szCs w:val="6"/>
                <w:color w:val="auto"/>
              </w:rPr>
            </w:pPr>
          </w:p>
        </w:tc>
        <w:tc>
          <w:tcPr>
            <w:tcW w:w="0" w:type="dxa"/>
            <w:vAlign w:val="bottom"/>
          </w:tcPr>
          <w:p>
            <w:pPr>
              <w:spacing w:after="0"/>
              <w:rPr>
                <w:sz w:val="1"/>
                <w:szCs w:val="1"/>
                <w:color w:val="auto"/>
              </w:rPr>
            </w:pPr>
          </w:p>
        </w:tc>
      </w:tr>
    </w:tbl>
    <w:p>
      <w:pPr>
        <w:ind w:left="100"/>
        <w:spacing w:after="0" w:line="210" w:lineRule="auto"/>
        <w:tabs>
          <w:tab w:leader="none" w:pos="1300" w:val="left"/>
        </w:tabs>
        <w:rPr>
          <w:sz w:val="20"/>
          <w:szCs w:val="20"/>
          <w:color w:val="auto"/>
        </w:rPr>
      </w:pPr>
      <w:r>
        <w:rPr>
          <w:rFonts w:ascii="Arial" w:cs="Arial" w:eastAsia="Arial" w:hAnsi="Arial"/>
          <w:sz w:val="14"/>
          <w:szCs w:val="14"/>
          <w:b w:val="1"/>
          <w:bCs w:val="1"/>
          <w:color w:val="296DC1"/>
        </w:rPr>
        <w:t>Valuation date</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w:t>
      </w:r>
      <w:r>
        <w:rPr>
          <w:sz w:val="20"/>
          <w:szCs w:val="20"/>
          <w:color w:val="auto"/>
        </w:rPr>
        <w:tab/>
      </w:r>
      <w:r>
        <w:rPr>
          <w:rFonts w:ascii="Arial" w:cs="Arial" w:eastAsia="Arial" w:hAnsi="Arial"/>
          <w:sz w:val="21"/>
          <w:szCs w:val="21"/>
          <w:color w:val="auto"/>
          <w:vertAlign w:val="superscript"/>
        </w:rPr>
        <w:t>May 28, 2027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348869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88690" cy="128905"/>
                    </a:xfrm>
                    <a:prstGeom prst="rect">
                      <a:avLst/>
                    </a:prstGeom>
                    <a:noFill/>
                  </pic:spPr>
                </pic:pic>
              </a:graphicData>
            </a:graphic>
          </wp:anchor>
        </w:drawing>
      </w:r>
    </w:p>
    <w:p>
      <w:pPr>
        <w:ind w:left="100"/>
        <w:spacing w:after="0"/>
        <w:tabs>
          <w:tab w:leader="none" w:pos="1300" w:val="left"/>
        </w:tabs>
        <w:rPr>
          <w:sz w:val="20"/>
          <w:szCs w:val="20"/>
          <w:color w:val="auto"/>
        </w:rPr>
      </w:pPr>
      <w:r>
        <w:rPr>
          <w:rFonts w:ascii="Arial" w:cs="Arial" w:eastAsia="Arial" w:hAnsi="Arial"/>
          <w:sz w:val="14"/>
          <w:szCs w:val="14"/>
          <w:b w:val="1"/>
          <w:bCs w:val="1"/>
          <w:color w:val="296DC1"/>
        </w:rPr>
        <w:t>Maturity date</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w:t>
      </w:r>
      <w:r>
        <w:rPr>
          <w:sz w:val="20"/>
          <w:szCs w:val="20"/>
          <w:color w:val="auto"/>
        </w:rPr>
        <w:tab/>
      </w:r>
      <w:r>
        <w:rPr>
          <w:rFonts w:ascii="Arial" w:cs="Arial" w:eastAsia="Arial" w:hAnsi="Arial"/>
          <w:sz w:val="14"/>
          <w:szCs w:val="14"/>
          <w:color w:val="auto"/>
        </w:rPr>
        <w:t>June 3, 2027</w:t>
      </w:r>
    </w:p>
    <w:p>
      <w:pPr>
        <w:ind w:left="100"/>
        <w:spacing w:after="0"/>
        <w:tabs>
          <w:tab w:leader="none" w:pos="1300" w:val="left"/>
        </w:tabs>
        <w:rPr>
          <w:sz w:val="20"/>
          <w:szCs w:val="20"/>
          <w:color w:val="auto"/>
        </w:rPr>
      </w:pPr>
      <w:r>
        <w:rPr>
          <w:rFonts w:ascii="Arial" w:cs="Arial" w:eastAsia="Arial" w:hAnsi="Arial"/>
          <w:sz w:val="14"/>
          <w:szCs w:val="14"/>
          <w:b w:val="1"/>
          <w:bCs w:val="1"/>
          <w:color w:val="296DC1"/>
        </w:rPr>
        <w:t>CUSIP / ISIN:</w:t>
      </w:r>
      <w:r>
        <w:rPr>
          <w:sz w:val="20"/>
          <w:szCs w:val="20"/>
          <w:color w:val="auto"/>
        </w:rPr>
        <w:tab/>
      </w:r>
      <w:r>
        <w:rPr>
          <w:rFonts w:ascii="Arial" w:cs="Arial" w:eastAsia="Arial" w:hAnsi="Arial"/>
          <w:sz w:val="14"/>
          <w:szCs w:val="14"/>
          <w:color w:val="auto"/>
        </w:rPr>
        <w:t>48136DJL2 / US48136DJL29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3488690" cy="316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88690" cy="316865"/>
                    </a:xfrm>
                    <a:prstGeom prst="rect">
                      <a:avLst/>
                    </a:prstGeom>
                    <a:noFill/>
                  </pic:spPr>
                </pic:pic>
              </a:graphicData>
            </a:graphic>
          </wp:anchor>
        </w:drawing>
      </w:r>
    </w:p>
    <w:p>
      <w:pPr>
        <w:ind w:left="100"/>
        <w:spacing w:after="0" w:line="184" w:lineRule="auto"/>
        <w:tabs>
          <w:tab w:leader="none" w:pos="1300" w:val="left"/>
        </w:tabs>
        <w:rPr>
          <w:rFonts w:ascii="Arial" w:cs="Arial" w:eastAsia="Arial" w:hAnsi="Arial"/>
          <w:sz w:val="11"/>
          <w:szCs w:val="11"/>
          <w:u w:val="single" w:color="auto"/>
          <w:color w:val="0000EE"/>
        </w:rPr>
      </w:pPr>
      <w:r>
        <w:rPr>
          <w:rFonts w:ascii="Arial" w:cs="Arial" w:eastAsia="Arial" w:hAnsi="Arial"/>
          <w:sz w:val="18"/>
          <w:szCs w:val="18"/>
          <w:b w:val="1"/>
          <w:bCs w:val="1"/>
          <w:color w:val="296DC1"/>
          <w:vertAlign w:val="superscript"/>
        </w:rPr>
        <w:t>Preliminary</w:t>
      </w:r>
      <w:r>
        <w:rPr>
          <w:sz w:val="20"/>
          <w:szCs w:val="20"/>
          <w:color w:val="auto"/>
        </w:rPr>
        <w:tab/>
      </w:r>
      <w:hyperlink r:id="rId12">
        <w:r>
          <w:rPr>
            <w:rFonts w:ascii="Arial" w:cs="Arial" w:eastAsia="Arial" w:hAnsi="Arial"/>
            <w:sz w:val="11"/>
            <w:szCs w:val="11"/>
            <w:u w:val="single" w:color="auto"/>
            <w:color w:val="0000EE"/>
          </w:rPr>
          <w:t>http://www.sec.gov/Archives/edgar/data/19617/</w:t>
        </w:r>
      </w:hyperlink>
    </w:p>
    <w:p>
      <w:pPr>
        <w:spacing w:after="0" w:line="67" w:lineRule="exact"/>
        <w:rPr>
          <w:sz w:val="24"/>
          <w:szCs w:val="24"/>
          <w:color w:val="auto"/>
        </w:rPr>
      </w:pPr>
    </w:p>
    <w:p>
      <w:pPr>
        <w:ind w:left="100" w:right="1020"/>
        <w:spacing w:after="0"/>
        <w:rPr>
          <w:rFonts w:ascii="Arial" w:cs="Arial" w:eastAsia="Arial" w:hAnsi="Arial"/>
          <w:sz w:val="13"/>
          <w:szCs w:val="13"/>
          <w:color w:val="0000EE"/>
        </w:rPr>
      </w:pPr>
      <w:hyperlink r:id="rId12"/>
      <w:r>
        <w:rPr>
          <w:rFonts w:ascii="Arial" w:cs="Arial" w:eastAsia="Arial" w:hAnsi="Arial"/>
          <w:sz w:val="25"/>
          <w:szCs w:val="25"/>
          <w:b w:val="1"/>
          <w:bCs w:val="1"/>
          <w:color w:val="296DC1"/>
          <w:vertAlign w:val="superscript"/>
        </w:rPr>
        <w:t>pricing</w:t>
      </w:r>
      <w:r>
        <w:rPr>
          <w:rFonts w:ascii="Arial" w:cs="Arial" w:eastAsia="Arial" w:hAnsi="Arial"/>
          <w:sz w:val="13"/>
          <w:szCs w:val="13"/>
          <w:color w:val="0000EE"/>
        </w:rPr>
        <w:t xml:space="preserve"> </w:t>
      </w:r>
      <w:hyperlink r:id="rId12">
        <w:r>
          <w:rPr>
            <w:rFonts w:ascii="Arial" w:cs="Arial" w:eastAsia="Arial" w:hAnsi="Arial"/>
            <w:sz w:val="13"/>
            <w:szCs w:val="13"/>
            <w:u w:val="single" w:color="auto"/>
            <w:color w:val="0000EE"/>
          </w:rPr>
          <w:t>000121390025036745/ea0239935-01_424b2.htm</w:t>
        </w:r>
      </w:hyperlink>
      <w:r>
        <w:rPr>
          <w:rFonts w:ascii="Arial" w:cs="Arial" w:eastAsia="Arial" w:hAnsi="Arial"/>
          <w:sz w:val="13"/>
          <w:szCs w:val="13"/>
          <w:color w:val="0000EE"/>
        </w:rPr>
        <w:t xml:space="preserve"> </w:t>
      </w:r>
      <w:r>
        <w:rPr>
          <w:rFonts w:ascii="Arial" w:cs="Arial" w:eastAsia="Arial" w:hAnsi="Arial"/>
          <w:sz w:val="13"/>
          <w:szCs w:val="13"/>
          <w:b w:val="1"/>
          <w:bCs w:val="1"/>
          <w:color w:val="296DC1"/>
        </w:rPr>
        <w:t>supplement:</w:t>
      </w:r>
    </w:p>
    <w:p>
      <w:pPr>
        <w:ind w:left="80"/>
        <w:spacing w:after="0" w:line="212" w:lineRule="auto"/>
        <w:rPr>
          <w:sz w:val="20"/>
          <w:szCs w:val="20"/>
          <w:color w:val="auto"/>
        </w:rPr>
      </w:pPr>
      <w:r>
        <w:rPr>
          <w:rFonts w:ascii="Arial" w:cs="Arial" w:eastAsia="Arial" w:hAnsi="Arial"/>
          <w:sz w:val="20"/>
          <w:szCs w:val="20"/>
          <w:color w:val="auto"/>
          <w:vertAlign w:val="superscript"/>
        </w:rPr>
        <w:t>†</w:t>
      </w:r>
      <w:r>
        <w:rPr>
          <w:rFonts w:ascii="Arial" w:cs="Arial" w:eastAsia="Arial" w:hAnsi="Arial"/>
          <w:sz w:val="14"/>
          <w:szCs w:val="14"/>
          <w:color w:val="auto"/>
        </w:rPr>
        <w:t>Subject to postponement</w:t>
      </w:r>
    </w:p>
    <w:p>
      <w:pPr>
        <w:ind w:left="80" w:right="60"/>
        <w:spacing w:after="0" w:line="245" w:lineRule="auto"/>
        <w:rPr>
          <w:sz w:val="20"/>
          <w:szCs w:val="20"/>
          <w:color w:val="auto"/>
        </w:rPr>
      </w:pPr>
      <w:r>
        <w:rPr>
          <w:rFonts w:ascii="Arial" w:cs="Arial" w:eastAsia="Arial" w:hAnsi="Arial"/>
          <w:sz w:val="14"/>
          <w:szCs w:val="14"/>
          <w:color w:val="auto"/>
        </w:rPr>
        <w:t>The estimated value of the Trigger PLUS on the pricing date will be provided in the pricing supplement and will not be less than $930.00 per $1,000 stated principal amount Trigger PLUS. For information about the estimated value of the Trigger PLUS, which likely will be lower than the price you paid for the Trigger PLUS, please see the hyperlink above.</w:t>
      </w:r>
    </w:p>
    <w:p>
      <w:pPr>
        <w:spacing w:after="0" w:line="2" w:lineRule="exact"/>
        <w:rPr>
          <w:sz w:val="20"/>
          <w:szCs w:val="20"/>
          <w:color w:val="auto"/>
        </w:rPr>
      </w:pPr>
    </w:p>
    <w:p>
      <w:pPr>
        <w:ind w:left="80" w:right="20"/>
        <w:spacing w:after="0" w:line="248" w:lineRule="auto"/>
        <w:rPr>
          <w:sz w:val="20"/>
          <w:szCs w:val="20"/>
          <w:color w:val="auto"/>
        </w:rPr>
      </w:pPr>
      <w:r>
        <w:rPr>
          <w:rFonts w:ascii="Arial" w:cs="Arial" w:eastAsia="Arial" w:hAnsi="Arial"/>
          <w:sz w:val="14"/>
          <w:szCs w:val="14"/>
          <w:color w:val="auto"/>
        </w:rPr>
        <w:t>Any payment on the Trigger PLUS is subject to the credit risk of JPMorgan Financial, as issuer of the Trigger PLUS, and the credit risk of JPMorgan Chase &amp; Co., as guarantor of the Trigger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561080" cy="111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561080" cy="11112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4"/>
          <w:szCs w:val="14"/>
          <w:b w:val="1"/>
          <w:bCs w:val="1"/>
          <w:color w:val="296DC1"/>
        </w:rPr>
        <w:t>Auto-Callable Dual Directional Trigger PLUS Payoff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3561080" cy="1911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56108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60" w:type="dxa"/>
            <w:vAlign w:val="bottom"/>
            <w:tcBorders>
              <w:bottom w:val="single" w:sz="8" w:color="296DC1"/>
            </w:tcBorders>
            <w:shd w:val="clear" w:color="auto" w:fill="296DC1"/>
          </w:tcPr>
          <w:p>
            <w:pPr>
              <w:ind w:left="580"/>
              <w:spacing w:after="0"/>
              <w:rPr>
                <w:sz w:val="20"/>
                <w:szCs w:val="20"/>
                <w:color w:val="auto"/>
              </w:rPr>
            </w:pPr>
            <w:r>
              <w:rPr>
                <w:rFonts w:ascii="Arial" w:cs="Arial" w:eastAsia="Arial" w:hAnsi="Arial"/>
                <w:sz w:val="14"/>
                <w:szCs w:val="14"/>
                <w:color w:val="FFFFFF"/>
              </w:rPr>
              <w:t>Change in Underlying Stock</w:t>
            </w:r>
          </w:p>
        </w:tc>
        <w:tc>
          <w:tcPr>
            <w:tcW w:w="2620" w:type="dxa"/>
            <w:vAlign w:val="bottom"/>
            <w:tcBorders>
              <w:bottom w:val="single" w:sz="8" w:color="296DC1"/>
            </w:tcBorders>
            <w:shd w:val="clear" w:color="auto" w:fill="296DC1"/>
          </w:tcPr>
          <w:p>
            <w:pPr>
              <w:ind w:left="480"/>
              <w:spacing w:after="0"/>
              <w:rPr>
                <w:sz w:val="20"/>
                <w:szCs w:val="20"/>
                <w:color w:val="auto"/>
              </w:rPr>
            </w:pPr>
            <w:r>
              <w:rPr>
                <w:rFonts w:ascii="Arial" w:cs="Arial" w:eastAsia="Arial" w:hAnsi="Arial"/>
                <w:sz w:val="14"/>
                <w:szCs w:val="14"/>
                <w:color w:val="FFFFFF"/>
              </w:rPr>
              <w:t>Return on the Trigger PLUS</w:t>
            </w:r>
          </w:p>
        </w:tc>
      </w:tr>
      <w:tr>
        <w:trPr>
          <w:trHeight w:val="162"/>
        </w:trPr>
        <w:tc>
          <w:tcPr>
            <w:tcW w:w="2860" w:type="dxa"/>
            <w:vAlign w:val="bottom"/>
          </w:tcPr>
          <w:p>
            <w:pPr>
              <w:jc w:val="center"/>
              <w:ind w:left="28"/>
              <w:spacing w:after="0"/>
              <w:rPr>
                <w:sz w:val="20"/>
                <w:szCs w:val="20"/>
                <w:color w:val="auto"/>
              </w:rPr>
            </w:pPr>
            <w:r>
              <w:rPr>
                <w:rFonts w:ascii="Arial" w:cs="Arial" w:eastAsia="Arial" w:hAnsi="Arial"/>
                <w:sz w:val="14"/>
                <w:szCs w:val="14"/>
                <w:color w:val="auto"/>
              </w:rPr>
              <w:t>50.00%</w:t>
            </w:r>
          </w:p>
        </w:tc>
        <w:tc>
          <w:tcPr>
            <w:tcW w:w="2620" w:type="dxa"/>
            <w:vAlign w:val="bottom"/>
          </w:tcPr>
          <w:p>
            <w:pPr>
              <w:jc w:val="center"/>
              <w:ind w:left="48"/>
              <w:spacing w:after="0"/>
              <w:rPr>
                <w:sz w:val="20"/>
                <w:szCs w:val="20"/>
                <w:color w:val="auto"/>
              </w:rPr>
            </w:pPr>
            <w:r>
              <w:rPr>
                <w:rFonts w:ascii="Arial" w:cs="Arial" w:eastAsia="Arial" w:hAnsi="Arial"/>
                <w:sz w:val="14"/>
                <w:szCs w:val="14"/>
                <w:color w:val="auto"/>
              </w:rPr>
              <w:t>75.00%</w:t>
            </w:r>
          </w:p>
        </w:tc>
      </w:tr>
      <w:tr>
        <w:trPr>
          <w:trHeight w:val="162"/>
        </w:trPr>
        <w:tc>
          <w:tcPr>
            <w:tcW w:w="2860" w:type="dxa"/>
            <w:vAlign w:val="bottom"/>
            <w:shd w:val="clear" w:color="auto" w:fill="D9D9D9"/>
          </w:tcPr>
          <w:p>
            <w:pPr>
              <w:jc w:val="center"/>
              <w:ind w:left="28"/>
              <w:spacing w:after="0"/>
              <w:rPr>
                <w:sz w:val="20"/>
                <w:szCs w:val="20"/>
                <w:color w:val="auto"/>
              </w:rPr>
            </w:pPr>
            <w:r>
              <w:rPr>
                <w:rFonts w:ascii="Arial" w:cs="Arial" w:eastAsia="Arial" w:hAnsi="Arial"/>
                <w:sz w:val="14"/>
                <w:szCs w:val="14"/>
                <w:color w:val="auto"/>
              </w:rPr>
              <w:t>40.00%</w:t>
            </w:r>
          </w:p>
        </w:tc>
        <w:tc>
          <w:tcPr>
            <w:tcW w:w="262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60.00%</w:t>
            </w:r>
          </w:p>
        </w:tc>
      </w:tr>
      <w:tr>
        <w:trPr>
          <w:trHeight w:val="162"/>
        </w:trPr>
        <w:tc>
          <w:tcPr>
            <w:tcW w:w="2860" w:type="dxa"/>
            <w:vAlign w:val="bottom"/>
          </w:tcPr>
          <w:p>
            <w:pPr>
              <w:jc w:val="center"/>
              <w:ind w:left="28"/>
              <w:spacing w:after="0"/>
              <w:rPr>
                <w:sz w:val="20"/>
                <w:szCs w:val="20"/>
                <w:color w:val="auto"/>
              </w:rPr>
            </w:pPr>
            <w:r>
              <w:rPr>
                <w:rFonts w:ascii="Arial" w:cs="Arial" w:eastAsia="Arial" w:hAnsi="Arial"/>
                <w:sz w:val="14"/>
                <w:szCs w:val="14"/>
                <w:color w:val="auto"/>
              </w:rPr>
              <w:t>30.00%</w:t>
            </w:r>
          </w:p>
        </w:tc>
        <w:tc>
          <w:tcPr>
            <w:tcW w:w="2620" w:type="dxa"/>
            <w:vAlign w:val="bottom"/>
          </w:tcPr>
          <w:p>
            <w:pPr>
              <w:jc w:val="center"/>
              <w:ind w:left="48"/>
              <w:spacing w:after="0"/>
              <w:rPr>
                <w:sz w:val="20"/>
                <w:szCs w:val="20"/>
                <w:color w:val="auto"/>
              </w:rPr>
            </w:pPr>
            <w:r>
              <w:rPr>
                <w:rFonts w:ascii="Arial" w:cs="Arial" w:eastAsia="Arial" w:hAnsi="Arial"/>
                <w:sz w:val="14"/>
                <w:szCs w:val="14"/>
                <w:color w:val="auto"/>
              </w:rPr>
              <w:t>45.00%</w:t>
            </w:r>
          </w:p>
        </w:tc>
      </w:tr>
      <w:tr>
        <w:trPr>
          <w:trHeight w:val="162"/>
        </w:trPr>
        <w:tc>
          <w:tcPr>
            <w:tcW w:w="2860" w:type="dxa"/>
            <w:vAlign w:val="bottom"/>
            <w:shd w:val="clear" w:color="auto" w:fill="D9D9D9"/>
          </w:tcPr>
          <w:p>
            <w:pPr>
              <w:jc w:val="center"/>
              <w:ind w:left="28"/>
              <w:spacing w:after="0"/>
              <w:rPr>
                <w:sz w:val="20"/>
                <w:szCs w:val="20"/>
                <w:color w:val="auto"/>
              </w:rPr>
            </w:pPr>
            <w:r>
              <w:rPr>
                <w:rFonts w:ascii="Arial" w:cs="Arial" w:eastAsia="Arial" w:hAnsi="Arial"/>
                <w:sz w:val="14"/>
                <w:szCs w:val="14"/>
                <w:color w:val="auto"/>
              </w:rPr>
              <w:t>20.00%</w:t>
            </w:r>
          </w:p>
        </w:tc>
        <w:tc>
          <w:tcPr>
            <w:tcW w:w="262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30.00%</w:t>
            </w:r>
          </w:p>
        </w:tc>
      </w:tr>
      <w:tr>
        <w:trPr>
          <w:trHeight w:val="162"/>
        </w:trPr>
        <w:tc>
          <w:tcPr>
            <w:tcW w:w="2860" w:type="dxa"/>
            <w:vAlign w:val="bottom"/>
          </w:tcPr>
          <w:p>
            <w:pPr>
              <w:jc w:val="center"/>
              <w:ind w:left="28"/>
              <w:spacing w:after="0"/>
              <w:rPr>
                <w:sz w:val="20"/>
                <w:szCs w:val="20"/>
                <w:color w:val="auto"/>
              </w:rPr>
            </w:pPr>
            <w:r>
              <w:rPr>
                <w:rFonts w:ascii="Arial" w:cs="Arial" w:eastAsia="Arial" w:hAnsi="Arial"/>
                <w:sz w:val="14"/>
                <w:szCs w:val="14"/>
                <w:color w:val="auto"/>
              </w:rPr>
              <w:t>10.00%</w:t>
            </w:r>
          </w:p>
        </w:tc>
        <w:tc>
          <w:tcPr>
            <w:tcW w:w="2620" w:type="dxa"/>
            <w:vAlign w:val="bottom"/>
          </w:tcPr>
          <w:p>
            <w:pPr>
              <w:jc w:val="center"/>
              <w:ind w:left="48"/>
              <w:spacing w:after="0"/>
              <w:rPr>
                <w:sz w:val="20"/>
                <w:szCs w:val="20"/>
                <w:color w:val="auto"/>
              </w:rPr>
            </w:pPr>
            <w:r>
              <w:rPr>
                <w:rFonts w:ascii="Arial" w:cs="Arial" w:eastAsia="Arial" w:hAnsi="Arial"/>
                <w:sz w:val="14"/>
                <w:szCs w:val="14"/>
                <w:color w:val="auto"/>
              </w:rPr>
              <w:t>15.00%</w:t>
            </w:r>
          </w:p>
        </w:tc>
      </w:tr>
      <w:tr>
        <w:trPr>
          <w:trHeight w:val="162"/>
        </w:trPr>
        <w:tc>
          <w:tcPr>
            <w:tcW w:w="2860" w:type="dxa"/>
            <w:vAlign w:val="bottom"/>
            <w:shd w:val="clear" w:color="auto" w:fill="D9D9D9"/>
          </w:tcPr>
          <w:p>
            <w:pPr>
              <w:jc w:val="center"/>
              <w:ind w:left="28"/>
              <w:spacing w:after="0"/>
              <w:rPr>
                <w:sz w:val="20"/>
                <w:szCs w:val="20"/>
                <w:color w:val="auto"/>
              </w:rPr>
            </w:pPr>
            <w:r>
              <w:rPr>
                <w:rFonts w:ascii="Arial" w:cs="Arial" w:eastAsia="Arial" w:hAnsi="Arial"/>
                <w:sz w:val="14"/>
                <w:szCs w:val="14"/>
                <w:color w:val="auto"/>
              </w:rPr>
              <w:t>5.00%</w:t>
            </w:r>
          </w:p>
        </w:tc>
        <w:tc>
          <w:tcPr>
            <w:tcW w:w="262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7.50%</w:t>
            </w:r>
          </w:p>
        </w:tc>
      </w:tr>
      <w:tr>
        <w:trPr>
          <w:trHeight w:val="162"/>
        </w:trPr>
        <w:tc>
          <w:tcPr>
            <w:tcW w:w="2860" w:type="dxa"/>
            <w:vAlign w:val="bottom"/>
          </w:tcPr>
          <w:p>
            <w:pPr>
              <w:jc w:val="center"/>
              <w:ind w:left="28"/>
              <w:spacing w:after="0"/>
              <w:rPr>
                <w:sz w:val="20"/>
                <w:szCs w:val="20"/>
                <w:color w:val="auto"/>
              </w:rPr>
            </w:pPr>
            <w:r>
              <w:rPr>
                <w:rFonts w:ascii="Arial" w:cs="Arial" w:eastAsia="Arial" w:hAnsi="Arial"/>
                <w:sz w:val="14"/>
                <w:szCs w:val="14"/>
                <w:color w:val="auto"/>
              </w:rPr>
              <w:t>1.00%</w:t>
            </w:r>
          </w:p>
        </w:tc>
        <w:tc>
          <w:tcPr>
            <w:tcW w:w="2620" w:type="dxa"/>
            <w:vAlign w:val="bottom"/>
          </w:tcPr>
          <w:p>
            <w:pPr>
              <w:jc w:val="center"/>
              <w:ind w:left="48"/>
              <w:spacing w:after="0"/>
              <w:rPr>
                <w:sz w:val="20"/>
                <w:szCs w:val="20"/>
                <w:color w:val="auto"/>
              </w:rPr>
            </w:pPr>
            <w:r>
              <w:rPr>
                <w:rFonts w:ascii="Arial" w:cs="Arial" w:eastAsia="Arial" w:hAnsi="Arial"/>
                <w:sz w:val="14"/>
                <w:szCs w:val="14"/>
                <w:color w:val="auto"/>
              </w:rPr>
              <w:t>1.50%</w:t>
            </w:r>
          </w:p>
        </w:tc>
      </w:tr>
      <w:tr>
        <w:trPr>
          <w:trHeight w:val="162"/>
        </w:trPr>
        <w:tc>
          <w:tcPr>
            <w:tcW w:w="2860" w:type="dxa"/>
            <w:vAlign w:val="bottom"/>
            <w:shd w:val="clear" w:color="auto" w:fill="D9D9D9"/>
          </w:tcPr>
          <w:p>
            <w:pPr>
              <w:jc w:val="center"/>
              <w:ind w:left="28"/>
              <w:spacing w:after="0"/>
              <w:rPr>
                <w:sz w:val="20"/>
                <w:szCs w:val="20"/>
                <w:color w:val="auto"/>
              </w:rPr>
            </w:pPr>
            <w:r>
              <w:rPr>
                <w:rFonts w:ascii="Arial" w:cs="Arial" w:eastAsia="Arial" w:hAnsi="Arial"/>
                <w:sz w:val="14"/>
                <w:szCs w:val="14"/>
                <w:color w:val="auto"/>
              </w:rPr>
              <w:t>0.00%</w:t>
            </w:r>
          </w:p>
        </w:tc>
        <w:tc>
          <w:tcPr>
            <w:tcW w:w="262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0.00%</w:t>
            </w:r>
          </w:p>
        </w:tc>
      </w:tr>
      <w:tr>
        <w:trPr>
          <w:trHeight w:val="162"/>
        </w:trPr>
        <w:tc>
          <w:tcPr>
            <w:tcW w:w="2860" w:type="dxa"/>
            <w:vAlign w:val="bottom"/>
          </w:tcPr>
          <w:p>
            <w:pPr>
              <w:jc w:val="center"/>
              <w:ind w:left="28"/>
              <w:spacing w:after="0"/>
              <w:rPr>
                <w:sz w:val="20"/>
                <w:szCs w:val="20"/>
                <w:color w:val="auto"/>
              </w:rPr>
            </w:pPr>
            <w:r>
              <w:rPr>
                <w:rFonts w:ascii="Arial" w:cs="Arial" w:eastAsia="Arial" w:hAnsi="Arial"/>
                <w:sz w:val="14"/>
                <w:szCs w:val="14"/>
                <w:color w:val="auto"/>
                <w:w w:val="99"/>
              </w:rPr>
              <w:t>-5.00%</w:t>
            </w:r>
          </w:p>
        </w:tc>
        <w:tc>
          <w:tcPr>
            <w:tcW w:w="2620" w:type="dxa"/>
            <w:vAlign w:val="bottom"/>
          </w:tcPr>
          <w:p>
            <w:pPr>
              <w:jc w:val="center"/>
              <w:ind w:left="48"/>
              <w:spacing w:after="0"/>
              <w:rPr>
                <w:sz w:val="20"/>
                <w:szCs w:val="20"/>
                <w:color w:val="auto"/>
              </w:rPr>
            </w:pPr>
            <w:r>
              <w:rPr>
                <w:rFonts w:ascii="Arial" w:cs="Arial" w:eastAsia="Arial" w:hAnsi="Arial"/>
                <w:sz w:val="14"/>
                <w:szCs w:val="14"/>
                <w:color w:val="auto"/>
              </w:rPr>
              <w:t>5.00%</w:t>
            </w:r>
          </w:p>
        </w:tc>
      </w:tr>
      <w:tr>
        <w:trPr>
          <w:trHeight w:val="162"/>
        </w:trPr>
        <w:tc>
          <w:tcPr>
            <w:tcW w:w="2860" w:type="dxa"/>
            <w:vAlign w:val="bottom"/>
            <w:shd w:val="clear" w:color="auto" w:fill="D9D9D9"/>
          </w:tcPr>
          <w:p>
            <w:pPr>
              <w:jc w:val="center"/>
              <w:ind w:left="28"/>
              <w:spacing w:after="0"/>
              <w:rPr>
                <w:sz w:val="20"/>
                <w:szCs w:val="20"/>
                <w:color w:val="auto"/>
              </w:rPr>
            </w:pPr>
            <w:r>
              <w:rPr>
                <w:rFonts w:ascii="Arial" w:cs="Arial" w:eastAsia="Arial" w:hAnsi="Arial"/>
                <w:sz w:val="14"/>
                <w:szCs w:val="14"/>
                <w:color w:val="auto"/>
                <w:w w:val="99"/>
              </w:rPr>
              <w:t>-10.00%</w:t>
            </w:r>
          </w:p>
        </w:tc>
        <w:tc>
          <w:tcPr>
            <w:tcW w:w="262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10.00%</w:t>
            </w:r>
          </w:p>
        </w:tc>
      </w:tr>
      <w:tr>
        <w:trPr>
          <w:trHeight w:val="162"/>
        </w:trPr>
        <w:tc>
          <w:tcPr>
            <w:tcW w:w="2860" w:type="dxa"/>
            <w:vAlign w:val="bottom"/>
          </w:tcPr>
          <w:p>
            <w:pPr>
              <w:jc w:val="center"/>
              <w:ind w:left="28"/>
              <w:spacing w:after="0"/>
              <w:rPr>
                <w:sz w:val="20"/>
                <w:szCs w:val="20"/>
                <w:color w:val="auto"/>
              </w:rPr>
            </w:pPr>
            <w:r>
              <w:rPr>
                <w:rFonts w:ascii="Arial" w:cs="Arial" w:eastAsia="Arial" w:hAnsi="Arial"/>
                <w:sz w:val="14"/>
                <w:szCs w:val="14"/>
                <w:color w:val="auto"/>
                <w:w w:val="99"/>
              </w:rPr>
              <w:t>-20.00%</w:t>
            </w:r>
          </w:p>
        </w:tc>
        <w:tc>
          <w:tcPr>
            <w:tcW w:w="2620" w:type="dxa"/>
            <w:vAlign w:val="bottom"/>
          </w:tcPr>
          <w:p>
            <w:pPr>
              <w:jc w:val="center"/>
              <w:ind w:left="48"/>
              <w:spacing w:after="0"/>
              <w:rPr>
                <w:sz w:val="20"/>
                <w:szCs w:val="20"/>
                <w:color w:val="auto"/>
              </w:rPr>
            </w:pPr>
            <w:r>
              <w:rPr>
                <w:rFonts w:ascii="Arial" w:cs="Arial" w:eastAsia="Arial" w:hAnsi="Arial"/>
                <w:sz w:val="14"/>
                <w:szCs w:val="14"/>
                <w:color w:val="auto"/>
              </w:rPr>
              <w:t>20.00%</w:t>
            </w:r>
          </w:p>
        </w:tc>
      </w:tr>
      <w:tr>
        <w:trPr>
          <w:trHeight w:val="162"/>
        </w:trPr>
        <w:tc>
          <w:tcPr>
            <w:tcW w:w="2860" w:type="dxa"/>
            <w:vAlign w:val="bottom"/>
            <w:shd w:val="clear" w:color="auto" w:fill="D9D9D9"/>
          </w:tcPr>
          <w:p>
            <w:pPr>
              <w:jc w:val="center"/>
              <w:ind w:left="28"/>
              <w:spacing w:after="0"/>
              <w:rPr>
                <w:sz w:val="20"/>
                <w:szCs w:val="20"/>
                <w:color w:val="auto"/>
              </w:rPr>
            </w:pPr>
            <w:r>
              <w:rPr>
                <w:rFonts w:ascii="Arial" w:cs="Arial" w:eastAsia="Arial" w:hAnsi="Arial"/>
                <w:sz w:val="14"/>
                <w:szCs w:val="14"/>
                <w:color w:val="auto"/>
                <w:w w:val="99"/>
              </w:rPr>
              <w:t>-30.00%</w:t>
            </w:r>
          </w:p>
        </w:tc>
        <w:tc>
          <w:tcPr>
            <w:tcW w:w="262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30.00%</w:t>
            </w:r>
          </w:p>
        </w:tc>
      </w:tr>
      <w:tr>
        <w:trPr>
          <w:trHeight w:val="162"/>
        </w:trPr>
        <w:tc>
          <w:tcPr>
            <w:tcW w:w="2860" w:type="dxa"/>
            <w:vAlign w:val="bottom"/>
          </w:tcPr>
          <w:p>
            <w:pPr>
              <w:jc w:val="center"/>
              <w:ind w:left="28"/>
              <w:spacing w:after="0"/>
              <w:rPr>
                <w:sz w:val="20"/>
                <w:szCs w:val="20"/>
                <w:color w:val="auto"/>
              </w:rPr>
            </w:pPr>
            <w:r>
              <w:rPr>
                <w:rFonts w:ascii="Arial" w:cs="Arial" w:eastAsia="Arial" w:hAnsi="Arial"/>
                <w:sz w:val="14"/>
                <w:szCs w:val="14"/>
                <w:color w:val="auto"/>
                <w:w w:val="99"/>
              </w:rPr>
              <w:t>-35.00%</w:t>
            </w:r>
          </w:p>
        </w:tc>
        <w:tc>
          <w:tcPr>
            <w:tcW w:w="2620" w:type="dxa"/>
            <w:vAlign w:val="bottom"/>
          </w:tcPr>
          <w:p>
            <w:pPr>
              <w:jc w:val="center"/>
              <w:ind w:left="48"/>
              <w:spacing w:after="0"/>
              <w:rPr>
                <w:sz w:val="20"/>
                <w:szCs w:val="20"/>
                <w:color w:val="auto"/>
              </w:rPr>
            </w:pPr>
            <w:r>
              <w:rPr>
                <w:rFonts w:ascii="Arial" w:cs="Arial" w:eastAsia="Arial" w:hAnsi="Arial"/>
                <w:sz w:val="14"/>
                <w:szCs w:val="14"/>
                <w:color w:val="auto"/>
              </w:rPr>
              <w:t>35.00%</w:t>
            </w:r>
          </w:p>
        </w:tc>
      </w:tr>
      <w:tr>
        <w:trPr>
          <w:trHeight w:val="162"/>
        </w:trPr>
        <w:tc>
          <w:tcPr>
            <w:tcW w:w="2860" w:type="dxa"/>
            <w:vAlign w:val="bottom"/>
            <w:shd w:val="clear" w:color="auto" w:fill="D9D9D9"/>
          </w:tcPr>
          <w:p>
            <w:pPr>
              <w:jc w:val="center"/>
              <w:ind w:left="28"/>
              <w:spacing w:after="0"/>
              <w:rPr>
                <w:sz w:val="20"/>
                <w:szCs w:val="20"/>
                <w:color w:val="auto"/>
              </w:rPr>
            </w:pPr>
            <w:r>
              <w:rPr>
                <w:rFonts w:ascii="Arial" w:cs="Arial" w:eastAsia="Arial" w:hAnsi="Arial"/>
                <w:sz w:val="14"/>
                <w:szCs w:val="14"/>
                <w:color w:val="auto"/>
                <w:w w:val="99"/>
              </w:rPr>
              <w:t>-35.01%</w:t>
            </w:r>
          </w:p>
        </w:tc>
        <w:tc>
          <w:tcPr>
            <w:tcW w:w="262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-35.01%</w:t>
            </w:r>
          </w:p>
        </w:tc>
      </w:tr>
      <w:tr>
        <w:trPr>
          <w:trHeight w:val="162"/>
        </w:trPr>
        <w:tc>
          <w:tcPr>
            <w:tcW w:w="2860" w:type="dxa"/>
            <w:vAlign w:val="bottom"/>
          </w:tcPr>
          <w:p>
            <w:pPr>
              <w:jc w:val="center"/>
              <w:ind w:left="28"/>
              <w:spacing w:after="0"/>
              <w:rPr>
                <w:sz w:val="20"/>
                <w:szCs w:val="20"/>
                <w:color w:val="auto"/>
              </w:rPr>
            </w:pPr>
            <w:r>
              <w:rPr>
                <w:rFonts w:ascii="Arial" w:cs="Arial" w:eastAsia="Arial" w:hAnsi="Arial"/>
                <w:sz w:val="14"/>
                <w:szCs w:val="14"/>
                <w:color w:val="auto"/>
                <w:w w:val="99"/>
              </w:rPr>
              <w:t>-40.00%</w:t>
            </w:r>
          </w:p>
        </w:tc>
        <w:tc>
          <w:tcPr>
            <w:tcW w:w="2620" w:type="dxa"/>
            <w:vAlign w:val="bottom"/>
          </w:tcPr>
          <w:p>
            <w:pPr>
              <w:jc w:val="center"/>
              <w:ind w:left="48"/>
              <w:spacing w:after="0"/>
              <w:rPr>
                <w:sz w:val="20"/>
                <w:szCs w:val="20"/>
                <w:color w:val="auto"/>
              </w:rPr>
            </w:pPr>
            <w:r>
              <w:rPr>
                <w:rFonts w:ascii="Arial" w:cs="Arial" w:eastAsia="Arial" w:hAnsi="Arial"/>
                <w:sz w:val="14"/>
                <w:szCs w:val="14"/>
                <w:color w:val="auto"/>
              </w:rPr>
              <w:t>-40.00%</w:t>
            </w:r>
          </w:p>
        </w:tc>
      </w:tr>
      <w:tr>
        <w:trPr>
          <w:trHeight w:val="162"/>
        </w:trPr>
        <w:tc>
          <w:tcPr>
            <w:tcW w:w="2860" w:type="dxa"/>
            <w:vAlign w:val="bottom"/>
            <w:shd w:val="clear" w:color="auto" w:fill="D9D9D9"/>
          </w:tcPr>
          <w:p>
            <w:pPr>
              <w:jc w:val="center"/>
              <w:ind w:left="28"/>
              <w:spacing w:after="0"/>
              <w:rPr>
                <w:sz w:val="20"/>
                <w:szCs w:val="20"/>
                <w:color w:val="auto"/>
              </w:rPr>
            </w:pPr>
            <w:r>
              <w:rPr>
                <w:rFonts w:ascii="Arial" w:cs="Arial" w:eastAsia="Arial" w:hAnsi="Arial"/>
                <w:sz w:val="14"/>
                <w:szCs w:val="14"/>
                <w:color w:val="auto"/>
                <w:w w:val="99"/>
              </w:rPr>
              <w:t>-50.00%</w:t>
            </w:r>
          </w:p>
        </w:tc>
        <w:tc>
          <w:tcPr>
            <w:tcW w:w="262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-50.00%</w:t>
            </w:r>
          </w:p>
        </w:tc>
      </w:tr>
      <w:tr>
        <w:trPr>
          <w:trHeight w:val="162"/>
        </w:trPr>
        <w:tc>
          <w:tcPr>
            <w:tcW w:w="2860" w:type="dxa"/>
            <w:vAlign w:val="bottom"/>
          </w:tcPr>
          <w:p>
            <w:pPr>
              <w:jc w:val="center"/>
              <w:ind w:left="28"/>
              <w:spacing w:after="0"/>
              <w:rPr>
                <w:sz w:val="20"/>
                <w:szCs w:val="20"/>
                <w:color w:val="auto"/>
              </w:rPr>
            </w:pPr>
            <w:r>
              <w:rPr>
                <w:rFonts w:ascii="Arial" w:cs="Arial" w:eastAsia="Arial" w:hAnsi="Arial"/>
                <w:sz w:val="14"/>
                <w:szCs w:val="14"/>
                <w:color w:val="auto"/>
                <w:w w:val="99"/>
              </w:rPr>
              <w:t>-60.00%</w:t>
            </w:r>
          </w:p>
        </w:tc>
        <w:tc>
          <w:tcPr>
            <w:tcW w:w="2620" w:type="dxa"/>
            <w:vAlign w:val="bottom"/>
          </w:tcPr>
          <w:p>
            <w:pPr>
              <w:jc w:val="center"/>
              <w:ind w:left="48"/>
              <w:spacing w:after="0"/>
              <w:rPr>
                <w:sz w:val="20"/>
                <w:szCs w:val="20"/>
                <w:color w:val="auto"/>
              </w:rPr>
            </w:pPr>
            <w:r>
              <w:rPr>
                <w:rFonts w:ascii="Arial" w:cs="Arial" w:eastAsia="Arial" w:hAnsi="Arial"/>
                <w:sz w:val="14"/>
                <w:szCs w:val="14"/>
                <w:color w:val="auto"/>
              </w:rPr>
              <w:t>-60.00%</w:t>
            </w:r>
          </w:p>
        </w:tc>
      </w:tr>
      <w:tr>
        <w:trPr>
          <w:trHeight w:val="162"/>
        </w:trPr>
        <w:tc>
          <w:tcPr>
            <w:tcW w:w="2860" w:type="dxa"/>
            <w:vAlign w:val="bottom"/>
            <w:shd w:val="clear" w:color="auto" w:fill="D9D9D9"/>
          </w:tcPr>
          <w:p>
            <w:pPr>
              <w:jc w:val="center"/>
              <w:ind w:left="28"/>
              <w:spacing w:after="0"/>
              <w:rPr>
                <w:sz w:val="20"/>
                <w:szCs w:val="20"/>
                <w:color w:val="auto"/>
              </w:rPr>
            </w:pPr>
            <w:r>
              <w:rPr>
                <w:rFonts w:ascii="Arial" w:cs="Arial" w:eastAsia="Arial" w:hAnsi="Arial"/>
                <w:sz w:val="14"/>
                <w:szCs w:val="14"/>
                <w:color w:val="auto"/>
                <w:w w:val="99"/>
              </w:rPr>
              <w:t>-80.00%</w:t>
            </w:r>
          </w:p>
        </w:tc>
        <w:tc>
          <w:tcPr>
            <w:tcW w:w="262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-80.00%</w:t>
            </w:r>
          </w:p>
        </w:tc>
      </w:tr>
      <w:tr>
        <w:trPr>
          <w:trHeight w:val="190"/>
        </w:trPr>
        <w:tc>
          <w:tcPr>
            <w:tcW w:w="2860" w:type="dxa"/>
            <w:vAlign w:val="bottom"/>
          </w:tcPr>
          <w:p>
            <w:pPr>
              <w:jc w:val="center"/>
              <w:ind w:left="28"/>
              <w:spacing w:after="0"/>
              <w:rPr>
                <w:sz w:val="20"/>
                <w:szCs w:val="20"/>
                <w:color w:val="auto"/>
              </w:rPr>
            </w:pPr>
            <w:r>
              <w:rPr>
                <w:rFonts w:ascii="Arial" w:cs="Arial" w:eastAsia="Arial" w:hAnsi="Arial"/>
                <w:sz w:val="14"/>
                <w:szCs w:val="14"/>
                <w:color w:val="auto"/>
              </w:rPr>
              <w:t>-100.00%</w:t>
            </w:r>
          </w:p>
        </w:tc>
        <w:tc>
          <w:tcPr>
            <w:tcW w:w="2620" w:type="dxa"/>
            <w:vAlign w:val="bottom"/>
          </w:tcPr>
          <w:p>
            <w:pPr>
              <w:jc w:val="center"/>
              <w:ind w:left="48"/>
              <w:spacing w:after="0"/>
              <w:rPr>
                <w:sz w:val="20"/>
                <w:szCs w:val="20"/>
                <w:color w:val="auto"/>
              </w:rPr>
            </w:pPr>
            <w:r>
              <w:rPr>
                <w:rFonts w:ascii="Arial" w:cs="Arial" w:eastAsia="Arial" w:hAnsi="Arial"/>
                <w:sz w:val="14"/>
                <w:szCs w:val="14"/>
                <w:color w:val="auto"/>
              </w:rPr>
              <w:t>-100.00%</w:t>
            </w:r>
          </w:p>
        </w:tc>
      </w:tr>
    </w:tbl>
    <w:p>
      <w:pPr>
        <w:sectPr>
          <w:pgSz w:w="11900" w:h="16838" w:orient="portrait"/>
          <w:cols w:equalWidth="0" w:num="2">
            <w:col w:w="5500" w:space="240"/>
            <w:col w:w="5500"/>
          </w:cols>
          <w:pgMar w:left="320" w:top="21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14" w:lineRule="exact"/>
        <w:rPr>
          <w:sz w:val="20"/>
          <w:szCs w:val="20"/>
          <w:color w:val="auto"/>
        </w:rPr>
      </w:pPr>
    </w:p>
    <w:p>
      <w:pPr>
        <w:spacing w:after="0"/>
        <w:rPr>
          <w:sz w:val="20"/>
          <w:szCs w:val="20"/>
          <w:color w:val="auto"/>
        </w:rPr>
      </w:pPr>
      <w:r>
        <w:rPr>
          <w:rFonts w:ascii="Arial" w:cs="Arial" w:eastAsia="Arial" w:hAnsi="Arial"/>
          <w:sz w:val="29"/>
          <w:szCs w:val="29"/>
          <w:color w:val="296DC1"/>
        </w:rPr>
        <w:t>2-Year NVDA Auto-Callable Dual Directional Trigger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color w:val="296DC1"/>
        </w:rPr>
        <w:t>Underlying Stock</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the underlying stock, including historical performance information, see the accompanying preliminary pricing supplement.</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color w:val="296DC1"/>
        </w:rPr>
        <w:t>Risk Considerations</w:t>
      </w:r>
    </w:p>
    <w:p>
      <w:pPr>
        <w:spacing w:after="0" w:line="72"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The risks identified below are not exhaustive. Please see “Risk Factors” in the accompanying prospectus supplement, product supplement and preliminary pricing supplement and Annex A to the accompanying prospectus addendum for additional information.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Trigger PLUS Generally</w:t>
      </w:r>
    </w:p>
    <w:p>
      <w:pPr>
        <w:spacing w:after="0" w:line="9" w:lineRule="exact"/>
        <w:rPr>
          <w:sz w:val="20"/>
          <w:szCs w:val="20"/>
          <w:color w:val="auto"/>
        </w:rPr>
      </w:pPr>
    </w:p>
    <w:p>
      <w:pPr>
        <w:ind w:left="340" w:right="520" w:hanging="332"/>
        <w:spacing w:after="0" w:line="182" w:lineRule="auto"/>
        <w:tabs>
          <w:tab w:leader="none" w:pos="340" w:val="left"/>
        </w:tabs>
        <w:numPr>
          <w:ilvl w:val="0"/>
          <w:numId w:val="1"/>
        </w:numPr>
        <w:rPr>
          <w:rFonts w:ascii="Wingdings" w:cs="Wingdings" w:eastAsia="Wingdings" w:hAnsi="Wingdings"/>
          <w:sz w:val="31"/>
          <w:szCs w:val="31"/>
          <w:b w:val="1"/>
          <w:bCs w:val="1"/>
          <w:color w:val="A3C4EB"/>
          <w:vertAlign w:val="subscript"/>
        </w:rPr>
      </w:pPr>
      <w:r>
        <w:rPr>
          <w:rFonts w:ascii="Arial" w:cs="Arial" w:eastAsia="Arial" w:hAnsi="Arial"/>
          <w:sz w:val="14"/>
          <w:szCs w:val="14"/>
          <w:color w:val="auto"/>
        </w:rPr>
        <w:t>The Trigger PLUS do not pay interest or, if the Trigger PLUS have not been automatically redeemed prior to maturity, guarantee the return of any principal and your investment in the Trigger PLUS may result in a loss.</w:t>
      </w:r>
    </w:p>
    <w:p>
      <w:pPr>
        <w:spacing w:after="0" w:line="2" w:lineRule="exact"/>
        <w:rPr>
          <w:rFonts w:ascii="Wingdings" w:cs="Wingdings" w:eastAsia="Wingdings" w:hAnsi="Wingdings"/>
          <w:sz w:val="31"/>
          <w:szCs w:val="31"/>
          <w:b w:val="1"/>
          <w:bCs w:val="1"/>
          <w:color w:val="A3C4EB"/>
          <w:vertAlign w:val="subscript"/>
        </w:rPr>
      </w:pPr>
    </w:p>
    <w:p>
      <w:pPr>
        <w:ind w:left="340" w:right="560" w:hanging="332"/>
        <w:spacing w:after="0" w:line="209" w:lineRule="auto"/>
        <w:tabs>
          <w:tab w:leader="none" w:pos="340" w:val="left"/>
        </w:tabs>
        <w:numPr>
          <w:ilvl w:val="0"/>
          <w:numId w:val="1"/>
        </w:numPr>
        <w:rPr>
          <w:rFonts w:ascii="Wingdings" w:cs="Wingdings" w:eastAsia="Wingdings" w:hAnsi="Wingdings"/>
          <w:sz w:val="39"/>
          <w:szCs w:val="39"/>
          <w:b w:val="1"/>
          <w:bCs w:val="1"/>
          <w:color w:val="A3C4EB"/>
          <w:vertAlign w:val="subscript"/>
        </w:rPr>
      </w:pPr>
      <w:r>
        <w:rPr>
          <w:rFonts w:ascii="Arial" w:cs="Arial" w:eastAsia="Arial" w:hAnsi="Arial"/>
          <w:sz w:val="15"/>
          <w:szCs w:val="15"/>
          <w:color w:val="auto"/>
        </w:rPr>
        <w:t>If the Trigger PLUS are automatically redeemed prior to maturity, the appreciation potential of the Trigger PLUS is limited to the early redemption payment.</w:t>
      </w:r>
    </w:p>
    <w:p>
      <w:pPr>
        <w:spacing w:after="0" w:line="1" w:lineRule="exact"/>
        <w:rPr>
          <w:rFonts w:ascii="Wingdings" w:cs="Wingdings" w:eastAsia="Wingdings" w:hAnsi="Wingdings"/>
          <w:sz w:val="39"/>
          <w:szCs w:val="39"/>
          <w:b w:val="1"/>
          <w:bCs w:val="1"/>
          <w:color w:val="A3C4EB"/>
          <w:vertAlign w:val="subscript"/>
        </w:rPr>
      </w:pPr>
    </w:p>
    <w:p>
      <w:pPr>
        <w:ind w:left="340" w:hanging="332"/>
        <w:spacing w:after="0" w:line="195" w:lineRule="auto"/>
        <w:tabs>
          <w:tab w:leader="none" w:pos="340" w:val="left"/>
        </w:tabs>
        <w:numPr>
          <w:ilvl w:val="0"/>
          <w:numId w:val="1"/>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Early redemption risk.</w:t>
      </w:r>
    </w:p>
    <w:p>
      <w:pPr>
        <w:spacing w:after="0" w:line="31" w:lineRule="exact"/>
        <w:rPr>
          <w:rFonts w:ascii="Wingdings" w:cs="Wingdings" w:eastAsia="Wingdings" w:hAnsi="Wingdings"/>
          <w:sz w:val="22"/>
          <w:szCs w:val="22"/>
          <w:b w:val="1"/>
          <w:bCs w:val="1"/>
          <w:color w:val="A3C4EB"/>
          <w:vertAlign w:val="subscript"/>
        </w:rPr>
      </w:pPr>
    </w:p>
    <w:p>
      <w:pPr>
        <w:ind w:left="340" w:right="100" w:hanging="332"/>
        <w:spacing w:after="0" w:line="209" w:lineRule="auto"/>
        <w:tabs>
          <w:tab w:leader="none" w:pos="340" w:val="left"/>
        </w:tabs>
        <w:numPr>
          <w:ilvl w:val="0"/>
          <w:numId w:val="1"/>
        </w:numPr>
        <w:rPr>
          <w:rFonts w:ascii="Wingdings" w:cs="Wingdings" w:eastAsia="Wingdings" w:hAnsi="Wingdings"/>
          <w:sz w:val="39"/>
          <w:szCs w:val="39"/>
          <w:b w:val="1"/>
          <w:bCs w:val="1"/>
          <w:color w:val="A3C4EB"/>
          <w:vertAlign w:val="subscript"/>
        </w:rPr>
      </w:pPr>
      <w:r>
        <w:rPr>
          <w:rFonts w:ascii="Arial" w:cs="Arial" w:eastAsia="Arial" w:hAnsi="Arial"/>
          <w:sz w:val="15"/>
          <w:szCs w:val="15"/>
          <w:color w:val="auto"/>
        </w:rPr>
        <w:t>If the Trigger PLUS have not been automatically redeemed prior to maturity, your maximum downside gain on the Trigger PLUS is limited by the trigger level.</w:t>
      </w:r>
    </w:p>
    <w:p>
      <w:pPr>
        <w:spacing w:after="0" w:line="1" w:lineRule="exact"/>
        <w:rPr>
          <w:rFonts w:ascii="Wingdings" w:cs="Wingdings" w:eastAsia="Wingdings" w:hAnsi="Wingdings"/>
          <w:sz w:val="39"/>
          <w:szCs w:val="39"/>
          <w:b w:val="1"/>
          <w:bCs w:val="1"/>
          <w:color w:val="A3C4EB"/>
          <w:vertAlign w:val="subscript"/>
        </w:rPr>
      </w:pPr>
    </w:p>
    <w:p>
      <w:pPr>
        <w:ind w:left="340" w:right="300" w:hanging="332"/>
        <w:spacing w:after="0" w:line="188" w:lineRule="auto"/>
        <w:tabs>
          <w:tab w:leader="none" w:pos="340" w:val="left"/>
        </w:tabs>
        <w:numPr>
          <w:ilvl w:val="0"/>
          <w:numId w:val="1"/>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Trigger PLUS are subject to the credit risks of JPMorgan Financial and JPMorgan Chase &amp; Co., and any actual or anticipated changes to our or JPMorgan Chase &amp; Co.’s credit ratings or credit spreads may adversely affect the market value of the Trigger PLUS.</w:t>
      </w:r>
    </w:p>
    <w:p>
      <w:pPr>
        <w:ind w:left="340" w:hanging="332"/>
        <w:spacing w:after="0" w:line="195" w:lineRule="auto"/>
        <w:tabs>
          <w:tab w:leader="none" w:pos="340" w:val="left"/>
        </w:tabs>
        <w:numPr>
          <w:ilvl w:val="0"/>
          <w:numId w:val="1"/>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As a finance subsidiary, JPMorgan Financial has no independent operations and has limited assets.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1"/>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benefit provided by the trigger level may terminate on the valuation date.</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1"/>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trading may be limited.</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1"/>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final terms and estimated valuation of the Trigger PLUS will be provided in the pricing supplement.</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1"/>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tax consequences of an investment in the Trigger PLUS are uncertain.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Conflicts of Interest</w:t>
      </w:r>
    </w:p>
    <w:p>
      <w:pPr>
        <w:ind w:left="340" w:right="60" w:hanging="332"/>
        <w:spacing w:after="0" w:line="182" w:lineRule="auto"/>
        <w:tabs>
          <w:tab w:leader="none" w:pos="340" w:val="left"/>
        </w:tabs>
        <w:numPr>
          <w:ilvl w:val="0"/>
          <w:numId w:val="2"/>
        </w:numPr>
        <w:rPr>
          <w:rFonts w:ascii="Wingdings" w:cs="Wingdings" w:eastAsia="Wingdings" w:hAnsi="Wingdings"/>
          <w:sz w:val="31"/>
          <w:szCs w:val="31"/>
          <w:b w:val="1"/>
          <w:bCs w:val="1"/>
          <w:color w:val="A3C4EB"/>
          <w:vertAlign w:val="subscript"/>
        </w:rPr>
      </w:pPr>
      <w:r>
        <w:rPr>
          <w:rFonts w:ascii="Arial" w:cs="Arial" w:eastAsia="Arial" w:hAnsi="Arial"/>
          <w:sz w:val="14"/>
          <w:szCs w:val="14"/>
          <w:color w:val="auto"/>
        </w:rPr>
        <w:t>Economic interests of the issuer, the guarantor, the calculation agent, the agent of the offering of the Trigger PLUS and other affiliates of the issuer may be different from those of investors.</w:t>
      </w:r>
    </w:p>
    <w:p>
      <w:pPr>
        <w:spacing w:after="0" w:line="2" w:lineRule="exact"/>
        <w:rPr>
          <w:rFonts w:ascii="Wingdings" w:cs="Wingdings" w:eastAsia="Wingdings" w:hAnsi="Wingdings"/>
          <w:sz w:val="31"/>
          <w:szCs w:val="31"/>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Hedging and trading activities by the issuer and its affiliates could potentially affect the value of the Trigger PLUS.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Estimated Value and Secondary Market Prices of the Trigger PLUS</w:t>
      </w:r>
    </w:p>
    <w:p>
      <w:pPr>
        <w:ind w:left="340" w:hanging="332"/>
        <w:spacing w:after="0" w:line="185" w:lineRule="auto"/>
        <w:tabs>
          <w:tab w:leader="none" w:pos="340" w:val="left"/>
        </w:tabs>
        <w:numPr>
          <w:ilvl w:val="0"/>
          <w:numId w:val="3"/>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estimated value of the Trigger PLUS will be lower than the original issue price (price to public) of the Trigger PLUS.</w:t>
      </w:r>
    </w:p>
    <w:p>
      <w:pPr>
        <w:spacing w:after="0" w:line="31" w:lineRule="exact"/>
        <w:rPr>
          <w:rFonts w:ascii="Wingdings" w:cs="Wingdings" w:eastAsia="Wingdings" w:hAnsi="Wingdings"/>
          <w:sz w:val="24"/>
          <w:szCs w:val="24"/>
          <w:b w:val="1"/>
          <w:bCs w:val="1"/>
          <w:color w:val="A3C4EB"/>
          <w:vertAlign w:val="subscript"/>
        </w:rPr>
      </w:pPr>
    </w:p>
    <w:p>
      <w:pPr>
        <w:ind w:left="340" w:hanging="332"/>
        <w:spacing w:after="0" w:line="195" w:lineRule="auto"/>
        <w:tabs>
          <w:tab w:leader="none" w:pos="34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estimated value of the Trigger PLUS does not represent future values of the Trigger PLUS and may differ from others’ estimates.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estimated value of the Trigger PLUS is derived by reference to an internal funding rate.</w:t>
      </w:r>
    </w:p>
    <w:p>
      <w:pPr>
        <w:spacing w:after="0" w:line="31" w:lineRule="exact"/>
        <w:rPr>
          <w:rFonts w:ascii="Wingdings" w:cs="Wingdings" w:eastAsia="Wingdings" w:hAnsi="Wingdings"/>
          <w:sz w:val="22"/>
          <w:szCs w:val="22"/>
          <w:b w:val="1"/>
          <w:bCs w:val="1"/>
          <w:color w:val="A3C4EB"/>
          <w:vertAlign w:val="subscript"/>
        </w:rPr>
      </w:pPr>
    </w:p>
    <w:p>
      <w:pPr>
        <w:ind w:left="340" w:right="460" w:hanging="332"/>
        <w:spacing w:after="0" w:line="188" w:lineRule="auto"/>
        <w:tabs>
          <w:tab w:leader="none" w:pos="340" w:val="left"/>
        </w:tabs>
        <w:numPr>
          <w:ilvl w:val="0"/>
          <w:numId w:val="3"/>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value of the Trigger PLUS as published by J.P. Morgan Securities LLC (and which may be reflected on customer account statements) may be higher than the then-current estimated value of the Trigger PLUS for a limited time period.</w:t>
      </w:r>
    </w:p>
    <w:p>
      <w:pPr>
        <w:ind w:left="340" w:hanging="332"/>
        <w:spacing w:after="0" w:line="195" w:lineRule="auto"/>
        <w:tabs>
          <w:tab w:leader="none" w:pos="34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market prices of the Trigger PLUS will likely be lower than the original issue price of the Trigger PLUS.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market prices of the Trigger PLUS will be impacted by many economic and market factors.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Underlying Stock</w:t>
      </w:r>
    </w:p>
    <w:p>
      <w:pPr>
        <w:ind w:left="340" w:hanging="332"/>
        <w:spacing w:after="0" w:line="185" w:lineRule="auto"/>
        <w:tabs>
          <w:tab w:leader="none" w:pos="340" w:val="left"/>
        </w:tabs>
        <w:numPr>
          <w:ilvl w:val="0"/>
          <w:numId w:val="4"/>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Investing in the Trigger PLUS is not equivalent to investing in the underlying stock.</w:t>
      </w:r>
    </w:p>
    <w:p>
      <w:pPr>
        <w:spacing w:after="0" w:line="31" w:lineRule="exact"/>
        <w:rPr>
          <w:rFonts w:ascii="Wingdings" w:cs="Wingdings" w:eastAsia="Wingdings" w:hAnsi="Wingdings"/>
          <w:sz w:val="24"/>
          <w:szCs w:val="24"/>
          <w:b w:val="1"/>
          <w:bCs w:val="1"/>
          <w:color w:val="A3C4EB"/>
          <w:vertAlign w:val="subscript"/>
        </w:rPr>
      </w:pP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No affiliation with NVIDIA Corporation.</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We may engage in business with or involving NVIDIA Corporation without regard to your interests.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Governmental legislative and regulatory actions, including sanctions, could adversely affect your investment in the Trigger PLUS.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anti-dilution protection for the underlying stock is limited and may be discretionary.</w:t>
      </w:r>
    </w:p>
    <w:p>
      <w:pPr>
        <w:spacing w:after="0" w:line="115" w:lineRule="exact"/>
        <w:rPr>
          <w:sz w:val="20"/>
          <w:szCs w:val="20"/>
          <w:color w:val="auto"/>
        </w:rPr>
      </w:pPr>
    </w:p>
    <w:p>
      <w:pPr>
        <w:spacing w:after="0"/>
        <w:rPr>
          <w:sz w:val="20"/>
          <w:szCs w:val="20"/>
          <w:color w:val="auto"/>
        </w:rPr>
      </w:pPr>
      <w:r>
        <w:rPr>
          <w:rFonts w:ascii="Arial" w:cs="Arial" w:eastAsia="Arial" w:hAnsi="Arial"/>
          <w:sz w:val="25"/>
          <w:szCs w:val="25"/>
          <w:color w:val="296DC1"/>
        </w:rPr>
        <w:t>Tax Considerations</w:t>
      </w:r>
    </w:p>
    <w:p>
      <w:pPr>
        <w:spacing w:after="0" w:line="7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You should review carefully the discussion in the accompanying preliminary pricing supplement under “Additional Information about the Trigger PLUS — Tax considerations” concerning the U.S. federal income tax consequences of an investment in the Trigger PLUS, and you should consult your tax adviser.</w:t>
      </w:r>
    </w:p>
    <w:p>
      <w:pPr>
        <w:spacing w:after="0" w:line="6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the this offering will arrange to send you the prospectus and each prospectus supplement as well as any product supplement and preliminary pricing supplement if you so request by calling toll-free 1-866-535-9248.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-861060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46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jpeg"/><Relationship Id="rId15" Type="http://schemas.openxmlformats.org/officeDocument/2006/relationships/image" Target="media/image7.png"/><Relationship Id="rId16" Type="http://schemas.openxmlformats.org/officeDocument/2006/relationships/image" Target="media/image8.png"/><Relationship Id="rId12" Type="http://schemas.openxmlformats.org/officeDocument/2006/relationships/hyperlink" Target="http://www.sec.gov/Archives/edgar/data/19617/000121390025036745/ea0239935-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2025-04-30T05:11:03Z</dcterms:created>
  <dcterms:modified xsi:type="dcterms:W3CDTF">2025-04-30T05:11:03Z</dcterms:modified>
</cp:coreProperties>
</file>